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2015</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7, 2015, Federal Realty Investment Trust issued supplemental data pertaining to its operations, as well as a press release, to report its financial results for the quarter ended March 31, 2015.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2015 (including press release dated May 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7, 2015</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2015</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2015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2015 Significant Acquisitions &amp;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Brittany Schmelz</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Director,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bschmelz@federalrealty.com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FIRST QUARTER 2015 OPERATING RESULTS</w:t>
      </w:r>
    </w:p>
    <w:p>
      <w:pPr>
        <w:spacing w:after="0" w:line="279" w:lineRule="exact"/>
        <w:rPr>
          <w:sz w:val="20"/>
          <w:szCs w:val="20"/>
          <w:color w:val="auto"/>
        </w:rPr>
      </w:pPr>
    </w:p>
    <w:p>
      <w:pPr>
        <w:jc w:val="both"/>
        <w:spacing w:after="0" w:line="397" w:lineRule="auto"/>
        <w:rPr>
          <w:sz w:val="20"/>
          <w:szCs w:val="20"/>
          <w:color w:val="auto"/>
        </w:rPr>
      </w:pPr>
      <w:r>
        <w:rPr>
          <w:rFonts w:ascii="Arial" w:cs="Arial" w:eastAsia="Arial" w:hAnsi="Arial"/>
          <w:sz w:val="18"/>
          <w:szCs w:val="18"/>
          <w:b w:val="1"/>
          <w:bCs w:val="1"/>
          <w:color w:val="auto"/>
        </w:rPr>
        <w:t xml:space="preserve">ROCKVILLE, Md. (May 7, 2015) - </w:t>
      </w:r>
      <w:r>
        <w:rPr>
          <w:rFonts w:ascii="Arial" w:cs="Arial" w:eastAsia="Arial" w:hAnsi="Arial"/>
          <w:sz w:val="18"/>
          <w:szCs w:val="18"/>
          <w:color w:val="auto"/>
        </w:rPr>
        <w:t>Federal Realty Investment Trust (NYSE:FRT) today reported operating results for its first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the first quarter 2015, Federal Realty generated funds from operations available for common shareholders (FFO) of $87.3 million, or $1.26 per diluted share. This compares to FFO of $81.8 million, or $1.21 per diluted share, in first quarter 2014. Net income available for common shareholders was $46.1 million and earnings per diluted share was $0.67 for first quarter 2015, versus $38.6 million and $0.57, respectively, for first quarter 2014.</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In first quarter 2015, same-center property operating income increased 3.7% over the prior year, excluding properties that are being redeveloped and 3.6% when including those properties.</w:t>
      </w:r>
    </w:p>
    <w:p>
      <w:pPr>
        <w:spacing w:after="0" w:line="292"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95.4% leased as of March 31, 2015, compared to 95.6% on both December 31, 2014 and March 31, 2014. Federal Realty’s same center portfolio was 96.0% leased on March 31, 2015, compared to 95.8% on December 31, 2014 and 95.9% on March 31, 2014.</w:t>
      </w:r>
    </w:p>
    <w:p>
      <w:pPr>
        <w:spacing w:after="0" w:line="298" w:lineRule="exact"/>
        <w:rPr>
          <w:sz w:val="20"/>
          <w:szCs w:val="20"/>
          <w:color w:val="auto"/>
        </w:rPr>
      </w:pPr>
    </w:p>
    <w:p>
      <w:pPr>
        <w:ind w:right="40"/>
        <w:spacing w:after="0" w:line="364" w:lineRule="auto"/>
        <w:rPr>
          <w:sz w:val="20"/>
          <w:szCs w:val="20"/>
          <w:color w:val="auto"/>
        </w:rPr>
      </w:pPr>
      <w:r>
        <w:rPr>
          <w:rFonts w:ascii="Arial" w:cs="Arial" w:eastAsia="Arial" w:hAnsi="Arial"/>
          <w:sz w:val="18"/>
          <w:szCs w:val="18"/>
          <w:color w:val="auto"/>
        </w:rPr>
        <w:t>During first quarter 2015, Federal Realty signed 86 leases for 279,586 square feet of retail space. On a comparable space basis (i.e., spaces for which there was a former tenant), Federal Realty leased 249,295 square feet at an average cash basis contractual rent increase per square foot (i.e., excluding the impact of straight-line rents) of 11%. The average contractual rent on this comparable space for the first year of the new leases is $37.50 per square foot compared to the average contractual rent of $33.70 per square foot for the last year of the prior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9" w:lineRule="exact"/>
        <w:rPr>
          <w:sz w:val="20"/>
          <w:szCs w:val="20"/>
          <w:color w:val="auto"/>
        </w:rPr>
      </w:pPr>
    </w:p>
    <w:p>
      <w:pPr>
        <w:ind w:right="80"/>
        <w:spacing w:after="0" w:line="364" w:lineRule="auto"/>
        <w:rPr>
          <w:sz w:val="20"/>
          <w:szCs w:val="20"/>
          <w:color w:val="auto"/>
        </w:rPr>
      </w:pPr>
      <w:r>
        <w:rPr>
          <w:rFonts w:ascii="Arial" w:cs="Arial" w:eastAsia="Arial" w:hAnsi="Arial"/>
          <w:sz w:val="18"/>
          <w:szCs w:val="18"/>
          <w:color w:val="auto"/>
        </w:rPr>
        <w:t>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22% for first quarter 2015. As of March 31, 2015, Federal Realty’s average contractual, cash basis minimum rent for retail and commercial space in its portfolio was $25.55 per square foot.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7, 2015-Federal Realty today announced it is proceeding with Phase II of Assembly Row, which will include 167,000 square feet of new retail space, 447 high-end apartments, 117 luxury condominium residences and a 155 room boutique hotel to be owned in a joint venture partnership. Phase II also includes the 700,000 square foot office building being constructed by Partners HealthCare.</w:t>
      </w: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4, 2015-Federal Realty acquired an 80% interest in a 198,000 square foot lifestyle center in South Florida, based on a total value of $87.5 million. Situated in the resurgent Coconut Grove District, at the prominent intersection of Main Highway and Grand Avenue, CocoWalk is well located to serve the affluent, year round residents of Miami-Dade.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24, 2015-Federal Realty closed on the sale of its Houston St. property in San Antonio, Texas, for a sales price of $46.1 million.</w:t>
      </w:r>
    </w:p>
    <w:p>
      <w:pPr>
        <w:spacing w:after="0" w:line="103" w:lineRule="exact"/>
        <w:rPr>
          <w:rFonts w:ascii="Arial" w:cs="Arial" w:eastAsia="Arial" w:hAnsi="Arial"/>
          <w:sz w:val="18"/>
          <w:szCs w:val="18"/>
          <w:color w:val="auto"/>
        </w:rPr>
      </w:pPr>
    </w:p>
    <w:p>
      <w:pPr>
        <w:jc w:val="both"/>
        <w:ind w:left="660" w:hanging="328"/>
        <w:spacing w:after="0" w:line="3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March 16, 2015-Federal Realty issued $200 million aggregate principal amount of 4.50% senior unsecured notes due December 1, 2044. The notes were offered at 105.379% of the principal amount with a yield to maturity of 4.179%. The notes have the same terms and are of the same series as the $250 million senior notes issued in November 2014. The proceeds were used to redeem its 6.20% senior unsecured notes due 2017 for an aggregate principal of $200 million. The redemption was completed on April 11, 2015 and included a prepayment premium of $19 million.</w:t>
      </w:r>
    </w:p>
    <w:p>
      <w:pPr>
        <w:spacing w:after="0" w:line="298"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 are pleased with yet another quarter of strong performance, driven by our core portfolio and bolstered by deliveries from our development and redevelopment pipelines,” commented Donald C. Wood, President and Chief Executive Officer of Federal Realty. “There’s a lot to be excited about this quarter, and there’s a lot to be excited about going forward. With the ongoing, successful deliveries of the initial phases of Pike &amp; Rose and Assembly Row, our recent acquisition of CocoWalk, and our decision to proceed with Phase II at Assembly Row, we continue to execute very well on our long-term business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on its common shares of $0.87 per share, resulting in an indicated annual rate of $3.48 per share. The regular common dividend will be payable on July 15, 2015 to common shareholders of record on June 22, 2015.</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We have maintained our 2015 guidance for FFO per diluted share excluding early extinguishment of debt of $5.26 to $5.34, and updated earnings per diluted share to $2.75 to $2.83.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first quarter 2015 earnings conference call, which is scheduled for May 8, 2015, at 10 a.m. Eastern Daylight Time. To participate, please call (877) 445-3230 five to ten minutes prior to the call start time and use the passcode 16324379 (required). Federal Realty will also provide an online webcast on the Company’s web site, </w:t>
      </w:r>
      <w:r>
        <w:rPr>
          <w:rFonts w:ascii="Arial" w:cs="Arial" w:eastAsia="Arial" w:hAnsi="Arial"/>
          <w:sz w:val="18"/>
          <w:szCs w:val="18"/>
          <w:u w:val="single" w:color="auto"/>
          <w:color w:val="0000FF"/>
        </w:rPr>
        <w:t>http://www.federalrealty.com</w:t>
      </w:r>
      <w:r>
        <w:rPr>
          <w:rFonts w:ascii="Arial" w:cs="Arial" w:eastAsia="Arial" w:hAnsi="Arial"/>
          <w:sz w:val="18"/>
          <w:szCs w:val="18"/>
          <w:color w:val="auto"/>
        </w:rPr>
        <w:t>, which will remain available for 30 days following the call. A telephone recording of the call will also be available through May 15, 2015, by dialing (855) 859-2056 and using the passcode 16324379.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90 properties include over 2,600 tenants, in approximately 21 million square feet, and 1500 residential units.</w:t>
      </w:r>
    </w:p>
    <w:p>
      <w:pPr>
        <w:spacing w:after="0" w:line="30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 xml:space="preserve">Federal Realty has paid quarterly dividends to its shareholders continuously since its founding in 1962, and has increased its dividend rate for 47 consecutive years, the longest record in the REIT industry. Federal Realty shares are traded on the NYSE under the symbol FRT. For additional information about Federal Realty and its properties, visit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125" w:lineRule="exact"/>
        <w:rPr>
          <w:sz w:val="20"/>
          <w:szCs w:val="20"/>
          <w:color w:val="auto"/>
        </w:rPr>
      </w:pPr>
    </w:p>
    <w:p>
      <w:pPr>
        <w:ind w:left="340" w:hanging="332"/>
        <w:spacing w:after="0" w:line="252"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169"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ind w:left="340" w:hanging="332"/>
        <w:spacing w:after="0" w:line="24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jc w:val="both"/>
        <w:ind w:left="340" w:hanging="332"/>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9" w:lineRule="exact"/>
        <w:rPr>
          <w:sz w:val="20"/>
          <w:szCs w:val="20"/>
          <w:color w:val="auto"/>
        </w:rPr>
      </w:pPr>
    </w:p>
    <w:p>
      <w:pPr>
        <w:ind w:left="340" w:right="20"/>
        <w:spacing w:after="0" w:line="243" w:lineRule="auto"/>
        <w:rPr>
          <w:sz w:val="20"/>
          <w:szCs w:val="20"/>
          <w:color w:val="auto"/>
        </w:rPr>
      </w:pPr>
      <w:r>
        <w:rPr>
          <w:rFonts w:ascii="Arial" w:cs="Arial" w:eastAsia="Arial" w:hAnsi="Arial"/>
          <w:sz w:val="14"/>
          <w:szCs w:val="14"/>
          <w:i w:val="1"/>
          <w:iCs w:val="1"/>
          <w:color w:val="auto"/>
        </w:rPr>
        <w:t>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4"/>
          <w:szCs w:val="14"/>
          <w:color w:val="auto"/>
        </w:rPr>
      </w:pPr>
    </w:p>
    <w:p>
      <w:pPr>
        <w:jc w:val="both"/>
        <w:ind w:left="340" w:hanging="332"/>
        <w:spacing w:after="0" w:line="25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5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9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181,166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166,193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184,792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170,828</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37,130</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41,984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43,850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107,384</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72,122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63,444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real estate partnerships</w:t>
            </w:r>
          </w:p>
        </w:tc>
        <w:tc>
          <w:tcPr>
            <w:tcW w:w="3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40,545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46,186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38,753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3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4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46,051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38,618</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90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3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51"/>
        </w:trPr>
        <w:tc>
          <w:tcPr>
            <w:tcW w:w="49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66,615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68,563</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40" w:type="dxa"/>
            <w:vAlign w:val="bottom"/>
            <w:vMerge w:val="restart"/>
          </w:tcPr>
          <w:p>
            <w:pPr>
              <w:jc w:val="right"/>
              <w:ind w:right="249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$266,198 and $282,303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5,208,904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Asset held for sale</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5,737,360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7"/>
              </w:rPr>
              <w:t>Less accumulated depreciation and amortization (including $27,873 and $26,618 of consolidated variable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(1,500,976)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4,236,384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171,437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183,499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175,235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4,780,750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Mortgages and capital lease obligations (including $179,789 and $187,632 of consolidated variable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651,392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635,345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290,577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1,694,764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332,946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325,584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2,969,679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119,145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20"/>
              <w:spacing w:after="0"/>
              <w:rPr>
                <w:sz w:val="20"/>
                <w:szCs w:val="20"/>
                <w:color w:val="auto"/>
              </w:rPr>
            </w:pPr>
            <w:r>
              <w:rPr>
                <w:rFonts w:ascii="Arial" w:cs="Arial" w:eastAsia="Arial" w:hAnsi="Arial"/>
                <w:sz w:val="18"/>
                <w:szCs w:val="18"/>
                <w:color w:val="auto"/>
              </w:rPr>
              <w:t>Preferred shares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1,581,572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1,594,404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1,591,569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1,691,926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4,780,750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20" w:type="dxa"/>
            <w:vAlign w:val="bottom"/>
            <w:shd w:val="clear" w:color="auto" w:fill="CCEEFF"/>
          </w:tcPr>
          <w:p>
            <w:pPr>
              <w:spacing w:after="0"/>
              <w:rPr>
                <w:sz w:val="22"/>
                <w:szCs w:val="22"/>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ind w:right="93"/>
              <w:spacing w:after="0"/>
              <w:rPr>
                <w:sz w:val="20"/>
                <w:szCs w:val="20"/>
                <w:color w:val="auto"/>
              </w:rPr>
            </w:pPr>
            <w:r>
              <w:rPr>
                <w:rFonts w:ascii="Arial" w:cs="Arial" w:eastAsia="Arial" w:hAnsi="Arial"/>
                <w:sz w:val="18"/>
                <w:szCs w:val="18"/>
                <w:color w:val="auto"/>
              </w:rPr>
              <w:t>48,203</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40,545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(1,792)</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36,953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39,549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2,831</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409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86,910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81,542</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Dividends on preferred shares</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(135)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716</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(369)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87,288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81,754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84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FFO per diluted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1.21</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diluted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69,515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67,691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59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Non-maintenance capital expenditures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55,605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73,380</w:t>
            </w:r>
          </w:p>
        </w:tc>
      </w:tr>
      <w:tr>
        <w:trPr>
          <w:trHeight w:val="243"/>
        </w:trPr>
        <w:tc>
          <w:tcPr>
            <w:tcW w:w="20" w:type="dxa"/>
            <w:vAlign w:val="bottom"/>
          </w:tcPr>
          <w:p>
            <w:pPr>
              <w:spacing w:after="0"/>
              <w:rPr>
                <w:sz w:val="21"/>
                <w:szCs w:val="21"/>
                <w:color w:val="auto"/>
              </w:rPr>
            </w:pPr>
          </w:p>
        </w:tc>
        <w:tc>
          <w:tcPr>
            <w:tcW w:w="838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5,219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59,916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78,599</w:t>
            </w:r>
          </w:p>
        </w:tc>
      </w:tr>
      <w:tr>
        <w:trPr>
          <w:trHeight w:val="243"/>
        </w:trPr>
        <w:tc>
          <w:tcPr>
            <w:tcW w:w="20" w:type="dxa"/>
            <w:vAlign w:val="bottom"/>
          </w:tcPr>
          <w:p>
            <w:pPr>
              <w:spacing w:after="0"/>
              <w:rPr>
                <w:sz w:val="21"/>
                <w:szCs w:val="21"/>
                <w:color w:val="auto"/>
              </w:rPr>
            </w:pPr>
          </w:p>
        </w:tc>
        <w:tc>
          <w:tcPr>
            <w:tcW w:w="838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1,526</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61,671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80,125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628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Regular common dividends declared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59,752</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52,461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69,612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68,185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147.21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114.72</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10,247,583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7,822,183</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10,257,583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7,832,183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2,636,733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2,391,937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12,894,316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10,224,120</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6"/>
                <w:szCs w:val="16"/>
                <w:color w:val="auto"/>
              </w:rPr>
              <w:t>&lt;1%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934,405 and 917,755 operating partnership units outstanding at March 31, 2015 and 2014,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100" w:hanging="652"/>
        <w:spacing w:after="0" w:line="30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$10.3 million and $17.1 million at March 31, 2015 and 2014, respectively, which is the Trust's 30% share of the total mortgages payable of $34.4 million and $56.9 million at March 31, 2015 and 2014,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9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24"/>
                <w:szCs w:val="24"/>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124,313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116,065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40,887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37,459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2,724</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181,166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166,193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jc w:val="both"/>
        <w:ind w:left="660" w:right="10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$1.3 million and $1.1 million for the three months ended March 31, 2015 and 2014, respectively, to recognize minimum rents on a straight-line basis. In addition, minimum rents include $0.7 million and $0.5 million for the three months ended March 31, 2015 and 2014,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rPr>
              <w:t>As of March 31, 2015</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Barracks Road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35,701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Hauppauge</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13,458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Lawrence Park</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Wildwood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22,243</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Wynnewood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25,789</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Brick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26,195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San Antonio Center</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18,542</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44,284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The Grove at Shrewsbury (West)</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11,189</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29th Place</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4,895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75,488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7,022</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571,340</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8,412</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579,752</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5.38%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Term loan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6,177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Escondido (Municipal bonds) (3)</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Revolving credit facility (4)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290,577</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2.96%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6.20% notes (5)</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3.95%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1,694,200</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1,694,764</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71,640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2,636,733</w:t>
            </w: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2,627,333</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4.58%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1.23%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44"/>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2,636,733</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4.57%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747"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368"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Borders>
              <w:bottom w:val="single" w:sz="8" w:color="auto"/>
            </w:tcBorders>
          </w:tcPr>
          <w:p>
            <w:pPr>
              <w:spacing w:after="0"/>
              <w:rPr>
                <w:sz w:val="24"/>
                <w:szCs w:val="24"/>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1"/>
                <w:szCs w:val="21"/>
                <w:color w:val="auto"/>
              </w:rPr>
            </w:pPr>
          </w:p>
        </w:tc>
      </w:tr>
      <w:tr>
        <w:trPr>
          <w:trHeight w:val="202"/>
        </w:trPr>
        <w:tc>
          <w:tcPr>
            <w:tcW w:w="9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81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40" w:type="dxa"/>
            <w:vAlign w:val="bottom"/>
          </w:tcPr>
          <w:p>
            <w:pPr>
              <w:spacing w:after="0"/>
              <w:rPr>
                <w:sz w:val="19"/>
                <w:szCs w:val="19"/>
                <w:color w:val="auto"/>
              </w:rPr>
            </w:pPr>
          </w:p>
        </w:tc>
        <w:tc>
          <w:tcPr>
            <w:tcW w:w="956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(8)</w:t>
            </w:r>
          </w:p>
        </w:tc>
        <w:tc>
          <w:tcPr>
            <w:tcW w:w="600" w:type="dxa"/>
            <w:vAlign w:val="bottom"/>
          </w:tcPr>
          <w:p>
            <w:pPr>
              <w:jc w:val="right"/>
              <w:spacing w:after="0"/>
              <w:rPr>
                <w:sz w:val="20"/>
                <w:szCs w:val="20"/>
                <w:color w:val="auto"/>
              </w:rPr>
            </w:pPr>
            <w:r>
              <w:rPr>
                <w:rFonts w:ascii="Arial" w:cs="Arial" w:eastAsia="Arial" w:hAnsi="Arial"/>
                <w:sz w:val="16"/>
                <w:szCs w:val="16"/>
                <w:color w:val="auto"/>
              </w:rPr>
              <w:t>3.91</w:t>
            </w:r>
          </w:p>
        </w:tc>
        <w:tc>
          <w:tcPr>
            <w:tcW w:w="400" w:type="dxa"/>
            <w:vAlign w:val="bottom"/>
          </w:tcPr>
          <w:p>
            <w:pPr>
              <w:ind w:left="120"/>
              <w:spacing w:after="0"/>
              <w:rPr>
                <w:sz w:val="20"/>
                <w:szCs w:val="20"/>
                <w:color w:val="auto"/>
              </w:rPr>
            </w:pPr>
            <w:r>
              <w:rPr>
                <w:rFonts w:ascii="Arial" w:cs="Arial" w:eastAsia="Arial" w:hAnsi="Arial"/>
                <w:sz w:val="16"/>
                <w:szCs w:val="16"/>
                <w:color w:val="auto"/>
              </w:rPr>
              <w:t>x</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3.71</w:t>
            </w:r>
          </w:p>
        </w:tc>
        <w:tc>
          <w:tcPr>
            <w:tcW w:w="220" w:type="dxa"/>
            <w:vAlign w:val="bottom"/>
          </w:tcPr>
          <w:p>
            <w:pPr>
              <w:ind w:left="4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4"/>
        </w:trPr>
        <w:tc>
          <w:tcPr>
            <w:tcW w:w="40" w:type="dxa"/>
            <w:vAlign w:val="bottom"/>
            <w:shd w:val="clear" w:color="auto" w:fill="CCEEFF"/>
          </w:tcPr>
          <w:p>
            <w:pPr>
              <w:spacing w:after="0"/>
              <w:rPr>
                <w:sz w:val="19"/>
                <w:szCs w:val="19"/>
                <w:color w:val="auto"/>
              </w:rPr>
            </w:pPr>
          </w:p>
        </w:tc>
        <w:tc>
          <w:tcPr>
            <w:tcW w:w="9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3.71</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($10.3 million) of the $34.4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1" w:lineRule="exact"/>
        <w:rPr>
          <w:rFonts w:ascii="Arial" w:cs="Arial" w:eastAsia="Arial" w:hAnsi="Arial"/>
          <w:sz w:val="14"/>
          <w:szCs w:val="14"/>
          <w:color w:val="auto"/>
        </w:rPr>
      </w:pPr>
    </w:p>
    <w:p>
      <w:pPr>
        <w:ind w:left="660" w:right="1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2015 was $79.5 million, and the weighted average interest rate on borrowings under our revolving credit facility, before amortization of debt fees, was 1.06%.</w:t>
      </w:r>
    </w:p>
    <w:p>
      <w:pPr>
        <w:spacing w:after="0" w:line="11" w:lineRule="exact"/>
        <w:rPr>
          <w:rFonts w:ascii="Arial" w:cs="Arial" w:eastAsia="Arial" w:hAnsi="Arial"/>
          <w:sz w:val="14"/>
          <w:szCs w:val="14"/>
          <w:color w:val="auto"/>
        </w:rPr>
      </w:pPr>
    </w:p>
    <w:p>
      <w:pPr>
        <w:ind w:left="660" w:right="2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April 11, 2015, the 6.20% senior notes were redeemed for $222.2 million including a make-whole premium of approximately $19.2 million and accrued but unpaid interest of $3.0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7.</w:t>
      </w:r>
    </w:p>
    <w:p>
      <w:pPr>
        <w:spacing w:after="0" w:line="55"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March 31, 2015.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Adjusted EBITDA is reconciled to net income in the Glossary of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6,417</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345,807</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352,224</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27,497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31,707</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14.6%</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4,191</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216,732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220,923</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3,361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288,863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34.0%</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153,168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40.7%</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366,323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367,539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55.0%</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301,052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79.0%</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20,253</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530,700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550,953</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51,401</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2,576,356</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2,627,757</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2015 maturities include the 6.20% senior notes which were redeemed on April 11, 2015 for $222.2 million including a make-whole premium of approximately $19.2 million and accrued but unpaid interest of $3.0 million.</w:t>
      </w:r>
    </w:p>
    <w:p>
      <w:pPr>
        <w:spacing w:after="0" w:line="10"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March 31, 2015, there was no balance outstanding on our revolving credit facility.</w:t>
      </w:r>
    </w:p>
    <w:p>
      <w:pPr>
        <w:spacing w:after="0" w:line="10"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on certain mortgage loans and senior notes as of March 31, 2015.</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2015</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Property</w:t>
            </w:r>
          </w:p>
        </w:tc>
        <w:tc>
          <w:tcPr>
            <w:tcW w:w="12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Location</w:t>
            </w:r>
          </w:p>
        </w:tc>
        <w:tc>
          <w:tcPr>
            <w:tcW w:w="480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Opportunity</w:t>
            </w: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8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11</w:t>
            </w:r>
          </w:p>
        </w:tc>
        <w:tc>
          <w:tcPr>
            <w:tcW w:w="12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San Jose, CA</w:t>
            </w:r>
          </w:p>
        </w:tc>
        <w:tc>
          <w:tcPr>
            <w:tcW w:w="4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Addition of 6-story building with 225,500 square feet of office space, 1,500</w:t>
            </w:r>
          </w:p>
        </w:tc>
        <w:tc>
          <w:tcPr>
            <w:tcW w:w="8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7.5% -</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$110 -</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$19</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square feet of retail space, and 670 parking spaces</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240" w:type="dxa"/>
            <w:vAlign w:val="bottom"/>
          </w:tcPr>
          <w:p>
            <w:pPr>
              <w:ind w:left="140"/>
              <w:spacing w:after="0"/>
              <w:rPr>
                <w:sz w:val="20"/>
                <w:szCs w:val="20"/>
                <w:color w:val="auto"/>
              </w:rPr>
            </w:pPr>
            <w:r>
              <w:rPr>
                <w:rFonts w:ascii="Arial" w:cs="Arial" w:eastAsia="Arial" w:hAnsi="Arial"/>
                <w:sz w:val="14"/>
                <w:szCs w:val="14"/>
                <w:color w:val="auto"/>
              </w:rPr>
              <w:t>El Segundo, CA</w:t>
            </w:r>
          </w:p>
        </w:tc>
        <w:tc>
          <w:tcPr>
            <w:tcW w:w="4800" w:type="dxa"/>
            <w:vAlign w:val="bottom"/>
          </w:tcPr>
          <w:p>
            <w:pPr>
              <w:ind w:left="40"/>
              <w:spacing w:after="0"/>
              <w:rPr>
                <w:sz w:val="20"/>
                <w:szCs w:val="20"/>
                <w:color w:val="auto"/>
              </w:rPr>
            </w:pPr>
            <w:r>
              <w:rPr>
                <w:rFonts w:ascii="Arial" w:cs="Arial" w:eastAsia="Arial" w:hAnsi="Arial"/>
                <w:sz w:val="14"/>
                <w:szCs w:val="14"/>
                <w:color w:val="auto"/>
                <w:w w:val="98"/>
              </w:rPr>
              <w:t>Addition of 90,000 square feet of retail, and 25,000 square feet of office space</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2015/2016</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San Jose, CA</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Tower Shops</w:t>
            </w:r>
          </w:p>
        </w:tc>
        <w:tc>
          <w:tcPr>
            <w:tcW w:w="1240" w:type="dxa"/>
            <w:vAlign w:val="bottom"/>
          </w:tcPr>
          <w:p>
            <w:pPr>
              <w:ind w:left="140"/>
              <w:spacing w:after="0"/>
              <w:rPr>
                <w:sz w:val="20"/>
                <w:szCs w:val="20"/>
                <w:color w:val="auto"/>
              </w:rPr>
            </w:pPr>
            <w:r>
              <w:rPr>
                <w:rFonts w:ascii="Arial" w:cs="Arial" w:eastAsia="Arial" w:hAnsi="Arial"/>
                <w:sz w:val="14"/>
                <w:szCs w:val="14"/>
                <w:color w:val="auto"/>
              </w:rPr>
              <w:t>Davie, FL</w:t>
            </w:r>
          </w:p>
        </w:tc>
        <w:tc>
          <w:tcPr>
            <w:tcW w:w="4800" w:type="dxa"/>
            <w:vAlign w:val="bottom"/>
          </w:tcPr>
          <w:p>
            <w:pPr>
              <w:ind w:left="40"/>
              <w:spacing w:after="0"/>
              <w:rPr>
                <w:sz w:val="20"/>
                <w:szCs w:val="20"/>
                <w:color w:val="auto"/>
              </w:rPr>
            </w:pPr>
            <w:r>
              <w:rPr>
                <w:rFonts w:ascii="Arial" w:cs="Arial" w:eastAsia="Arial" w:hAnsi="Arial"/>
                <w:sz w:val="14"/>
                <w:szCs w:val="14"/>
                <w:color w:val="auto"/>
              </w:rPr>
              <w:t>Addition of 50,000 square foot pad building</w:t>
            </w: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Congressional Plaza</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Rockville, MD</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48 unit rental apartment building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240" w:type="dxa"/>
            <w:vAlign w:val="bottom"/>
          </w:tcPr>
          <w:p>
            <w:pPr>
              <w:ind w:left="140"/>
              <w:spacing w:after="0" w:line="157" w:lineRule="exact"/>
              <w:rPr>
                <w:sz w:val="20"/>
                <w:szCs w:val="20"/>
                <w:color w:val="auto"/>
              </w:rPr>
            </w:pPr>
            <w:r>
              <w:rPr>
                <w:rFonts w:ascii="Arial" w:cs="Arial" w:eastAsia="Arial" w:hAnsi="Arial"/>
                <w:sz w:val="14"/>
                <w:szCs w:val="14"/>
                <w:color w:val="auto"/>
              </w:rPr>
              <w:t>Richmond, VA</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w w:val="97"/>
              </w:rPr>
              <w:t>Demo interior mall, relocate mall tenants, construct new exterior GLA, and gas</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station</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Lawrenceville, NJ</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Addition of 27,000 square feet of space including new in-line space, addition of</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bank pad and reconfiguration of existing pad site and anchor box</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240" w:type="dxa"/>
            <w:vAlign w:val="bottom"/>
          </w:tcPr>
          <w:p>
            <w:pPr>
              <w:ind w:left="140"/>
              <w:spacing w:after="0" w:line="157" w:lineRule="exact"/>
              <w:rPr>
                <w:sz w:val="20"/>
                <w:szCs w:val="20"/>
                <w:color w:val="auto"/>
              </w:rPr>
            </w:pPr>
            <w:r>
              <w:rPr>
                <w:rFonts w:ascii="Arial" w:cs="Arial" w:eastAsia="Arial" w:hAnsi="Arial"/>
                <w:sz w:val="14"/>
                <w:szCs w:val="14"/>
                <w:color w:val="auto"/>
                <w:w w:val="97"/>
              </w:rPr>
              <w:t>Gaithersburg, MD</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w w:val="94"/>
              </w:rPr>
              <w:t>Property repositioning through demo of non-functional small shop space, creation</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0" w:type="dxa"/>
            <w:vAlign w:val="bottom"/>
          </w:tcPr>
          <w:p>
            <w:pPr>
              <w:ind w:left="40"/>
              <w:spacing w:after="0" w:line="149" w:lineRule="exact"/>
              <w:rPr>
                <w:sz w:val="20"/>
                <w:szCs w:val="20"/>
                <w:color w:val="auto"/>
              </w:rPr>
            </w:pPr>
            <w:r>
              <w:rPr>
                <w:rFonts w:ascii="Arial" w:cs="Arial" w:eastAsia="Arial" w:hAnsi="Arial"/>
                <w:sz w:val="14"/>
                <w:szCs w:val="14"/>
                <w:color w:val="auto"/>
                <w:w w:val="96"/>
              </w:rPr>
              <w:t>of new anchor box, rightsizing of national office products tenant, and creation of</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new visible small shop space</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Bay Bridge</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Emeryville, CA</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Reconfigure two existing spaces consisting of 48,000 square feet to accommodate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Flourtown</w:t>
            </w:r>
          </w:p>
        </w:tc>
        <w:tc>
          <w:tcPr>
            <w:tcW w:w="1240" w:type="dxa"/>
            <w:vAlign w:val="bottom"/>
          </w:tcPr>
          <w:p>
            <w:pPr>
              <w:ind w:left="140"/>
              <w:spacing w:after="0"/>
              <w:rPr>
                <w:sz w:val="20"/>
                <w:szCs w:val="20"/>
                <w:color w:val="auto"/>
              </w:rPr>
            </w:pPr>
            <w:r>
              <w:rPr>
                <w:rFonts w:ascii="Arial" w:cs="Arial" w:eastAsia="Arial" w:hAnsi="Arial"/>
                <w:sz w:val="14"/>
                <w:szCs w:val="14"/>
                <w:color w:val="auto"/>
              </w:rPr>
              <w:t>Flourtown, PA</w:t>
            </w:r>
          </w:p>
        </w:tc>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AVENUE at White Marsh</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White Marsh, MD</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Addition of two new pad sites totaling 13,000 square feet and a drive up ATM</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240" w:type="dxa"/>
            <w:vAlign w:val="bottom"/>
          </w:tcPr>
          <w:p>
            <w:pPr>
              <w:ind w:left="140"/>
              <w:spacing w:after="0"/>
              <w:rPr>
                <w:sz w:val="20"/>
                <w:szCs w:val="20"/>
                <w:color w:val="auto"/>
              </w:rPr>
            </w:pPr>
            <w:r>
              <w:rPr>
                <w:rFonts w:ascii="Arial" w:cs="Arial" w:eastAsia="Arial" w:hAnsi="Arial"/>
                <w:sz w:val="14"/>
                <w:szCs w:val="14"/>
                <w:color w:val="auto"/>
              </w:rPr>
              <w:t>Arlington, VA</w:t>
            </w:r>
          </w:p>
        </w:tc>
        <w:tc>
          <w:tcPr>
            <w:tcW w:w="4800" w:type="dxa"/>
            <w:vAlign w:val="bottom"/>
          </w:tcPr>
          <w:p>
            <w:pPr>
              <w:ind w:left="40"/>
              <w:spacing w:after="0"/>
              <w:rPr>
                <w:sz w:val="20"/>
                <w:szCs w:val="20"/>
                <w:color w:val="auto"/>
              </w:rPr>
            </w:pPr>
            <w:r>
              <w:rPr>
                <w:rFonts w:ascii="Arial" w:cs="Arial" w:eastAsia="Arial" w:hAnsi="Arial"/>
                <w:sz w:val="14"/>
                <w:szCs w:val="14"/>
                <w:color w:val="auto"/>
              </w:rPr>
              <w:t>Ice rink expansion and 1,500 square feet of new retail space</w:t>
            </w: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Wynnewood</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Wynnewood, PA</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obsolete 2nd floor office space to residential</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240" w:type="dxa"/>
            <w:vAlign w:val="bottom"/>
          </w:tcPr>
          <w:p>
            <w:pPr>
              <w:ind w:left="140"/>
              <w:spacing w:after="0" w:line="157" w:lineRule="exact"/>
              <w:rPr>
                <w:sz w:val="20"/>
                <w:szCs w:val="20"/>
                <w:color w:val="auto"/>
              </w:rPr>
            </w:pPr>
            <w:r>
              <w:rPr>
                <w:rFonts w:ascii="Arial" w:cs="Arial" w:eastAsia="Arial" w:hAnsi="Arial"/>
                <w:sz w:val="14"/>
                <w:szCs w:val="14"/>
                <w:color w:val="auto"/>
                <w:w w:val="95"/>
              </w:rPr>
              <w:t>Santa Monica, CA</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w w:val="98"/>
              </w:rPr>
              <w:t>Building modified to convert second floor space to office to accommodate new</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25%</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first floor retail and second floor office tenants</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Troy</w:t>
            </w: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Parsippany, NY</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4,000 square foot pad building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Brick Plaza</w:t>
            </w:r>
          </w:p>
        </w:tc>
        <w:tc>
          <w:tcPr>
            <w:tcW w:w="1240" w:type="dxa"/>
            <w:vAlign w:val="bottom"/>
          </w:tcPr>
          <w:p>
            <w:pPr>
              <w:ind w:left="140"/>
              <w:spacing w:after="0"/>
              <w:rPr>
                <w:sz w:val="20"/>
                <w:szCs w:val="20"/>
                <w:color w:val="auto"/>
              </w:rPr>
            </w:pPr>
            <w:r>
              <w:rPr>
                <w:rFonts w:ascii="Arial" w:cs="Arial" w:eastAsia="Arial" w:hAnsi="Arial"/>
                <w:sz w:val="14"/>
                <w:szCs w:val="14"/>
                <w:color w:val="auto"/>
              </w:rPr>
              <w:t>Brick, NJ</w:t>
            </w:r>
          </w:p>
        </w:tc>
        <w:tc>
          <w:tcPr>
            <w:tcW w:w="4800" w:type="dxa"/>
            <w:vAlign w:val="bottom"/>
          </w:tcPr>
          <w:p>
            <w:pPr>
              <w:ind w:left="40"/>
              <w:spacing w:after="0"/>
              <w:rPr>
                <w:sz w:val="20"/>
                <w:szCs w:val="20"/>
                <w:color w:val="auto"/>
              </w:rPr>
            </w:pPr>
            <w:r>
              <w:rPr>
                <w:rFonts w:ascii="Arial" w:cs="Arial" w:eastAsia="Arial" w:hAnsi="Arial"/>
                <w:sz w:val="14"/>
                <w:szCs w:val="14"/>
                <w:color w:val="auto"/>
              </w:rPr>
              <w:t>New restaurant pad building</w:t>
            </w: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Finley Square</w:t>
            </w:r>
          </w:p>
        </w:tc>
        <w:tc>
          <w:tcPr>
            <w:tcW w:w="12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Downers Grove,</w:t>
            </w:r>
          </w:p>
        </w:tc>
        <w:tc>
          <w:tcPr>
            <w:tcW w:w="4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New 2,000 square foot pad building</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48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20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Total Active Redevelopment projects (4)</w:t>
            </w:r>
          </w:p>
        </w:tc>
        <w:tc>
          <w:tcPr>
            <w:tcW w:w="48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line="151" w:lineRule="exact"/>
              <w:rPr>
                <w:sz w:val="20"/>
                <w:szCs w:val="20"/>
                <w:color w:val="auto"/>
              </w:rPr>
            </w:pPr>
            <w:r>
              <w:rPr>
                <w:rFonts w:ascii="Arial" w:cs="Arial" w:eastAsia="Arial" w:hAnsi="Arial"/>
                <w:sz w:val="14"/>
                <w:szCs w:val="14"/>
                <w:color w:val="auto"/>
              </w:rPr>
              <w:t>$294 -</w:t>
            </w:r>
          </w:p>
        </w:tc>
        <w:tc>
          <w:tcPr>
            <w:tcW w:w="780" w:type="dxa"/>
            <w:vAlign w:val="bottom"/>
          </w:tcPr>
          <w:p>
            <w:pPr>
              <w:jc w:val="right"/>
              <w:ind w:right="48"/>
              <w:spacing w:after="0" w:line="151" w:lineRule="exact"/>
              <w:rPr>
                <w:sz w:val="20"/>
                <w:szCs w:val="20"/>
                <w:color w:val="auto"/>
              </w:rPr>
            </w:pPr>
            <w:r>
              <w:rPr>
                <w:rFonts w:ascii="Arial" w:cs="Arial" w:eastAsia="Arial" w:hAnsi="Arial"/>
                <w:sz w:val="14"/>
                <w:szCs w:val="14"/>
                <w:color w:val="auto"/>
              </w:rPr>
              <w:t>$149</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w:t>
            </w:r>
          </w:p>
        </w:tc>
        <w:tc>
          <w:tcPr>
            <w:tcW w:w="78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Location</w:t>
            </w:r>
          </w:p>
        </w:tc>
        <w:tc>
          <w:tcPr>
            <w:tcW w:w="2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Opportunity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26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Total Cost (3)</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Anticipated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Stabilization Expected Opening Timeframe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(in millions)</w:t>
            </w: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Phases delivered or delivering in 2015</w:t>
            </w:r>
          </w:p>
        </w:tc>
        <w:tc>
          <w:tcPr>
            <w:tcW w:w="2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5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w:t>
            </w:r>
          </w:p>
        </w:tc>
        <w:tc>
          <w:tcPr>
            <w:tcW w:w="116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w w:val="98"/>
              </w:rPr>
              <w:t>Phase I consists of 493 residential units,</w:t>
            </w: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7% - 8%</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$255</w:t>
            </w:r>
          </w:p>
        </w:tc>
        <w:tc>
          <w:tcPr>
            <w:tcW w:w="4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 $265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$235</w:t>
            </w:r>
          </w:p>
        </w:tc>
        <w:tc>
          <w:tcPr>
            <w:tcW w:w="334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w w:val="99"/>
              </w:rPr>
              <w:t>2015/2016  •174 unit residential building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151,000 square feet of retail, and 79,000</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late June 2014</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square feet of office space.</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•Grand Opening of Retail in Fall 2014</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•Office and 319 unit residential</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building to deliver in 2015</w:t>
            </w:r>
          </w:p>
        </w:tc>
        <w:tc>
          <w:tcPr>
            <w:tcW w:w="0" w:type="dxa"/>
            <w:vAlign w:val="bottom"/>
          </w:tcPr>
          <w:p>
            <w:pPr>
              <w:spacing w:after="0"/>
              <w:rPr>
                <w:sz w:val="1"/>
                <w:szCs w:val="1"/>
                <w:color w:val="auto"/>
              </w:rPr>
            </w:pPr>
          </w:p>
        </w:tc>
      </w:tr>
      <w:tr>
        <w:trPr>
          <w:trHeight w:val="161"/>
        </w:trPr>
        <w:tc>
          <w:tcPr>
            <w:tcW w:w="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9"/>
              </w:rPr>
              <w:t>Assembly Row - Phase I</w:t>
            </w:r>
          </w:p>
        </w:tc>
        <w:tc>
          <w:tcPr>
            <w:tcW w:w="116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Somerville, MA</w:t>
            </w:r>
          </w:p>
        </w:tc>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Initial phase consists of 450 residential</w:t>
            </w:r>
          </w:p>
        </w:tc>
        <w:tc>
          <w:tcPr>
            <w:tcW w:w="760" w:type="dxa"/>
            <w:vAlign w:val="bottom"/>
          </w:tcPr>
          <w:p>
            <w:pPr>
              <w:jc w:val="center"/>
              <w:spacing w:after="0" w:line="157" w:lineRule="exact"/>
              <w:rPr>
                <w:sz w:val="20"/>
                <w:szCs w:val="20"/>
                <w:color w:val="auto"/>
              </w:rPr>
            </w:pPr>
            <w:r>
              <w:rPr>
                <w:rFonts w:ascii="Arial" w:cs="Arial" w:eastAsia="Arial" w:hAnsi="Arial"/>
                <w:sz w:val="14"/>
                <w:szCs w:val="14"/>
                <w:color w:val="auto"/>
                <w:w w:val="94"/>
              </w:rPr>
              <w:t>5% - 6%</w:t>
            </w:r>
          </w:p>
        </w:tc>
        <w:tc>
          <w:tcPr>
            <w:tcW w:w="260" w:type="dxa"/>
            <w:vAlign w:val="bottom"/>
          </w:tcPr>
          <w:p>
            <w:pPr>
              <w:spacing w:after="0"/>
              <w:rPr>
                <w:sz w:val="13"/>
                <w:szCs w:val="13"/>
                <w:color w:val="auto"/>
              </w:rPr>
            </w:pPr>
          </w:p>
        </w:tc>
        <w:tc>
          <w:tcPr>
            <w:tcW w:w="420" w:type="dxa"/>
            <w:vAlign w:val="bottom"/>
          </w:tcPr>
          <w:p>
            <w:pPr>
              <w:jc w:val="right"/>
              <w:spacing w:after="0" w:line="157" w:lineRule="exact"/>
              <w:rPr>
                <w:sz w:val="20"/>
                <w:szCs w:val="20"/>
                <w:color w:val="auto"/>
              </w:rPr>
            </w:pPr>
            <w:r>
              <w:rPr>
                <w:rFonts w:ascii="Arial" w:cs="Arial" w:eastAsia="Arial" w:hAnsi="Arial"/>
                <w:sz w:val="14"/>
                <w:szCs w:val="14"/>
                <w:color w:val="auto"/>
              </w:rPr>
              <w:t>$190</w:t>
            </w:r>
          </w:p>
        </w:tc>
        <w:tc>
          <w:tcPr>
            <w:tcW w:w="480" w:type="dxa"/>
            <w:vAlign w:val="bottom"/>
          </w:tcPr>
          <w:p>
            <w:pPr>
              <w:ind w:left="20"/>
              <w:spacing w:after="0" w:line="157" w:lineRule="exact"/>
              <w:rPr>
                <w:sz w:val="20"/>
                <w:szCs w:val="20"/>
                <w:color w:val="auto"/>
              </w:rPr>
            </w:pPr>
            <w:r>
              <w:rPr>
                <w:rFonts w:ascii="Arial" w:cs="Arial" w:eastAsia="Arial" w:hAnsi="Arial"/>
                <w:sz w:val="14"/>
                <w:szCs w:val="14"/>
                <w:color w:val="auto"/>
              </w:rPr>
              <w:t>- $200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$194</w:t>
            </w:r>
          </w:p>
        </w:tc>
        <w:tc>
          <w:tcPr>
            <w:tcW w:w="10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2015/2016</w:t>
            </w:r>
          </w:p>
        </w:tc>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units (by AvalonBay), in addition to</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•T Station opened September 2014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98,000 square feet of office space and</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•Office delivering during 2015</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approximately 331,000 square feet of</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retail space (including a restaurant pad</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4"/>
              </w:rPr>
              <w:t>site). A new Orange Line T-Stop has been</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3"/>
              </w:rPr>
              <w:t>constructed by Massachusetts Bay Transit</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Authority, as part of Phase I.</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8" w:lineRule="exact"/>
              <w:rPr>
                <w:sz w:val="20"/>
                <w:szCs w:val="20"/>
                <w:color w:val="auto"/>
              </w:rPr>
            </w:pPr>
            <w:r>
              <w:rPr>
                <w:rFonts w:ascii="Arial" w:cs="Arial" w:eastAsia="Arial" w:hAnsi="Arial"/>
                <w:sz w:val="14"/>
                <w:szCs w:val="14"/>
                <w:b w:val="1"/>
                <w:bCs w:val="1"/>
                <w:color w:val="auto"/>
                <w:w w:val="96"/>
              </w:rPr>
              <w:t>Total Phases delivered or delivering in</w:t>
            </w:r>
          </w:p>
        </w:tc>
        <w:tc>
          <w:tcPr>
            <w:tcW w:w="7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w w:val="98"/>
              </w:rPr>
              <w:t>6 - 7%</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$445</w:t>
            </w:r>
          </w:p>
        </w:tc>
        <w:tc>
          <w:tcPr>
            <w:tcW w:w="4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 $465</w:t>
            </w:r>
          </w:p>
        </w:tc>
        <w:tc>
          <w:tcPr>
            <w:tcW w:w="8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b w:val="1"/>
                <w:bCs w:val="1"/>
                <w:color w:val="auto"/>
              </w:rPr>
              <w:t>$429</w:t>
            </w: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74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Phases commencing in 2015/2016</w:t>
            </w:r>
          </w:p>
        </w:tc>
        <w:tc>
          <w:tcPr>
            <w:tcW w:w="2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54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23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II</w:t>
            </w:r>
          </w:p>
        </w:tc>
        <w:tc>
          <w:tcPr>
            <w:tcW w:w="116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w w:val="92"/>
              </w:rPr>
              <w:t>Ground up mixed use development. Phase</w:t>
            </w: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7% - 8%</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$195</w:t>
            </w:r>
          </w:p>
        </w:tc>
        <w:tc>
          <w:tcPr>
            <w:tcW w:w="4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 $200</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$24</w:t>
            </w:r>
          </w:p>
        </w:tc>
        <w:tc>
          <w:tcPr>
            <w:tcW w:w="10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2018/2019</w:t>
            </w:r>
          </w:p>
        </w:tc>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Projected opening - 2017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II consists of 185,000 square feet of retail,</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264 residential units, and a 177 room</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hotel.</w:t>
            </w: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6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104 for-sale condominium units</w:t>
            </w:r>
          </w:p>
        </w:tc>
        <w:tc>
          <w:tcPr>
            <w:tcW w:w="760" w:type="dxa"/>
            <w:vAlign w:val="bottom"/>
          </w:tcPr>
          <w:p>
            <w:pPr>
              <w:jc w:val="center"/>
              <w:spacing w:after="0" w:line="157" w:lineRule="exact"/>
              <w:rPr>
                <w:sz w:val="20"/>
                <w:szCs w:val="20"/>
                <w:color w:val="auto"/>
              </w:rPr>
            </w:pPr>
            <w:r>
              <w:rPr>
                <w:rFonts w:ascii="Arial" w:cs="Arial" w:eastAsia="Arial" w:hAnsi="Arial"/>
                <w:sz w:val="14"/>
                <w:szCs w:val="14"/>
                <w:color w:val="auto"/>
                <w:w w:val="84"/>
              </w:rPr>
              <w:t>-</w:t>
            </w:r>
          </w:p>
        </w:tc>
        <w:tc>
          <w:tcPr>
            <w:tcW w:w="2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w:t>
            </w:r>
          </w:p>
        </w:tc>
        <w:tc>
          <w:tcPr>
            <w:tcW w:w="420" w:type="dxa"/>
            <w:vAlign w:val="bottom"/>
          </w:tcPr>
          <w:p>
            <w:pPr>
              <w:jc w:val="right"/>
              <w:spacing w:after="0" w:line="157" w:lineRule="exact"/>
              <w:rPr>
                <w:sz w:val="20"/>
                <w:szCs w:val="20"/>
                <w:color w:val="auto"/>
              </w:rPr>
            </w:pPr>
            <w:r>
              <w:rPr>
                <w:rFonts w:ascii="Arial" w:cs="Arial" w:eastAsia="Arial" w:hAnsi="Arial"/>
                <w:sz w:val="14"/>
                <w:szCs w:val="14"/>
                <w:color w:val="auto"/>
              </w:rPr>
              <w:t>$50</w:t>
            </w:r>
          </w:p>
        </w:tc>
        <w:tc>
          <w:tcPr>
            <w:tcW w:w="480" w:type="dxa"/>
            <w:vAlign w:val="bottom"/>
          </w:tcPr>
          <w:p>
            <w:pPr>
              <w:ind w:left="20"/>
              <w:spacing w:after="0" w:line="157" w:lineRule="exact"/>
              <w:rPr>
                <w:sz w:val="20"/>
                <w:szCs w:val="20"/>
                <w:color w:val="auto"/>
              </w:rPr>
            </w:pPr>
            <w:r>
              <w:rPr>
                <w:rFonts w:ascii="Arial" w:cs="Arial" w:eastAsia="Arial" w:hAnsi="Arial"/>
                <w:sz w:val="14"/>
                <w:szCs w:val="14"/>
                <w:color w:val="auto"/>
              </w:rPr>
              <w:t>- $53</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w:t>
            </w:r>
          </w:p>
        </w:tc>
        <w:tc>
          <w:tcPr>
            <w:tcW w:w="10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MD</w:t>
            </w: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Assembly Row - Phase II</w:t>
            </w: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Somerville, MA</w:t>
            </w: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Second phase of development consists of</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$285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2018/2019</w:t>
            </w:r>
          </w:p>
        </w:tc>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Projected opening - 2017/2018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167,000 square feet of retail, 447</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residential units, and a 155 room boutique</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hotel. Additionally, there will be</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approximately 700,000 square feet of</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office space constructed by Partners</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HealthCare.</w:t>
            </w: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Somerville, MA</w:t>
            </w:r>
          </w:p>
        </w:tc>
        <w:tc>
          <w:tcPr>
            <w:tcW w:w="2620" w:type="dxa"/>
            <w:vAlign w:val="bottom"/>
          </w:tcPr>
          <w:p>
            <w:pPr>
              <w:ind w:left="140"/>
              <w:spacing w:after="0"/>
              <w:rPr>
                <w:sz w:val="20"/>
                <w:szCs w:val="20"/>
                <w:color w:val="auto"/>
              </w:rPr>
            </w:pPr>
            <w:r>
              <w:rPr>
                <w:rFonts w:ascii="Arial" w:cs="Arial" w:eastAsia="Arial" w:hAnsi="Arial"/>
                <w:sz w:val="14"/>
                <w:szCs w:val="14"/>
                <w:color w:val="auto"/>
              </w:rPr>
              <w:t>117 for-sale condominium units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420" w:type="dxa"/>
            <w:vAlign w:val="bottom"/>
          </w:tcPr>
          <w:p>
            <w:pPr>
              <w:jc w:val="right"/>
              <w:spacing w:after="0"/>
              <w:rPr>
                <w:sz w:val="20"/>
                <w:szCs w:val="20"/>
                <w:color w:val="auto"/>
              </w:rPr>
            </w:pPr>
            <w:r>
              <w:rPr>
                <w:rFonts w:ascii="Arial" w:cs="Arial" w:eastAsia="Arial" w:hAnsi="Arial"/>
                <w:sz w:val="14"/>
                <w:szCs w:val="14"/>
                <w:color w:val="auto"/>
              </w:rPr>
              <w:t>$62</w:t>
            </w:r>
          </w:p>
        </w:tc>
        <w:tc>
          <w:tcPr>
            <w:tcW w:w="480" w:type="dxa"/>
            <w:vAlign w:val="bottom"/>
          </w:tcPr>
          <w:p>
            <w:pPr>
              <w:ind w:left="20"/>
              <w:spacing w:after="0"/>
              <w:rPr>
                <w:sz w:val="20"/>
                <w:szCs w:val="20"/>
                <w:color w:val="auto"/>
              </w:rPr>
            </w:pPr>
            <w:r>
              <w:rPr>
                <w:rFonts w:ascii="Arial" w:cs="Arial" w:eastAsia="Arial" w:hAnsi="Arial"/>
                <w:sz w:val="14"/>
                <w:szCs w:val="14"/>
                <w:color w:val="auto"/>
              </w:rPr>
              <w:t>- $67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262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w w:val="93"/>
              </w:rPr>
              <w:t>Total Phases commencing in 2015/2016</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7 - 7.5%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$577</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$605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w:t>
            </w: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500" w:right="180" w:hanging="451"/>
        <w:spacing w:after="0" w:line="23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00" w:hanging="451"/>
        <w:spacing w:after="0" w:line="253"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500" w:hanging="4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to date include amounts to be reimbursed by third parties.</w:t>
      </w:r>
    </w:p>
    <w:p>
      <w:pPr>
        <w:spacing w:after="0" w:line="41" w:lineRule="exact"/>
        <w:rPr>
          <w:rFonts w:ascii="Arial" w:cs="Arial" w:eastAsia="Arial" w:hAnsi="Arial"/>
          <w:sz w:val="14"/>
          <w:szCs w:val="14"/>
          <w:color w:val="auto"/>
        </w:rPr>
      </w:pPr>
    </w:p>
    <w:p>
      <w:pPr>
        <w:ind w:left="500" w:hanging="4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Condos shown at cost; the projected ROI for Phase II does not assume any incremental profit on the sale of condominium units; condominiums are assumed to be sold at cost.</w:t>
      </w:r>
    </w:p>
    <w:p>
      <w:pPr>
        <w:spacing w:after="0" w:line="41" w:lineRule="exact"/>
        <w:rPr>
          <w:rFonts w:ascii="Arial" w:cs="Arial" w:eastAsia="Arial" w:hAnsi="Arial"/>
          <w:sz w:val="14"/>
          <w:szCs w:val="14"/>
          <w:color w:val="auto"/>
        </w:rPr>
      </w:pPr>
    </w:p>
    <w:p>
      <w:pPr>
        <w:ind w:left="500" w:hanging="4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are net of projected land sale proceeds and include our 50% share of the costs of our investment in the hotel.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2015</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6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Eastgate</w:t>
            </w:r>
          </w:p>
        </w:tc>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Chapel Hill, NC</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60" w:type="dxa"/>
            <w:vAlign w:val="bottom"/>
          </w:tcPr>
          <w:p>
            <w:pPr>
              <w:ind w:left="480"/>
              <w:spacing w:after="0"/>
              <w:rPr>
                <w:sz w:val="20"/>
                <w:szCs w:val="20"/>
                <w:color w:val="auto"/>
              </w:rPr>
            </w:pPr>
            <w:r>
              <w:rPr>
                <w:rFonts w:ascii="Arial" w:cs="Arial" w:eastAsia="Arial" w:hAnsi="Arial"/>
                <w:sz w:val="16"/>
                <w:szCs w:val="16"/>
                <w:color w:val="auto"/>
              </w:rPr>
              <w:t>Escondido, CA</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Pan Am</w:t>
            </w:r>
          </w:p>
        </w:tc>
        <w:tc>
          <w:tcPr>
            <w:tcW w:w="438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Federal Plaza</w:t>
            </w:r>
          </w:p>
        </w:tc>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Flourtown</w:t>
            </w:r>
          </w:p>
        </w:tc>
        <w:tc>
          <w:tcPr>
            <w:tcW w:w="2160" w:type="dxa"/>
            <w:vAlign w:val="bottom"/>
          </w:tcPr>
          <w:p>
            <w:pPr>
              <w:ind w:left="480"/>
              <w:spacing w:after="0"/>
              <w:rPr>
                <w:sz w:val="20"/>
                <w:szCs w:val="20"/>
                <w:color w:val="auto"/>
              </w:rPr>
            </w:pPr>
            <w:r>
              <w:rPr>
                <w:rFonts w:ascii="Arial" w:cs="Arial" w:eastAsia="Arial" w:hAnsi="Arial"/>
                <w:sz w:val="16"/>
                <w:szCs w:val="16"/>
                <w:color w:val="auto"/>
              </w:rPr>
              <w:t>Flourtown, PA</w:t>
            </w:r>
          </w:p>
        </w:tc>
        <w:tc>
          <w:tcPr>
            <w:tcW w:w="246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70"/>
        </w:trPr>
        <w:tc>
          <w:tcPr>
            <w:tcW w:w="24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Somerville, MA</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Mercer Mall</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Lawrenceville, NJ</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480" w:type="dxa"/>
            <w:vAlign w:val="bottom"/>
          </w:tcPr>
          <w:p>
            <w:pPr>
              <w:ind w:left="700"/>
              <w:spacing w:after="0"/>
              <w:rPr>
                <w:sz w:val="20"/>
                <w:szCs w:val="20"/>
                <w:color w:val="auto"/>
              </w:rPr>
            </w:pPr>
            <w:r>
              <w:rPr>
                <w:rFonts w:ascii="Arial" w:cs="Arial" w:eastAsia="Arial" w:hAnsi="Arial"/>
                <w:sz w:val="16"/>
                <w:szCs w:val="16"/>
                <w:color w:val="auto"/>
              </w:rPr>
              <w:t>Charlottesville, VA</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Melville Mall</w:t>
            </w:r>
          </w:p>
        </w:tc>
        <w:tc>
          <w:tcPr>
            <w:tcW w:w="4080" w:type="dxa"/>
            <w:vAlign w:val="bottom"/>
          </w:tcPr>
          <w:p>
            <w:pPr>
              <w:ind w:left="480"/>
              <w:spacing w:after="0"/>
              <w:rPr>
                <w:sz w:val="20"/>
                <w:szCs w:val="20"/>
                <w:color w:val="auto"/>
              </w:rPr>
            </w:pPr>
            <w:r>
              <w:rPr>
                <w:rFonts w:ascii="Arial" w:cs="Arial" w:eastAsia="Arial" w:hAnsi="Arial"/>
                <w:sz w:val="16"/>
                <w:szCs w:val="16"/>
                <w:color w:val="auto"/>
              </w:rPr>
              <w:t>Huntington, NY</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Bethesda, MD</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480" w:type="dxa"/>
            <w:vAlign w:val="bottom"/>
          </w:tcPr>
          <w:p>
            <w:pPr>
              <w:ind w:left="700"/>
              <w:spacing w:after="0"/>
              <w:rPr>
                <w:sz w:val="20"/>
                <w:szCs w:val="20"/>
                <w:color w:val="auto"/>
              </w:rPr>
            </w:pPr>
            <w:r>
              <w:rPr>
                <w:rFonts w:ascii="Arial" w:cs="Arial" w:eastAsia="Arial" w:hAnsi="Arial"/>
                <w:sz w:val="16"/>
                <w:szCs w:val="16"/>
                <w:color w:val="auto"/>
              </w:rPr>
              <w:t>Highland Park, IL</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4080" w:type="dxa"/>
            <w:vAlign w:val="bottom"/>
          </w:tcPr>
          <w:p>
            <w:pPr>
              <w:ind w:left="480"/>
              <w:spacing w:after="0"/>
              <w:rPr>
                <w:sz w:val="20"/>
                <w:szCs w:val="20"/>
                <w:color w:val="auto"/>
              </w:rPr>
            </w:pPr>
            <w:r>
              <w:rPr>
                <w:rFonts w:ascii="Arial" w:cs="Arial" w:eastAsia="Arial" w:hAnsi="Arial"/>
                <w:sz w:val="16"/>
                <w:szCs w:val="16"/>
                <w:color w:val="auto"/>
              </w:rPr>
              <w:t>Philadelphia, PA</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Darien, CT</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Santa Monica, CA</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Del Mar Village</w:t>
            </w:r>
          </w:p>
        </w:tc>
        <w:tc>
          <w:tcPr>
            <w:tcW w:w="2480" w:type="dxa"/>
            <w:vAlign w:val="bottom"/>
          </w:tcPr>
          <w:p>
            <w:pPr>
              <w:ind w:left="700"/>
              <w:spacing w:after="0"/>
              <w:rPr>
                <w:sz w:val="20"/>
                <w:szCs w:val="20"/>
                <w:color w:val="auto"/>
              </w:rPr>
            </w:pPr>
            <w:r>
              <w:rPr>
                <w:rFonts w:ascii="Arial" w:cs="Arial" w:eastAsia="Arial" w:hAnsi="Arial"/>
                <w:sz w:val="16"/>
                <w:szCs w:val="16"/>
                <w:color w:val="auto"/>
              </w:rPr>
              <w:t>Boca Raton, FL</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080" w:type="dxa"/>
            <w:vAlign w:val="bottom"/>
          </w:tcPr>
          <w:p>
            <w:pPr>
              <w:ind w:left="480"/>
              <w:spacing w:after="0"/>
              <w:rPr>
                <w:sz w:val="20"/>
                <w:szCs w:val="20"/>
                <w:color w:val="auto"/>
              </w:rPr>
            </w:pPr>
            <w:r>
              <w:rPr>
                <w:rFonts w:ascii="Arial" w:cs="Arial" w:eastAsia="Arial" w:hAnsi="Arial"/>
                <w:sz w:val="16"/>
                <w:szCs w:val="16"/>
                <w:color w:val="auto"/>
              </w:rPr>
              <w:t>Bethesda, MD</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22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Fresh Meadows</w:t>
            </w:r>
          </w:p>
        </w:tc>
        <w:tc>
          <w:tcPr>
            <w:tcW w:w="24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Queens, NY</w:t>
            </w:r>
          </w:p>
        </w:tc>
        <w:tc>
          <w:tcPr>
            <w:tcW w:w="266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r>
      <w:tr>
        <w:trPr>
          <w:trHeight w:val="33"/>
        </w:trPr>
        <w:tc>
          <w:tcPr>
            <w:tcW w:w="22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Barracks Road</w:t>
            </w:r>
          </w:p>
        </w:tc>
        <w:tc>
          <w:tcPr>
            <w:tcW w:w="1860" w:type="dxa"/>
            <w:vAlign w:val="bottom"/>
          </w:tcPr>
          <w:p>
            <w:pPr>
              <w:ind w:left="80"/>
              <w:spacing w:after="0"/>
              <w:rPr>
                <w:sz w:val="20"/>
                <w:szCs w:val="20"/>
                <w:color w:val="auto"/>
              </w:rPr>
            </w:pPr>
            <w:r>
              <w:rPr>
                <w:rFonts w:ascii="Arial" w:cs="Arial" w:eastAsia="Arial" w:hAnsi="Arial"/>
                <w:sz w:val="16"/>
                <w:szCs w:val="16"/>
                <w:color w:val="auto"/>
              </w:rPr>
              <w:t>Charlottesville, VA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Graham Park Plaza</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Falls Church, VA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Towson, MD</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Leesburg Plaza</w:t>
            </w:r>
          </w:p>
        </w:tc>
        <w:tc>
          <w:tcPr>
            <w:tcW w:w="1860" w:type="dxa"/>
            <w:vAlign w:val="bottom"/>
          </w:tcPr>
          <w:p>
            <w:pPr>
              <w:ind w:left="80"/>
              <w:spacing w:after="0"/>
              <w:rPr>
                <w:sz w:val="20"/>
                <w:szCs w:val="20"/>
                <w:color w:val="auto"/>
              </w:rPr>
            </w:pPr>
            <w:r>
              <w:rPr>
                <w:rFonts w:ascii="Arial" w:cs="Arial" w:eastAsia="Arial" w:hAnsi="Arial"/>
                <w:sz w:val="16"/>
                <w:szCs w:val="16"/>
                <w:color w:val="auto"/>
              </w:rPr>
              <w:t>Leesburg, VA</w:t>
            </w:r>
          </w:p>
        </w:tc>
        <w:tc>
          <w:tcPr>
            <w:tcW w:w="304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Somerville, MA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(2)</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 Bethesda, MD</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86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 Plaza</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Vienna, VA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8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r>
      <w:tr>
        <w:trPr>
          <w:trHeight w:val="157"/>
        </w:trPr>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(1)</w:t>
            </w:r>
          </w:p>
        </w:tc>
        <w:tc>
          <w:tcPr>
            <w:tcW w:w="25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Assembly Row</w:t>
            </w:r>
          </w:p>
        </w:tc>
        <w:tc>
          <w:tcPr>
            <w:tcW w:w="860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4"/>
              </w:rPr>
              <w:t>Remaining entitlements after Phase I include approximately 3.0 million square feet of commercial-use buildings, 1,393 residential units, and a 170</w:t>
            </w:r>
          </w:p>
        </w:tc>
      </w:tr>
      <w:tr>
        <w:trPr>
          <w:trHeight w:val="188"/>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Arial" w:cs="Arial" w:eastAsia="Arial" w:hAnsi="Arial"/>
                <w:sz w:val="14"/>
                <w:szCs w:val="14"/>
                <w:color w:val="auto"/>
              </w:rPr>
              <w:t>room hotel.</w:t>
            </w:r>
          </w:p>
        </w:tc>
        <w:tc>
          <w:tcPr>
            <w:tcW w:w="304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744 residential units.</w:t>
            </w:r>
          </w:p>
        </w:tc>
      </w:tr>
      <w:tr>
        <w:trPr>
          <w:trHeight w:val="157"/>
        </w:trPr>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25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Santana Row</w:t>
            </w:r>
          </w:p>
        </w:tc>
        <w:tc>
          <w:tcPr>
            <w:tcW w:w="860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5"/>
              </w:rPr>
              <w:t>Current remaining entitlements for this property include 348 residential units and 69,000 square feet of commercial space for retail and office; we</w:t>
            </w: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900" w:type="dxa"/>
            <w:vAlign w:val="bottom"/>
            <w:gridSpan w:val="2"/>
          </w:tcPr>
          <w:p>
            <w:pPr>
              <w:ind w:left="80"/>
              <w:spacing w:after="0"/>
              <w:rPr>
                <w:sz w:val="20"/>
                <w:szCs w:val="20"/>
                <w:color w:val="auto"/>
              </w:rPr>
            </w:pPr>
            <w:r>
              <w:rPr>
                <w:rFonts w:ascii="Arial" w:cs="Arial" w:eastAsia="Arial" w:hAnsi="Arial"/>
                <w:sz w:val="14"/>
                <w:szCs w:val="14"/>
                <w:color w:val="auto"/>
              </w:rPr>
              <w:t>are currently seeking additional entitlements.</w:t>
            </w:r>
          </w:p>
        </w:tc>
        <w:tc>
          <w:tcPr>
            <w:tcW w:w="3700" w:type="dxa"/>
            <w:vAlign w:val="bottom"/>
          </w:tcPr>
          <w:p>
            <w:pPr>
              <w:spacing w:after="0"/>
              <w:rPr>
                <w:sz w:val="15"/>
                <w:szCs w:val="15"/>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7"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2015 Significant Acquisitions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2015 Significant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w:t>
            </w:r>
          </w:p>
        </w:tc>
        <w:tc>
          <w:tcPr>
            <w:tcW w:w="20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City/State</w:t>
            </w:r>
          </w:p>
        </w:tc>
        <w:tc>
          <w:tcPr>
            <w:tcW w:w="14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2"/>
              </w:rPr>
              <w:t>Purchase Price</w:t>
            </w: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60" w:type="dxa"/>
            <w:vAlign w:val="bottom"/>
          </w:tcPr>
          <w:p>
            <w:pPr>
              <w:jc w:val="center"/>
              <w:ind w:left="63"/>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80"/>
        </w:trPr>
        <w:tc>
          <w:tcPr>
            <w:tcW w:w="1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San Antonio Center</w:t>
            </w:r>
          </w:p>
        </w:tc>
        <w:tc>
          <w:tcPr>
            <w:tcW w:w="2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Mountain View, CA</w:t>
            </w:r>
          </w:p>
        </w:tc>
        <w:tc>
          <w:tcPr>
            <w:tcW w:w="1460" w:type="dxa"/>
            <w:vAlign w:val="bottom"/>
            <w:shd w:val="clear" w:color="auto" w:fill="CCEEFF"/>
          </w:tcPr>
          <w:p>
            <w:pPr>
              <w:jc w:val="center"/>
              <w:ind w:left="63"/>
              <w:spacing w:after="0"/>
              <w:rPr>
                <w:sz w:val="20"/>
                <w:szCs w:val="20"/>
                <w:color w:val="auto"/>
              </w:rPr>
            </w:pPr>
            <w:r>
              <w:rPr>
                <w:rFonts w:ascii="Arial" w:cs="Arial" w:eastAsia="Arial" w:hAnsi="Arial"/>
                <w:sz w:val="16"/>
                <w:szCs w:val="16"/>
                <w:color w:val="auto"/>
                <w:w w:val="89"/>
              </w:rPr>
              <w:t>376,000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Walmart / Kohl's / Trader Joe's / 24</w:t>
            </w:r>
          </w:p>
        </w:tc>
      </w:tr>
      <w:tr>
        <w:trPr>
          <w:trHeight w:val="219"/>
        </w:trPr>
        <w:tc>
          <w:tcPr>
            <w:tcW w:w="18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Hour Fitness</w:t>
            </w:r>
          </w:p>
        </w:tc>
      </w:tr>
      <w:tr>
        <w:trPr>
          <w:trHeight w:val="224"/>
        </w:trPr>
        <w:tc>
          <w:tcPr>
            <w:tcW w:w="1840" w:type="dxa"/>
            <w:vAlign w:val="bottom"/>
          </w:tcPr>
          <w:p>
            <w:pPr>
              <w:ind w:left="40"/>
              <w:spacing w:after="0"/>
              <w:rPr>
                <w:sz w:val="20"/>
                <w:szCs w:val="20"/>
                <w:color w:val="auto"/>
              </w:rPr>
            </w:pPr>
            <w:r>
              <w:rPr>
                <w:rFonts w:ascii="Arial" w:cs="Arial" w:eastAsia="Arial" w:hAnsi="Arial"/>
                <w:sz w:val="16"/>
                <w:szCs w:val="16"/>
                <w:color w:val="auto"/>
              </w:rPr>
              <w:t>May 4, 2015</w:t>
            </w:r>
          </w:p>
        </w:tc>
        <w:tc>
          <w:tcPr>
            <w:tcW w:w="1700" w:type="dxa"/>
            <w:vAlign w:val="bottom"/>
          </w:tcPr>
          <w:p>
            <w:pPr>
              <w:ind w:left="40"/>
              <w:spacing w:after="0"/>
              <w:rPr>
                <w:sz w:val="20"/>
                <w:szCs w:val="20"/>
                <w:color w:val="auto"/>
              </w:rPr>
            </w:pPr>
            <w:r>
              <w:rPr>
                <w:rFonts w:ascii="Arial" w:cs="Arial" w:eastAsia="Arial" w:hAnsi="Arial"/>
                <w:sz w:val="16"/>
                <w:szCs w:val="16"/>
                <w:color w:val="auto"/>
              </w:rPr>
              <w:t>CocoWalk</w:t>
            </w:r>
          </w:p>
        </w:tc>
        <w:tc>
          <w:tcPr>
            <w:tcW w:w="2040" w:type="dxa"/>
            <w:vAlign w:val="bottom"/>
          </w:tcPr>
          <w:p>
            <w:pPr>
              <w:ind w:left="400"/>
              <w:spacing w:after="0"/>
              <w:rPr>
                <w:sz w:val="20"/>
                <w:szCs w:val="20"/>
                <w:color w:val="auto"/>
              </w:rPr>
            </w:pPr>
            <w:r>
              <w:rPr>
                <w:rFonts w:ascii="Arial" w:cs="Arial" w:eastAsia="Arial" w:hAnsi="Arial"/>
                <w:sz w:val="16"/>
                <w:szCs w:val="16"/>
                <w:color w:val="auto"/>
              </w:rPr>
              <w:t>Miami, Florida</w:t>
            </w:r>
          </w:p>
        </w:tc>
        <w:tc>
          <w:tcPr>
            <w:tcW w:w="1460" w:type="dxa"/>
            <w:vAlign w:val="bottom"/>
          </w:tcPr>
          <w:p>
            <w:pPr>
              <w:jc w:val="center"/>
              <w:ind w:left="63"/>
              <w:spacing w:after="0"/>
              <w:rPr>
                <w:sz w:val="20"/>
                <w:szCs w:val="20"/>
                <w:color w:val="auto"/>
              </w:rPr>
            </w:pPr>
            <w:r>
              <w:rPr>
                <w:rFonts w:ascii="Arial" w:cs="Arial" w:eastAsia="Arial" w:hAnsi="Arial"/>
                <w:sz w:val="16"/>
                <w:szCs w:val="16"/>
                <w:color w:val="auto"/>
                <w:w w:val="89"/>
              </w:rPr>
              <w:t>198,000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87.5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600" w:type="dxa"/>
            <w:vAlign w:val="bottom"/>
          </w:tcPr>
          <w:p>
            <w:pPr>
              <w:ind w:left="120"/>
              <w:spacing w:after="0"/>
              <w:rPr>
                <w:sz w:val="20"/>
                <w:szCs w:val="20"/>
                <w:color w:val="auto"/>
              </w:rPr>
            </w:pPr>
            <w:r>
              <w:rPr>
                <w:rFonts w:ascii="Arial" w:cs="Arial" w:eastAsia="Arial" w:hAnsi="Arial"/>
                <w:sz w:val="16"/>
                <w:szCs w:val="16"/>
                <w:color w:val="auto"/>
                <w:w w:val="95"/>
              </w:rPr>
              <w:t>Cinepolis Theatres 13 / Gap / YouFit</w:t>
            </w:r>
          </w:p>
        </w:tc>
      </w:tr>
      <w:tr>
        <w:trPr>
          <w:trHeight w:val="47"/>
        </w:trPr>
        <w:tc>
          <w:tcPr>
            <w:tcW w:w="1840" w:type="dxa"/>
            <w:vAlign w:val="bottom"/>
            <w:tcBorders>
              <w:bottom w:val="single" w:sz="8" w:color="auto"/>
            </w:tcBorders>
          </w:tcPr>
          <w:p>
            <w:pPr>
              <w:spacing w:after="0"/>
              <w:rPr>
                <w:sz w:val="4"/>
                <w:szCs w:val="4"/>
                <w:color w:val="auto"/>
              </w:rPr>
            </w:pPr>
          </w:p>
        </w:tc>
        <w:tc>
          <w:tcPr>
            <w:tcW w:w="17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0" w:type="dxa"/>
            <w:vAlign w:val="bottom"/>
          </w:tcPr>
          <w:p>
            <w:pPr>
              <w:spacing w:after="0"/>
              <w:rPr>
                <w:sz w:val="4"/>
                <w:szCs w:val="4"/>
                <w:color w:val="auto"/>
              </w:rPr>
            </w:pPr>
          </w:p>
        </w:tc>
      </w:tr>
    </w:tbl>
    <w:p>
      <w:pPr>
        <w:spacing w:after="0" w:line="139" w:lineRule="exact"/>
        <w:rPr>
          <w:sz w:val="20"/>
          <w:szCs w:val="20"/>
          <w:color w:val="auto"/>
        </w:rPr>
      </w:pPr>
    </w:p>
    <w:p>
      <w:pPr>
        <w:ind w:left="40" w:right="22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interest approximates 80% and was funded by the assumption of our share of $19 million of mortgage debt, 58,000 downREIT operating partnership units, and approximately $27 million of cash ($18 million in one closing and $9 million in a second closing).</w:t>
      </w:r>
    </w:p>
    <w:p>
      <w:pPr>
        <w:spacing w:after="0" w:line="9" w:lineRule="exact"/>
        <w:rPr>
          <w:rFonts w:ascii="Arial" w:cs="Arial" w:eastAsia="Arial" w:hAnsi="Arial"/>
          <w:sz w:val="16"/>
          <w:szCs w:val="16"/>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own an 80% interest in this property.</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2015 Significant Disposition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1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Property</w:t>
            </w:r>
          </w:p>
        </w:tc>
        <w:tc>
          <w:tcPr>
            <w:tcW w:w="20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City/State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88"/>
              </w:rPr>
              <w:t>Sales Price</w:t>
            </w:r>
          </w:p>
        </w:tc>
      </w:tr>
      <w:tr>
        <w:trPr>
          <w:trHeight w:val="190"/>
        </w:trPr>
        <w:tc>
          <w:tcPr>
            <w:tcW w:w="1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400" w:type="dxa"/>
            <w:vAlign w:val="bottom"/>
          </w:tcPr>
          <w:p>
            <w:pPr>
              <w:spacing w:after="0"/>
              <w:rPr>
                <w:sz w:val="16"/>
                <w:szCs w:val="16"/>
                <w:color w:val="auto"/>
              </w:rPr>
            </w:pPr>
          </w:p>
        </w:tc>
        <w:tc>
          <w:tcPr>
            <w:tcW w:w="1160" w:type="dxa"/>
            <w:vAlign w:val="bottom"/>
          </w:tcPr>
          <w:p>
            <w:pPr>
              <w:jc w:val="center"/>
              <w:ind w:right="145"/>
              <w:spacing w:after="0"/>
              <w:rPr>
                <w:sz w:val="20"/>
                <w:szCs w:val="20"/>
                <w:color w:val="auto"/>
              </w:rPr>
            </w:pPr>
            <w:r>
              <w:rPr>
                <w:rFonts w:ascii="Arial" w:cs="Arial" w:eastAsia="Arial" w:hAnsi="Arial"/>
                <w:sz w:val="14"/>
                <w:szCs w:val="14"/>
                <w:b w:val="1"/>
                <w:bCs w:val="1"/>
                <w:color w:val="auto"/>
                <w:w w:val="94"/>
              </w:rPr>
              <w:t>(in millions)</w:t>
            </w:r>
          </w:p>
        </w:tc>
      </w:tr>
      <w:tr>
        <w:trPr>
          <w:trHeight w:val="80"/>
        </w:trPr>
        <w:tc>
          <w:tcPr>
            <w:tcW w:w="14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24"/>
        </w:trPr>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24, 2015</w:t>
            </w:r>
          </w:p>
        </w:tc>
        <w:tc>
          <w:tcPr>
            <w:tcW w:w="2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Houston Street</w:t>
            </w:r>
          </w:p>
        </w:tc>
        <w:tc>
          <w:tcPr>
            <w:tcW w:w="2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San Antonio, TX</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172,000</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46.1</w:t>
            </w:r>
          </w:p>
        </w:tc>
      </w:tr>
      <w:tr>
        <w:trPr>
          <w:trHeight w:val="47"/>
        </w:trPr>
        <w:tc>
          <w:tcPr>
            <w:tcW w:w="1420" w:type="dxa"/>
            <w:vAlign w:val="bottom"/>
            <w:shd w:val="clear" w:color="auto" w:fill="CCEEFF"/>
          </w:tcPr>
          <w:p>
            <w:pPr>
              <w:spacing w:after="0"/>
              <w:rPr>
                <w:sz w:val="4"/>
                <w:szCs w:val="4"/>
                <w:color w:val="auto"/>
              </w:rPr>
            </w:pPr>
          </w:p>
        </w:tc>
        <w:tc>
          <w:tcPr>
            <w:tcW w:w="2140" w:type="dxa"/>
            <w:vAlign w:val="bottom"/>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6"/>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80" w:type="dxa"/>
            <w:vAlign w:val="bottom"/>
          </w:tcPr>
          <w:p>
            <w:pPr>
              <w:spacing w:after="0"/>
              <w:rPr>
                <w:sz w:val="11"/>
                <w:szCs w:val="11"/>
                <w:color w:val="auto"/>
              </w:rPr>
            </w:pPr>
          </w:p>
        </w:tc>
        <w:tc>
          <w:tcPr>
            <w:tcW w:w="580" w:type="dxa"/>
            <w:vAlign w:val="bottom"/>
          </w:tcPr>
          <w:p>
            <w:pPr>
              <w:jc w:val="center"/>
              <w:ind w:right="38"/>
              <w:spacing w:after="0"/>
              <w:rPr>
                <w:sz w:val="20"/>
                <w:szCs w:val="20"/>
                <w:color w:val="auto"/>
              </w:rPr>
            </w:pPr>
            <w:r>
              <w:rPr>
                <w:rFonts w:ascii="Arial" w:cs="Arial" w:eastAsia="Arial" w:hAnsi="Arial"/>
                <w:sz w:val="11"/>
                <w:szCs w:val="11"/>
                <w:color w:val="auto"/>
                <w:w w:val="88"/>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164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$ 223,191</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w w:val="97"/>
              </w:rPr>
              <w:t>2006/2008/2010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81,335</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The Fresh</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4,770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Falls Plaza/Falls Plaza-East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12,987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65,824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ind w:left="60"/>
              <w:spacing w:after="0"/>
              <w:rPr>
                <w:sz w:val="20"/>
                <w:szCs w:val="20"/>
                <w:color w:val="auto"/>
              </w:rPr>
            </w:pPr>
            <w:r>
              <w:rPr>
                <w:rFonts w:ascii="Arial" w:cs="Arial" w:eastAsia="Arial" w:hAnsi="Arial"/>
                <w:sz w:val="13"/>
                <w:szCs w:val="13"/>
                <w:color w:val="auto"/>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37,498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25,802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Bed, Bath &amp; Beyond / Ross Dress For Less / Ashley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Furniture HomeStore</w:t>
            </w: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33,879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16,728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30,000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53,403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35,683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2011/2013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153,298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75,488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82,489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Shoppers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35"/>
        </w:trPr>
        <w:tc>
          <w:tcPr>
            <w:tcW w:w="156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4"/>
              </w:rPr>
              <w:t>Valley/7770 Richmond Hwy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Food</w:t>
            </w:r>
          </w:p>
        </w:tc>
        <w:tc>
          <w:tcPr>
            <w:tcW w:w="3200" w:type="dxa"/>
            <w:vAlign w:val="bottom"/>
          </w:tcPr>
          <w:p>
            <w:pPr>
              <w:ind w:left="60"/>
              <w:spacing w:after="0" w:line="135" w:lineRule="exact"/>
              <w:rPr>
                <w:sz w:val="20"/>
                <w:szCs w:val="20"/>
                <w:color w:val="auto"/>
              </w:rPr>
            </w:pPr>
            <w:r>
              <w:rPr>
                <w:rFonts w:ascii="Arial" w:cs="Arial" w:eastAsia="Arial" w:hAnsi="Arial"/>
                <w:sz w:val="13"/>
                <w:szCs w:val="13"/>
                <w:color w:val="auto"/>
              </w:rPr>
              <w:t>Gold's Gym / Staples / DSW</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4"/>
                <w:szCs w:val="14"/>
                <w:color w:val="auto"/>
              </w:rPr>
            </w:pP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6,383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28,802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65,000</w:t>
            </w:r>
          </w:p>
        </w:tc>
        <w:tc>
          <w:tcPr>
            <w:tcW w:w="820" w:type="dxa"/>
            <w:vAlign w:val="bottom"/>
          </w:tcPr>
          <w:p>
            <w:pPr>
              <w:ind w:left="100"/>
              <w:spacing w:after="0"/>
              <w:rPr>
                <w:sz w:val="20"/>
                <w:szCs w:val="20"/>
                <w:color w:val="auto"/>
              </w:rPr>
            </w:pPr>
            <w:r>
              <w:rPr>
                <w:rFonts w:ascii="Arial" w:cs="Arial" w:eastAsia="Arial" w:hAnsi="Arial"/>
                <w:sz w:val="13"/>
                <w:szCs w:val="13"/>
                <w:color w:val="auto"/>
              </w:rPr>
              <w:t>Safeway</w:t>
            </w:r>
          </w:p>
        </w:tc>
        <w:tc>
          <w:tcPr>
            <w:tcW w:w="3200" w:type="dxa"/>
            <w:vAlign w:val="bottom"/>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98,495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Pike &amp; Rose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w w:val="97"/>
              </w:rPr>
              <w:t>1982/2007/2012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305,857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145,000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iPic Theaters / Gap / Gap Kids / Sport &amp; Health</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36,252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33,515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49,944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4,504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9,905</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22,024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Tower Shopping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21,340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58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10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 / Total Wine &amp; More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4,530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60,014</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6,503</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18,618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22,243</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1,513,044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5,435,000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2"/>
              </w:rPr>
              <w:t>Philadelphia Metropolitan Area</w:t>
            </w: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25,685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40,214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Ellisburg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34,371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ind w:left="60"/>
              <w:spacing w:after="0"/>
              <w:rPr>
                <w:sz w:val="20"/>
                <w:szCs w:val="20"/>
                <w:color w:val="auto"/>
              </w:rPr>
            </w:pPr>
            <w:r>
              <w:rPr>
                <w:rFonts w:ascii="Arial" w:cs="Arial" w:eastAsia="Arial" w:hAnsi="Arial"/>
                <w:sz w:val="13"/>
                <w:szCs w:val="13"/>
                <w:color w:val="auto"/>
              </w:rPr>
              <w:t>47,000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14,748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21,723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31,860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25,305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24,704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4"/>
              </w:rPr>
              <w:t>Town Center of New Britain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14,731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29,964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41,310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25,789</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279,310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2,445,000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4"/>
              </w:rPr>
              <w:t>Los Angeles-Long Beach,</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17,992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CA</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082"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082"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8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73"/>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Crow Canyon Commons</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Ramon,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86,796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31,000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 / Sports Authority</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168,984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59,000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 Promenade</w:t>
            </w:r>
          </w:p>
        </w:tc>
        <w:tc>
          <w:tcPr>
            <w:tcW w:w="50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87"/>
              </w:rPr>
              <w:t>(3)</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47,066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Hermosa Avenue</w:t>
            </w:r>
          </w:p>
        </w:tc>
        <w:tc>
          <w:tcPr>
            <w:tcW w:w="50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5,885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96"/>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5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87"/>
              </w:rPr>
              <w:t>(3)</w:t>
            </w: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46,991</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 / L.A. Fitness / Marshalls / La La Land</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500" w:type="dxa"/>
            <w:vAlign w:val="bottom"/>
          </w:tcPr>
          <w:p>
            <w:pPr>
              <w:jc w:val="center"/>
              <w:ind w:left="17"/>
              <w:spacing w:after="0" w:line="148" w:lineRule="exact"/>
              <w:rPr>
                <w:sz w:val="20"/>
                <w:szCs w:val="20"/>
                <w:color w:val="auto"/>
              </w:rPr>
            </w:pPr>
            <w:r>
              <w:rPr>
                <w:rFonts w:ascii="Arial" w:cs="Arial" w:eastAsia="Arial" w:hAnsi="Arial"/>
                <w:sz w:val="13"/>
                <w:szCs w:val="13"/>
                <w:color w:val="auto"/>
                <w:w w:val="87"/>
              </w:rPr>
              <w:t>(5)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11,608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37,805</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w w:val="90"/>
              </w:rPr>
              <w:t>(3) (7)</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258,357</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702,618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Hotel Valencia / H&amp;M</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 Antonio Center</w:t>
            </w:r>
          </w:p>
        </w:tc>
        <w:tc>
          <w:tcPr>
            <w:tcW w:w="50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 (5)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3"/>
              </w:rPr>
              <w:t>San Francisco-Oakland-San</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71,188</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18,542</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80"/>
              <w:spacing w:after="0" w:line="148" w:lineRule="exact"/>
              <w:rPr>
                <w:sz w:val="20"/>
                <w:szCs w:val="20"/>
                <w:color w:val="auto"/>
              </w:rPr>
            </w:pPr>
            <w:r>
              <w:rPr>
                <w:rFonts w:ascii="Arial" w:cs="Arial" w:eastAsia="Arial" w:hAnsi="Arial"/>
                <w:sz w:val="13"/>
                <w:szCs w:val="13"/>
                <w:color w:val="auto"/>
              </w:rPr>
              <w:t>11,000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Kohl's / Wal-mart / 24 Hour Fitness / Jo-Ann Stores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Jose,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Third Street Promenade</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1996-2000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78,393</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143,467</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w w:val="97"/>
              </w:rPr>
              <w:t>Michaels / Nordstrom Rack / Nike Factory / J. Crew / Gap</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tcPr>
          <w:p>
            <w:pPr>
              <w:ind w:left="40"/>
              <w:spacing w:after="0"/>
              <w:rPr>
                <w:sz w:val="20"/>
                <w:szCs w:val="20"/>
                <w:color w:val="auto"/>
              </w:rPr>
            </w:pPr>
            <w:r>
              <w:rPr>
                <w:rFonts w:ascii="Arial" w:cs="Arial" w:eastAsia="Arial" w:hAnsi="Arial"/>
                <w:sz w:val="13"/>
                <w:szCs w:val="13"/>
                <w:color w:val="auto"/>
              </w:rPr>
              <w:t>Factory Store</w:t>
            </w:r>
          </w:p>
        </w:tc>
      </w:tr>
      <w:tr>
        <w:trPr>
          <w:trHeight w:val="181"/>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Francisco, CA</w:t>
            </w:r>
          </w:p>
        </w:tc>
        <w:tc>
          <w:tcPr>
            <w:tcW w:w="6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36,507</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H&amp;M</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1,713,657</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3,792,000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98"/>
              </w:rPr>
              <w:t>NY Metro / New Jersey</w:t>
            </w:r>
          </w:p>
        </w:tc>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CCEEFF"/>
            </w:tcBorders>
            <w:shd w:val="clear" w:color="auto" w:fill="CCEEFF"/>
          </w:tcPr>
          <w:p>
            <w:pPr>
              <w:spacing w:after="0"/>
              <w:rPr>
                <w:sz w:val="8"/>
                <w:szCs w:val="8"/>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Brick Plaza</w:t>
            </w:r>
          </w:p>
        </w:tc>
        <w:tc>
          <w:tcPr>
            <w:tcW w:w="50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Monmouth-Ocean, NJ</w:t>
            </w:r>
          </w:p>
        </w:tc>
        <w:tc>
          <w:tcPr>
            <w:tcW w:w="6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60,648</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26,195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40" w:type="dxa"/>
            <w:vAlign w:val="bottom"/>
          </w:tcPr>
          <w:p>
            <w:pPr>
              <w:ind w:left="80"/>
              <w:spacing w:after="0"/>
              <w:rPr>
                <w:sz w:val="20"/>
                <w:szCs w:val="20"/>
                <w:color w:val="auto"/>
              </w:rPr>
            </w:pPr>
            <w:r>
              <w:rPr>
                <w:rFonts w:ascii="Arial" w:cs="Arial" w:eastAsia="Arial" w:hAnsi="Arial"/>
                <w:sz w:val="13"/>
                <w:szCs w:val="13"/>
                <w:color w:val="auto"/>
              </w:rPr>
              <w:t>A&amp;P</w:t>
            </w:r>
          </w:p>
        </w:tc>
        <w:tc>
          <w:tcPr>
            <w:tcW w:w="3280" w:type="dxa"/>
            <w:vAlign w:val="bottom"/>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46,006</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Ann Taylor / Banana Republic / Coach / Williams-Sonoma</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Darien</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48,132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80,115</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2"/>
              </w:rPr>
              <w:t>Island of Gold</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28,115</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13,458</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A.C. Moore</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Huntington</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43,766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Rack</w:t>
            </w:r>
          </w:p>
        </w:tc>
      </w:tr>
      <w:tr>
        <w:trPr>
          <w:trHeight w:val="181"/>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12,140</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Melville Mall</w:t>
            </w:r>
          </w:p>
        </w:tc>
        <w:tc>
          <w:tcPr>
            <w:tcW w:w="50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69,957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Pr>
          <w:p>
            <w:pPr>
              <w:jc w:val="right"/>
              <w:spacing w:after="0"/>
              <w:rPr>
                <w:sz w:val="20"/>
                <w:szCs w:val="20"/>
                <w:color w:val="auto"/>
              </w:rPr>
            </w:pPr>
            <w:r>
              <w:rPr>
                <w:rFonts w:ascii="Arial" w:cs="Arial" w:eastAsia="Arial" w:hAnsi="Arial"/>
                <w:sz w:val="13"/>
                <w:szCs w:val="13"/>
                <w:color w:val="auto"/>
              </w:rPr>
              <w:t>63%</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4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280" w:type="dxa"/>
            <w:vAlign w:val="bottom"/>
          </w:tcPr>
          <w:p>
            <w:pPr>
              <w:ind w:left="40"/>
              <w:spacing w:after="0"/>
              <w:rPr>
                <w:sz w:val="20"/>
                <w:szCs w:val="20"/>
                <w:color w:val="auto"/>
              </w:rPr>
            </w:pPr>
            <w:r>
              <w:rPr>
                <w:rFonts w:ascii="Arial" w:cs="Arial" w:eastAsia="Arial" w:hAnsi="Arial"/>
                <w:sz w:val="13"/>
                <w:szCs w:val="13"/>
                <w:color w:val="auto"/>
              </w:rPr>
              <w:t>Dick’s Sporting Goods / Marshalls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Mercer Mall</w:t>
            </w:r>
          </w:p>
        </w:tc>
        <w:tc>
          <w:tcPr>
            <w:tcW w:w="500" w:type="dxa"/>
            <w:vAlign w:val="bottom"/>
            <w:shd w:val="clear" w:color="auto" w:fill="CCEEFF"/>
          </w:tcPr>
          <w:p>
            <w:pPr>
              <w:jc w:val="center"/>
              <w:ind w:left="17"/>
              <w:spacing w:after="0" w:line="148" w:lineRule="exact"/>
              <w:rPr>
                <w:sz w:val="20"/>
                <w:szCs w:val="20"/>
                <w:color w:val="auto"/>
              </w:rPr>
            </w:pPr>
            <w:r>
              <w:rPr>
                <w:rFonts w:ascii="Arial" w:cs="Arial" w:eastAsia="Arial" w:hAnsi="Arial"/>
                <w:sz w:val="13"/>
                <w:szCs w:val="13"/>
                <w:color w:val="auto"/>
                <w:w w:val="87"/>
              </w:rPr>
              <w:t>(6)</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116,971</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55,726</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523,000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Bed, Bath &amp; Beyond / DSW / TJ Maxx / Raymour &amp; Flanigan</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Nordstrom Rack / REI</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7"/>
              </w:rPr>
              <w:t>The Grove at Shrewsbury</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121,640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55,473</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3"/>
              </w:rPr>
              <w:t>Lululemon / Brooks Brothers / Anthropologie / Pottery Barn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ind w:left="4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rPr>
              <w:t>J. Crew / Banana Republic / Williams-Sonoma</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2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5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29,989</w:t>
            </w:r>
          </w:p>
        </w:tc>
        <w:tc>
          <w:tcPr>
            <w:tcW w:w="6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w w:val="91"/>
              </w:rPr>
              <w:t>Total NY Metro/New Jersey</w:t>
            </w:r>
          </w:p>
        </w:tc>
        <w:tc>
          <w:tcPr>
            <w:tcW w:w="680" w:type="dxa"/>
            <w:vAlign w:val="bottom"/>
          </w:tcPr>
          <w:p>
            <w:pPr>
              <w:spacing w:after="0"/>
              <w:rPr>
                <w:sz w:val="14"/>
                <w:szCs w:val="14"/>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671,448</w:t>
            </w:r>
          </w:p>
        </w:tc>
        <w:tc>
          <w:tcPr>
            <w:tcW w:w="66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9"/>
              </w:rPr>
              <w:t>2,710,000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CCEEFF"/>
            </w:tcBorders>
            <w:shd w:val="clear" w:color="auto" w:fill="CCEEFF"/>
          </w:tcPr>
          <w:p>
            <w:pPr>
              <w:spacing w:after="0"/>
              <w:rPr>
                <w:sz w:val="8"/>
                <w:szCs w:val="8"/>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3"/>
              </w:rPr>
              <w:t>Assembly Row / Assembly</w:t>
            </w:r>
          </w:p>
        </w:tc>
        <w:tc>
          <w:tcPr>
            <w:tcW w:w="500" w:type="dxa"/>
            <w:vAlign w:val="bottom"/>
          </w:tcPr>
          <w:p>
            <w:pPr>
              <w:jc w:val="center"/>
              <w:ind w:left="17"/>
              <w:spacing w:after="0" w:line="148" w:lineRule="exact"/>
              <w:rPr>
                <w:sz w:val="20"/>
                <w:szCs w:val="20"/>
                <w:color w:val="auto"/>
              </w:rPr>
            </w:pPr>
            <w:r>
              <w:rPr>
                <w:rFonts w:ascii="Arial" w:cs="Arial" w:eastAsia="Arial" w:hAnsi="Arial"/>
                <w:sz w:val="13"/>
                <w:szCs w:val="13"/>
                <w:color w:val="auto"/>
                <w:w w:val="87"/>
              </w:rPr>
              <w:t>(4)</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w w:val="97"/>
              </w:rPr>
              <w:t>2005-2011/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440,498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5"/>
              </w:rPr>
              <w:t>AMC Theatres / LEGOLAND Discovery Center / Saks Fifth</w:t>
            </w:r>
          </w:p>
        </w:tc>
      </w:tr>
      <w:tr>
        <w:trPr>
          <w:trHeight w:val="135"/>
        </w:trPr>
        <w:tc>
          <w:tcPr>
            <w:tcW w:w="150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Square Marketplace</w:t>
            </w:r>
          </w:p>
        </w:tc>
        <w:tc>
          <w:tcPr>
            <w:tcW w:w="500" w:type="dxa"/>
            <w:vAlign w:val="bottom"/>
          </w:tcPr>
          <w:p>
            <w:pPr>
              <w:spacing w:after="0"/>
              <w:rPr>
                <w:sz w:val="11"/>
                <w:szCs w:val="11"/>
                <w:color w:val="auto"/>
              </w:rPr>
            </w:pPr>
          </w:p>
        </w:tc>
        <w:tc>
          <w:tcPr>
            <w:tcW w:w="1580" w:type="dxa"/>
            <w:vAlign w:val="bottom"/>
          </w:tcPr>
          <w:p>
            <w:pPr>
              <w:ind w:left="40"/>
              <w:spacing w:after="0" w:line="135" w:lineRule="exact"/>
              <w:rPr>
                <w:sz w:val="20"/>
                <w:szCs w:val="20"/>
                <w:color w:val="auto"/>
              </w:rPr>
            </w:pPr>
            <w:r>
              <w:rPr>
                <w:rFonts w:ascii="Arial" w:cs="Arial" w:eastAsia="Arial" w:hAnsi="Arial"/>
                <w:sz w:val="13"/>
                <w:szCs w:val="13"/>
                <w:color w:val="auto"/>
              </w:rPr>
              <w:t>MA-NH</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2013</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w w:val="91"/>
              </w:rPr>
              <w:t>Avenue Off 5th / J. Crew / Nike Factory / Bed, Bath &amp; Beyond</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 TJ Maxx / Legal on the Mystic</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42,708</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7,022</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Dedham Plaza</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35,058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80,000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3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146,728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North Dartmouth</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9,366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80" w:type="dxa"/>
            <w:vAlign w:val="bottom"/>
          </w:tcPr>
          <w:p>
            <w:pPr>
              <w:spacing w:after="0"/>
              <w:rPr>
                <w:sz w:val="12"/>
                <w:szCs w:val="12"/>
                <w:color w:val="auto"/>
              </w:rPr>
            </w:pPr>
          </w:p>
        </w:tc>
      </w:tr>
      <w:tr>
        <w:trPr>
          <w:trHeight w:val="160"/>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Queen Anne Plaza</w:t>
            </w:r>
          </w:p>
        </w:tc>
        <w:tc>
          <w:tcPr>
            <w:tcW w:w="400" w:type="dxa"/>
            <w:vAlign w:val="bottom"/>
            <w:shd w:val="clear" w:color="auto" w:fill="CCEEFF"/>
          </w:tcPr>
          <w:p>
            <w:pPr>
              <w:spacing w:after="0"/>
              <w:rPr>
                <w:sz w:val="12"/>
                <w:szCs w:val="12"/>
                <w:color w:val="auto"/>
              </w:rPr>
            </w:pPr>
          </w:p>
        </w:tc>
        <w:tc>
          <w:tcPr>
            <w:tcW w:w="16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5"/>
              </w:rPr>
              <w:t>Boston-Cambridge-Quincy,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18,075</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50,000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Hannaford</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Saugus Plaza</w:t>
            </w:r>
          </w:p>
        </w:tc>
        <w:tc>
          <w:tcPr>
            <w:tcW w:w="400" w:type="dxa"/>
            <w:vAlign w:val="bottom"/>
          </w:tcPr>
          <w:p>
            <w:pPr>
              <w:spacing w:after="0"/>
              <w:rPr>
                <w:sz w:val="12"/>
                <w:szCs w:val="12"/>
                <w:color w:val="auto"/>
              </w:rPr>
            </w:pPr>
          </w:p>
        </w:tc>
        <w:tc>
          <w:tcPr>
            <w:tcW w:w="1620" w:type="dxa"/>
            <w:vAlign w:val="bottom"/>
          </w:tcPr>
          <w:p>
            <w:pPr>
              <w:ind w:left="100"/>
              <w:spacing w:after="0" w:line="148" w:lineRule="exact"/>
              <w:rPr>
                <w:sz w:val="20"/>
                <w:szCs w:val="20"/>
                <w:color w:val="auto"/>
              </w:rPr>
            </w:pPr>
            <w:r>
              <w:rPr>
                <w:rFonts w:ascii="Arial" w:cs="Arial" w:eastAsia="Arial" w:hAnsi="Arial"/>
                <w:sz w:val="13"/>
                <w:szCs w:val="13"/>
                <w:color w:val="auto"/>
                <w:w w:val="95"/>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14,977</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168,000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MA-NH</w:t>
            </w:r>
          </w:p>
        </w:tc>
        <w:tc>
          <w:tcPr>
            <w:tcW w:w="6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3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707,410</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Governor Plaza</w:t>
            </w:r>
          </w:p>
        </w:tc>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26,781</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Dick’s Sporting Goods</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tcPr>
          <w:p>
            <w:pPr>
              <w:spacing w:after="0"/>
              <w:rPr>
                <w:sz w:val="12"/>
                <w:szCs w:val="12"/>
                <w:color w:val="auto"/>
              </w:rPr>
            </w:pPr>
          </w:p>
        </w:tc>
        <w:tc>
          <w:tcPr>
            <w:tcW w:w="162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29,858</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97"/>
              </w:rPr>
              <w:t>Home Depot / Burlington Coat Factory / Jo-Ann Stores /</w:t>
            </w: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Micro Center</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22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THE AVENUE at White</w:t>
            </w:r>
          </w:p>
        </w:tc>
        <w:tc>
          <w:tcPr>
            <w:tcW w:w="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(5)</w:t>
            </w: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98,051</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52,705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Marsh</w:t>
            </w: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w w:val="88"/>
              </w:rPr>
              <w:t>The Shoppes at Nottingham</w:t>
            </w:r>
          </w:p>
        </w:tc>
        <w:tc>
          <w:tcPr>
            <w:tcW w:w="400" w:type="dxa"/>
            <w:vAlign w:val="bottom"/>
          </w:tcPr>
          <w:p>
            <w:pPr>
              <w:spacing w:after="0"/>
              <w:rPr>
                <w:sz w:val="12"/>
                <w:szCs w:val="12"/>
                <w:color w:val="auto"/>
              </w:rPr>
            </w:pPr>
          </w:p>
        </w:tc>
        <w:tc>
          <w:tcPr>
            <w:tcW w:w="162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17,440</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White Marsh Plaza</w:t>
            </w:r>
          </w:p>
        </w:tc>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25,140</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White Marsh Other</w:t>
            </w:r>
          </w:p>
        </w:tc>
        <w:tc>
          <w:tcPr>
            <w:tcW w:w="40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36,678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Baltimore</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233,948</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1,119,000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Chicago</w:t>
            </w: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Crossroads</w:t>
            </w: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31,146</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Finley Square</w:t>
            </w:r>
          </w:p>
        </w:tc>
        <w:tc>
          <w:tcPr>
            <w:tcW w:w="40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33,449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315,000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Garden Market</w:t>
            </w:r>
          </w:p>
        </w:tc>
        <w:tc>
          <w:tcPr>
            <w:tcW w:w="400" w:type="dxa"/>
            <w:vAlign w:val="bottom"/>
            <w:shd w:val="clear" w:color="auto" w:fill="CCEEFF"/>
          </w:tcPr>
          <w:p>
            <w:pPr>
              <w:spacing w:after="0"/>
              <w:rPr>
                <w:sz w:val="12"/>
                <w:szCs w:val="12"/>
                <w:color w:val="auto"/>
              </w:rPr>
            </w:pPr>
          </w:p>
        </w:tc>
        <w:tc>
          <w:tcPr>
            <w:tcW w:w="16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12,706</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Mariano's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North Lake Commons</w:t>
            </w:r>
          </w:p>
        </w:tc>
        <w:tc>
          <w:tcPr>
            <w:tcW w:w="40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16,606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ind w:left="60"/>
              <w:spacing w:after="0"/>
              <w:rPr>
                <w:sz w:val="20"/>
                <w:szCs w:val="20"/>
                <w:color w:val="auto"/>
              </w:rPr>
            </w:pPr>
            <w:r>
              <w:rPr>
                <w:rFonts w:ascii="Arial" w:cs="Arial" w:eastAsia="Arial" w:hAnsi="Arial"/>
                <w:sz w:val="13"/>
                <w:szCs w:val="13"/>
                <w:color w:val="auto"/>
              </w:rPr>
              <w:t>77,000</w:t>
            </w:r>
          </w:p>
        </w:tc>
        <w:tc>
          <w:tcPr>
            <w:tcW w:w="820" w:type="dxa"/>
            <w:vAlign w:val="bottom"/>
          </w:tcPr>
          <w:p>
            <w:pPr>
              <w:ind w:left="80"/>
              <w:spacing w:after="0"/>
              <w:rPr>
                <w:sz w:val="20"/>
                <w:szCs w:val="20"/>
                <w:color w:val="auto"/>
              </w:rPr>
            </w:pPr>
            <w:r>
              <w:rPr>
                <w:rFonts w:ascii="Arial" w:cs="Arial" w:eastAsia="Arial" w:hAnsi="Arial"/>
                <w:sz w:val="13"/>
                <w:szCs w:val="13"/>
                <w:color w:val="auto"/>
              </w:rPr>
              <w:t>Jewel Osco</w:t>
            </w: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Chicago</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93,907</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South Florida</w:t>
            </w: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Courtyard Shops</w:t>
            </w: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40,718</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2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Del Mar Village</w:t>
            </w:r>
          </w:p>
        </w:tc>
        <w:tc>
          <w:tcPr>
            <w:tcW w:w="40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680" w:type="dxa"/>
            <w:vAlign w:val="bottom"/>
          </w:tcPr>
          <w:p>
            <w:pPr>
              <w:jc w:val="right"/>
              <w:spacing w:after="0"/>
              <w:rPr>
                <w:sz w:val="20"/>
                <w:szCs w:val="20"/>
                <w:color w:val="auto"/>
              </w:rPr>
            </w:pPr>
            <w:r>
              <w:rPr>
                <w:rFonts w:ascii="Arial" w:cs="Arial" w:eastAsia="Arial" w:hAnsi="Arial"/>
                <w:sz w:val="13"/>
                <w:szCs w:val="13"/>
                <w:color w:val="auto"/>
              </w:rPr>
              <w:t>2008/2014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59,892</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194,000</w:t>
            </w:r>
          </w:p>
        </w:tc>
        <w:tc>
          <w:tcPr>
            <w:tcW w:w="520" w:type="dxa"/>
            <w:vAlign w:val="bottom"/>
          </w:tcPr>
          <w:p>
            <w:pPr>
              <w:jc w:val="right"/>
              <w:spacing w:after="0"/>
              <w:rPr>
                <w:sz w:val="20"/>
                <w:szCs w:val="20"/>
                <w:color w:val="auto"/>
              </w:rPr>
            </w:pPr>
            <w:r>
              <w:rPr>
                <w:rFonts w:ascii="Arial" w:cs="Arial" w:eastAsia="Arial" w:hAnsi="Arial"/>
                <w:sz w:val="13"/>
                <w:szCs w:val="13"/>
                <w:color w:val="auto"/>
              </w:rPr>
              <w:t>74%</w:t>
            </w:r>
          </w:p>
        </w:tc>
        <w:tc>
          <w:tcPr>
            <w:tcW w:w="600" w:type="dxa"/>
            <w:vAlign w:val="bottom"/>
          </w:tcPr>
          <w:p>
            <w:pPr>
              <w:ind w:left="60"/>
              <w:spacing w:after="0"/>
              <w:rPr>
                <w:sz w:val="20"/>
                <w:szCs w:val="20"/>
                <w:color w:val="auto"/>
              </w:rPr>
            </w:pPr>
            <w:r>
              <w:rPr>
                <w:rFonts w:ascii="Arial" w:cs="Arial" w:eastAsia="Arial" w:hAnsi="Arial"/>
                <w:sz w:val="13"/>
                <w:szCs w:val="13"/>
                <w:color w:val="auto"/>
              </w:rPr>
              <w:t>44,000</w:t>
            </w:r>
          </w:p>
        </w:tc>
        <w:tc>
          <w:tcPr>
            <w:tcW w:w="8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2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shd w:val="clear" w:color="auto" w:fill="CCEEFF"/>
          </w:tcPr>
          <w:p>
            <w:pPr>
              <w:spacing w:after="0"/>
              <w:rPr>
                <w:sz w:val="12"/>
                <w:szCs w:val="12"/>
                <w:color w:val="auto"/>
              </w:rPr>
            </w:pPr>
          </w:p>
        </w:tc>
        <w:tc>
          <w:tcPr>
            <w:tcW w:w="16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2011/2014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85,949</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Ulta</w:t>
            </w: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186,559</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700,000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4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6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Barracks Road</w:t>
            </w:r>
          </w:p>
        </w:tc>
        <w:tc>
          <w:tcPr>
            <w:tcW w:w="400" w:type="dxa"/>
            <w:vAlign w:val="bottom"/>
          </w:tcPr>
          <w:p>
            <w:pPr>
              <w:spacing w:after="0"/>
              <w:rPr>
                <w:sz w:val="12"/>
                <w:szCs w:val="12"/>
                <w:color w:val="auto"/>
              </w:rPr>
            </w:pPr>
          </w:p>
        </w:tc>
        <w:tc>
          <w:tcPr>
            <w:tcW w:w="1620" w:type="dxa"/>
            <w:vAlign w:val="bottom"/>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60,560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35,701</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40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 Noble / Old</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Bristol Plaza</w:t>
            </w:r>
          </w:p>
        </w:tc>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Hartford, CT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29,555</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Eastgate</w:t>
            </w:r>
          </w:p>
        </w:tc>
        <w:tc>
          <w:tcPr>
            <w:tcW w:w="400" w:type="dxa"/>
            <w:vAlign w:val="bottom"/>
          </w:tcPr>
          <w:p>
            <w:pPr>
              <w:spacing w:after="0"/>
              <w:rPr>
                <w:sz w:val="12"/>
                <w:szCs w:val="12"/>
                <w:color w:val="auto"/>
              </w:rPr>
            </w:pPr>
          </w:p>
        </w:tc>
        <w:tc>
          <w:tcPr>
            <w:tcW w:w="1620" w:type="dxa"/>
            <w:vAlign w:val="bottom"/>
          </w:tcPr>
          <w:p>
            <w:pPr>
              <w:ind w:left="100"/>
              <w:spacing w:after="0" w:line="148" w:lineRule="exact"/>
              <w:rPr>
                <w:sz w:val="20"/>
                <w:szCs w:val="20"/>
                <w:color w:val="auto"/>
              </w:rPr>
            </w:pPr>
            <w:r>
              <w:rPr>
                <w:rFonts w:ascii="Arial" w:cs="Arial" w:eastAsia="Arial" w:hAnsi="Arial"/>
                <w:sz w:val="13"/>
                <w:szCs w:val="13"/>
                <w:color w:val="auto"/>
              </w:rPr>
              <w:t>Raleigh-Durham-Chapel</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27,739</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Hill, NC</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Gratiot Plaza</w:t>
            </w:r>
          </w:p>
        </w:tc>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Detroit, MI</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19,237</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Houston Street</w:t>
            </w:r>
          </w:p>
        </w:tc>
        <w:tc>
          <w:tcPr>
            <w:tcW w:w="400" w:type="dxa"/>
            <w:vAlign w:val="bottom"/>
          </w:tcPr>
          <w:p>
            <w:pPr>
              <w:ind w:left="180"/>
              <w:spacing w:after="0"/>
              <w:rPr>
                <w:sz w:val="20"/>
                <w:szCs w:val="20"/>
                <w:color w:val="auto"/>
              </w:rPr>
            </w:pPr>
            <w:r>
              <w:rPr>
                <w:rFonts w:ascii="Arial" w:cs="Arial" w:eastAsia="Arial" w:hAnsi="Arial"/>
                <w:sz w:val="13"/>
                <w:szCs w:val="13"/>
                <w:color w:val="auto"/>
              </w:rPr>
              <w:t>(8)</w:t>
            </w:r>
          </w:p>
        </w:tc>
        <w:tc>
          <w:tcPr>
            <w:tcW w:w="1620" w:type="dxa"/>
            <w:vAlign w:val="bottom"/>
          </w:tcPr>
          <w:p>
            <w:pPr>
              <w:ind w:left="100"/>
              <w:spacing w:after="0"/>
              <w:rPr>
                <w:sz w:val="20"/>
                <w:szCs w:val="20"/>
                <w:color w:val="auto"/>
              </w:rPr>
            </w:pPr>
            <w:r>
              <w:rPr>
                <w:rFonts w:ascii="Arial" w:cs="Arial" w:eastAsia="Arial" w:hAnsi="Arial"/>
                <w:sz w:val="13"/>
                <w:szCs w:val="13"/>
                <w:color w:val="auto"/>
              </w:rPr>
              <w:t>San Antonio, TX</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61,986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172,000</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Lancaster</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(6)</w:t>
            </w: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Lancaster, PA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13,545</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29th Place</w:t>
            </w:r>
          </w:p>
        </w:tc>
        <w:tc>
          <w:tcPr>
            <w:tcW w:w="40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40,296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4,895</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Willow Lawn</w:t>
            </w: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9"/>
              </w:rPr>
              <w:t>Richmond-Petersburg, VA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85,159</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445,000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b w:val="1"/>
                <w:bCs w:val="1"/>
                <w:color w:val="auto"/>
              </w:rPr>
              <w:t>Total Other</w:t>
            </w:r>
          </w:p>
        </w:tc>
        <w:tc>
          <w:tcPr>
            <w:tcW w:w="68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338,077</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2,046,000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35"/>
        </w:trPr>
        <w:tc>
          <w:tcPr>
            <w:tcW w:w="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3220" w:type="dxa"/>
            <w:vAlign w:val="bottom"/>
            <w:tcBorders>
              <w:bottom w:val="single" w:sz="8" w:color="auto"/>
            </w:tcBorders>
            <w:shd w:val="clear" w:color="auto" w:fill="CCEEFF"/>
          </w:tcPr>
          <w:p>
            <w:pPr>
              <w:spacing w:after="0"/>
              <w:rPr>
                <w:sz w:val="11"/>
                <w:szCs w:val="11"/>
                <w:color w:val="auto"/>
              </w:rPr>
            </w:pPr>
          </w:p>
        </w:tc>
      </w:tr>
      <w:tr>
        <w:trPr>
          <w:trHeight w:val="167"/>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$ 5,737,360</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$ 642,980</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20,746,000</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Notes:</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920" w:type="dxa"/>
            <w:vAlign w:val="bottom"/>
            <w:gridSpan w:val="10"/>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4"/>
              </w:rPr>
              <w:t>The mortgage or capital lease obligations differ from the total reported on the consolidated balance sheet due to the unamortized discount or premium on certain mortgage payables.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5"/>
              </w:rPr>
              <w:t>Excludes newly created redevelopment square footage not yet in service, as well as residential and hotel square footage.</w:t>
            </w: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7"/>
              </w:rPr>
              <w:t>The Trust has a controlling financial interest in this property.</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3"/>
              </w:rPr>
              <w:t>Portion of property is currently under development. See further discussion in the Pike &amp; Rose and Assembly Row schedule.</w:t>
            </w: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2"/>
              </w:rPr>
              <w:t>All or a portion of the property is owned in a "downreit" partnership, of which a wholly owned subsidiary of the Trust is the sole general partner, with third party partners holding operating</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gridSpan w:val="2"/>
          </w:tcPr>
          <w:p>
            <w:pPr>
              <w:ind w:left="60"/>
              <w:spacing w:after="0"/>
              <w:rPr>
                <w:sz w:val="20"/>
                <w:szCs w:val="20"/>
                <w:color w:val="auto"/>
              </w:rPr>
            </w:pPr>
            <w:r>
              <w:rPr>
                <w:rFonts w:ascii="Arial" w:cs="Arial" w:eastAsia="Arial" w:hAnsi="Arial"/>
                <w:sz w:val="13"/>
                <w:szCs w:val="13"/>
                <w:color w:val="auto"/>
              </w:rPr>
              <w:t>partnership units.</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0"/>
              </w:rPr>
              <w:t>All or a portion of the property subject to capital lease obligation.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60" w:type="dxa"/>
            <w:vAlign w:val="bottom"/>
            <w:gridSpan w:val="6"/>
          </w:tcPr>
          <w:p>
            <w:pPr>
              <w:ind w:left="60"/>
              <w:spacing w:after="0"/>
              <w:rPr>
                <w:sz w:val="20"/>
                <w:szCs w:val="20"/>
                <w:color w:val="auto"/>
              </w:rPr>
            </w:pPr>
            <w:r>
              <w:rPr>
                <w:rFonts w:ascii="Arial" w:cs="Arial" w:eastAsia="Arial" w:hAnsi="Arial"/>
                <w:sz w:val="13"/>
                <w:szCs w:val="13"/>
                <w:color w:val="auto"/>
                <w:w w:val="93"/>
              </w:rPr>
              <w:t>Includes a 100% owned, 8.1 acre land parcel being used for The Point redevelopment.</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20" w:type="dxa"/>
            <w:vAlign w:val="bottom"/>
            <w:gridSpan w:val="2"/>
          </w:tcPr>
          <w:p>
            <w:pPr>
              <w:ind w:left="60"/>
              <w:spacing w:after="0"/>
              <w:rPr>
                <w:sz w:val="20"/>
                <w:szCs w:val="20"/>
                <w:color w:val="auto"/>
              </w:rPr>
            </w:pPr>
            <w:r>
              <w:rPr>
                <w:rFonts w:ascii="Arial" w:cs="Arial" w:eastAsia="Arial" w:hAnsi="Arial"/>
                <w:sz w:val="13"/>
                <w:szCs w:val="13"/>
                <w:color w:val="auto"/>
                <w:w w:val="92"/>
              </w:rPr>
              <w:t>Property was sold on April 24, 2015.</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2015</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249,295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37.50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947,399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5,721,362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22.95</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306,860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33.27</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$ 27.76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1,691,334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3,414,377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11.13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372,693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35.69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1,542,966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11,381,523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30.54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536,819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34.93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2,572,606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9,774,179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18.21</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1,465,667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6,754,305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30,291,441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20.67</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100,934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40.69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$ 35.13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560,791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5,563,472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55.12</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125,838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$ 15.62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1,131,869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3,323,715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26.41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177,145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$ 28.85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763,753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11,087,445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62.59</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224,858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32.65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$ 25.06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1,706,360</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9,260,234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41.18</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628,775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32.48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$ 25.86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4,162,773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29,234,866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46.49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148,361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35.34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386,608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157,890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1.06</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181,022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39.28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$ 36.19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559,465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90,662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0.50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195,548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779,213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294,078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1.50</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311,961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36.56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866,246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513,945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1.65</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836,892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2,591,532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1,056,575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1.26</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279,586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38.88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7,500,950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26.83</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343,896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34.55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7,636,392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22.21</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434,165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36.22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14,045,241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32.35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622,916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35.83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11,584,637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18.60</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1,680,563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36.18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40,767,220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24.26</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hanging="1251"/>
        <w:spacing w:after="0" w:line="230"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Approximately $0.4 million ($0.86 per square foot) in 4th Quarter 2014, $6.1 million ($11.89 per square foot) in 3rd Quarter 2014, and $5.6 million ($7.30 per square foot) in 2nd Quarter 2014 of the Tenant Improvements &amp; Incentives are for properties under active redevelopment (e.g. Westgate Center, Willow Lawn, East Bay Bridge) and are included in the Projected Cost for those projects on the Summary of Redevelopment Opportunities.</w:t>
      </w:r>
    </w:p>
    <w:p>
      <w:pPr>
        <w:spacing w:after="0" w:line="2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976" w:right="25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586,000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860,000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1,036,000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35.61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1,897,000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1,479,000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14.58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999,000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39.31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2,478,000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909,000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17.07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791,000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36.17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1,700,000</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815,000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16.56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39.05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1,298,000</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519,000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43.09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995,000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11,373,000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17.50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36.71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19,570,000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51.53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86,000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39.03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617,000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43.04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35.23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663,000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658,000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16.40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39.66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9,202,000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12,231,000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11,373,000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17.50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36.71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19,570,000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March 31, 2015.</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2015.</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2015</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2014</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20,746,000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19,786,000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19,797,000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18,935,000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95.6%</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93.7%</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2015</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2014</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16,701,000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16,025,000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16,701,000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16,013,000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96.8%</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96.1%</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March 31, 2015 leased percentage was 98.5% for anchor tenants and 91.3% for small shop tenants.</w:t>
      </w:r>
    </w:p>
    <w:p>
      <w:pPr>
        <w:spacing w:after="0" w:line="72" w:lineRule="exact"/>
        <w:rPr>
          <w:rFonts w:ascii="Arial" w:cs="Arial" w:eastAsia="Arial" w:hAnsi="Arial"/>
          <w:sz w:val="16"/>
          <w:szCs w:val="16"/>
          <w:color w:val="auto"/>
        </w:rPr>
      </w:pPr>
    </w:p>
    <w:p>
      <w:pPr>
        <w:ind w:left="840" w:right="16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94.5% and 94.7% at March 31, 2015 and 2014, respectively, and same center occupied percentage was 95.3% and 95.2% at March 31, 2015 and 2014,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Rank</w:t>
            </w:r>
          </w:p>
        </w:tc>
        <w:tc>
          <w:tcPr>
            <w:tcW w:w="4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TJX Companies,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10,870,000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2.17%</w:t>
            </w:r>
          </w:p>
        </w:tc>
        <w:tc>
          <w:tcPr>
            <w:tcW w:w="980" w:type="dxa"/>
            <w:vAlign w:val="bottom"/>
          </w:tcPr>
          <w:p>
            <w:pPr>
              <w:jc w:val="right"/>
              <w:spacing w:after="0"/>
              <w:rPr>
                <w:sz w:val="20"/>
                <w:szCs w:val="20"/>
                <w:color w:val="auto"/>
              </w:rPr>
            </w:pPr>
            <w:r>
              <w:rPr>
                <w:rFonts w:ascii="Arial" w:cs="Arial" w:eastAsia="Arial" w:hAnsi="Arial"/>
                <w:sz w:val="16"/>
                <w:szCs w:val="16"/>
                <w:color w:val="auto"/>
              </w:rPr>
              <w:t>321,000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7,299,000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5,483,000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1.10%</w:t>
            </w:r>
          </w:p>
        </w:tc>
        <w:tc>
          <w:tcPr>
            <w:tcW w:w="980" w:type="dxa"/>
            <w:vAlign w:val="bottom"/>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5,117,000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1.02%</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0.88%</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4,285,000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Riverbed Technology,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3,800,000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Nordstrom,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Pr>
          <w:p>
            <w:pPr>
              <w:jc w:val="right"/>
              <w:spacing w:after="0"/>
              <w:rPr>
                <w:sz w:val="20"/>
                <w:szCs w:val="20"/>
                <w:color w:val="auto"/>
              </w:rPr>
            </w:pPr>
            <w:r>
              <w:rPr>
                <w:rFonts w:ascii="Arial" w:cs="Arial" w:eastAsia="Arial" w:hAnsi="Arial"/>
                <w:sz w:val="16"/>
                <w:szCs w:val="16"/>
                <w:color w:val="auto"/>
              </w:rPr>
              <w:t>157,000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Dress Barn,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3,216,000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145,106,000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29.01%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6,894,000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33.23%</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500,247,000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20,746,000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6"/>
              </w:rPr>
              <w:t>Notes:</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0840" w:type="dxa"/>
            <w:vAlign w:val="bottom"/>
            <w:gridSpan w:val="8"/>
          </w:tcPr>
          <w:p>
            <w:pPr>
              <w:ind w:left="140"/>
              <w:spacing w:after="0"/>
              <w:rPr>
                <w:sz w:val="20"/>
                <w:szCs w:val="20"/>
                <w:color w:val="auto"/>
              </w:rPr>
            </w:pPr>
            <w:r>
              <w:rPr>
                <w:rFonts w:ascii="Arial" w:cs="Arial" w:eastAsia="Arial" w:hAnsi="Arial"/>
                <w:sz w:val="16"/>
                <w:szCs w:val="16"/>
                <w:color w:val="auto"/>
                <w:w w:val="97"/>
              </w:rPr>
              <w:t>Does not include amounts related to leases these tenants have with our partnership with a discretionary fund created and advised by ING Clarion Partners.</w:t>
            </w:r>
          </w:p>
        </w:tc>
        <w:tc>
          <w:tcPr>
            <w:tcW w:w="0" w:type="dxa"/>
            <w:vAlign w:val="bottom"/>
          </w:tcPr>
          <w:p>
            <w:pPr>
              <w:spacing w:after="0"/>
              <w:rPr>
                <w:sz w:val="1"/>
                <w:szCs w:val="1"/>
                <w:color w:val="auto"/>
              </w:rPr>
            </w:pPr>
          </w:p>
        </w:tc>
      </w:tr>
      <w:tr>
        <w:trPr>
          <w:trHeight w:val="266"/>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0840" w:type="dxa"/>
            <w:vAlign w:val="bottom"/>
            <w:gridSpan w:val="8"/>
          </w:tcPr>
          <w:p>
            <w:pPr>
              <w:ind w:left="140"/>
              <w:spacing w:after="0"/>
              <w:rPr>
                <w:sz w:val="20"/>
                <w:szCs w:val="20"/>
                <w:color w:val="auto"/>
              </w:rPr>
            </w:pPr>
            <w:r>
              <w:rPr>
                <w:rFonts w:ascii="Arial" w:cs="Arial" w:eastAsia="Arial" w:hAnsi="Arial"/>
                <w:sz w:val="16"/>
                <w:szCs w:val="16"/>
                <w:color w:val="auto"/>
                <w:w w:val="91"/>
              </w:rPr>
              <w:t>Reflects aggregate, annualized in-place contractual (defined as cash-basis including adjustments for concessions) minimum rent for all occupied spaces as of March</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31, 2015.</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w w:val="98"/>
              </w:rPr>
              <w:t>Excludes redevelopment square footage not yet placed in service.</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Individual items may not add up to total due to rounding.</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2015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3"/>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3"/>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 excluding early extinguishment of debt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 Individual items may not add up to total due to rounding.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4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5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8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4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187,791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187,507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(38,304)</w:t>
            </w:r>
          </w:p>
        </w:tc>
        <w:tc>
          <w:tcPr>
            <w:tcW w:w="0" w:type="dxa"/>
            <w:vAlign w:val="bottom"/>
          </w:tcPr>
          <w:p>
            <w:pPr>
              <w:spacing w:after="0"/>
              <w:rPr>
                <w:sz w:val="1"/>
                <w:szCs w:val="1"/>
                <w:color w:val="auto"/>
              </w:rPr>
            </w:pPr>
          </w:p>
        </w:tc>
      </w:tr>
      <w:tr>
        <w:trPr>
          <w:trHeight w:val="23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148,314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157,609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4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38,058</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119,513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4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157,609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ind w:left="356"/>
              <w:spacing w:after="0"/>
              <w:rPr>
                <w:sz w:val="20"/>
                <w:szCs w:val="20"/>
                <w:color w:val="auto"/>
              </w:rPr>
            </w:pPr>
            <w:r>
              <w:rPr>
                <w:rFonts w:ascii="Arial" w:cs="Arial" w:eastAsia="Arial" w:hAnsi="Arial"/>
                <w:sz w:val="14"/>
                <w:szCs w:val="14"/>
                <w:b w:val="1"/>
                <w:bCs w:val="1"/>
                <w:color w:val="auto"/>
              </w:rPr>
              <w:t>Maturity</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Stated Interest Rate</w:t>
            </w:r>
          </w:p>
        </w:tc>
        <w:tc>
          <w:tcPr>
            <w:tcW w:w="280" w:type="dxa"/>
            <w:vAlign w:val="bottom"/>
          </w:tcPr>
          <w:p>
            <w:pPr>
              <w:spacing w:after="0"/>
              <w:rPr>
                <w:sz w:val="14"/>
                <w:szCs w:val="14"/>
                <w:color w:val="auto"/>
              </w:rPr>
            </w:pPr>
          </w:p>
        </w:tc>
        <w:tc>
          <w:tcPr>
            <w:tcW w:w="14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57"/>
              <w:spacing w:after="0"/>
              <w:rPr>
                <w:sz w:val="20"/>
                <w:szCs w:val="20"/>
                <w:color w:val="auto"/>
              </w:rPr>
            </w:pPr>
            <w:r>
              <w:rPr>
                <w:rFonts w:ascii="Arial" w:cs="Arial" w:eastAsia="Arial" w:hAnsi="Arial"/>
                <w:sz w:val="14"/>
                <w:szCs w:val="14"/>
                <w:b w:val="1"/>
                <w:bCs w:val="1"/>
                <w:color w:val="auto"/>
                <w:w w:val="93"/>
              </w:rPr>
              <w:t>as of March 31, 2015</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240" w:type="dxa"/>
            <w:vAlign w:val="bottom"/>
            <w:tcBorders>
              <w:bottom w:val="single" w:sz="8" w:color="CCEEFF"/>
            </w:tcBorders>
            <w:shd w:val="clear" w:color="auto" w:fill="CCEEFF"/>
          </w:tcPr>
          <w:p>
            <w:pPr>
              <w:jc w:val="center"/>
              <w:ind w:left="356"/>
              <w:spacing w:after="0"/>
              <w:rPr>
                <w:sz w:val="20"/>
                <w:szCs w:val="20"/>
                <w:color w:val="auto"/>
              </w:rPr>
            </w:pPr>
            <w:r>
              <w:rPr>
                <w:rFonts w:ascii="Arial" w:cs="Arial" w:eastAsia="Arial" w:hAnsi="Arial"/>
                <w:sz w:val="18"/>
                <w:szCs w:val="18"/>
                <w:color w:val="auto"/>
                <w:w w:val="91"/>
              </w:rPr>
              <w:t>7/1/2016</w:t>
            </w:r>
          </w:p>
        </w:tc>
        <w:tc>
          <w:tcPr>
            <w:tcW w:w="254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5.99% (a)</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240" w:type="dxa"/>
            <w:vAlign w:val="bottom"/>
          </w:tcPr>
          <w:p>
            <w:pPr>
              <w:jc w:val="center"/>
              <w:ind w:left="356"/>
              <w:spacing w:after="0"/>
              <w:rPr>
                <w:sz w:val="20"/>
                <w:szCs w:val="20"/>
                <w:color w:val="auto"/>
              </w:rPr>
            </w:pPr>
            <w:r>
              <w:rPr>
                <w:rFonts w:ascii="Arial" w:cs="Arial" w:eastAsia="Arial" w:hAnsi="Arial"/>
                <w:sz w:val="18"/>
                <w:szCs w:val="18"/>
                <w:color w:val="auto"/>
                <w:w w:val="91"/>
              </w:rPr>
              <w:t>7/1/2016</w:t>
            </w:r>
          </w:p>
        </w:tc>
        <w:tc>
          <w:tcPr>
            <w:tcW w:w="1880" w:type="dxa"/>
            <w:vAlign w:val="bottom"/>
          </w:tcPr>
          <w:p>
            <w:pPr>
              <w:ind w:left="1380"/>
              <w:spacing w:after="0"/>
              <w:rPr>
                <w:sz w:val="20"/>
                <w:szCs w:val="20"/>
                <w:color w:val="auto"/>
              </w:rPr>
            </w:pPr>
            <w:r>
              <w:rPr>
                <w:rFonts w:ascii="Arial" w:cs="Arial" w:eastAsia="Arial" w:hAnsi="Arial"/>
                <w:sz w:val="18"/>
                <w:szCs w:val="18"/>
                <w:color w:val="auto"/>
                <w:w w:val="93"/>
              </w:rPr>
              <w:t>5.90%</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Fixed Rate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34,385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Year</w:t>
            </w:r>
          </w:p>
        </w:tc>
        <w:tc>
          <w:tcPr>
            <w:tcW w:w="1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Scheduled Amortization</w:t>
            </w: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380" w:type="dxa"/>
            <w:vAlign w:val="bottom"/>
          </w:tcPr>
          <w:p>
            <w:pPr>
              <w:spacing w:after="0"/>
              <w:rPr>
                <w:sz w:val="14"/>
                <w:szCs w:val="14"/>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0" w:type="dxa"/>
            <w:vAlign w:val="bottom"/>
          </w:tcPr>
          <w:p>
            <w:pPr>
              <w:jc w:val="right"/>
              <w:ind w:right="34"/>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38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right="220" w:hanging="585"/>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1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174"/>
        </w:trPr>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MSA Description</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Grocery Anchor</w:t>
            </w: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1"/>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color w:val="auto"/>
                <w:w w:val="91"/>
              </w:rPr>
              <w:t>(in thousands)</w:t>
            </w: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2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62"/>
        </w:trPr>
        <w:tc>
          <w:tcPr>
            <w:tcW w:w="158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34,798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41"/>
              <w:spacing w:after="0"/>
              <w:rPr>
                <w:sz w:val="20"/>
                <w:szCs w:val="20"/>
                <w:color w:val="auto"/>
              </w:rPr>
            </w:pPr>
            <w:r>
              <w:rPr>
                <w:rFonts w:ascii="Arial" w:cs="Arial" w:eastAsia="Arial" w:hAnsi="Arial"/>
                <w:sz w:val="13"/>
                <w:szCs w:val="13"/>
                <w:color w:val="auto"/>
              </w:rPr>
              <w:t>20,785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4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3"/>
              </w:rPr>
              <w:t>Free State Shopping Center</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67,017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158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21,936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Washington Metropolitan Area</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123,751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0"/>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Nassau-Suffolk, NY</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20,810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13,600</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2"/>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New York / New Jersey</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20,810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r>
      <w:tr>
        <w:trPr>
          <w:trHeight w:val="148"/>
        </w:trPr>
        <w:tc>
          <w:tcPr>
            <w:tcW w:w="15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32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Boston-Worcester-Lawrence-Lowell-</w:t>
            </w:r>
          </w:p>
        </w:tc>
        <w:tc>
          <w:tcPr>
            <w:tcW w:w="80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20,201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11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Boston-Worcester-Lawrence-Lowell-</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23,029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 New England</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43,230</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r>
      <w:tr>
        <w:trPr>
          <w:trHeight w:val="264"/>
        </w:trPr>
        <w:tc>
          <w:tcPr>
            <w:tcW w:w="15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Totals</w:t>
            </w: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3"/>
              </w:rPr>
              <w:t>187,791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b w:val="1"/>
                <w:bCs w:val="1"/>
                <w:color w:val="auto"/>
              </w:rPr>
              <w:t>34,385</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820,000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2015 and 2014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48,203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41,984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43,850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114,326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107,507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2019-12-29T17:41:47Z</dcterms:created>
  <dcterms:modified xsi:type="dcterms:W3CDTF">2019-12-29T17:41:47Z</dcterms:modified>
</cp:coreProperties>
</file>