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313747206</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L.P.</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496,959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629,259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629,259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61"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AEW Capital Management, Inc.</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6539"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-945515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-1159510</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-1777365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469,959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629,259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629,259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5.22%</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color w:val="auto"/>
        </w:rPr>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jc w:val="center"/>
              <w:ind w:right="1350"/>
              <w:spacing w:after="0"/>
              <w:rPr>
                <w:sz w:val="20"/>
                <w:szCs w:val="20"/>
                <w:color w:val="auto"/>
              </w:rPr>
            </w:pPr>
            <w:r>
              <w:rPr>
                <w:rFonts w:ascii="Arial" w:cs="Arial" w:eastAsia="Arial" w:hAnsi="Arial"/>
                <w:sz w:val="18"/>
                <w:szCs w:val="18"/>
                <w:color w:val="auto"/>
                <w:w w:val="94"/>
              </w:rPr>
              <w:t>STATEMENT ON SCHEDULE 13G</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5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 of Issuer: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Federal Realty Investment Trust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1(b).</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Address of Issuer’s Principal Executive Offices: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1626 E Jefferson Street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Rockville, MD 20852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2(a).</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9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Names of Person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AEW Capital Management,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AEW Capital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2(b).</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Business Mailing Address for the Person Filing:</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Two Seaport Lane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Boston, MA 02110-2021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2(c).</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Delaware for AEW Capital Management, L.P.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Massachusetts for AEW Capital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2(d).</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Item 2(e).</w:t>
            </w: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92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600"/>
              <w:spacing w:after="0"/>
              <w:rPr>
                <w:sz w:val="20"/>
                <w:szCs w:val="20"/>
                <w:color w:val="auto"/>
              </w:rPr>
            </w:pPr>
            <w:r>
              <w:rPr>
                <w:rFonts w:ascii="Arial" w:cs="Arial" w:eastAsia="Arial" w:hAnsi="Arial"/>
                <w:sz w:val="18"/>
                <w:szCs w:val="18"/>
                <w:color w:val="auto"/>
              </w:rPr>
              <w:t>313747206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4"/>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10500" w:type="dxa"/>
            <w:vAlign w:val="bottom"/>
            <w:gridSpan w:val="2"/>
          </w:tcPr>
          <w:p>
            <w:pPr>
              <w:ind w:left="100"/>
              <w:spacing w:after="0"/>
              <w:rPr>
                <w:sz w:val="20"/>
                <w:szCs w:val="20"/>
                <w:color w:val="auto"/>
              </w:rPr>
            </w:pPr>
            <w:r>
              <w:rPr>
                <w:rFonts w:ascii="Arial" w:cs="Arial" w:eastAsia="Arial" w:hAnsi="Arial"/>
                <w:sz w:val="18"/>
                <w:szCs w:val="18"/>
                <w:b w:val="1"/>
                <w:bCs w:val="1"/>
                <w:color w:val="auto"/>
              </w:rPr>
              <w:t>If this statement is filed pursuant to Rules 13d-1(b), or 13d-2(b), check whether the person filing is 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10500" w:type="dxa"/>
            <w:vAlign w:val="bottom"/>
            <w:gridSpan w:val="2"/>
          </w:tcPr>
          <w:p>
            <w:pPr>
              <w:ind w:left="100"/>
              <w:spacing w:after="0"/>
              <w:rPr>
                <w:sz w:val="20"/>
                <w:szCs w:val="20"/>
                <w:color w:val="auto"/>
              </w:rPr>
            </w:pPr>
            <w:r>
              <w:rPr>
                <w:rFonts w:ascii="Arial" w:cs="Arial" w:eastAsia="Arial" w:hAnsi="Arial"/>
                <w:sz w:val="18"/>
                <w:szCs w:val="18"/>
                <w:color w:val="auto"/>
              </w:rPr>
              <w:t>Not Applicable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20" w:type="dxa"/>
            <w:vAlign w:val="bottom"/>
          </w:tcPr>
          <w:p>
            <w:pPr>
              <w:spacing w:after="0"/>
              <w:rPr>
                <w:sz w:val="24"/>
                <w:szCs w:val="24"/>
                <w:color w:val="auto"/>
              </w:rPr>
            </w:pPr>
          </w:p>
        </w:tc>
        <w:tc>
          <w:tcPr>
            <w:tcW w:w="10500" w:type="dxa"/>
            <w:vAlign w:val="bottom"/>
            <w:gridSpan w:val="2"/>
          </w:tcPr>
          <w:p>
            <w:pPr>
              <w:jc w:val="right"/>
              <w:ind w:right="557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4" w:name="page5"/>
    <w:bookmarkEnd w:id="4"/>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75" w:lineRule="exact"/>
        <w:rPr>
          <w:sz w:val="20"/>
          <w:szCs w:val="20"/>
          <w:color w:val="auto"/>
        </w:rPr>
      </w:pPr>
    </w:p>
    <w:p>
      <w:pPr>
        <w:ind w:left="1600" w:hanging="394"/>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629,259 shares of Common Stock</w:t>
      </w:r>
    </w:p>
    <w:p>
      <w:pPr>
        <w:spacing w:after="0" w:line="238" w:lineRule="exact"/>
        <w:rPr>
          <w:rFonts w:ascii="Arial" w:cs="Arial" w:eastAsia="Arial" w:hAnsi="Arial"/>
          <w:sz w:val="18"/>
          <w:szCs w:val="18"/>
          <w:color w:val="auto"/>
        </w:rPr>
      </w:pPr>
    </w:p>
    <w:p>
      <w:pPr>
        <w:ind w:left="1600" w:hanging="400"/>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owned:</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5.22 %</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5400" w:hanging="453"/>
        <w:spacing w:after="0" w:line="412" w:lineRule="auto"/>
        <w:tabs>
          <w:tab w:leader="none" w:pos="2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Sole power to vote or to direct the vote: 496,959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64" w:lineRule="exact"/>
        <w:rPr>
          <w:sz w:val="20"/>
          <w:szCs w:val="20"/>
          <w:color w:val="auto"/>
        </w:rPr>
      </w:pPr>
    </w:p>
    <w:p>
      <w:pPr>
        <w:ind w:left="2220" w:right="5220" w:hanging="478"/>
        <w:spacing w:after="0" w:line="340" w:lineRule="auto"/>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4500" w:hanging="503"/>
        <w:spacing w:after="0" w:line="374" w:lineRule="auto"/>
        <w:tabs>
          <w:tab w:leader="none" w:pos="2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629,259 shares of Common Stock</w:t>
      </w:r>
    </w:p>
    <w:p>
      <w:pPr>
        <w:spacing w:after="0" w:line="106" w:lineRule="exact"/>
        <w:rPr>
          <w:rFonts w:ascii="Arial" w:cs="Arial" w:eastAsia="Arial" w:hAnsi="Arial"/>
          <w:sz w:val="17"/>
          <w:szCs w:val="17"/>
          <w:color w:val="auto"/>
        </w:rPr>
      </w:pPr>
    </w:p>
    <w:p>
      <w:pPr>
        <w:ind w:left="2220" w:right="4320" w:hanging="498"/>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0" w:lineRule="exact"/>
        <w:rPr>
          <w:sz w:val="20"/>
          <w:szCs w:val="20"/>
          <w:color w:val="auto"/>
        </w:rPr>
      </w:pPr>
    </w:p>
    <w:p>
      <w:pPr>
        <w:spacing w:after="0" w:line="24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20" w:hanging="1120"/>
        <w:spacing w:after="0" w:line="282" w:lineRule="auto"/>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80"/>
          </w:cols>
          <w:pgMar w:left="300" w:top="391" w:right="1119" w:bottom="1440" w:gutter="0" w:footer="0" w:header="0"/>
        </w:sectPr>
      </w:pPr>
    </w:p>
    <w:bookmarkStart w:id="5" w:name="page6"/>
    <w:bookmarkEnd w:id="5"/>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180" w:right="2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2019</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AEW CAPITAL MANAGEMENT, L.P.</w:t>
      </w:r>
    </w:p>
    <w:p>
      <w:pPr>
        <w:spacing w:after="0" w:line="225" w:lineRule="exact"/>
        <w:rPr>
          <w:sz w:val="20"/>
          <w:szCs w:val="20"/>
          <w:color w:val="auto"/>
        </w:rPr>
      </w:pPr>
    </w:p>
    <w:tbl>
      <w:tblPr>
        <w:tblLayout w:type="fixed"/>
        <w:tblInd w:w="59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AEW Capital Management, Inc., its</w:t>
            </w:r>
          </w:p>
        </w:tc>
      </w:tr>
      <w:tr>
        <w:trPr>
          <w:trHeight w:val="230"/>
        </w:trPr>
        <w:tc>
          <w:tcPr>
            <w:tcW w:w="580" w:type="dxa"/>
            <w:vAlign w:val="bottom"/>
          </w:tcPr>
          <w:p>
            <w:pPr>
              <w:spacing w:after="0"/>
              <w:rPr>
                <w:sz w:val="20"/>
                <w:szCs w:val="20"/>
                <w:color w:val="auto"/>
              </w:rPr>
            </w:pPr>
          </w:p>
        </w:tc>
        <w:tc>
          <w:tcPr>
            <w:tcW w:w="4880" w:type="dxa"/>
            <w:vAlign w:val="bottom"/>
          </w:tcPr>
          <w:p>
            <w:pPr>
              <w:ind w:left="660"/>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Title:  Vice President</w:t>
            </w:r>
          </w:p>
        </w:tc>
      </w:tr>
      <w:tr>
        <w:trPr>
          <w:trHeight w:val="648"/>
        </w:trPr>
        <w:tc>
          <w:tcPr>
            <w:tcW w:w="5460" w:type="dxa"/>
            <w:vAlign w:val="bottom"/>
            <w:gridSpan w:val="2"/>
          </w:tcPr>
          <w:p>
            <w:pPr>
              <w:spacing w:after="0"/>
              <w:rPr>
                <w:sz w:val="20"/>
                <w:szCs w:val="20"/>
                <w:color w:val="auto"/>
              </w:rPr>
            </w:pPr>
            <w:r>
              <w:rPr>
                <w:rFonts w:ascii="Arial" w:cs="Arial" w:eastAsia="Arial" w:hAnsi="Arial"/>
                <w:sz w:val="18"/>
                <w:szCs w:val="18"/>
                <w:color w:val="auto"/>
              </w:rPr>
              <w:t>AEW CAPITAL MANAGEMENT,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100" w:firstLine="972"/>
        <w:spacing w:after="0" w:line="30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Brandywine Realty Trust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8th day of February, 2019.</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AEW CAPITAL MANAGEMENT, L.P.</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AEW Capital Management, Inc., its</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AEW CAPITAL MANAGEMENT, INC.</w:t>
      </w:r>
    </w:p>
    <w:p>
      <w:pPr>
        <w:spacing w:after="0" w:line="225"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Finnegan</w:t>
            </w:r>
          </w:p>
        </w:tc>
      </w:tr>
      <w:tr>
        <w:trPr>
          <w:trHeight w:val="195"/>
        </w:trPr>
        <w:tc>
          <w:tcPr>
            <w:tcW w:w="5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Name: James J. Finnegan</w:t>
            </w:r>
          </w:p>
        </w:tc>
      </w:tr>
      <w:tr>
        <w:trPr>
          <w:trHeight w:val="230"/>
        </w:trPr>
        <w:tc>
          <w:tcPr>
            <w:tcW w:w="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9"/>
    </w:lvl>
  </w:abstractNum>
  <w:abstractNum w:abstractNumId="3">
    <w:nsid w:val="2EB141F2"/>
    <w:multiLevelType w:val="hybridMultilevel"/>
    <w:lvl w:ilvl="0">
      <w:lvlJc w:val="left"/>
      <w:lvlText w:val="(%1)"/>
      <w:numFmt w:val="decimal"/>
      <w:start w:val="1"/>
    </w:lvl>
    <w:lvl w:ilvl="1">
      <w:lvlJc w:val="left"/>
      <w:lvlText w:val="(%2)"/>
      <w:numFmt w:val="lowerLetter"/>
      <w:start w:val="1"/>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2019-12-04T23:14:37Z</dcterms:created>
  <dcterms:modified xsi:type="dcterms:W3CDTF">2019-12-04T23:14:37Z</dcterms:modified>
</cp:coreProperties>
</file>