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160" w:type="dxa"/>
            <w:vAlign w:val="bottom"/>
            <w:gridSpan w:val="2"/>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9"/>
              </w:rPr>
              <w:t>Filed Pursuant to 424(b)(5)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160" w:type="dxa"/>
            <w:vAlign w:val="bottom"/>
            <w:gridSpan w:val="2"/>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Registration No. 333-203999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2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0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Shares of Beneficial Interest, $0.01 par value</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$400,000,000</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$46,360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4"/>
          <w:szCs w:val="24"/>
          <w:color w:val="auto"/>
        </w:rPr>
      </w:pPr>
    </w:p>
    <w:p>
      <w:pPr>
        <w:ind w:left="460" w:right="32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is calculated in accordance with Rule 457(o) under the Securities Act, based on the proposed maximum aggregate offering price, and Rule 457(r) under the Securities Act. Pursuant to Rule 457(p) under the Securities Act, the Registrant is offsetting the registration fee of $46,360 by $4,932, which represents the portion of the registration fee previously paid by the Registrant with respect to the unsold securities registered on the Registration Statement on Form S-3 (File No. 333-203999) and offered by means of a prospectus supplement dated May 11, 2015.</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8, 2015)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182245</wp:posOffset>
            </wp:positionV>
            <wp:extent cx="2255520"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with each of Wells Fargo Securities, LLC, Merrill Lynch, Pierce, Fenner &amp; Smith Incorporated and Citigroup Global Markets Inc., or the Agents, relating to our common shares of beneficial interest, par value $0.01 per share, offered by this prospectus supplement and the accompanying prospectus, pursuant to a continuous offering program. In accordance with the terms of the equity distribution agreements, we may from time to time offer and sell common shares having an aggregate offering price of up to $400,000,000 through the Agents as our sales agents. Upon entering into these equity distribution agreements, we simultaneously terminated the equity distribution agreements we entered into with Wells Fargo Securities, LLC and Merrill Lynch, Pierce, Fenner &amp; Smith Incorporated in connection with a prior “at the market” offering program established in May 2015.</w:t>
      </w:r>
    </w:p>
    <w:p>
      <w:pPr>
        <w:spacing w:after="0" w:line="18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or the NYSE, under the symbol “FRT.” On November 3, 2016, the last reported sale price of our common shares on the NYSE was $137.31 per share.</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The Agents are not required to sell any specific number or dollar amount of common shares, but as instructed by us will make all sales using commercially reasonable efforts, as our sales agents and subject to the terms of the equity distribution agreements. Our common shares to which this prospectus supplement relates will be sold through only one Agent on any given day. The offering of common shares pursuant to the equity distribution agreements will terminate upon the earlier of (1) the sale of common shares having an aggregate offering price of $400,000,000 and (2) with respect to a particular equity distribution agreement, the termination of such equity distribution agreement.</w:t>
      </w:r>
    </w:p>
    <w:p>
      <w:pPr>
        <w:spacing w:after="0" w:line="18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will pay each of the Agents a commission that will not exceed, but may be lower than, 2.0% of the gross sales price per common share sold through it under the applicable equity distribution agreement.</w:t>
      </w:r>
    </w:p>
    <w:p>
      <w:pPr>
        <w:spacing w:after="0" w:line="158"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shares involves risks. See “Risk Factors” beginning on page S-3 of this prospectus supplement and in our Annual Report on Form 10-K for the year ended December 31, 2015, filed with the Securities and Exchange Commission, or the SEC, on February 9, 2016.</w:t>
      </w:r>
    </w:p>
    <w:p>
      <w:pPr>
        <w:spacing w:after="0" w:line="15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tabs>
          <w:tab w:leader="none" w:pos="4700" w:val="left"/>
          <w:tab w:leader="none" w:pos="10360" w:val="left"/>
        </w:tabs>
        <w:rPr>
          <w:sz w:val="20"/>
          <w:szCs w:val="20"/>
          <w:color w:val="auto"/>
        </w:rPr>
      </w:pPr>
      <w:r>
        <w:rPr>
          <w:rFonts w:ascii="Times New Roman" w:cs="Times New Roman" w:eastAsia="Times New Roman" w:hAnsi="Times New Roman"/>
          <w:sz w:val="25"/>
          <w:szCs w:val="25"/>
          <w:b w:val="1"/>
          <w:bCs w:val="1"/>
          <w:color w:val="auto"/>
        </w:rPr>
        <w:t>Wells Fargo Securities</w:t>
      </w:r>
      <w:r>
        <w:rPr>
          <w:sz w:val="20"/>
          <w:szCs w:val="20"/>
          <w:color w:val="auto"/>
        </w:rPr>
        <w:tab/>
      </w: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4"/>
          <w:szCs w:val="24"/>
          <w:b w:val="1"/>
          <w:bCs w:val="1"/>
          <w:color w:val="auto"/>
        </w:rPr>
        <w:t>Citigroup</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4, 2016.</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6"/>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About this Prospectus Supplement</w:t>
              </w:r>
            </w:hyperlink>
          </w:p>
        </w:tc>
        <w:tc>
          <w:tcPr>
            <w:tcW w:w="2180" w:type="dxa"/>
            <w:vAlign w:val="bottom"/>
            <w:gridSpan w:val="4"/>
            <w:vMerge w:val="restart"/>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6"/>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Cautionary Statement Concerning Forward-Looking Statements</w:t>
              </w:r>
            </w:hyperlink>
          </w:p>
        </w:tc>
        <w:tc>
          <w:tcPr>
            <w:tcW w:w="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Prospectus Supplement Summary</w:t>
              </w:r>
            </w:hyperlink>
          </w:p>
        </w:tc>
        <w:tc>
          <w:tcPr>
            <w:tcW w:w="2240" w:type="dxa"/>
            <w:vAlign w:val="bottom"/>
            <w:gridSpan w:val="5"/>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Risk Factors</w:t>
              </w:r>
            </w:hyperlink>
          </w:p>
        </w:tc>
        <w:tc>
          <w:tcPr>
            <w:tcW w:w="3760" w:type="dxa"/>
            <w:vAlign w:val="bottom"/>
            <w:gridSpan w:val="8"/>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Use of Proceeds</w:t>
              </w:r>
            </w:hyperlink>
          </w:p>
        </w:tc>
        <w:tc>
          <w:tcPr>
            <w:tcW w:w="3500" w:type="dxa"/>
            <w:vAlign w:val="bottom"/>
            <w:gridSpan w:val="6"/>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Additional Material Federal Income Tax Considerations</w:t>
              </w:r>
            </w:hyperlink>
          </w:p>
        </w:tc>
        <w:tc>
          <w:tcPr>
            <w:tcW w:w="64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4680" w:type="dxa"/>
            <w:vAlign w:val="bottom"/>
            <w:gridSpan w:val="10"/>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Plan of Distribution (Conflicts of Interest)</w:t>
              </w:r>
            </w:hyperlink>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Experts</w:t>
              </w:r>
            </w:hyperlink>
          </w:p>
        </w:tc>
        <w:tc>
          <w:tcPr>
            <w:tcW w:w="2480" w:type="dxa"/>
            <w:vAlign w:val="bottom"/>
            <w:tcBorders>
              <w:top w:val="single" w:sz="8" w:color="0000EE"/>
            </w:tcBorders>
            <w:gridSpan w:val="6"/>
          </w:tcPr>
          <w:p>
            <w:pPr>
              <w:spacing w:after="0"/>
              <w:rPr>
                <w:sz w:val="17"/>
                <w:szCs w:val="17"/>
                <w:color w:val="auto"/>
              </w:rPr>
            </w:pPr>
          </w:p>
        </w:tc>
        <w:tc>
          <w:tcPr>
            <w:tcW w:w="1640" w:type="dxa"/>
            <w:vAlign w:val="bottom"/>
            <w:gridSpan w:val="3"/>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Legal Matters</w:t>
              </w:r>
            </w:hyperlink>
          </w:p>
        </w:tc>
        <w:tc>
          <w:tcPr>
            <w:tcW w:w="3660" w:type="dxa"/>
            <w:vAlign w:val="bottom"/>
            <w:gridSpan w:val="7"/>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4260" w:type="dxa"/>
            <w:vAlign w:val="bottom"/>
            <w:gridSpan w:val="12"/>
            <w:vMerge w:val="continue"/>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12"/>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Forward-Looking Statements</w:t>
              </w:r>
            </w:hyperlink>
          </w:p>
        </w:tc>
        <w:tc>
          <w:tcPr>
            <w:tcW w:w="70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Risk Factors</w:t>
              </w:r>
            </w:hyperlink>
          </w:p>
        </w:tc>
        <w:tc>
          <w:tcPr>
            <w:tcW w:w="3340" w:type="dxa"/>
            <w:vAlign w:val="bottom"/>
            <w:gridSpan w:val="10"/>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Use of Proceeds</w:t>
              </w:r>
            </w:hyperlink>
          </w:p>
        </w:tc>
        <w:tc>
          <w:tcPr>
            <w:tcW w:w="3080" w:type="dxa"/>
            <w:vAlign w:val="bottom"/>
            <w:gridSpan w:val="8"/>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Description of Debt Securities</w:t>
              </w:r>
            </w:hyperlink>
          </w:p>
        </w:tc>
        <w:tc>
          <w:tcPr>
            <w:tcW w:w="2060" w:type="dxa"/>
            <w:vAlign w:val="bottom"/>
            <w:gridSpan w:val="4"/>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Description of Shares of Beneficial Interest</w:t>
              </w:r>
            </w:hyperlink>
          </w:p>
        </w:tc>
        <w:tc>
          <w:tcPr>
            <w:tcW w:w="1120" w:type="dxa"/>
            <w:vAlign w:val="bottom"/>
            <w:gridSpan w:val="2"/>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Material Federal Income Tax Considerations</w:t>
              </w:r>
            </w:hyperlink>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Legal Matters</w:t>
              </w:r>
            </w:hyperlink>
          </w:p>
        </w:tc>
        <w:tc>
          <w:tcPr>
            <w:tcW w:w="3240" w:type="dxa"/>
            <w:vAlign w:val="bottom"/>
            <w:gridSpan w:val="9"/>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Experts</w:t>
              </w:r>
            </w:hyperlink>
          </w:p>
        </w:tc>
        <w:tc>
          <w:tcPr>
            <w:tcW w:w="3700" w:type="dxa"/>
            <w:vAlign w:val="bottom"/>
            <w:gridSpan w:val="11"/>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Where You Can Find More Information</w:t>
              </w:r>
            </w:hyperlink>
          </w:p>
        </w:tc>
        <w:tc>
          <w:tcPr>
            <w:tcW w:w="1380" w:type="dxa"/>
            <w:vAlign w:val="bottom"/>
            <w:gridSpan w:val="3"/>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Agents, authorized any other person to provide you with additional or different information. If anyone provides you with additional or different information, you should not rely on it. We are not, nor are the Agents,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or incorporated by reference into this prospectus supplement and the accompanying prospectus describe forward-looking information. The risk factors contained in our Annual Report on Form 10-K for the year ended December 31, 2015, filed with the Securities and Exchange Commission, or the SEC, on February 9, 2016,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95" w:lineRule="exact"/>
        <w:rPr>
          <w:sz w:val="20"/>
          <w:szCs w:val="20"/>
          <w:color w:val="auto"/>
        </w:rPr>
      </w:pPr>
    </w:p>
    <w:p>
      <w:pPr>
        <w:ind w:left="900" w:right="22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may not pay rent, may vacate early or may file for bankruptcy, or that we may be unable to renew leases or re-let space at favorable rents as leases expire;</w:t>
      </w:r>
    </w:p>
    <w:p>
      <w:pPr>
        <w:spacing w:after="0" w:line="67"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1"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incorporated by reference into this prospectus supplement and the accompanying prospectus. We also make no promise to update any of the forward-looking statements, or to publicly release the results if we revise any of them.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477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3477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200" w:right="18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left="200" w:right="20" w:firstLine="443"/>
        <w:spacing w:after="0" w:line="266" w:lineRule="auto"/>
        <w:rPr>
          <w:sz w:val="20"/>
          <w:szCs w:val="20"/>
          <w:color w:val="auto"/>
        </w:rPr>
      </w:pPr>
      <w:r>
        <w:rPr>
          <w:rFonts w:ascii="Times New Roman" w:cs="Times New Roman" w:eastAsia="Times New Roman" w:hAnsi="Times New Roman"/>
          <w:sz w:val="18"/>
          <w:szCs w:val="18"/>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w:t>
      </w:r>
    </w:p>
    <w:p>
      <w:pPr>
        <w:spacing w:after="0" w:line="176"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color w:val="auto"/>
        </w:rPr>
        <w:t>As of September 30, 2016, we owned or had a majority interest in community and neighborhood shopping centers and mixed-use properties which are operated as 96 predominantly retail real estate projects comprising approximately 22.4 million square feet. In total, the real estate projects were</w:t>
      </w: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94.3% leased and 93.1% occupied at September 30, 2016. We have paid quarterly dividends to our shareholders continuously since our founding in 1962 and have increased our dividends per common share for 49 consecutive years.</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386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4386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260"/>
          </w:cols>
          <w:pgMar w:left="240" w:top="455" w:right="399" w:bottom="1440" w:gutter="0" w:footer="0" w:header="0"/>
        </w:sectPr>
      </w:pP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Common shares offered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shares with an aggregate offering price of up to $400,000,000.</w:t>
      </w:r>
    </w:p>
    <w:p>
      <w:pPr>
        <w:spacing w:after="0" w:line="129" w:lineRule="exact"/>
        <w:rPr>
          <w:sz w:val="20"/>
          <w:szCs w:val="20"/>
          <w:color w:val="auto"/>
        </w:rPr>
      </w:pPr>
    </w:p>
    <w:p>
      <w:pPr>
        <w:sectPr>
          <w:pgSz w:w="11900" w:h="16838" w:orient="portrait"/>
          <w:cols w:equalWidth="0" w:num="2">
            <w:col w:w="4020" w:space="720"/>
            <w:col w:w="652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FRT.</w:t>
      </w:r>
    </w:p>
    <w:p>
      <w:pPr>
        <w:spacing w:after="0" w:line="129" w:lineRule="exact"/>
        <w:rPr>
          <w:sz w:val="20"/>
          <w:szCs w:val="20"/>
          <w:color w:val="auto"/>
        </w:rPr>
      </w:pPr>
    </w:p>
    <w:p>
      <w:pPr>
        <w:sectPr>
          <w:pgSz w:w="11900" w:h="16838" w:orient="portrait"/>
          <w:cols w:equalWidth="0" w:num="2">
            <w:col w:w="4020" w:space="720"/>
            <w:col w:w="652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See “Use of Proceeds” on page S-3 for more information.</w:t>
      </w:r>
    </w:p>
    <w:p>
      <w:pPr>
        <w:spacing w:after="0" w:line="72" w:lineRule="exact"/>
        <w:rPr>
          <w:sz w:val="20"/>
          <w:szCs w:val="20"/>
          <w:color w:val="auto"/>
        </w:rPr>
      </w:pPr>
    </w:p>
    <w:p>
      <w:pPr>
        <w:sectPr>
          <w:pgSz w:w="11900" w:h="16838" w:orient="portrait"/>
          <w:cols w:equalWidth="0" w:num="2">
            <w:col w:w="4020" w:space="720"/>
            <w:col w:w="652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Material U.S. federal income tax considerations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Times New Roman" w:cs="Times New Roman" w:eastAsia="Times New Roman" w:hAnsi="Times New Roman"/>
          <w:sz w:val="18"/>
          <w:szCs w:val="18"/>
          <w:color w:val="auto"/>
        </w:rPr>
        <w:t>For a description of material U.S. federal income tax considerations of an investment in our common shares, please review the disclosure in the accompanying prospectus under “Material Federal Income Tax Considerations” and in this prospectus supplement under “Additional Material Federal Income Tax Considerations.” Such disclosure may be updated from time to time in filings we make with the SEC that are incorporated by reference in the accompanying prospectus.</w:t>
      </w:r>
    </w:p>
    <w:p>
      <w:pPr>
        <w:spacing w:after="0" w:line="80" w:lineRule="exact"/>
        <w:rPr>
          <w:sz w:val="20"/>
          <w:szCs w:val="20"/>
          <w:color w:val="auto"/>
        </w:rPr>
      </w:pPr>
    </w:p>
    <w:p>
      <w:pPr>
        <w:sectPr>
          <w:pgSz w:w="11900" w:h="16838" w:orient="portrait"/>
          <w:cols w:equalWidth="0" w:num="2">
            <w:col w:w="4020" w:space="720"/>
            <w:col w:w="6520"/>
          </w:cols>
          <w:pgMar w:left="240" w:top="455" w:right="3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Investing in our common shares involves risks. Please review the risk factors discussed beginning on page S-3 of this prospectus supplement and in our Annual Report on Form 10-K for the year ended December 31, 2015, filed with the SEC on February 9, 2016, and the other information contained in or incorporated by reference into this prospectus supplement and the accompanying prospectus for a discussion of factors you should consider before deciding to invest in our common shares. You may obtain a copy of our Annual Report on Form 10-K and the other documents incorporated by reference into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4020" w:space="720"/>
            <w:col w:w="6520"/>
          </w:cols>
          <w:pgMar w:left="240" w:top="455" w:right="39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60"/>
          </w:cols>
          <w:pgMar w:left="240" w:top="455" w:right="39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the accompanying prospectus, including the additional risk factors in our most recent Annual Report on Form 10-K filed with the SEC.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You may experience significant dilution as a result of this offering and additional issuances of our securities, which could harm the market price of our common shares.</w:t>
      </w:r>
    </w:p>
    <w:p>
      <w:pPr>
        <w:spacing w:after="0" w:line="15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common or preferred shares or other securities, including sales of common shares in this offering through the Agents, based on market conditions and other factors that may be beyond our control.</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offering, or otherwise, or as a result of the perception or expectation that such sales could occur.</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5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As of September 30, 2016, we had approximately $2.8 billion of debt outstanding, and 399,896 shares of our 5.417% Series 1 Cumulative Convertible Preferred Shares, or the Series 1 Preferred Shares,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potential acquisition opportunities, fund our development or redevelopment pipeline, repay amounts outstanding under our revolving credit facility, and/or for general corporate purposes. As of September 30, 2016, our revolving credit facility, the interest rate on which is tied to our credit rating, bears interest at LIBOR plus 82.5 basis points and matures on April 20, 2020. Affiliates of the Agents are lenders under our revolving credit facility and will receive a pro rata portion of any proceeds used to repay amounts outstanding under our revolving credit facility.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MATERIAL FEDERAL INCOME TAX CONSIDERATIONS</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following is a summary of additional material federal income tax considerations with respect to our qualification as a REIT and the purchase, ownership, and disposition of our shares. This discussion supplements and updates the discussions contained in the prospectus under the heading “Material Federal Income Tax Considerations” and supersedes such discussions to the extent inconsistent with such discussions. This discussion applies only to initial beneficial owners of our shares who purchase their shares at their issue price (as defined below) and who hold the shares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shareholders. This discussion does not address all the tax consequences that may be relevant to a particular shareholder or to shareholders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shares through, partnerships or other pass-through entities, or persons that hold shares as part of a straddle, hedge, conversion, synthetic security or constructive sale transaction for U.S. federal income tax purposes. Except as specifically provided below with respect to Non-U.S. Holders (as defined in the prospectus), the discussion is limited to beneficial owners of shares that are U.S. Holders. As supplemented and updated by this summary, investors should review the discussion in the prospectus under the heading “Material Federal Income Tax Considerations” for a more detailed summary of the federal income tax consequences of the purchase, ownership and disposition of our shares and our election to be subject to federal income tax as a REIT.</w:t>
      </w:r>
    </w:p>
    <w:p>
      <w:pPr>
        <w:spacing w:after="0" w:line="194"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U.S. FEDERAL, STATE, LOCAL, FOREIGN AND OTHER TAX CONSEQUENCES OF THE ACQUISITION, OWNERSHIP AND DISPOSITION OF OUR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Implementation Date for Withholding Taxes on Certain Foreign Accounts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On September 18, 2015, the Internal Revenue Service issued a Notice with respect to the legislation discussed in “Material Federal Income Tax Considerations—Reporting and Withholding on Foreign Financial Accounts.” This Notice extended the date on which withholding begins for gross proceeds withholding from January 1, 2017 to January 1, 2019. Prospective investors should consult their tax advisors regarding all aspects of this legislation.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PATH Act Modification of Certain Rules Applicable to REITs</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82" w:lineRule="exact"/>
        <w:rPr>
          <w:sz w:val="20"/>
          <w:szCs w:val="20"/>
          <w:color w:val="auto"/>
        </w:rPr>
      </w:pPr>
    </w:p>
    <w:p>
      <w:pPr>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Reduction in Built-in Gains Period</w:t>
      </w:r>
      <w:r>
        <w:rPr>
          <w:rFonts w:ascii="Times New Roman" w:cs="Times New Roman" w:eastAsia="Times New Roman" w:hAnsi="Times New Roman"/>
          <w:sz w:val="18"/>
          <w:szCs w:val="18"/>
          <w:color w:val="auto"/>
        </w:rPr>
        <w:t>. For taxable years beginning in 2015 and later, the “built-in gains” period (i.e., the period during which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or disposition of property acquired by a REIT from a C corporation in a tax-free merger or other carryover basis transaction is subject to C corporation tax) is reduced from ten years to five years.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June 7, 2016, the IRS and Treasury Department issued temporary regulations changing the “built-in gains” recognition period for the corporate tax on built-in gains described in the discussion above. For assets acquired prior to August 8, 2016, the recognition period applicable to us with respect to an asset with built-in gain was the five-year period beginning on the day the asset was acquired. Effective for assets with built-in gain acquired on or after August 8, 2016, the recognition period is the ten-year period beginning on the day the asset was acquired.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Reduction in Permissible Holdings of the Securities of Taxable REIT Subsidiaries</w:t>
      </w:r>
      <w:r>
        <w:rPr>
          <w:rFonts w:ascii="Times New Roman" w:cs="Times New Roman" w:eastAsia="Times New Roman" w:hAnsi="Times New Roman"/>
          <w:sz w:val="18"/>
          <w:szCs w:val="18"/>
          <w:color w:val="auto"/>
        </w:rPr>
        <w:t>. For taxable years beginning after 2017, the percentage of our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that may be represented by securities of one or more taxable REIT subsidiaries is reduced from 25% to 20%.</w:t>
      </w:r>
    </w:p>
    <w:p>
      <w:pPr>
        <w:spacing w:after="0" w:line="1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Prohibited Transaction Safe Harbors</w:t>
      </w:r>
      <w:r>
        <w:rPr>
          <w:rFonts w:ascii="Times New Roman" w:cs="Times New Roman" w:eastAsia="Times New Roman" w:hAnsi="Times New Roman"/>
          <w:sz w:val="18"/>
          <w:szCs w:val="18"/>
          <w:color w:val="auto"/>
        </w:rPr>
        <w:t>. We are subject to a 100% tax on net income from “prohibited transactions,” i.e., sales of dealer property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w:t>
      </w:r>
    </w:p>
    <w:p>
      <w:pPr>
        <w:spacing w:after="0" w:line="1" w:lineRule="exact"/>
        <w:rPr>
          <w:sz w:val="20"/>
          <w:szCs w:val="20"/>
          <w:color w:val="auto"/>
        </w:rPr>
      </w:pPr>
    </w:p>
    <w:p>
      <w:pPr>
        <w:jc w:val="both"/>
        <w:ind w:right="260" w:firstLine="8"/>
        <w:spacing w:after="0" w:line="255" w:lineRule="auto"/>
        <w:tabs>
          <w:tab w:leader="none" w:pos="3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91" w:lineRule="exact"/>
        <w:rPr>
          <w:rFonts w:ascii="Times New Roman" w:cs="Times New Roman" w:eastAsia="Times New Roman" w:hAnsi="Times New Roman"/>
          <w:sz w:val="18"/>
          <w:szCs w:val="18"/>
          <w:color w:val="auto"/>
        </w:rPr>
      </w:pPr>
    </w:p>
    <w:p>
      <w:pPr>
        <w:ind w:left="900" w:right="380" w:hanging="446"/>
        <w:spacing w:after="0" w:line="266"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81"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years beginning after 2015, if we rely on clauses (II) or (III), a taxable REIT subsidiary may make the marketing and development expenditures that previously had to be made by an independent contractor.</w:t>
      </w:r>
    </w:p>
    <w:p>
      <w:pPr>
        <w:spacing w:after="0" w:line="160"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TRS Operation of Foreclosure Property</w:t>
      </w:r>
      <w:r>
        <w:rPr>
          <w:rFonts w:ascii="Times New Roman" w:cs="Times New Roman" w:eastAsia="Times New Roman" w:hAnsi="Times New Roman"/>
          <w:sz w:val="18"/>
          <w:szCs w:val="18"/>
          <w:color w:val="auto"/>
        </w:rPr>
        <w:t>. For taxable years beginning after 2015, a taxable REIT subsidiary may operate property on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 foreclosure property election without loss of foreclosure property status.</w:t>
      </w:r>
    </w:p>
    <w:p>
      <w:pPr>
        <w:spacing w:after="0" w:line="158" w:lineRule="exact"/>
        <w:rPr>
          <w:sz w:val="20"/>
          <w:szCs w:val="20"/>
          <w:color w:val="auto"/>
        </w:rPr>
      </w:pPr>
    </w:p>
    <w:p>
      <w:pPr>
        <w:jc w:val="both"/>
        <w:ind w:right="4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Modification to Preferential Dividend Rules</w:t>
      </w:r>
      <w:r>
        <w:rPr>
          <w:rFonts w:ascii="Times New Roman" w:cs="Times New Roman" w:eastAsia="Times New Roman" w:hAnsi="Times New Roman"/>
          <w:sz w:val="18"/>
          <w:szCs w:val="18"/>
          <w:color w:val="auto"/>
        </w:rPr>
        <w:t>. For distributions in taxable years beginning after 2014, the preferential dividend rules do not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offered REITs.” A “publicly offered REIT” means a REIT that is required to file annual and periodic reports with the Securities and Exchange Commission under the Securities Exchange Act of 1934. We are a publicly offered REIT.</w:t>
      </w:r>
    </w:p>
    <w:p>
      <w:pPr>
        <w:spacing w:after="0" w:line="174" w:lineRule="exact"/>
        <w:rPr>
          <w:sz w:val="20"/>
          <w:szCs w:val="20"/>
          <w:color w:val="auto"/>
        </w:rPr>
      </w:pPr>
    </w:p>
    <w:p>
      <w:pPr>
        <w:jc w:val="cente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Limitations on Designation of Dividends by REITs</w:t>
      </w:r>
      <w:r>
        <w:rPr>
          <w:rFonts w:ascii="Times New Roman" w:cs="Times New Roman" w:eastAsia="Times New Roman" w:hAnsi="Times New Roman"/>
          <w:sz w:val="18"/>
          <w:szCs w:val="18"/>
          <w:color w:val="auto"/>
        </w:rPr>
        <w:t>. The aggregate amount of dividends that we may designate as qualified dividend income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74"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Debt Instruments of Publicly Offered REITs and Mortgages Treated as Real Estate Assets</w:t>
      </w:r>
      <w:r>
        <w:rPr>
          <w:rFonts w:ascii="Times New Roman" w:cs="Times New Roman" w:eastAsia="Times New Roman" w:hAnsi="Times New Roman"/>
          <w:sz w:val="18"/>
          <w:szCs w:val="18"/>
          <w:color w:val="auto"/>
        </w:rPr>
        <w:t>. The PATH Act provides that debt instruments issued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Asset and Income Test Clarification Regarding Ancillary Personal Property</w:t>
      </w:r>
      <w:r>
        <w:rPr>
          <w:rFonts w:ascii="Times New Roman" w:cs="Times New Roman" w:eastAsia="Times New Roman" w:hAnsi="Times New Roman"/>
          <w:sz w:val="18"/>
          <w:szCs w:val="18"/>
          <w:color w:val="auto"/>
        </w:rPr>
        <w:t>. Rent attributable to personal property which is leased under,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Hedging Provisions</w:t>
      </w:r>
      <w:r>
        <w:rPr>
          <w:rFonts w:ascii="Times New Roman" w:cs="Times New Roman" w:eastAsia="Times New Roman" w:hAnsi="Times New Roman"/>
          <w:sz w:val="18"/>
          <w:szCs w:val="18"/>
          <w:color w:val="auto"/>
        </w:rPr>
        <w:t>. Income from hedging transactions that hedge certain REIT liabilities and currency risks is disregarded in applying the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180" w:lineRule="exact"/>
        <w:rPr>
          <w:sz w:val="20"/>
          <w:szCs w:val="20"/>
          <w:color w:val="auto"/>
        </w:rPr>
      </w:pPr>
    </w:p>
    <w:p>
      <w:pPr>
        <w:ind w:right="5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Modification of REIT Earnings and Profits Calculation</w:t>
      </w:r>
      <w:r>
        <w:rPr>
          <w:rFonts w:ascii="Times New Roman" w:cs="Times New Roman" w:eastAsia="Times New Roman" w:hAnsi="Times New Roman"/>
          <w:sz w:val="18"/>
          <w:szCs w:val="18"/>
          <w:color w:val="auto"/>
        </w:rPr>
        <w:t>. The PATH Act modified the special earnings and profits rules in the Code to ensure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for taxable years after 2015, will not be treated as receiving taxable dividends from us that exceed our earnings and profits.</w:t>
      </w:r>
    </w:p>
    <w:p>
      <w:pPr>
        <w:spacing w:after="0" w:line="15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Treatment of Certain Services Provided by Taxable REIT Subsidiaries</w:t>
      </w:r>
      <w:r>
        <w:rPr>
          <w:rFonts w:ascii="Times New Roman" w:cs="Times New Roman" w:eastAsia="Times New Roman" w:hAnsi="Times New Roman"/>
          <w:sz w:val="18"/>
          <w:szCs w:val="18"/>
          <w:color w:val="auto"/>
        </w:rPr>
        <w:t>. For taxable years beginning after 2015, a 100% excise tax is imposed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Exceptions from FIRPTA for Certain REIT Stock Gains and Distributions</w:t>
      </w:r>
      <w:r>
        <w:rPr>
          <w:rFonts w:ascii="Times New Roman" w:cs="Times New Roman" w:eastAsia="Times New Roman" w:hAnsi="Times New Roman"/>
          <w:sz w:val="18"/>
          <w:szCs w:val="18"/>
          <w:color w:val="auto"/>
        </w:rPr>
        <w:t>. On or after December 18, 2015, the disposition of stock of a publicly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82"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9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Determination of Domestically Controlled REIT Status</w:t>
      </w:r>
      <w:r>
        <w:rPr>
          <w:rFonts w:ascii="Times New Roman" w:cs="Times New Roman" w:eastAsia="Times New Roman" w:hAnsi="Times New Roman"/>
          <w:sz w:val="18"/>
          <w:szCs w:val="18"/>
          <w:color w:val="auto"/>
        </w:rPr>
        <w:t>. In determining whether we are domestically controlled for purposes of the exception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FIRPTA for 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FIRPTA Exception for Interests Held by Foreign Retirement or Pension Funds</w:t>
      </w:r>
      <w:r>
        <w:rPr>
          <w:rFonts w:ascii="Times New Roman" w:cs="Times New Roman" w:eastAsia="Times New Roman" w:hAnsi="Times New Roman"/>
          <w:sz w:val="18"/>
          <w:szCs w:val="18"/>
          <w:color w:val="auto"/>
        </w:rPr>
        <w:t>. “Qualified foreign pension funds” and entities that are wholly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Increase in Rate of FIRPTA Withholding</w:t>
      </w:r>
      <w:r>
        <w:rPr>
          <w:rFonts w:ascii="Times New Roman" w:cs="Times New Roman" w:eastAsia="Times New Roman" w:hAnsi="Times New Roman"/>
          <w:sz w:val="18"/>
          <w:szCs w:val="18"/>
          <w:color w:val="auto"/>
        </w:rPr>
        <w:t>. For sales of United States real property interests occurring after February 16, 2016, the FIRPTA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for dispositions of United States real property interests and certain distributions increases from 10% to 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Bipartisan Budget Act Alteration of Rules Concerning Liability for Partnership Audit Adjustments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new rule generally does not apply to audits of taxable years beginning before January 1, 2018, and many of the details, including the means by which a partnership can avail itself of the alternative methods and the manner in which the alternative methods may apply to REITs, will be determined through yet-to-be-proposed Treasury regulations or other guidance.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each dated as of November 4, 2016, with each of the Agents under which we may from time to time offer and sell common shares having an aggregate offering price of up to $400,000,000. Sales of our common shares, if any, under this prospectus supplement and the accompanying prospectus may be made in transactions that are deemed to be “at the market” offerings, including sales made directly on the NYSE or sales made to or through a market maker other than on an exchange, or in negotiated transactions, which may include block trades. As our sales agents, the Agents will not engage in any transactions that stabilize the price of our common shares.</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Upon its acceptance of written instructions from us, each Agent will use its commercially reasonable efforts, consistent with its sales and trading practices, to solicit offers to purchase our common shares under the terms and subject to the conditions set forth in the applicable equity distribution agreement. We will instruct each Agent as to the amount of common shares to be sold by it. We may instruct the Agents not to sell common shares if the sales cannot be effected at or above the price designated by us in any instruction. Our common shares sold pursuant to the equity distribution agreements will be sold through only one of the Agents on any given day. We or the Agents may suspend the offering of common shares upon proper notice and subject to other conditions.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relevant Agent will provide written confirmation to us no later than the opening of the NYSE on the trading day following the trading day in which common shares were sold under the applicable equity distribution agreement. Each confirmation will include the number of common shares sold on the preceding day, the net proceeds to us and the compensation payable by us to the Agent in connection with the sales.</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will pay each Agent commissions for its services in acting as sales agent and/or principal in the sale of common shares. Each Agent will be entitled to compensation that will not exceed, but may be lower than, 2.0% of the gross sales price of all common shares sold through it under the applicable equity distribution agreement. We estimate that the total expenses for the offering, excluding compensation payable to the Agents under the terms of the equity distribution agreements, will be approximately $200,000. In connection with the sale of common shares on our behalf, the Agents may be deemed to be “underwriters” within the meaning of the Securities Act, and the compensation paid to the Agents may be deemed to be underwriting commissions and discounts.</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Settlement of sales of common shares will occur on the third business day following the date on which any sales are made, or on some other date that is agreed upon by us and the applicable Agent in connection with a particular transaction, in return for payment of the net proceeds to us. There is no arrangement for funds to be received in an escrow, trust or similar arrangement.</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common shares sold through the Agents under the equity distribution agreements, the net proceeds to us and the compensation paid by us to the Agents in connection with the sales of common shares.</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Agents have determined that our common shares are “actively-traded securities” excepted from the requirements of Rule 101 of Regulation M under the Exchange Act by Rule 101(c)(1) under the Exchange Act. If either Agent has, or we have, reason to believe that the exemptive provisions set forth in Rule 101(c)(1) of Regulation M under the Exchange Act are not satisfied, the party will promptly notify the other parties, and sales of common shares under the equity distribution agreements will be suspended until that or other exemptive provisions have been satisfied in the judgment of the Agents and us.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offering of common shares pursuant to the equity distribution agreements will terminate upon the earlier of (1) the sale of common shares having an aggregate offering price of $400,000,000 pursuant to this offering and (2) with respect to a particular equity distribution agreement, the termination of such equity distribution agreement. Each equity distribution agreement may be terminated by the applicable Agent or us at any time upon three days’ notice, and by the applicable Agent at any time in certain circumstances, including our failure to maintain a listing of our common shares on the NYSE or the occurrence of a material adverse change in our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described above under “Use of Proceeds,” some of the net proceeds of this offering may be used to repay amounts outstanding under our revolving credit facility. Affiliates of the Agents are lenders under our revolving credit facility. Because affiliates of the Agents are lenders under our credit facility, the Agents or affiliates of the Agents may receive more than 5% of the proceeds of this offering.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The Agents and their respective affiliates have engaged in, and may in the future engage in, investment banking, commercial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New York Stock Exchange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“FRT.”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Pursuant to the equity distribution agreements, we have agreed to indemnify the Agents against certain liabilities, including liabilities under the Securities Act, or to contribute to payments the Agents may be required to make because of any of those liabilities.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effectiveness of the internal control over financial reporting incorporated by reference into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legality of the common shares offered by this prospectus supplement will be passed upon for us by Pillsbury Winthrop Shaw Pittman LLP, Washington, DC. In addition, the descriptions of material federal income tax considerations contained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New York, New York, will act as counsel to the Agents.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174625</wp:posOffset>
            </wp:positionV>
            <wp:extent cx="2255520" cy="909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8, 2015.</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right="2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in a manner intended to enable us to qualify as a REIT pursuant to provisions of the Internal Revenue Code of 1986, as amended,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ratios of earnings to fixed charges and preferred share dividends for the periods indicated:</w:t>
      </w:r>
    </w:p>
    <w:p>
      <w:pPr>
        <w:spacing w:after="0" w:line="24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7160"/>
        <w:spacing w:after="0"/>
        <w:tabs>
          <w:tab w:leader="none" w:pos="8900" w:val="left"/>
        </w:tabs>
        <w:rPr>
          <w:sz w:val="20"/>
          <w:szCs w:val="20"/>
          <w:color w:val="auto"/>
        </w:rPr>
      </w:pPr>
      <w:r>
        <w:rPr>
          <w:rFonts w:ascii="Times New Roman" w:cs="Times New Roman" w:eastAsia="Times New Roman" w:hAnsi="Times New Roman"/>
          <w:sz w:val="14"/>
          <w:szCs w:val="14"/>
          <w:b w:val="1"/>
          <w:bCs w:val="1"/>
          <w:color w:val="auto"/>
        </w:rPr>
        <w:t>Ended March 31,</w:t>
      </w:r>
      <w:r>
        <w:rPr>
          <w:sz w:val="20"/>
          <w:szCs w:val="20"/>
          <w:color w:val="auto"/>
        </w:rPr>
        <w:tab/>
      </w: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line="233" w:lineRule="auto"/>
        <w:tabs>
          <w:tab w:leader="none" w:pos="8640" w:val="left"/>
          <w:tab w:leader="none" w:pos="9240" w:val="left"/>
          <w:tab w:leader="none" w:pos="9840" w:val="left"/>
          <w:tab w:leader="none" w:pos="10420" w:val="left"/>
          <w:tab w:leader="none" w:pos="1102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r>
        <w:rPr>
          <w:sz w:val="20"/>
          <w:szCs w:val="20"/>
          <w:color w:val="auto"/>
        </w:rPr>
        <w:tab/>
      </w: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2011</w:t>
      </w:r>
      <w:r>
        <w:rPr>
          <w:sz w:val="20"/>
          <w:szCs w:val="20"/>
          <w:color w:val="auto"/>
        </w:rPr>
        <w:tab/>
      </w:r>
      <w:r>
        <w:rPr>
          <w:rFonts w:ascii="Times New Roman" w:cs="Times New Roman" w:eastAsia="Times New Roman" w:hAnsi="Times New Roman"/>
          <w:sz w:val="14"/>
          <w:szCs w:val="14"/>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w:t>
      </w:r>
    </w:p>
    <w:p>
      <w:pPr>
        <w:spacing w:after="0" w:line="27" w:lineRule="exact"/>
        <w:rPr>
          <w:sz w:val="20"/>
          <w:szCs w:val="20"/>
          <w:color w:val="auto"/>
        </w:rPr>
      </w:pPr>
    </w:p>
    <w:p>
      <w:pPr>
        <w:ind w:right="200" w:firstLine="8"/>
        <w:spacing w:after="0" w:line="254"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8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67"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78"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13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 determining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date or dates.</w:t>
      </w:r>
    </w:p>
    <w:p>
      <w:pPr>
        <w:spacing w:after="0" w:line="60" w:lineRule="exact"/>
        <w:rPr>
          <w:rFonts w:ascii="Times New Roman" w:cs="Times New Roman" w:eastAsia="Times New Roman" w:hAnsi="Times New Roman"/>
          <w:sz w:val="18"/>
          <w:szCs w:val="18"/>
          <w:color w:val="auto"/>
        </w:rPr>
      </w:pPr>
    </w:p>
    <w:p>
      <w:pPr>
        <w:ind w:left="900" w:right="30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900" w:right="4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jc w:val="both"/>
        <w:ind w:left="900" w:right="100" w:hanging="446"/>
        <w:spacing w:after="0" w:line="26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900" w:right="36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2" w:lineRule="exact"/>
        <w:rPr>
          <w:rFonts w:ascii="Times New Roman" w:cs="Times New Roman" w:eastAsia="Times New Roman" w:hAnsi="Times New Roman"/>
          <w:sz w:val="18"/>
          <w:szCs w:val="18"/>
          <w:color w:val="auto"/>
        </w:rPr>
      </w:pPr>
    </w:p>
    <w:p>
      <w:pPr>
        <w:ind w:left="900" w:right="1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900" w:right="5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900" w:right="62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900" w:right="100" w:hanging="446"/>
        <w:spacing w:after="0" w:line="28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 persons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taxes, assessments or similar charges.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8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900" w:right="220" w:hanging="446"/>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2" w:lineRule="exact"/>
        <w:rPr>
          <w:rFonts w:ascii="Times New Roman" w:cs="Times New Roman" w:eastAsia="Times New Roman" w:hAnsi="Times New Roman"/>
          <w:sz w:val="18"/>
          <w:szCs w:val="18"/>
          <w:color w:val="auto"/>
        </w:rPr>
      </w:pPr>
    </w:p>
    <w:p>
      <w:pPr>
        <w:ind w:left="900" w:right="180" w:hanging="446"/>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900" w:right="44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the manner in which, or the person to whom, any interest on any bearer securities of the series will be payable.</w:t>
      </w:r>
    </w:p>
    <w:p>
      <w:pPr>
        <w:spacing w:after="0" w:line="60" w:lineRule="exact"/>
        <w:rPr>
          <w:rFonts w:ascii="Times New Roman" w:cs="Times New Roman" w:eastAsia="Times New Roman" w:hAnsi="Times New Roman"/>
          <w:sz w:val="18"/>
          <w:szCs w:val="18"/>
          <w:color w:val="auto"/>
        </w:rPr>
      </w:pPr>
    </w:p>
    <w:p>
      <w:pPr>
        <w:ind w:left="900" w:right="32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60" w:lineRule="exact"/>
        <w:rPr>
          <w:rFonts w:ascii="Times New Roman" w:cs="Times New Roman" w:eastAsia="Times New Roman" w:hAnsi="Times New Roman"/>
          <w:sz w:val="18"/>
          <w:szCs w:val="18"/>
          <w:color w:val="auto"/>
        </w:rPr>
      </w:pPr>
    </w:p>
    <w:p>
      <w:pPr>
        <w:ind w:left="900" w:right="14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to or junior to other debt securities, whether currently outstanding or to be offered in the future, and to other debt, in right of payment.</w:t>
      </w:r>
    </w:p>
    <w:p>
      <w:pPr>
        <w:spacing w:after="0" w:line="60" w:lineRule="exact"/>
        <w:rPr>
          <w:rFonts w:ascii="Times New Roman" w:cs="Times New Roman" w:eastAsia="Times New Roman" w:hAnsi="Times New Roman"/>
          <w:sz w:val="18"/>
          <w:szCs w:val="18"/>
          <w:color w:val="auto"/>
        </w:rPr>
      </w:pPr>
    </w:p>
    <w:p>
      <w:pPr>
        <w:ind w:left="900" w:right="22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jc w:val="both"/>
        <w:ind w:left="900" w:right="180" w:hanging="446"/>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our common shares,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or advisable under U.S. laws or regulations or advisable, as we determine, in connection with marketing of securities of the series.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900" w:right="38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debt securities is U.S. Bank National Association, 214 North Tryon Street,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80"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series of debt securities;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5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dates by which we would have been required to file annual reports, quarterly reports and other documents with the SEC if we were so subject:</w:t>
      </w:r>
    </w:p>
    <w:p>
      <w:pPr>
        <w:spacing w:after="0" w:line="64" w:lineRule="exact"/>
        <w:rPr>
          <w:sz w:val="20"/>
          <w:szCs w:val="20"/>
          <w:color w:val="auto"/>
        </w:rPr>
      </w:pPr>
    </w:p>
    <w:p>
      <w:pPr>
        <w:jc w:val="both"/>
        <w:ind w:left="900" w:right="200" w:hanging="446"/>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13"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4"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460" w:right="140" w:hanging="547"/>
        <w:spacing w:after="0" w:line="266"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900" w:right="140" w:hanging="446"/>
        <w:spacing w:after="0" w:line="261"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2"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900" w:right="76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460" w:right="60" w:hanging="547"/>
        <w:spacing w:after="0" w:line="266"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1" w:lineRule="exact"/>
        <w:rPr>
          <w:rFonts w:ascii="Times New Roman" w:cs="Times New Roman" w:eastAsia="Times New Roman" w:hAnsi="Times New Roman"/>
          <w:sz w:val="18"/>
          <w:szCs w:val="18"/>
          <w:color w:val="auto"/>
        </w:rPr>
      </w:pPr>
    </w:p>
    <w:p>
      <w:pPr>
        <w:ind w:left="1460" w:right="80" w:hanging="547"/>
        <w:spacing w:after="0" w:line="282"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203"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not:</w:t>
      </w:r>
    </w:p>
    <w:p>
      <w:pPr>
        <w:spacing w:after="0" w:line="64"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5660" w:right="2000" w:hanging="5206"/>
        <w:spacing w:after="0" w:line="454" w:lineRule="auto"/>
        <w:tabs>
          <w:tab w:leader="none" w:pos="8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2"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right="140" w:firstLine="464"/>
        <w:spacing w:after="0" w:line="282" w:lineRule="auto"/>
        <w:tabs>
          <w:tab w:leader="none" w:pos="6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right="280" w:firstLine="464"/>
        <w:spacing w:after="0" w:line="282" w:lineRule="auto"/>
        <w:tabs>
          <w:tab w:leader="none" w:pos="6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225" w:lineRule="exact"/>
        <w:rPr>
          <w:rFonts w:ascii="Times New Roman" w:cs="Times New Roman" w:eastAsia="Times New Roman" w:hAnsi="Times New Roman"/>
          <w:sz w:val="18"/>
          <w:szCs w:val="18"/>
          <w:color w:val="auto"/>
        </w:rPr>
      </w:pPr>
    </w:p>
    <w:p>
      <w:pPr>
        <w:ind w:firstLine="464"/>
        <w:spacing w:after="0" w:line="266" w:lineRule="auto"/>
        <w:tabs>
          <w:tab w:leader="none" w:pos="6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700" w:hanging="23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55" w:lineRule="auto"/>
        <w:tabs>
          <w:tab w:leader="none" w:pos="6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8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54" w:lineRule="auto"/>
        <w:tabs>
          <w:tab w:leader="none" w:pos="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 10</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 days.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series.</w:t>
      </w:r>
    </w:p>
    <w:p>
      <w:pPr>
        <w:spacing w:after="0" w:line="221"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 waive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past default except for:</w:t>
      </w:r>
    </w:p>
    <w:p>
      <w:pPr>
        <w:spacing w:after="0" w:line="64"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80"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460" w:right="660" w:hanging="547"/>
        <w:spacing w:after="0" w:line="282" w:lineRule="auto"/>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series and any related coupons,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460" w:right="120" w:hanging="547"/>
        <w:spacing w:after="0" w:line="282" w:lineRule="auto"/>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900" w:right="68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 120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 securities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jc w:val="both"/>
        <w:ind w:firstLine="456"/>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2" w:lineRule="exact"/>
        <w:rPr>
          <w:sz w:val="20"/>
          <w:szCs w:val="20"/>
          <w:color w:val="auto"/>
        </w:rPr>
      </w:pPr>
    </w:p>
    <w:p>
      <w:pPr>
        <w:ind w:left="900" w:right="220" w:hanging="446"/>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900" w:right="200" w:hanging="446"/>
        <w:spacing w:after="0" w:line="313"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series:</w:t>
      </w:r>
    </w:p>
    <w:p>
      <w:pPr>
        <w:spacing w:after="0" w:line="67"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w:t>
      </w:r>
    </w:p>
    <w:p>
      <w:pPr>
        <w:spacing w:after="0" w:line="27" w:lineRule="exact"/>
        <w:rPr>
          <w:rFonts w:ascii="Times New Roman" w:cs="Times New Roman" w:eastAsia="Times New Roman" w:hAnsi="Times New Roman"/>
          <w:sz w:val="18"/>
          <w:szCs w:val="18"/>
          <w:color w:val="auto"/>
        </w:rPr>
      </w:pPr>
    </w:p>
    <w:p>
      <w:pPr>
        <w:ind w:left="9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2"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2" w:lineRule="exact"/>
        <w:rPr>
          <w:sz w:val="20"/>
          <w:szCs w:val="20"/>
          <w:color w:val="auto"/>
        </w:rPr>
      </w:pPr>
    </w:p>
    <w:p>
      <w:pPr>
        <w:ind w:left="900" w:right="220" w:hanging="446"/>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64"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series of outstanding debt security;</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900" w:right="82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ind w:left="900" w:right="140" w:hanging="446"/>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900" w:right="14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130"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67"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9" w:lineRule="exact"/>
        <w:rPr>
          <w:sz w:val="20"/>
          <w:szCs w:val="20"/>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72"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the following actions without approval by you or any shareholder:</w:t>
      </w:r>
    </w:p>
    <w:p>
      <w:pPr>
        <w:spacing w:after="0" w:line="64" w:lineRule="exact"/>
        <w:rPr>
          <w:sz w:val="20"/>
          <w:szCs w:val="20"/>
          <w:color w:val="auto"/>
        </w:rPr>
      </w:pPr>
    </w:p>
    <w:p>
      <w:pPr>
        <w:ind w:left="900" w:right="280" w:hanging="446"/>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8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2" w:lineRule="exact"/>
        <w:rPr>
          <w:sz w:val="20"/>
          <w:szCs w:val="20"/>
          <w:color w:val="auto"/>
        </w:rPr>
      </w:pPr>
    </w:p>
    <w:p>
      <w:pPr>
        <w:jc w:val="both"/>
        <w:ind w:left="900" w:right="120" w:hanging="446"/>
        <w:spacing w:after="0" w:line="26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85"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6"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jc w:val="both"/>
        <w:ind w:right="2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LLC, New York,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7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prior to the common shares with respect to the payment of dividends and the distribution of assets upon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6"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purpose, cumulative preferential dividends payable in cash at a rate of 5.417% of the liquidation price of $25, which is equivalent to $1.35425 per annum.</w:t>
      </w:r>
    </w:p>
    <w:p>
      <w:pPr>
        <w:spacing w:after="0" w:line="15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 per share, plus all accrued and unpaid dividends, before any distribution shall be made with respect to the common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Subject to other applicable provisions within the articles supplementary for the Series 1 preferred shares, from the date of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Series 1 preferred shares shall be convertible, at the option of each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2"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American Stock Transfer &amp; Trust Company,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 terms:</w:t>
      </w:r>
    </w:p>
    <w:p>
      <w:pPr>
        <w:spacing w:after="0" w:line="135"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6"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rights upon our liquidation, dissolution or winding up, rank:</w:t>
      </w:r>
    </w:p>
    <w:p>
      <w:pPr>
        <w:spacing w:after="0" w:line="64" w:lineRule="exact"/>
        <w:rPr>
          <w:sz w:val="20"/>
          <w:szCs w:val="20"/>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71"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supplement relating to the offering of those preferred shares. These terms typically will include:</w:t>
      </w:r>
    </w:p>
    <w:p>
      <w:pPr>
        <w:spacing w:after="0" w:line="64" w:lineRule="exact"/>
        <w:rPr>
          <w:sz w:val="20"/>
          <w:szCs w:val="20"/>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right="6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17"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3"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900" w:right="74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77"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7"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900" w:right="20" w:hanging="446"/>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1"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2"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460" w:right="580" w:hanging="547"/>
        <w:spacing w:after="0" w:line="282" w:lineRule="auto"/>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5620" w:right="2940" w:hanging="5166"/>
        <w:spacing w:after="0" w:line="454" w:lineRule="auto"/>
        <w:tabs>
          <w:tab w:leader="none" w:pos="8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 24</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71"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less than five or more than 10. Under Maryland law and our declaration of trust, trustees are elected for one-year terms.</w:t>
      </w:r>
    </w:p>
    <w:p>
      <w:pPr>
        <w:spacing w:after="0" w:line="155"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900" w:right="20" w:hanging="44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8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8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of Liability of Trustees and Officers. </w:t>
      </w:r>
      <w:r>
        <w:rPr>
          <w:rFonts w:ascii="Times New Roman" w:cs="Times New Roman" w:eastAsia="Times New Roman" w:hAnsi="Times New Roman"/>
          <w:sz w:val="18"/>
          <w:szCs w:val="18"/>
          <w:color w:val="auto"/>
        </w:rPr>
        <w:t>Our declaration of trust, to the maximum extent permitted under Maryland law in effect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9"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right="220" w:firstLine="456"/>
        <w:spacing w:after="0" w:line="313" w:lineRule="auto"/>
        <w:rPr>
          <w:sz w:val="20"/>
          <w:szCs w:val="20"/>
          <w:color w:val="auto"/>
        </w:rPr>
      </w:pPr>
      <w:r>
        <w:rPr>
          <w:rFonts w:ascii="Times New Roman" w:cs="Times New Roman" w:eastAsia="Times New Roman" w:hAnsi="Times New Roman"/>
          <w:sz w:val="17"/>
          <w:szCs w:val="17"/>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38"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2" w:lineRule="exact"/>
        <w:rPr>
          <w:sz w:val="20"/>
          <w:szCs w:val="20"/>
          <w:color w:val="auto"/>
        </w:rPr>
      </w:pPr>
    </w:p>
    <w:p>
      <w:pPr>
        <w:ind w:left="900" w:right="34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that we do not distribute or allocate to our shareholders;</w:t>
      </w:r>
    </w:p>
    <w:p>
      <w:pPr>
        <w:spacing w:after="0" w:line="130" w:lineRule="exact"/>
        <w:rPr>
          <w:rFonts w:ascii="Times New Roman" w:cs="Times New Roman" w:eastAsia="Times New Roman" w:hAnsi="Times New Roman"/>
          <w:sz w:val="18"/>
          <w:szCs w:val="18"/>
          <w:color w:val="auto"/>
        </w:rPr>
      </w:pPr>
    </w:p>
    <w:p>
      <w:pPr>
        <w:jc w:val="both"/>
        <w:ind w:left="900" w:right="60" w:hanging="446"/>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w:t>
      </w:r>
    </w:p>
    <w:p>
      <w:pPr>
        <w:spacing w:after="0" w:line="27" w:lineRule="exact"/>
        <w:rPr>
          <w:rFonts w:ascii="Times New Roman" w:cs="Times New Roman" w:eastAsia="Times New Roman" w:hAnsi="Times New Roman"/>
          <w:sz w:val="18"/>
          <w:szCs w:val="18"/>
          <w:color w:val="auto"/>
        </w:rPr>
      </w:pPr>
    </w:p>
    <w:p>
      <w:pPr>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1"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1"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56"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900" w:right="940" w:hanging="446"/>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900" w:right="80" w:hanging="446"/>
        <w:spacing w:after="0" w:line="256"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93" w:lineRule="exact"/>
        <w:rPr>
          <w:rFonts w:ascii="Times New Roman" w:cs="Times New Roman" w:eastAsia="Times New Roman" w:hAnsi="Times New Roman"/>
          <w:sz w:val="18"/>
          <w:szCs w:val="18"/>
          <w:color w:val="auto"/>
        </w:rPr>
      </w:pPr>
    </w:p>
    <w:p>
      <w:pPr>
        <w:ind w:left="900" w:right="100" w:hanging="446"/>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900" w:hanging="446"/>
        <w:spacing w:after="0" w:line="277" w:lineRule="auto"/>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73" w:lineRule="exact"/>
        <w:rPr>
          <w:rFonts w:ascii="Times New Roman" w:cs="Times New Roman" w:eastAsia="Times New Roman" w:hAnsi="Times New Roman"/>
          <w:sz w:val="17"/>
          <w:szCs w:val="17"/>
          <w:color w:val="auto"/>
        </w:rPr>
      </w:pPr>
    </w:p>
    <w:p>
      <w:pPr>
        <w:ind w:left="900" w:hanging="446"/>
        <w:spacing w:after="0" w:line="253"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6" w:lineRule="exact"/>
        <w:rPr>
          <w:rFonts w:ascii="Times New Roman" w:cs="Times New Roman" w:eastAsia="Times New Roman" w:hAnsi="Times New Roman"/>
          <w:sz w:val="18"/>
          <w:szCs w:val="18"/>
          <w:color w:val="auto"/>
        </w:rPr>
      </w:pPr>
    </w:p>
    <w:p>
      <w:pPr>
        <w:ind w:left="900" w:right="100" w:hanging="446"/>
        <w:spacing w:after="0" w:line="256"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3" w:lineRule="exact"/>
        <w:rPr>
          <w:rFonts w:ascii="Times New Roman" w:cs="Times New Roman" w:eastAsia="Times New Roman" w:hAnsi="Times New Roman"/>
          <w:sz w:val="18"/>
          <w:szCs w:val="18"/>
          <w:color w:val="auto"/>
        </w:rPr>
      </w:pPr>
    </w:p>
    <w:p>
      <w:pPr>
        <w:ind w:left="900" w:right="60" w:hanging="446"/>
        <w:spacing w:after="0" w:line="255"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94" w:lineRule="exact"/>
        <w:rPr>
          <w:rFonts w:ascii="Times New Roman" w:cs="Times New Roman" w:eastAsia="Times New Roman" w:hAnsi="Times New Roman"/>
          <w:sz w:val="18"/>
          <w:szCs w:val="18"/>
          <w:color w:val="auto"/>
        </w:rPr>
      </w:pPr>
    </w:p>
    <w:p>
      <w:pPr>
        <w:ind w:left="900" w:right="140" w:hanging="446"/>
        <w:spacing w:after="0" w:line="254"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 indirectly,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81" w:lineRule="exact"/>
        <w:rPr>
          <w:sz w:val="20"/>
          <w:szCs w:val="20"/>
          <w:color w:val="auto"/>
        </w:rPr>
      </w:pPr>
    </w:p>
    <w:p>
      <w:pPr>
        <w:jc w:val="both"/>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Our share of any dividends received from any corporation (including any taxable REIT subsidiary, but excluding any REIT)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71"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2" w:lineRule="exact"/>
        <w:rPr>
          <w:sz w:val="20"/>
          <w:szCs w:val="20"/>
          <w:color w:val="auto"/>
        </w:rPr>
      </w:pPr>
    </w:p>
    <w:p>
      <w:pPr>
        <w:ind w:left="900" w:right="160" w:hanging="446"/>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jc w:val="both"/>
        <w:ind w:left="900" w:right="180" w:hanging="446"/>
        <w:spacing w:after="0" w:line="266"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7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7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Relief from Consequences of Failing to Meet Income Tests. </w:t>
      </w:r>
      <w:r>
        <w:rPr>
          <w:rFonts w:ascii="Times New Roman" w:cs="Times New Roman" w:eastAsia="Times New Roman" w:hAnsi="Times New Roman"/>
          <w:sz w:val="17"/>
          <w:szCs w:val="17"/>
          <w:color w:val="auto"/>
        </w:rPr>
        <w:t>If we fail to satisfy one or both of the 75% and 95% gross income tests for any taxable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ind w:right="360"/>
        <w:spacing w:after="0" w:line="261" w:lineRule="auto"/>
        <w:rPr>
          <w:sz w:val="20"/>
          <w:szCs w:val="20"/>
          <w:color w:val="auto"/>
        </w:rPr>
      </w:pPr>
      <w:r>
        <w:rPr>
          <w:rFonts w:ascii="Times New Roman" w:cs="Times New Roman" w:eastAsia="Times New Roman" w:hAnsi="Times New Roman"/>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Tests. </w:t>
      </w:r>
      <w:r>
        <w:rPr>
          <w:rFonts w:ascii="Times New Roman" w:cs="Times New Roman" w:eastAsia="Times New Roman" w:hAnsi="Times New Roman"/>
          <w:sz w:val="18"/>
          <w:szCs w:val="18"/>
          <w:color w:val="auto"/>
        </w:rPr>
        <w:t>To maintain our qualification as a REIT, we also must satisfy the following asset tests at the close of each quarter of each taxable year:</w:t>
      </w:r>
    </w:p>
    <w:p>
      <w:pPr>
        <w:spacing w:after="0" w:line="135" w:lineRule="exact"/>
        <w:rPr>
          <w:sz w:val="20"/>
          <w:szCs w:val="20"/>
          <w:color w:val="auto"/>
        </w:rPr>
      </w:pPr>
    </w:p>
    <w:p>
      <w:pPr>
        <w:ind w:left="900" w:right="400" w:hanging="446"/>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460" w:right="260" w:hanging="547"/>
        <w:spacing w:after="0" w:line="282" w:lineRule="auto"/>
        <w:tabs>
          <w:tab w:leader="none" w:pos="14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our properties qualify as real estate assets.</w:t>
      </w:r>
    </w:p>
    <w:p>
      <w:pPr>
        <w:spacing w:after="0" w:line="67" w:lineRule="exact"/>
        <w:rPr>
          <w:rFonts w:ascii="Times New Roman" w:cs="Times New Roman" w:eastAsia="Times New Roman" w:hAnsi="Times New Roman"/>
          <w:sz w:val="18"/>
          <w:szCs w:val="18"/>
          <w:color w:val="auto"/>
        </w:rPr>
      </w:pPr>
    </w:p>
    <w:p>
      <w:pPr>
        <w:jc w:val="both"/>
        <w:ind w:left="1460" w:right="80" w:hanging="547"/>
        <w:spacing w:after="0" w:line="266" w:lineRule="auto"/>
        <w:tabs>
          <w:tab w:leader="none" w:pos="14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460" w:right="180" w:hanging="547"/>
        <w:spacing w:after="0" w:line="282" w:lineRule="auto"/>
        <w:tabs>
          <w:tab w:leader="none" w:pos="14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900" w:hanging="446"/>
        <w:spacing w:after="0" w:line="253"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57"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spacing w:after="0" w:line="2" w:lineRule="exact"/>
        <w:rPr>
          <w:sz w:val="20"/>
          <w:szCs w:val="20"/>
          <w:color w:val="auto"/>
        </w:rPr>
      </w:pPr>
    </w:p>
    <w:p>
      <w:pPr>
        <w:ind w:right="300" w:firstLine="8"/>
        <w:spacing w:after="0" w:line="261"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8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89"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right="40" w:firstLine="456"/>
        <w:spacing w:after="0" w:line="271" w:lineRule="auto"/>
        <w:rPr>
          <w:sz w:val="20"/>
          <w:szCs w:val="20"/>
          <w:color w:val="auto"/>
        </w:rPr>
      </w:pPr>
      <w:r>
        <w:rPr>
          <w:rFonts w:ascii="Times New Roman" w:cs="Times New Roman" w:eastAsia="Times New Roman" w:hAnsi="Times New Roman"/>
          <w:sz w:val="17"/>
          <w:szCs w:val="17"/>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7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 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5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ind w:firstLine="8"/>
        <w:spacing w:after="0" w:line="252"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9" w:lineRule="exact"/>
        <w:rPr>
          <w:sz w:val="20"/>
          <w:szCs w:val="20"/>
          <w:color w:val="auto"/>
        </w:rPr>
      </w:pPr>
    </w:p>
    <w:p>
      <w:pPr>
        <w:ind w:right="20" w:firstLine="456"/>
        <w:spacing w:after="0" w:line="272" w:lineRule="auto"/>
        <w:rPr>
          <w:sz w:val="20"/>
          <w:szCs w:val="20"/>
          <w:color w:val="auto"/>
        </w:rPr>
      </w:pPr>
      <w:r>
        <w:rPr>
          <w:rFonts w:ascii="Times New Roman" w:cs="Times New Roman" w:eastAsia="Times New Roman" w:hAnsi="Times New Roman"/>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72"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8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4"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stock dividend.</w:t>
      </w:r>
    </w:p>
    <w:p>
      <w:pPr>
        <w:spacing w:after="0" w:line="18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2" w:lineRule="exact"/>
        <w:rPr>
          <w:sz w:val="20"/>
          <w:szCs w:val="20"/>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2" w:lineRule="exact"/>
        <w:rPr>
          <w:sz w:val="20"/>
          <w:szCs w:val="20"/>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7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3" w:lineRule="exact"/>
        <w:rPr>
          <w:sz w:val="20"/>
          <w:szCs w:val="20"/>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State and Local Taxes. </w:t>
      </w:r>
      <w:r>
        <w:rPr>
          <w:rFonts w:ascii="Times New Roman" w:cs="Times New Roman" w:eastAsia="Times New Roman" w:hAnsi="Times New Roman"/>
          <w:sz w:val="17"/>
          <w:szCs w:val="17"/>
          <w:color w:val="auto"/>
        </w:rPr>
        <w:t>We and/or you may be subject to state and local tax in various states and localities, including those states and localities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w:t>
      </w:r>
    </w:p>
    <w:p>
      <w:pPr>
        <w:spacing w:after="0" w:line="27" w:lineRule="exact"/>
        <w:rPr>
          <w:sz w:val="20"/>
          <w:szCs w:val="20"/>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(3) in “at the market offerings” to or through a market maker or into an existing trading market or securities exchange or otherwise;</w:t>
      </w:r>
    </w:p>
    <w:p>
      <w:pPr>
        <w:spacing w:after="0" w:line="9" w:lineRule="exact"/>
        <w:rPr>
          <w:rFonts w:ascii="Times New Roman" w:cs="Times New Roman" w:eastAsia="Times New Roman" w:hAnsi="Times New Roman"/>
          <w:sz w:val="18"/>
          <w:szCs w:val="18"/>
          <w:color w:val="auto"/>
        </w:rPr>
      </w:pPr>
    </w:p>
    <w:p>
      <w:pPr>
        <w:ind w:right="20" w:firstLine="8"/>
        <w:spacing w:after="0" w:line="254"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8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62"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2014, filed with the SEC on February 10,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for our 2015 Annual Meeting of Shareholders, filed with the SEC on March 27,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2015, filed with the SEC on May 7,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10, 2015 (with disclosures under Item 5.02) and March 17, 2015;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color w:val="auto"/>
        </w:rPr>
        <w:t xml:space="preserve">Copies of our SEC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498475</wp:posOffset>
            </wp:positionV>
            <wp:extent cx="2263775" cy="875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6377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564515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700" w:val="left"/>
          <w:tab w:leader="none" w:pos="10360" w:val="left"/>
        </w:tabs>
        <w:rPr>
          <w:sz w:val="20"/>
          <w:szCs w:val="20"/>
          <w:color w:val="auto"/>
        </w:rPr>
      </w:pPr>
      <w:r>
        <w:rPr>
          <w:rFonts w:ascii="Times New Roman" w:cs="Times New Roman" w:eastAsia="Times New Roman" w:hAnsi="Times New Roman"/>
          <w:sz w:val="25"/>
          <w:szCs w:val="25"/>
          <w:b w:val="1"/>
          <w:bCs w:val="1"/>
          <w:color w:val="auto"/>
        </w:rPr>
        <w:t>Wells Fargo Securities</w:t>
      </w:r>
      <w:r>
        <w:rPr>
          <w:sz w:val="20"/>
          <w:szCs w:val="20"/>
          <w:color w:val="auto"/>
        </w:rPr>
        <w:tab/>
      </w: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4"/>
          <w:szCs w:val="24"/>
          <w:b w:val="1"/>
          <w:bCs w:val="1"/>
          <w:color w:val="auto"/>
        </w:rPr>
        <w:t>Citigroup</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lvl w:ilvl="1">
      <w:lvlJc w:val="left"/>
      <w:lvlText w:val="•"/>
      <w:numFmt w:val="bullet"/>
      <w:start w:val="1"/>
    </w:lvl>
  </w:abstractNum>
  <w:abstractNum w:abstractNumId="2">
    <w:nsid w:val="153EA438"/>
    <w:multiLevelType w:val="hybridMultilevel"/>
    <w:lvl w:ilvl="0">
      <w:lvlJc w:val="left"/>
      <w:lvlText w:val="(%1)"/>
      <w:numFmt w:val="upperLetter"/>
      <w:start w:val="61"/>
    </w:lvl>
    <w:lvl w:ilvl="1">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lowerLetter"/>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lvl w:ilvl="1">
      <w:lvlJc w:val="left"/>
      <w:lvlText w:val="•"/>
      <w:numFmt w:val="bullet"/>
      <w:start w:val="1"/>
    </w:lvl>
  </w:abstractNum>
  <w:abstractNum w:abstractNumId="18">
    <w:nsid w:val="684A481A"/>
    <w:multiLevelType w:val="hybridMultilevel"/>
    <w:lvl w:ilvl="0">
      <w:lvlJc w:val="left"/>
      <w:lvlText w:val="•"/>
      <w:numFmt w:val="bullet"/>
      <w:start w:val="1"/>
    </w:lvl>
    <w:lvl w:ilvl="1">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decimal"/>
      <w:start w:val="5"/>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1)"/>
      <w:numFmt w:val="lowerLetter"/>
      <w:start w:val="2"/>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lvl w:ilvl="1">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lvl w:ilvl="1">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lvl w:ilvl="1">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emdash "/>
      <w:numFmt w:val="bullet"/>
      <w:start w:val="1"/>
    </w:lvl>
  </w:abstractNum>
  <w:abstractNum w:abstractNumId="68">
    <w:nsid w:val="5DC79EA8"/>
    <w:multiLevelType w:val="hybridMultilevel"/>
    <w:lvl w:ilvl="0">
      <w:lvlJc w:val="left"/>
      <w:lvlText w:val="•"/>
      <w:numFmt w:val="bullet"/>
      <w:start w:val="1"/>
    </w:lvl>
    <w:lvl w:ilvl="1">
      <w:lvlJc w:val="left"/>
      <w:lvlText w:val="•"/>
      <w:numFmt w:val="bullet"/>
      <w:start w:val="1"/>
    </w:lvl>
  </w:abstractNum>
  <w:abstractNum w:abstractNumId="69">
    <w:nsid w:val="540A471C"/>
    <w:multiLevelType w:val="hybridMultilevel"/>
    <w:lvl w:ilvl="0">
      <w:lvlJc w:val="left"/>
      <w:lvlText w:val="(%1)"/>
      <w:numFmt w:val="lowerRoman"/>
      <w:start w:val="2"/>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lowerRoman"/>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2"/>
    </w:lvl>
  </w:abstractNum>
  <w:abstractNum w:abstractNumId="76">
    <w:nsid w:val="A0382C5"/>
    <w:multiLevelType w:val="hybridMultilevel"/>
    <w:lvl w:ilvl="0">
      <w:lvlJc w:val="left"/>
      <w:lvlText w:val="(%1)"/>
      <w:numFmt w:val="decimal"/>
      <w:start w:val="4"/>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2019-12-05T05:44:50Z</dcterms:created>
  <dcterms:modified xsi:type="dcterms:W3CDTF">2019-12-05T05:44:50Z</dcterms:modified>
</cp:coreProperties>
</file>