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0"/>
        <w:spacing w:after="0" w:line="161" w:lineRule="exact"/>
        <w:tabs>
          <w:tab w:leader="none" w:pos="28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8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6789420" cy="8846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FF160F"/>
        </w:rPr>
        <w:t>PRELIMINARY PROXY STATEMENT - SUBJECT TO</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FF160F"/>
        </w:rPr>
        <w:t>COMPLETION, DATED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2023</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behalf of the Board of Trustees and the entire Federal team, you are invited to join us at our 2023 Annual Meeting of Shareholders to be held virtually beginning at 9:00 a.m. eastern time on May 3, 2023. This proxy statement includes important information about how you can join and ask questions at the meeting and about the matters that will be voted on at the meeting.</w:t>
      </w:r>
    </w:p>
    <w:p>
      <w:pPr>
        <w:spacing w:after="0" w:line="16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Federal’s operating performance in 2022 was marked by continued strong demand for our real estate assets as evidenced by record levels of new and renewal leases for comparable spaces and significant occupancy improvements. Shoppers and diners returned to our real estate after the enforced isolation of COVID-19 lockdowns reinforcing our belief that well-located real estate that is truly part of the local community and more than just a place to transact business will succeed over the long-term. The return of the consumer and overall strong demand for our assets resulted in us delivering a record level of top line revenue and strong bottom line earnings despite the inflationary pressures that started hitting in the second half of the year. We also made significant progress during 2022 in our efforts to reduce our Scope 1 and Scope 2 greenhouse gas emissions and to improve the resilience of our assets to the physical and transition risks associated with climate change. All parts of our business are working together to position us to be able to deliver strong results for years to come.</w:t>
      </w:r>
    </w:p>
    <w:p>
      <w:pPr>
        <w:spacing w:after="0" w:line="18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strong performance would not have been possible without the extraordinary efforts of our Board and each and every one of our employees. We are extremely proud of the work this team has accomplished.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6686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163195</wp:posOffset>
            </wp:positionV>
            <wp:extent cx="1045845" cy="55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5845" cy="5568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ectPr>
          <w:pgSz w:w="11900" w:h="16838" w:orient="portrait"/>
          <w:cols w:equalWidth="0" w:num="2">
            <w:col w:w="5140" w:space="720"/>
            <w:col w:w="528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699516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Election of 7 trustees for 1 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-358775</wp:posOffset>
            </wp:positionV>
            <wp:extent cx="622363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363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7"/>
          <w:szCs w:val="17"/>
          <w:color w:val="auto"/>
        </w:rPr>
        <w:t>Non-binding advisory vote on 2022 executive compensation</w:t>
      </w:r>
    </w:p>
    <w:p>
      <w:pPr>
        <w:spacing w:after="0" w:line="200" w:lineRule="exact"/>
        <w:rPr>
          <w:sz w:val="20"/>
          <w:szCs w:val="20"/>
          <w:color w:val="auto"/>
        </w:rPr>
      </w:pPr>
    </w:p>
    <w:p>
      <w:pPr>
        <w:spacing w:after="0" w:line="228" w:lineRule="exact"/>
        <w:rPr>
          <w:sz w:val="20"/>
          <w:szCs w:val="20"/>
          <w:color w:val="auto"/>
        </w:rPr>
      </w:pPr>
    </w:p>
    <w:p>
      <w:pPr>
        <w:ind w:left="1540" w:right="560" w:hanging="1430"/>
        <w:spacing w:after="0" w:line="271" w:lineRule="auto"/>
        <w:tabs>
          <w:tab w:leader="none" w:pos="15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color w:val="auto"/>
        </w:rPr>
        <w:t>Non-binding advisory vote on frequency of future votes on executive compensation</w:t>
      </w:r>
    </w:p>
    <w:p>
      <w:pPr>
        <w:spacing w:after="0" w:line="167" w:lineRule="exact"/>
        <w:rPr>
          <w:sz w:val="20"/>
          <w:szCs w:val="20"/>
          <w:color w:val="auto"/>
        </w:rPr>
      </w:pPr>
    </w:p>
    <w:p>
      <w:pPr>
        <w:ind w:left="1540" w:right="260" w:hanging="1430"/>
        <w:spacing w:after="0" w:line="271" w:lineRule="auto"/>
        <w:tabs>
          <w:tab w:leader="none" w:pos="152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8"/>
          <w:szCs w:val="18"/>
          <w:color w:val="auto"/>
        </w:rPr>
        <w:t>Non-binding advisory vote to amend our declaration of trust to increase number of authorized common shares</w:t>
      </w:r>
    </w:p>
    <w:p>
      <w:pPr>
        <w:spacing w:after="0" w:line="167" w:lineRule="exact"/>
        <w:rPr>
          <w:sz w:val="20"/>
          <w:szCs w:val="20"/>
          <w:color w:val="auto"/>
        </w:rPr>
      </w:pPr>
    </w:p>
    <w:p>
      <w:pPr>
        <w:ind w:left="1540" w:right="800" w:hanging="1430"/>
        <w:spacing w:after="0" w:line="271" w:lineRule="auto"/>
        <w:tabs>
          <w:tab w:leader="none" w:pos="1520" w:val="left"/>
        </w:tabs>
        <w:rPr>
          <w:sz w:val="20"/>
          <w:szCs w:val="20"/>
          <w:color w:val="auto"/>
        </w:rPr>
      </w:pPr>
      <w:r>
        <w:rPr>
          <w:rFonts w:ascii="Arial" w:cs="Arial" w:eastAsia="Arial" w:hAnsi="Arial"/>
          <w:sz w:val="18"/>
          <w:szCs w:val="18"/>
          <w:color w:val="auto"/>
        </w:rPr>
        <w:t>Proposal 5</w:t>
      </w:r>
      <w:r>
        <w:rPr>
          <w:sz w:val="20"/>
          <w:szCs w:val="20"/>
          <w:color w:val="auto"/>
        </w:rPr>
        <w:tab/>
      </w:r>
      <w:r>
        <w:rPr>
          <w:rFonts w:ascii="Arial" w:cs="Arial" w:eastAsia="Arial" w:hAnsi="Arial"/>
          <w:sz w:val="18"/>
          <w:szCs w:val="18"/>
          <w:color w:val="auto"/>
        </w:rPr>
        <w:t>Ratification of Grant Thornton, LLC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ind w:left="220"/>
              <w:spacing w:after="0"/>
              <w:rPr>
                <w:sz w:val="20"/>
                <w:szCs w:val="20"/>
                <w:color w:val="auto"/>
              </w:rPr>
            </w:pPr>
            <w:r>
              <w:rPr>
                <w:rFonts w:ascii="Arial" w:cs="Arial" w:eastAsia="Arial" w:hAnsi="Arial"/>
                <w:sz w:val="16"/>
                <w:szCs w:val="16"/>
                <w:color w:val="FFFFFF"/>
              </w:rPr>
              <w:t>Board Voting</w:t>
            </w:r>
          </w:p>
        </w:tc>
        <w:tc>
          <w:tcPr>
            <w:tcW w:w="1680" w:type="dxa"/>
            <w:vAlign w:val="bottom"/>
          </w:tcPr>
          <w:p>
            <w:pPr>
              <w:jc w:val="center"/>
              <w:ind w:left="213"/>
              <w:spacing w:after="0"/>
              <w:rPr>
                <w:sz w:val="20"/>
                <w:szCs w:val="20"/>
                <w:color w:val="auto"/>
              </w:rPr>
            </w:pPr>
            <w:r>
              <w:rPr>
                <w:rFonts w:ascii="Arial" w:cs="Arial" w:eastAsia="Arial" w:hAnsi="Arial"/>
                <w:sz w:val="16"/>
                <w:szCs w:val="16"/>
                <w:color w:val="FFFFFF"/>
              </w:rPr>
              <w:t>Where to find more</w:t>
            </w:r>
          </w:p>
        </w:tc>
      </w:tr>
      <w:tr>
        <w:trPr>
          <w:trHeight w:val="215"/>
        </w:trPr>
        <w:tc>
          <w:tcPr>
            <w:tcW w:w="1860" w:type="dxa"/>
            <w:vAlign w:val="bottom"/>
          </w:tcPr>
          <w:p>
            <w:pPr>
              <w:ind w:left="40"/>
              <w:spacing w:after="0"/>
              <w:rPr>
                <w:sz w:val="20"/>
                <w:szCs w:val="20"/>
                <w:color w:val="auto"/>
              </w:rPr>
            </w:pPr>
            <w:r>
              <w:rPr>
                <w:rFonts w:ascii="Arial" w:cs="Arial" w:eastAsia="Arial" w:hAnsi="Arial"/>
                <w:sz w:val="16"/>
                <w:szCs w:val="16"/>
                <w:color w:val="FFFFFF"/>
              </w:rPr>
              <w:t>Recommendation</w:t>
            </w:r>
          </w:p>
        </w:tc>
        <w:tc>
          <w:tcPr>
            <w:tcW w:w="1680" w:type="dxa"/>
            <w:vAlign w:val="bottom"/>
          </w:tcPr>
          <w:p>
            <w:pPr>
              <w:jc w:val="center"/>
              <w:ind w:left="193"/>
              <w:spacing w:after="0"/>
              <w:rPr>
                <w:sz w:val="20"/>
                <w:szCs w:val="20"/>
                <w:color w:val="auto"/>
              </w:rPr>
            </w:pPr>
            <w:r>
              <w:rPr>
                <w:rFonts w:ascii="Arial" w:cs="Arial" w:eastAsia="Arial" w:hAnsi="Arial"/>
                <w:sz w:val="16"/>
                <w:szCs w:val="16"/>
                <w:color w:val="FFFFFF"/>
              </w:rPr>
              <w:t>information</w:t>
            </w:r>
          </w:p>
        </w:tc>
      </w:tr>
      <w:tr>
        <w:trPr>
          <w:trHeight w:val="303"/>
        </w:trPr>
        <w:tc>
          <w:tcPr>
            <w:tcW w:w="1860" w:type="dxa"/>
            <w:vAlign w:val="bottom"/>
          </w:tcPr>
          <w:p>
            <w:pPr>
              <w:spacing w:after="0"/>
              <w:rPr>
                <w:sz w:val="20"/>
                <w:szCs w:val="20"/>
                <w:color w:val="auto"/>
              </w:rPr>
            </w:pPr>
            <w:r>
              <w:rPr>
                <w:rFonts w:ascii="Arial" w:cs="Arial" w:eastAsia="Arial" w:hAnsi="Arial"/>
                <w:sz w:val="18"/>
                <w:szCs w:val="18"/>
                <w:color w:val="FF160F"/>
              </w:rPr>
              <w:t xml:space="preserve">FOR </w:t>
            </w:r>
            <w:r>
              <w:rPr>
                <w:rFonts w:ascii="Arial" w:cs="Arial" w:eastAsia="Arial" w:hAnsi="Arial"/>
                <w:sz w:val="18"/>
                <w:szCs w:val="18"/>
                <w:color w:val="000000"/>
              </w:rPr>
              <w:t>each nominee</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10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18</w:t>
            </w:r>
          </w:p>
        </w:tc>
      </w:tr>
      <w:tr>
        <w:trPr>
          <w:trHeight w:val="635"/>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40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40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-1750695</wp:posOffset>
            </wp:positionV>
            <wp:extent cx="19685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-1348105</wp:posOffset>
            </wp:positionV>
            <wp:extent cx="19685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-944880</wp:posOffset>
            </wp:positionV>
            <wp:extent cx="1968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-542290</wp:posOffset>
            </wp:positionV>
            <wp:extent cx="19685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-139065</wp:posOffset>
            </wp:positionV>
            <wp:extent cx="19685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6720" w:space="720"/>
            <w:col w:w="3700"/>
          </w:cols>
          <w:pgMar w:left="320" w:top="482" w:right="439" w:bottom="1440" w:gutter="0" w:footer="0" w:header="0"/>
          <w:type w:val="continuous"/>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business will be transacted as may properly come before the 2023 annual meeting of shareholders (“Annual Meeting”).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2023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180340</wp:posOffset>
            </wp:positionV>
            <wp:extent cx="26543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163195</wp:posOffset>
            </wp:positionV>
            <wp:extent cx="19685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28321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197485</wp:posOffset>
            </wp:positionV>
            <wp:extent cx="257175"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00" w:type="dxa"/>
            <w:vAlign w:val="bottom"/>
          </w:tcPr>
          <w:p>
            <w:pPr>
              <w:jc w:val="center"/>
              <w:ind w:left="170"/>
              <w:spacing w:after="0"/>
              <w:rPr>
                <w:sz w:val="20"/>
                <w:szCs w:val="20"/>
                <w:color w:val="auto"/>
              </w:rPr>
            </w:pPr>
            <w:r>
              <w:rPr>
                <w:rFonts w:ascii="Arial" w:cs="Arial" w:eastAsia="Arial" w:hAnsi="Arial"/>
                <w:sz w:val="18"/>
                <w:szCs w:val="18"/>
                <w:color w:val="FF160F"/>
                <w:w w:val="99"/>
              </w:rPr>
              <w:t>Date and Time</w:t>
            </w:r>
          </w:p>
        </w:tc>
        <w:tc>
          <w:tcPr>
            <w:tcW w:w="4340" w:type="dxa"/>
            <w:vAlign w:val="bottom"/>
          </w:tcPr>
          <w:p>
            <w:pPr>
              <w:jc w:val="center"/>
              <w:spacing w:after="0"/>
              <w:rPr>
                <w:sz w:val="20"/>
                <w:szCs w:val="20"/>
                <w:color w:val="auto"/>
              </w:rPr>
            </w:pPr>
            <w:r>
              <w:rPr>
                <w:rFonts w:ascii="Arial" w:cs="Arial" w:eastAsia="Arial" w:hAnsi="Arial"/>
                <w:sz w:val="18"/>
                <w:szCs w:val="18"/>
                <w:color w:val="FF160F"/>
                <w:w w:val="99"/>
              </w:rPr>
              <w:t>Location</w:t>
            </w:r>
          </w:p>
        </w:tc>
        <w:tc>
          <w:tcPr>
            <w:tcW w:w="3080" w:type="dxa"/>
            <w:vAlign w:val="bottom"/>
          </w:tcPr>
          <w:p>
            <w:pPr>
              <w:jc w:val="center"/>
              <w:ind w:right="250"/>
              <w:spacing w:after="0"/>
              <w:rPr>
                <w:sz w:val="20"/>
                <w:szCs w:val="20"/>
                <w:color w:val="auto"/>
              </w:rPr>
            </w:pPr>
            <w:r>
              <w:rPr>
                <w:rFonts w:ascii="Arial" w:cs="Arial" w:eastAsia="Arial" w:hAnsi="Arial"/>
                <w:sz w:val="18"/>
                <w:szCs w:val="18"/>
                <w:color w:val="FF160F"/>
              </w:rPr>
              <w:t>Record Date</w:t>
            </w:r>
          </w:p>
        </w:tc>
      </w:tr>
      <w:tr>
        <w:trPr>
          <w:trHeight w:val="77"/>
        </w:trPr>
        <w:tc>
          <w:tcPr>
            <w:tcW w:w="360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r>
      <w:tr>
        <w:trPr>
          <w:trHeight w:val="339"/>
        </w:trPr>
        <w:tc>
          <w:tcPr>
            <w:tcW w:w="3600" w:type="dxa"/>
            <w:vAlign w:val="bottom"/>
          </w:tcPr>
          <w:p>
            <w:pPr>
              <w:jc w:val="center"/>
              <w:ind w:left="170"/>
              <w:spacing w:after="0"/>
              <w:rPr>
                <w:sz w:val="20"/>
                <w:szCs w:val="20"/>
                <w:color w:val="auto"/>
              </w:rPr>
            </w:pPr>
            <w:r>
              <w:rPr>
                <w:rFonts w:ascii="Arial" w:cs="Arial" w:eastAsia="Arial" w:hAnsi="Arial"/>
                <w:sz w:val="18"/>
                <w:szCs w:val="18"/>
                <w:color w:val="auto"/>
                <w:w w:val="98"/>
              </w:rPr>
              <w:t>Wednesday, May 3, 2023</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Virtual Meeting</w:t>
            </w:r>
          </w:p>
        </w:tc>
        <w:tc>
          <w:tcPr>
            <w:tcW w:w="3080" w:type="dxa"/>
            <w:vAlign w:val="bottom"/>
          </w:tcPr>
          <w:p>
            <w:pPr>
              <w:jc w:val="center"/>
              <w:ind w:right="250"/>
              <w:spacing w:after="0"/>
              <w:rPr>
                <w:sz w:val="20"/>
                <w:szCs w:val="20"/>
                <w:color w:val="auto"/>
              </w:rPr>
            </w:pPr>
            <w:r>
              <w:rPr>
                <w:rFonts w:ascii="Arial" w:cs="Arial" w:eastAsia="Arial" w:hAnsi="Arial"/>
                <w:sz w:val="18"/>
                <w:szCs w:val="18"/>
                <w:color w:val="auto"/>
              </w:rPr>
              <w:t>March 13, 2023</w:t>
            </w:r>
          </w:p>
        </w:tc>
      </w:tr>
      <w:tr>
        <w:trPr>
          <w:trHeight w:val="239"/>
        </w:trPr>
        <w:tc>
          <w:tcPr>
            <w:tcW w:w="3600" w:type="dxa"/>
            <w:vAlign w:val="bottom"/>
          </w:tcPr>
          <w:p>
            <w:pPr>
              <w:jc w:val="center"/>
              <w:ind w:left="150"/>
              <w:spacing w:after="0"/>
              <w:rPr>
                <w:sz w:val="20"/>
                <w:szCs w:val="20"/>
                <w:color w:val="auto"/>
              </w:rPr>
            </w:pPr>
            <w:r>
              <w:rPr>
                <w:rFonts w:ascii="Arial" w:cs="Arial" w:eastAsia="Arial" w:hAnsi="Arial"/>
                <w:sz w:val="18"/>
                <w:szCs w:val="18"/>
                <w:color w:val="auto"/>
                <w:w w:val="99"/>
              </w:rPr>
              <w:t>9:00 a.m., Eastern Time</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https://web.lumiagm.com/202329683</w:t>
            </w:r>
          </w:p>
        </w:tc>
        <w:tc>
          <w:tcPr>
            <w:tcW w:w="3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212"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7"/>
          <w:szCs w:val="17"/>
          <w:color w:val="auto"/>
        </w:rPr>
        <w:t>Whether or not you plan to attend the meeting and vote your shares at the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130175</wp:posOffset>
            </wp:positionV>
            <wp:extent cx="4080510" cy="96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80510" cy="9601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Trustees,</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Dawn M. Becker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Executive Vice President-General Counsel And Secretary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FF160F"/>
        </w:rPr>
        <w:t>Important Notice Regarding Internet Availability of Proxy Materials</w:t>
      </w:r>
    </w:p>
    <w:p>
      <w:pPr>
        <w:spacing w:after="0" w:line="208"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 xml:space="preserve">The proxy statement and annual report to shareholders, including our annual report on Form 10-K for the year ended December 31, 2022, are available at </w:t>
      </w:r>
      <w:r>
        <w:rPr>
          <w:rFonts w:ascii="Arial" w:cs="Arial" w:eastAsia="Arial" w:hAnsi="Arial"/>
          <w:sz w:val="16"/>
          <w:szCs w:val="16"/>
          <w:i w:val="1"/>
          <w:iCs w:val="1"/>
          <w:color w:val="auto"/>
        </w:rPr>
        <w:t xml:space="preserve">www.federalrealty.com. </w:t>
      </w:r>
      <w:r>
        <w:rPr>
          <w:rFonts w:ascii="Arial" w:cs="Arial" w:eastAsia="Arial" w:hAnsi="Arial"/>
          <w:sz w:val="16"/>
          <w:szCs w:val="16"/>
          <w:color w:val="auto"/>
        </w:rPr>
        <w:t>References in this proxy statement to our website are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your convenience only and the content on our website does not constitute part of this proxy statement.</w:t>
      </w:r>
    </w:p>
    <w:p>
      <w:pPr>
        <w:sectPr>
          <w:pgSz w:w="11900" w:h="16838" w:orient="portrait"/>
          <w:cols w:equalWidth="0" w:num="2">
            <w:col w:w="4700" w:space="120"/>
            <w:col w:w="632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3380" w:type="dxa"/>
            <w:vAlign w:val="bottom"/>
            <w:gridSpan w:val="6"/>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OMPANY</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NFORMATION</w:t>
            </w:r>
          </w:p>
        </w:tc>
        <w:tc>
          <w:tcPr>
            <w:tcW w:w="1800" w:type="dxa"/>
            <w:vAlign w:val="bottom"/>
          </w:tcPr>
          <w:p>
            <w:pPr>
              <w:jc w:val="right"/>
              <w:ind w:right="23"/>
              <w:spacing w:after="0"/>
              <w:rPr>
                <w:sz w:val="20"/>
                <w:szCs w:val="20"/>
                <w:color w:val="auto"/>
              </w:rPr>
            </w:pPr>
            <w:r>
              <w:rPr>
                <w:rFonts w:ascii="Arial" w:cs="Arial" w:eastAsia="Arial" w:hAnsi="Arial"/>
                <w:sz w:val="22"/>
                <w:szCs w:val="22"/>
                <w:b w:val="1"/>
                <w:bCs w:val="1"/>
                <w:color w:val="FF160F"/>
              </w:rPr>
              <w:t>1</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Borders>
              <w:bottom w:val="single" w:sz="8" w:color="0000EE"/>
            </w:tcBorders>
            <w:gridSpan w:val="4"/>
          </w:tcPr>
          <w:p>
            <w:pPr>
              <w:spacing w:after="0" w:line="149" w:lineRule="exact"/>
              <w:rPr>
                <w:sz w:val="20"/>
                <w:szCs w:val="20"/>
                <w:color w:val="auto"/>
              </w:rPr>
            </w:pPr>
            <w:r>
              <w:rPr>
                <w:rFonts w:ascii="Arial" w:cs="Arial" w:eastAsia="Arial" w:hAnsi="Arial"/>
                <w:sz w:val="14"/>
                <w:szCs w:val="14"/>
                <w:color w:val="0000EE"/>
              </w:rPr>
              <w:t>Highlights of 2022 Company Performance</w:t>
            </w:r>
          </w:p>
        </w:tc>
        <w:tc>
          <w:tcPr>
            <w:tcW w:w="460" w:type="dxa"/>
            <w:vAlign w:val="bottom"/>
          </w:tcPr>
          <w:p>
            <w:pPr>
              <w:spacing w:after="0"/>
              <w:rPr>
                <w:sz w:val="12"/>
                <w:szCs w:val="12"/>
                <w:color w:val="auto"/>
              </w:rPr>
            </w:pPr>
          </w:p>
        </w:tc>
        <w:tc>
          <w:tcPr>
            <w:tcW w:w="1800" w:type="dxa"/>
            <w:vAlign w:val="bottom"/>
          </w:tcPr>
          <w:p>
            <w:pPr>
              <w:jc w:val="right"/>
              <w:ind w:right="23"/>
              <w:spacing w:after="0"/>
              <w:rPr>
                <w:sz w:val="20"/>
                <w:szCs w:val="20"/>
                <w:color w:val="auto"/>
              </w:rPr>
            </w:pPr>
            <w:r>
              <w:rPr>
                <w:rFonts w:ascii="Arial" w:cs="Arial" w:eastAsia="Arial" w:hAnsi="Arial"/>
                <w:sz w:val="13"/>
                <w:szCs w:val="13"/>
                <w:color w:val="auto"/>
              </w:rPr>
              <w:t>1</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Corporate Values</w:t>
            </w:r>
          </w:p>
        </w:tc>
        <w:tc>
          <w:tcPr>
            <w:tcW w:w="2020" w:type="dxa"/>
            <w:vAlign w:val="bottom"/>
            <w:gridSpan w:val="3"/>
          </w:tcPr>
          <w:p>
            <w:pPr>
              <w:spacing w:after="0"/>
              <w:rPr>
                <w:sz w:val="14"/>
                <w:szCs w:val="14"/>
                <w:color w:val="auto"/>
              </w:rPr>
            </w:pPr>
          </w:p>
        </w:tc>
        <w:tc>
          <w:tcPr>
            <w:tcW w:w="180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0000EE"/>
              </w:rPr>
              <w:t>Our Board</w:t>
            </w:r>
          </w:p>
        </w:tc>
        <w:tc>
          <w:tcPr>
            <w:tcW w:w="180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Environmental, Social and Governance Snapshot</w:t>
            </w:r>
          </w:p>
        </w:tc>
        <w:tc>
          <w:tcPr>
            <w:tcW w:w="1800" w:type="dxa"/>
            <w:vAlign w:val="bottom"/>
          </w:tcPr>
          <w:p>
            <w:pPr>
              <w:jc w:val="right"/>
              <w:ind w:right="23"/>
              <w:spacing w:after="0"/>
              <w:rPr>
                <w:sz w:val="20"/>
                <w:szCs w:val="20"/>
                <w:color w:val="auto"/>
              </w:rPr>
            </w:pPr>
            <w:r>
              <w:rPr>
                <w:rFonts w:ascii="Arial" w:cs="Arial" w:eastAsia="Arial" w:hAnsi="Arial"/>
                <w:sz w:val="14"/>
                <w:szCs w:val="14"/>
                <w:color w:val="auto"/>
              </w:rPr>
              <w:t>3</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20" w:type="dxa"/>
            <w:vAlign w:val="bottom"/>
            <w:gridSpan w:val="15"/>
          </w:tcPr>
          <w:p>
            <w:pPr>
              <w:spacing w:after="0"/>
              <w:rPr>
                <w:sz w:val="20"/>
                <w:szCs w:val="20"/>
                <w:color w:val="auto"/>
              </w:rPr>
            </w:pPr>
            <w:r>
              <w:rPr>
                <w:rFonts w:ascii="Arial" w:cs="Arial" w:eastAsia="Arial" w:hAnsi="Arial"/>
                <w:sz w:val="22"/>
                <w:szCs w:val="22"/>
                <w:b w:val="1"/>
                <w:bCs w:val="1"/>
                <w:color w:val="0000EE"/>
              </w:rPr>
              <w:t>G</w:t>
            </w:r>
            <w:r>
              <w:rPr>
                <w:rFonts w:ascii="Arial" w:cs="Arial" w:eastAsia="Arial" w:hAnsi="Arial"/>
                <w:sz w:val="17"/>
                <w:szCs w:val="17"/>
                <w:b w:val="1"/>
                <w:bCs w:val="1"/>
                <w:color w:val="0000EE"/>
              </w:rPr>
              <w:t>OVERNING THE</w:t>
            </w:r>
            <w:r>
              <w:rPr>
                <w:rFonts w:ascii="Arial" w:cs="Arial" w:eastAsia="Arial" w:hAnsi="Arial"/>
                <w:sz w:val="22"/>
                <w:szCs w:val="22"/>
                <w:b w:val="1"/>
                <w:bCs w:val="1"/>
                <w:color w:val="0000EE"/>
              </w:rPr>
              <w:t xml:space="preserve"> C</w:t>
            </w:r>
            <w:r>
              <w:rPr>
                <w:rFonts w:ascii="Arial" w:cs="Arial" w:eastAsia="Arial" w:hAnsi="Arial"/>
                <w:sz w:val="17"/>
                <w:szCs w:val="17"/>
                <w:b w:val="1"/>
                <w:bCs w:val="1"/>
                <w:color w:val="0000EE"/>
              </w:rPr>
              <w:t>OMPANY</w:t>
            </w:r>
          </w:p>
        </w:tc>
        <w:tc>
          <w:tcPr>
            <w:tcW w:w="660" w:type="dxa"/>
            <w:vAlign w:val="bottom"/>
          </w:tcPr>
          <w:p>
            <w:pPr>
              <w:jc w:val="right"/>
              <w:ind w:right="25"/>
              <w:spacing w:after="0"/>
              <w:rPr>
                <w:sz w:val="20"/>
                <w:szCs w:val="20"/>
                <w:color w:val="auto"/>
              </w:rPr>
            </w:pPr>
            <w:r>
              <w:rPr>
                <w:rFonts w:ascii="Arial" w:cs="Arial" w:eastAsia="Arial" w:hAnsi="Arial"/>
                <w:sz w:val="22"/>
                <w:szCs w:val="22"/>
                <w:b w:val="1"/>
                <w:bCs w:val="1"/>
                <w:color w:val="FF160F"/>
              </w:rPr>
              <w:t>4</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Governance Documents</w:t>
            </w:r>
          </w:p>
        </w:tc>
        <w:tc>
          <w:tcPr>
            <w:tcW w:w="2720" w:type="dxa"/>
            <w:vAlign w:val="bottom"/>
            <w:gridSpan w:val="9"/>
          </w:tcPr>
          <w:p>
            <w:pPr>
              <w:spacing w:after="0"/>
              <w:rPr>
                <w:sz w:val="12"/>
                <w:szCs w:val="12"/>
                <w:color w:val="auto"/>
              </w:rPr>
            </w:pPr>
          </w:p>
        </w:tc>
        <w:tc>
          <w:tcPr>
            <w:tcW w:w="660" w:type="dxa"/>
            <w:vAlign w:val="bottom"/>
          </w:tcPr>
          <w:p>
            <w:pPr>
              <w:jc w:val="right"/>
              <w:ind w:right="25"/>
              <w:spacing w:after="0" w:line="149" w:lineRule="exact"/>
              <w:rPr>
                <w:sz w:val="20"/>
                <w:szCs w:val="20"/>
                <w:color w:val="auto"/>
              </w:rPr>
            </w:pPr>
            <w:r>
              <w:rPr>
                <w:rFonts w:ascii="Arial" w:cs="Arial" w:eastAsia="Arial" w:hAnsi="Arial"/>
                <w:sz w:val="14"/>
                <w:szCs w:val="14"/>
                <w:color w:val="auto"/>
              </w:rPr>
              <w:t>4</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Governance Policies and Procedures</w:t>
            </w:r>
          </w:p>
        </w:tc>
        <w:tc>
          <w:tcPr>
            <w:tcW w:w="1900" w:type="dxa"/>
            <w:vAlign w:val="bottom"/>
            <w:gridSpan w:val="3"/>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Board Leadership</w:t>
            </w:r>
          </w:p>
        </w:tc>
        <w:tc>
          <w:tcPr>
            <w:tcW w:w="3140" w:type="dxa"/>
            <w:vAlign w:val="bottom"/>
            <w:gridSpan w:val="13"/>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gridSpan w:val="14"/>
          </w:tcPr>
          <w:p>
            <w:pPr>
              <w:spacing w:after="0"/>
              <w:rPr>
                <w:sz w:val="20"/>
                <w:szCs w:val="20"/>
                <w:color w:val="auto"/>
              </w:rPr>
            </w:pPr>
            <w:r>
              <w:rPr>
                <w:rFonts w:ascii="Arial" w:cs="Arial" w:eastAsia="Arial" w:hAnsi="Arial"/>
                <w:sz w:val="14"/>
                <w:szCs w:val="14"/>
                <w:color w:val="0000EE"/>
              </w:rPr>
              <w:t>Board and Committee Meetings</w:t>
            </w: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Board Committees</w:t>
            </w:r>
          </w:p>
        </w:tc>
        <w:tc>
          <w:tcPr>
            <w:tcW w:w="820" w:type="dxa"/>
            <w:vAlign w:val="bottom"/>
            <w:tcBorders>
              <w:top w:val="single" w:sz="8" w:color="0000EE"/>
            </w:tcBorders>
            <w:gridSpan w:val="6"/>
          </w:tcPr>
          <w:p>
            <w:pPr>
              <w:spacing w:after="0"/>
              <w:rPr>
                <w:sz w:val="14"/>
                <w:szCs w:val="14"/>
                <w:color w:val="auto"/>
              </w:rPr>
            </w:pPr>
          </w:p>
        </w:tc>
        <w:tc>
          <w:tcPr>
            <w:tcW w:w="2260" w:type="dxa"/>
            <w:vAlign w:val="bottom"/>
            <w:gridSpan w:val="6"/>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Board’s Role in Risk Oversight</w:t>
            </w:r>
          </w:p>
        </w:tc>
        <w:tc>
          <w:tcPr>
            <w:tcW w:w="2320" w:type="dxa"/>
            <w:vAlign w:val="bottom"/>
            <w:gridSpan w:val="7"/>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7</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Board and Committee Evaluation Process</w:t>
            </w:r>
          </w:p>
        </w:tc>
        <w:tc>
          <w:tcPr>
            <w:tcW w:w="1600" w:type="dxa"/>
            <w:vAlign w:val="bottom"/>
            <w:gridSpan w:val="2"/>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8</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Succession Planning</w:t>
            </w:r>
          </w:p>
        </w:tc>
        <w:tc>
          <w:tcPr>
            <w:tcW w:w="2940" w:type="dxa"/>
            <w:vAlign w:val="bottom"/>
            <w:gridSpan w:val="11"/>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Communications with the Board</w:t>
            </w:r>
          </w:p>
        </w:tc>
        <w:tc>
          <w:tcPr>
            <w:tcW w:w="2240" w:type="dxa"/>
            <w:vAlign w:val="bottom"/>
            <w:gridSpan w:val="5"/>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gridSpan w:val="14"/>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Related Party Transactions</w:t>
            </w:r>
          </w:p>
        </w:tc>
        <w:tc>
          <w:tcPr>
            <w:tcW w:w="2160" w:type="dxa"/>
            <w:vAlign w:val="bottom"/>
            <w:tcBorders>
              <w:top w:val="single" w:sz="8" w:color="0000EE"/>
            </w:tcBorders>
            <w:gridSpan w:val="7"/>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10</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Trustee Independence</w:t>
            </w:r>
          </w:p>
        </w:tc>
        <w:tc>
          <w:tcPr>
            <w:tcW w:w="2840" w:type="dxa"/>
            <w:vAlign w:val="bottom"/>
            <w:gridSpan w:val="10"/>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10</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460" w:type="dxa"/>
            <w:vAlign w:val="bottom"/>
            <w:gridSpan w:val="30"/>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1: E</w:t>
            </w:r>
            <w:r>
              <w:rPr>
                <w:rFonts w:ascii="Arial" w:cs="Arial" w:eastAsia="Arial" w:hAnsi="Arial"/>
                <w:sz w:val="17"/>
                <w:szCs w:val="17"/>
                <w:b w:val="1"/>
                <w:bCs w:val="1"/>
                <w:color w:val="0000EE"/>
              </w:rPr>
              <w:t>LECTION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RUSTEES</w:t>
            </w:r>
          </w:p>
        </w:tc>
        <w:tc>
          <w:tcPr>
            <w:tcW w:w="720" w:type="dxa"/>
            <w:vAlign w:val="bottom"/>
          </w:tcPr>
          <w:p>
            <w:pPr>
              <w:jc w:val="right"/>
              <w:ind w:right="24"/>
              <w:spacing w:after="0"/>
              <w:rPr>
                <w:sz w:val="20"/>
                <w:szCs w:val="20"/>
                <w:color w:val="auto"/>
              </w:rPr>
            </w:pPr>
            <w:r>
              <w:rPr>
                <w:rFonts w:ascii="Arial" w:cs="Arial" w:eastAsia="Arial" w:hAnsi="Arial"/>
                <w:sz w:val="22"/>
                <w:szCs w:val="22"/>
                <w:b w:val="1"/>
                <w:bCs w:val="1"/>
                <w:color w:val="FF160F"/>
              </w:rPr>
              <w:t>10</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Borders>
              <w:bottom w:val="single" w:sz="8" w:color="0000EE"/>
            </w:tcBorders>
            <w:gridSpan w:val="23"/>
          </w:tcPr>
          <w:p>
            <w:pPr>
              <w:spacing w:after="0" w:line="149" w:lineRule="exact"/>
              <w:rPr>
                <w:sz w:val="20"/>
                <w:szCs w:val="20"/>
                <w:color w:val="auto"/>
              </w:rPr>
            </w:pPr>
            <w:r>
              <w:rPr>
                <w:rFonts w:ascii="Arial" w:cs="Arial" w:eastAsia="Arial" w:hAnsi="Arial"/>
                <w:sz w:val="14"/>
                <w:szCs w:val="14"/>
                <w:color w:val="0000EE"/>
              </w:rPr>
              <w:t>Vote Required and Majority Voting Standard</w:t>
            </w:r>
          </w:p>
        </w:tc>
        <w:tc>
          <w:tcPr>
            <w:tcW w:w="1400" w:type="dxa"/>
            <w:vAlign w:val="bottom"/>
            <w:gridSpan w:val="6"/>
          </w:tcPr>
          <w:p>
            <w:pPr>
              <w:spacing w:after="0"/>
              <w:rPr>
                <w:sz w:val="12"/>
                <w:szCs w:val="12"/>
                <w:color w:val="auto"/>
              </w:rPr>
            </w:pPr>
          </w:p>
        </w:tc>
        <w:tc>
          <w:tcPr>
            <w:tcW w:w="720" w:type="dxa"/>
            <w:vAlign w:val="bottom"/>
          </w:tcPr>
          <w:p>
            <w:pPr>
              <w:jc w:val="right"/>
              <w:ind w:right="24"/>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gridSpan w:val="28"/>
          </w:tcPr>
          <w:p>
            <w:pPr>
              <w:spacing w:after="0"/>
              <w:rPr>
                <w:sz w:val="20"/>
                <w:szCs w:val="20"/>
                <w:color w:val="auto"/>
              </w:rPr>
            </w:pPr>
            <w:r>
              <w:rPr>
                <w:rFonts w:ascii="Arial" w:cs="Arial" w:eastAsia="Arial" w:hAnsi="Arial"/>
                <w:sz w:val="14"/>
                <w:szCs w:val="14"/>
                <w:color w:val="0000EE"/>
              </w:rPr>
              <w:t>Nominee Characteristics and Selection</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color w:val="0000EE"/>
              </w:rPr>
              <w:t>Nominee Diversity and Tenure</w:t>
            </w:r>
          </w:p>
        </w:tc>
        <w:tc>
          <w:tcPr>
            <w:tcW w:w="540" w:type="dxa"/>
            <w:vAlign w:val="bottom"/>
            <w:tcBorders>
              <w:top w:val="single" w:sz="8" w:color="0000EE"/>
            </w:tcBorders>
            <w:gridSpan w:val="7"/>
          </w:tcPr>
          <w:p>
            <w:pPr>
              <w:spacing w:after="0"/>
              <w:rPr>
                <w:sz w:val="14"/>
                <w:szCs w:val="14"/>
                <w:color w:val="auto"/>
              </w:rPr>
            </w:pPr>
          </w:p>
        </w:tc>
        <w:tc>
          <w:tcPr>
            <w:tcW w:w="1740" w:type="dxa"/>
            <w:vAlign w:val="bottom"/>
            <w:gridSpan w:val="14"/>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9"/>
              </w:rPr>
              <w:t>Our Nominees</w:t>
            </w:r>
          </w:p>
        </w:tc>
        <w:tc>
          <w:tcPr>
            <w:tcW w:w="3280" w:type="dxa"/>
            <w:vAlign w:val="bottom"/>
            <w:gridSpan w:val="26"/>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Trustee Compensation</w:t>
            </w:r>
          </w:p>
        </w:tc>
        <w:tc>
          <w:tcPr>
            <w:tcW w:w="2760" w:type="dxa"/>
            <w:vAlign w:val="bottom"/>
            <w:gridSpan w:val="23"/>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460" w:type="dxa"/>
            <w:vAlign w:val="bottom"/>
            <w:gridSpan w:val="30"/>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2: A</w:t>
            </w:r>
            <w:r>
              <w:rPr>
                <w:rFonts w:ascii="Arial" w:cs="Arial" w:eastAsia="Arial" w:hAnsi="Arial"/>
                <w:sz w:val="17"/>
                <w:szCs w:val="17"/>
                <w:b w:val="1"/>
                <w:bCs w:val="1"/>
                <w:color w:val="0000EE"/>
              </w:rPr>
              <w:t>PPROVING OUR</w:t>
            </w:r>
            <w:r>
              <w:rPr>
                <w:rFonts w:ascii="Arial" w:cs="Arial" w:eastAsia="Arial" w:hAnsi="Arial"/>
                <w:sz w:val="22"/>
                <w:szCs w:val="22"/>
                <w:b w:val="1"/>
                <w:bCs w:val="1"/>
                <w:color w:val="0000EE"/>
              </w:rPr>
              <w:t xml:space="preserve"> E</w:t>
            </w:r>
            <w:r>
              <w:rPr>
                <w:rFonts w:ascii="Arial" w:cs="Arial" w:eastAsia="Arial" w:hAnsi="Arial"/>
                <w:sz w:val="17"/>
                <w:szCs w:val="17"/>
                <w:b w:val="1"/>
                <w:bCs w:val="1"/>
                <w:color w:val="0000EE"/>
              </w:rPr>
              <w:t>XECUTIVE</w:t>
            </w:r>
          </w:p>
        </w:tc>
        <w:tc>
          <w:tcPr>
            <w:tcW w:w="720" w:type="dxa"/>
            <w:vAlign w:val="bottom"/>
            <w:vMerge w:val="restart"/>
          </w:tcPr>
          <w:p>
            <w:pPr>
              <w:jc w:val="right"/>
              <w:ind w:right="24"/>
              <w:spacing w:after="0"/>
              <w:rPr>
                <w:sz w:val="20"/>
                <w:szCs w:val="20"/>
                <w:color w:val="auto"/>
              </w:rPr>
            </w:pPr>
            <w:r>
              <w:rPr>
                <w:rFonts w:ascii="Arial" w:cs="Arial" w:eastAsia="Arial" w:hAnsi="Arial"/>
                <w:sz w:val="22"/>
                <w:szCs w:val="22"/>
                <w:b w:val="1"/>
                <w:bCs w:val="1"/>
                <w:color w:val="FF160F"/>
              </w:rPr>
              <w:t>18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00" w:type="dxa"/>
            <w:vAlign w:val="bottom"/>
            <w:tcBorders>
              <w:top w:val="single" w:sz="8" w:color="0000EE"/>
            </w:tcBorders>
            <w:gridSpan w:val="28"/>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460" w:type="dxa"/>
            <w:vAlign w:val="bottom"/>
            <w:gridSpan w:val="30"/>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D</w:t>
            </w:r>
            <w:r>
              <w:rPr>
                <w:rFonts w:ascii="Arial" w:cs="Arial" w:eastAsia="Arial" w:hAnsi="Arial"/>
                <w:sz w:val="17"/>
                <w:szCs w:val="17"/>
                <w:b w:val="1"/>
                <w:bCs w:val="1"/>
                <w:color w:val="0000EE"/>
              </w:rPr>
              <w:t>ISCUSSION AND</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NALYSIS</w:t>
            </w:r>
          </w:p>
        </w:tc>
        <w:tc>
          <w:tcPr>
            <w:tcW w:w="720" w:type="dxa"/>
            <w:vAlign w:val="bottom"/>
          </w:tcPr>
          <w:p>
            <w:pPr>
              <w:jc w:val="right"/>
              <w:ind w:right="24"/>
              <w:spacing w:after="0"/>
              <w:rPr>
                <w:sz w:val="20"/>
                <w:szCs w:val="20"/>
                <w:color w:val="auto"/>
              </w:rPr>
            </w:pPr>
            <w:r>
              <w:rPr>
                <w:rFonts w:ascii="Arial" w:cs="Arial" w:eastAsia="Arial" w:hAnsi="Arial"/>
                <w:sz w:val="22"/>
                <w:szCs w:val="22"/>
                <w:b w:val="1"/>
                <w:bCs w:val="1"/>
                <w:color w:val="FF160F"/>
              </w:rPr>
              <w:t>19</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20" w:type="dxa"/>
            <w:vAlign w:val="bottom"/>
            <w:gridSpan w:val="29"/>
          </w:tcPr>
          <w:p>
            <w:pPr>
              <w:spacing w:after="0"/>
              <w:rPr>
                <w:sz w:val="20"/>
                <w:szCs w:val="20"/>
                <w:color w:val="auto"/>
              </w:rPr>
            </w:pPr>
            <w:r>
              <w:rPr>
                <w:rFonts w:ascii="Arial" w:cs="Arial" w:eastAsia="Arial" w:hAnsi="Arial"/>
                <w:sz w:val="14"/>
                <w:szCs w:val="14"/>
                <w:color w:val="auto"/>
              </w:rPr>
              <w:t>Introduction</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60" w:type="dxa"/>
            <w:vAlign w:val="bottom"/>
            <w:gridSpan w:val="27"/>
          </w:tcPr>
          <w:p>
            <w:pPr>
              <w:spacing w:after="0" w:line="158" w:lineRule="exact"/>
              <w:rPr>
                <w:sz w:val="20"/>
                <w:szCs w:val="20"/>
                <w:color w:val="auto"/>
              </w:rPr>
            </w:pPr>
            <w:r>
              <w:rPr>
                <w:rFonts w:ascii="Arial" w:cs="Arial" w:eastAsia="Arial" w:hAnsi="Arial"/>
                <w:sz w:val="14"/>
                <w:szCs w:val="14"/>
                <w:color w:val="0000EE"/>
              </w:rPr>
              <w:t xml:space="preserve">2022 Business Highlights </w:t>
            </w:r>
            <w:r>
              <w:rPr>
                <w:rFonts w:ascii="Arial" w:cs="Arial" w:eastAsia="Arial" w:hAnsi="Arial"/>
                <w:sz w:val="14"/>
                <w:szCs w:val="14"/>
                <w:color w:val="000000"/>
              </w:rPr>
              <w:t>supporting Compensation</w:t>
            </w:r>
          </w:p>
        </w:tc>
        <w:tc>
          <w:tcPr>
            <w:tcW w:w="720" w:type="dxa"/>
            <w:vAlign w:val="bottom"/>
          </w:tcPr>
          <w:p>
            <w:pPr>
              <w:jc w:val="right"/>
              <w:ind w:right="24"/>
              <w:spacing w:after="0" w:line="15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Borders>
              <w:top w:val="single" w:sz="8" w:color="0000EE"/>
            </w:tcBorders>
            <w:gridSpan w:val="8"/>
          </w:tcPr>
          <w:p>
            <w:pPr>
              <w:ind w:left="80"/>
              <w:spacing w:after="0"/>
              <w:rPr>
                <w:sz w:val="20"/>
                <w:szCs w:val="20"/>
                <w:color w:val="auto"/>
              </w:rPr>
            </w:pPr>
            <w:r>
              <w:rPr>
                <w:rFonts w:ascii="Arial" w:cs="Arial" w:eastAsia="Arial" w:hAnsi="Arial"/>
                <w:sz w:val="14"/>
                <w:szCs w:val="14"/>
                <w:color w:val="auto"/>
              </w:rPr>
              <w:t>Decisions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74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Borders>
              <w:bottom w:val="single" w:sz="8" w:color="0000EE"/>
            </w:tcBorders>
            <w:gridSpan w:val="17"/>
          </w:tcPr>
          <w:p>
            <w:pPr>
              <w:spacing w:after="0" w:line="158" w:lineRule="exact"/>
              <w:rPr>
                <w:sz w:val="20"/>
                <w:szCs w:val="20"/>
                <w:color w:val="auto"/>
              </w:rPr>
            </w:pPr>
            <w:r>
              <w:rPr>
                <w:rFonts w:ascii="Arial" w:cs="Arial" w:eastAsia="Arial" w:hAnsi="Arial"/>
                <w:sz w:val="14"/>
                <w:szCs w:val="14"/>
                <w:color w:val="0000EE"/>
              </w:rPr>
              <w:t>Program Philosophy and Objectives</w:t>
            </w:r>
          </w:p>
        </w:tc>
        <w:tc>
          <w:tcPr>
            <w:tcW w:w="1580" w:type="dxa"/>
            <w:vAlign w:val="bottom"/>
            <w:gridSpan w:val="10"/>
          </w:tcPr>
          <w:p>
            <w:pPr>
              <w:spacing w:after="0"/>
              <w:rPr>
                <w:sz w:val="13"/>
                <w:szCs w:val="13"/>
                <w:color w:val="auto"/>
              </w:rPr>
            </w:pPr>
          </w:p>
        </w:tc>
        <w:tc>
          <w:tcPr>
            <w:tcW w:w="720" w:type="dxa"/>
            <w:vAlign w:val="bottom"/>
          </w:tcPr>
          <w:p>
            <w:pPr>
              <w:jc w:val="right"/>
              <w:ind w:right="24"/>
              <w:spacing w:after="0" w:line="15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Executive Compensation Practices</w:t>
            </w:r>
          </w:p>
        </w:tc>
        <w:tc>
          <w:tcPr>
            <w:tcW w:w="1640" w:type="dxa"/>
            <w:vAlign w:val="bottom"/>
            <w:gridSpan w:val="11"/>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Components of Compensation</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Compensation Setting Process</w:t>
            </w:r>
          </w:p>
        </w:tc>
        <w:tc>
          <w:tcPr>
            <w:tcW w:w="2220" w:type="dxa"/>
            <w:vAlign w:val="bottom"/>
            <w:gridSpan w:val="18"/>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Annual Compensation Decision Making</w:t>
            </w:r>
          </w:p>
        </w:tc>
        <w:tc>
          <w:tcPr>
            <w:tcW w:w="1360" w:type="dxa"/>
            <w:vAlign w:val="bottom"/>
            <w:gridSpan w:val="5"/>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Role of the Compensation Committee</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0000EE"/>
              </w:rPr>
              <w:t>Role of Management</w:t>
            </w:r>
          </w:p>
        </w:tc>
        <w:tc>
          <w:tcPr>
            <w:tcW w:w="1060" w:type="dxa"/>
            <w:vAlign w:val="bottom"/>
            <w:tcBorders>
              <w:top w:val="single" w:sz="8" w:color="0000EE"/>
            </w:tcBorders>
            <w:gridSpan w:val="13"/>
          </w:tcPr>
          <w:p>
            <w:pPr>
              <w:spacing w:after="0"/>
              <w:rPr>
                <w:sz w:val="14"/>
                <w:szCs w:val="14"/>
                <w:color w:val="auto"/>
              </w:rPr>
            </w:pPr>
          </w:p>
        </w:tc>
        <w:tc>
          <w:tcPr>
            <w:tcW w:w="1480" w:type="dxa"/>
            <w:vAlign w:val="bottom"/>
            <w:gridSpan w:val="9"/>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 xml:space="preserve">Role of Independent Compensation </w:t>
            </w:r>
            <w:r>
              <w:rPr>
                <w:rFonts w:ascii="Arial" w:cs="Arial" w:eastAsia="Arial" w:hAnsi="Arial"/>
                <w:sz w:val="14"/>
                <w:szCs w:val="14"/>
                <w:color w:val="000000"/>
              </w:rPr>
              <w:t>Consultant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2022 Compensation Decisions</w:t>
            </w:r>
          </w:p>
        </w:tc>
        <w:tc>
          <w:tcPr>
            <w:tcW w:w="2260" w:type="dxa"/>
            <w:vAlign w:val="bottom"/>
            <w:gridSpan w:val="20"/>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Setting 2022 Target Compensation</w:t>
            </w:r>
          </w:p>
        </w:tc>
        <w:tc>
          <w:tcPr>
            <w:tcW w:w="1660" w:type="dxa"/>
            <w:vAlign w:val="bottom"/>
            <w:gridSpan w:val="12"/>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Individual Elements of 2022 Pay</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2022 NEO Performance Summary</w:t>
            </w:r>
          </w:p>
        </w:tc>
        <w:tc>
          <w:tcPr>
            <w:tcW w:w="2020" w:type="dxa"/>
            <w:vAlign w:val="bottom"/>
            <w:gridSpan w:val="17"/>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rPr>
              <w:t>Other Compensation Practices and Policies</w:t>
            </w:r>
          </w:p>
        </w:tc>
        <w:tc>
          <w:tcPr>
            <w:tcW w:w="1420" w:type="dxa"/>
            <w:vAlign w:val="bottom"/>
            <w:gridSpan w:val="7"/>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Consideration of Say on Pay Vote</w:t>
            </w:r>
          </w:p>
        </w:tc>
        <w:tc>
          <w:tcPr>
            <w:tcW w:w="1720" w:type="dxa"/>
            <w:vAlign w:val="bottom"/>
            <w:gridSpan w:val="13"/>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No Hedging or Pledging of our Shares</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80" w:type="dxa"/>
            <w:vAlign w:val="bottom"/>
            <w:gridSpan w:val="16"/>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rPr>
              <w:t>Severance and Change-in-Control Arrangements</w:t>
            </w:r>
          </w:p>
        </w:tc>
        <w:tc>
          <w:tcPr>
            <w:tcW w:w="740" w:type="dxa"/>
            <w:vAlign w:val="bottom"/>
            <w:gridSpan w:val="3"/>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Clawback Policy</w:t>
            </w:r>
          </w:p>
        </w:tc>
        <w:tc>
          <w:tcPr>
            <w:tcW w:w="2820" w:type="dxa"/>
            <w:vAlign w:val="bottom"/>
            <w:gridSpan w:val="24"/>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Share Ownership Guidelines</w:t>
            </w:r>
          </w:p>
        </w:tc>
        <w:tc>
          <w:tcPr>
            <w:tcW w:w="1840" w:type="dxa"/>
            <w:vAlign w:val="bottom"/>
            <w:gridSpan w:val="3"/>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90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Risk Assessment of Compensation Programs</w:t>
            </w:r>
          </w:p>
        </w:tc>
        <w:tc>
          <w:tcPr>
            <w:tcW w:w="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4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Equity Grant Practices</w:t>
            </w:r>
          </w:p>
        </w:tc>
        <w:tc>
          <w:tcPr>
            <w:tcW w:w="2240" w:type="dxa"/>
            <w:vAlign w:val="bottom"/>
            <w:gridSpan w:val="5"/>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28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Tax Deductibility of Executive Compensation</w:t>
            </w:r>
          </w:p>
        </w:tc>
        <w:tc>
          <w:tcPr>
            <w:tcW w:w="840" w:type="dxa"/>
            <w:vAlign w:val="bottom"/>
            <w:gridSpan w:val="2"/>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8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Health and Welfare Benefits</w:t>
            </w:r>
          </w:p>
        </w:tc>
        <w:tc>
          <w:tcPr>
            <w:tcW w:w="1880" w:type="dxa"/>
            <w:vAlign w:val="bottom"/>
            <w:gridSpan w:val="4"/>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21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Compensation Committee Report</w:t>
            </w:r>
          </w:p>
        </w:tc>
        <w:tc>
          <w:tcPr>
            <w:tcW w:w="1880" w:type="dxa"/>
            <w:vAlign w:val="bottom"/>
            <w:gridSpan w:val="4"/>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-1654175</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ABLES AND</w:t>
            </w:r>
            <w:r>
              <w:rPr>
                <w:rFonts w:ascii="Arial" w:cs="Arial" w:eastAsia="Arial" w:hAnsi="Arial"/>
                <w:sz w:val="22"/>
                <w:szCs w:val="22"/>
                <w:b w:val="1"/>
                <w:bCs w:val="1"/>
                <w:color w:val="0000EE"/>
              </w:rPr>
              <w:t xml:space="preserve"> N</w:t>
            </w:r>
            <w:r>
              <w:rPr>
                <w:rFonts w:ascii="Arial" w:cs="Arial" w:eastAsia="Arial" w:hAnsi="Arial"/>
                <w:sz w:val="17"/>
                <w:szCs w:val="17"/>
                <w:b w:val="1"/>
                <w:bCs w:val="1"/>
                <w:color w:val="0000EE"/>
              </w:rPr>
              <w:t>ARRATIVES</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31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gridSpan w:val="35"/>
          </w:tcPr>
          <w:p>
            <w:pPr>
              <w:spacing w:after="0" w:line="149" w:lineRule="exact"/>
              <w:rPr>
                <w:sz w:val="20"/>
                <w:szCs w:val="20"/>
                <w:color w:val="auto"/>
              </w:rPr>
            </w:pPr>
            <w:r>
              <w:rPr>
                <w:rFonts w:ascii="Arial" w:cs="Arial" w:eastAsia="Arial" w:hAnsi="Arial"/>
                <w:sz w:val="14"/>
                <w:szCs w:val="14"/>
                <w:color w:val="0000EE"/>
              </w:rPr>
              <w:t>Summary Compensation Table</w:t>
            </w: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rPr>
              <w:t>Grants of Plan Based Awards Table</w:t>
            </w:r>
          </w:p>
        </w:tc>
        <w:tc>
          <w:tcPr>
            <w:tcW w:w="2100" w:type="dxa"/>
            <w:vAlign w:val="bottom"/>
            <w:gridSpan w:val="22"/>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040" w:type="dxa"/>
            <w:vAlign w:val="bottom"/>
            <w:gridSpan w:val="10"/>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gridSpan w:val="35"/>
          </w:tcPr>
          <w:p>
            <w:pPr>
              <w:spacing w:after="0"/>
              <w:rPr>
                <w:sz w:val="20"/>
                <w:szCs w:val="20"/>
                <w:color w:val="auto"/>
              </w:rPr>
            </w:pPr>
            <w:r>
              <w:rPr>
                <w:rFonts w:ascii="Arial" w:cs="Arial" w:eastAsia="Arial" w:hAnsi="Arial"/>
                <w:sz w:val="14"/>
                <w:szCs w:val="14"/>
                <w:color w:val="0000EE"/>
              </w:rPr>
              <w:t>Options Exercised and Stock Vested in 2022</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tcBorders>
              <w:top w:val="single" w:sz="8" w:color="0000EE"/>
            </w:tcBorders>
            <w:gridSpan w:val="21"/>
          </w:tcPr>
          <w:p>
            <w:pPr>
              <w:spacing w:after="0"/>
              <w:rPr>
                <w:sz w:val="20"/>
                <w:szCs w:val="20"/>
                <w:color w:val="auto"/>
              </w:rPr>
            </w:pPr>
            <w:r>
              <w:rPr>
                <w:rFonts w:ascii="Arial" w:cs="Arial" w:eastAsia="Arial" w:hAnsi="Arial"/>
                <w:sz w:val="14"/>
                <w:szCs w:val="14"/>
                <w:color w:val="0000EE"/>
              </w:rPr>
              <w:t>Non-Qualified Deferred Compensation</w:t>
            </w:r>
          </w:p>
        </w:tc>
        <w:tc>
          <w:tcPr>
            <w:tcW w:w="1540" w:type="dxa"/>
            <w:vAlign w:val="bottom"/>
            <w:gridSpan w:val="14"/>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gridSpan w:val="35"/>
          </w:tcPr>
          <w:p>
            <w:pPr>
              <w:spacing w:after="0"/>
              <w:rPr>
                <w:sz w:val="20"/>
                <w:szCs w:val="20"/>
                <w:color w:val="auto"/>
              </w:rPr>
            </w:pPr>
            <w:r>
              <w:rPr>
                <w:rFonts w:ascii="Arial" w:cs="Arial" w:eastAsia="Arial" w:hAnsi="Arial"/>
                <w:sz w:val="14"/>
                <w:szCs w:val="14"/>
                <w:color w:val="0000EE"/>
              </w:rPr>
              <w:t>Potential Payments on Termination of Employment and</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3400" w:type="dxa"/>
            <w:vAlign w:val="bottom"/>
            <w:tcBorders>
              <w:top w:val="single" w:sz="8" w:color="0000EE"/>
            </w:tcBorders>
            <w:gridSpan w:val="26"/>
          </w:tcPr>
          <w:p>
            <w:pPr>
              <w:spacing w:after="0" w:line="142" w:lineRule="exact"/>
              <w:rPr>
                <w:sz w:val="20"/>
                <w:szCs w:val="20"/>
                <w:color w:val="auto"/>
              </w:rPr>
            </w:pPr>
            <w:r>
              <w:rPr>
                <w:rFonts w:ascii="Arial" w:cs="Arial" w:eastAsia="Arial" w:hAnsi="Arial"/>
                <w:sz w:val="14"/>
                <w:szCs w:val="14"/>
                <w:color w:val="0000EE"/>
              </w:rPr>
              <w:t>Change-in-Control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8"/>
              </w:rPr>
              <w:t>CEO Pay Ratio</w:t>
            </w:r>
          </w:p>
        </w:tc>
        <w:tc>
          <w:tcPr>
            <w:tcW w:w="3400" w:type="dxa"/>
            <w:vAlign w:val="bottom"/>
            <w:gridSpan w:val="31"/>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gridSpan w:val="35"/>
          </w:tcPr>
          <w:p>
            <w:pPr>
              <w:spacing w:after="0"/>
              <w:rPr>
                <w:sz w:val="20"/>
                <w:szCs w:val="20"/>
                <w:color w:val="auto"/>
              </w:rPr>
            </w:pPr>
            <w:r>
              <w:rPr>
                <w:rFonts w:ascii="Arial" w:cs="Arial" w:eastAsia="Arial" w:hAnsi="Arial"/>
                <w:sz w:val="14"/>
                <w:szCs w:val="14"/>
                <w:color w:val="0000EE"/>
              </w:rPr>
              <w:t>Pay Versus Performance Disclosure</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color w:val="0000EE"/>
              </w:rPr>
              <w:t>Equity Compensation Plan Information</w:t>
            </w:r>
          </w:p>
        </w:tc>
        <w:tc>
          <w:tcPr>
            <w:tcW w:w="1920" w:type="dxa"/>
            <w:vAlign w:val="bottom"/>
            <w:gridSpan w:val="18"/>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3: A</w:t>
            </w:r>
            <w:r>
              <w:rPr>
                <w:rFonts w:ascii="Arial" w:cs="Arial" w:eastAsia="Arial" w:hAnsi="Arial"/>
                <w:sz w:val="17"/>
                <w:szCs w:val="17"/>
                <w:b w:val="1"/>
                <w:bCs w:val="1"/>
                <w:color w:val="0000EE"/>
              </w:rPr>
              <w:t>PPROVING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REQUENCY OF</w:t>
            </w:r>
            <w:r>
              <w:rPr>
                <w:rFonts w:ascii="Arial" w:cs="Arial" w:eastAsia="Arial" w:hAnsi="Arial"/>
                <w:sz w:val="22"/>
                <w:szCs w:val="22"/>
                <w:b w:val="1"/>
                <w:bCs w:val="1"/>
                <w:color w:val="0000EE"/>
              </w:rPr>
              <w:t xml:space="preserve"> S</w:t>
            </w:r>
            <w:r>
              <w:rPr>
                <w:rFonts w:ascii="Arial" w:cs="Arial" w:eastAsia="Arial" w:hAnsi="Arial"/>
                <w:sz w:val="17"/>
                <w:szCs w:val="17"/>
                <w:b w:val="1"/>
                <w:bCs w:val="1"/>
                <w:color w:val="0000EE"/>
              </w:rPr>
              <w:t>AY</w:t>
            </w:r>
          </w:p>
        </w:tc>
        <w:tc>
          <w:tcPr>
            <w:tcW w:w="680" w:type="dxa"/>
            <w:vAlign w:val="bottom"/>
            <w:vMerge w:val="restart"/>
          </w:tcPr>
          <w:p>
            <w:pPr>
              <w:jc w:val="right"/>
              <w:ind w:right="19"/>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00" w:type="dxa"/>
            <w:vAlign w:val="bottom"/>
            <w:tcBorders>
              <w:top w:val="single" w:sz="8" w:color="0000EE"/>
            </w:tcBorders>
            <w:gridSpan w:val="35"/>
          </w:tcPr>
          <w:p>
            <w:pPr>
              <w:spacing w:after="0" w:line="223" w:lineRule="exact"/>
              <w:rPr>
                <w:sz w:val="20"/>
                <w:szCs w:val="20"/>
                <w:color w:val="auto"/>
              </w:rPr>
            </w:pPr>
            <w:r>
              <w:rPr>
                <w:rFonts w:ascii="Arial" w:cs="Arial" w:eastAsia="Arial" w:hAnsi="Arial"/>
                <w:sz w:val="18"/>
                <w:szCs w:val="18"/>
                <w:b w:val="1"/>
                <w:bCs w:val="1"/>
                <w:color w:val="0000EE"/>
              </w:rPr>
              <w:t xml:space="preserve">ON </w:t>
            </w:r>
            <w:r>
              <w:rPr>
                <w:rFonts w:ascii="Arial" w:cs="Arial" w:eastAsia="Arial" w:hAnsi="Arial"/>
                <w:sz w:val="21"/>
                <w:szCs w:val="21"/>
                <w:b w:val="1"/>
                <w:bCs w:val="1"/>
                <w:color w:val="0000EE"/>
              </w:rPr>
              <w:t>P</w:t>
            </w:r>
            <w:r>
              <w:rPr>
                <w:rFonts w:ascii="Arial" w:cs="Arial" w:eastAsia="Arial" w:hAnsi="Arial"/>
                <w:sz w:val="18"/>
                <w:szCs w:val="18"/>
                <w:b w:val="1"/>
                <w:bCs w:val="1"/>
                <w:color w:val="0000EE"/>
              </w:rPr>
              <w:t xml:space="preserve">AY </w:t>
            </w:r>
            <w:r>
              <w:rPr>
                <w:rFonts w:ascii="Arial" w:cs="Arial" w:eastAsia="Arial" w:hAnsi="Arial"/>
                <w:sz w:val="21"/>
                <w:szCs w:val="21"/>
                <w:b w:val="1"/>
                <w:bCs w:val="1"/>
                <w:color w:val="0000EE"/>
              </w:rPr>
              <w:t>V</w:t>
            </w:r>
            <w:r>
              <w:rPr>
                <w:rFonts w:ascii="Arial" w:cs="Arial" w:eastAsia="Arial" w:hAnsi="Arial"/>
                <w:sz w:val="18"/>
                <w:szCs w:val="18"/>
                <w:b w:val="1"/>
                <w:bCs w:val="1"/>
                <w:color w:val="0000EE"/>
              </w:rPr>
              <w:t>OTE</w:t>
            </w: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4: D</w:t>
            </w:r>
            <w:r>
              <w:rPr>
                <w:rFonts w:ascii="Arial" w:cs="Arial" w:eastAsia="Arial" w:hAnsi="Arial"/>
                <w:sz w:val="17"/>
                <w:szCs w:val="17"/>
                <w:b w:val="1"/>
                <w:bCs w:val="1"/>
                <w:color w:val="0000EE"/>
              </w:rPr>
              <w:t>ECLARATION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640" w:type="dxa"/>
            <w:vAlign w:val="bottom"/>
            <w:tcBorders>
              <w:top w:val="single" w:sz="8" w:color="0000EE"/>
              <w:bottom w:val="single" w:sz="8" w:color="0000EE"/>
            </w:tcBorders>
            <w:gridSpan w:val="27"/>
          </w:tcPr>
          <w:p>
            <w:pPr>
              <w:spacing w:after="0" w:line="223" w:lineRule="exact"/>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MENDMENT TO</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NCREASE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UTHORIZED</w:t>
            </w:r>
          </w:p>
        </w:tc>
        <w:tc>
          <w:tcPr>
            <w:tcW w:w="120" w:type="dxa"/>
            <w:vAlign w:val="bottom"/>
            <w:tcBorders>
              <w:bottom w:val="single" w:sz="8" w:color="0000EE"/>
            </w:tcBorders>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80" w:type="dxa"/>
            <w:vAlign w:val="bottom"/>
            <w:vMerge w:val="restart"/>
          </w:tcPr>
          <w:p>
            <w:pPr>
              <w:jc w:val="right"/>
              <w:ind w:right="19"/>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60" w:type="dxa"/>
            <w:vAlign w:val="bottom"/>
            <w:gridSpan w:val="29"/>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OMMON</w:t>
            </w:r>
            <w:r>
              <w:rPr>
                <w:rFonts w:ascii="Arial" w:cs="Arial" w:eastAsia="Arial" w:hAnsi="Arial"/>
                <w:sz w:val="22"/>
                <w:szCs w:val="22"/>
                <w:b w:val="1"/>
                <w:bCs w:val="1"/>
                <w:color w:val="0000EE"/>
              </w:rPr>
              <w:t xml:space="preserve"> S</w:t>
            </w:r>
            <w:r>
              <w:rPr>
                <w:rFonts w:ascii="Arial" w:cs="Arial" w:eastAsia="Arial" w:hAnsi="Arial"/>
                <w:sz w:val="17"/>
                <w:szCs w:val="17"/>
                <w:b w:val="1"/>
                <w:bCs w:val="1"/>
                <w:color w:val="0000EE"/>
              </w:rPr>
              <w:t>HARES</w:t>
            </w: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5: R</w:t>
            </w:r>
            <w:r>
              <w:rPr>
                <w:rFonts w:ascii="Arial" w:cs="Arial" w:eastAsia="Arial" w:hAnsi="Arial"/>
                <w:sz w:val="17"/>
                <w:szCs w:val="17"/>
                <w:b w:val="1"/>
                <w:bCs w:val="1"/>
                <w:color w:val="0000EE"/>
              </w:rPr>
              <w:t>ATIFICATION OF</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NDEPENDENT</w:t>
            </w:r>
          </w:p>
        </w:tc>
        <w:tc>
          <w:tcPr>
            <w:tcW w:w="680" w:type="dxa"/>
            <w:vAlign w:val="bottom"/>
            <w:vMerge w:val="restart"/>
          </w:tcPr>
          <w:p>
            <w:pPr>
              <w:jc w:val="right"/>
              <w:ind w:right="19"/>
              <w:spacing w:after="0"/>
              <w:rPr>
                <w:sz w:val="20"/>
                <w:szCs w:val="20"/>
                <w:color w:val="auto"/>
              </w:rPr>
            </w:pPr>
            <w:r>
              <w:rPr>
                <w:rFonts w:ascii="Arial" w:cs="Arial" w:eastAsia="Arial" w:hAnsi="Arial"/>
                <w:sz w:val="22"/>
                <w:szCs w:val="22"/>
                <w:b w:val="1"/>
                <w:bCs w:val="1"/>
                <w:color w:val="FF160F"/>
              </w:rPr>
              <w:t>41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80" w:type="dxa"/>
            <w:vAlign w:val="bottom"/>
            <w:tcBorders>
              <w:top w:val="single" w:sz="8" w:color="0000EE"/>
            </w:tcBorders>
            <w:gridSpan w:val="34"/>
          </w:tcPr>
          <w:p>
            <w:pPr>
              <w:spacing w:after="0" w:line="223" w:lineRule="exact"/>
              <w:rPr>
                <w:sz w:val="20"/>
                <w:szCs w:val="20"/>
                <w:color w:val="auto"/>
              </w:rPr>
            </w:pPr>
            <w:r>
              <w:rPr>
                <w:rFonts w:ascii="Arial" w:cs="Arial" w:eastAsia="Arial" w:hAnsi="Arial"/>
                <w:sz w:val="22"/>
                <w:szCs w:val="22"/>
                <w:b w:val="1"/>
                <w:bCs w:val="1"/>
                <w:color w:val="0000EE"/>
              </w:rPr>
              <w:t>R</w:t>
            </w:r>
            <w:r>
              <w:rPr>
                <w:rFonts w:ascii="Arial" w:cs="Arial" w:eastAsia="Arial" w:hAnsi="Arial"/>
                <w:sz w:val="17"/>
                <w:szCs w:val="17"/>
                <w:b w:val="1"/>
                <w:bCs w:val="1"/>
                <w:color w:val="0000EE"/>
              </w:rPr>
              <w:t>EGISTERED</w:t>
            </w:r>
            <w:r>
              <w:rPr>
                <w:rFonts w:ascii="Arial" w:cs="Arial" w:eastAsia="Arial" w:hAnsi="Arial"/>
                <w:sz w:val="22"/>
                <w:szCs w:val="22"/>
                <w:b w:val="1"/>
                <w:bCs w:val="1"/>
                <w:color w:val="0000EE"/>
              </w:rPr>
              <w:t xml:space="preserve"> P</w:t>
            </w:r>
            <w:r>
              <w:rPr>
                <w:rFonts w:ascii="Arial" w:cs="Arial" w:eastAsia="Arial" w:hAnsi="Arial"/>
                <w:sz w:val="17"/>
                <w:szCs w:val="17"/>
                <w:b w:val="1"/>
                <w:bCs w:val="1"/>
                <w:color w:val="0000EE"/>
              </w:rPr>
              <w:t>UBLIC</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CCOUNTING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IRM</w:t>
            </w:r>
          </w:p>
        </w:tc>
        <w:tc>
          <w:tcPr>
            <w:tcW w:w="340" w:type="dxa"/>
            <w:vAlign w:val="bottom"/>
            <w:gridSpan w:val="2"/>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Borders>
              <w:bottom w:val="single" w:sz="8" w:color="0000EE"/>
            </w:tcBorders>
            <w:gridSpan w:val="10"/>
          </w:tcPr>
          <w:p>
            <w:pPr>
              <w:spacing w:after="0" w:line="149" w:lineRule="exact"/>
              <w:rPr>
                <w:sz w:val="20"/>
                <w:szCs w:val="20"/>
                <w:color w:val="auto"/>
              </w:rPr>
            </w:pPr>
            <w:r>
              <w:rPr>
                <w:rFonts w:ascii="Arial" w:cs="Arial" w:eastAsia="Arial" w:hAnsi="Arial"/>
                <w:sz w:val="14"/>
                <w:szCs w:val="14"/>
                <w:color w:val="0000EE"/>
              </w:rPr>
              <w:t>Audit Committee Report</w:t>
            </w:r>
          </w:p>
        </w:tc>
        <w:tc>
          <w:tcPr>
            <w:tcW w:w="2840" w:type="dxa"/>
            <w:vAlign w:val="bottom"/>
            <w:gridSpan w:val="25"/>
          </w:tcPr>
          <w:p>
            <w:pPr>
              <w:spacing w:after="0"/>
              <w:rPr>
                <w:sz w:val="12"/>
                <w:szCs w:val="12"/>
                <w:color w:val="auto"/>
              </w:rPr>
            </w:pP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B</w:t>
            </w:r>
            <w:r>
              <w:rPr>
                <w:rFonts w:ascii="Arial" w:cs="Arial" w:eastAsia="Arial" w:hAnsi="Arial"/>
                <w:sz w:val="17"/>
                <w:szCs w:val="17"/>
                <w:b w:val="1"/>
                <w:bCs w:val="1"/>
                <w:color w:val="0000EE"/>
              </w:rPr>
              <w:t>ENEFICIAL</w:t>
            </w:r>
            <w:r>
              <w:rPr>
                <w:rFonts w:ascii="Arial" w:cs="Arial" w:eastAsia="Arial" w:hAnsi="Arial"/>
                <w:sz w:val="22"/>
                <w:szCs w:val="22"/>
                <w:b w:val="1"/>
                <w:bCs w:val="1"/>
                <w:color w:val="0000EE"/>
              </w:rPr>
              <w:t xml:space="preserve"> O</w:t>
            </w:r>
            <w:r>
              <w:rPr>
                <w:rFonts w:ascii="Arial" w:cs="Arial" w:eastAsia="Arial" w:hAnsi="Arial"/>
                <w:sz w:val="17"/>
                <w:szCs w:val="17"/>
                <w:b w:val="1"/>
                <w:bCs w:val="1"/>
                <w:color w:val="0000EE"/>
              </w:rPr>
              <w:t>WNERSHIP</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44</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tcBorders>
              <w:bottom w:val="single" w:sz="8" w:color="0000EE"/>
            </w:tcBorders>
            <w:gridSpan w:val="15"/>
          </w:tcPr>
          <w:p>
            <w:pPr>
              <w:spacing w:after="0" w:line="149" w:lineRule="exact"/>
              <w:rPr>
                <w:sz w:val="20"/>
                <w:szCs w:val="20"/>
                <w:color w:val="auto"/>
              </w:rPr>
            </w:pPr>
            <w:r>
              <w:rPr>
                <w:rFonts w:ascii="Arial" w:cs="Arial" w:eastAsia="Arial" w:hAnsi="Arial"/>
                <w:sz w:val="14"/>
                <w:szCs w:val="14"/>
                <w:color w:val="0000EE"/>
              </w:rPr>
              <w:t>Ownership of Principal Shareholders</w:t>
            </w:r>
          </w:p>
        </w:tc>
        <w:tc>
          <w:tcPr>
            <w:tcW w:w="2040" w:type="dxa"/>
            <w:vAlign w:val="bottom"/>
            <w:gridSpan w:val="20"/>
          </w:tcPr>
          <w:p>
            <w:pPr>
              <w:spacing w:after="0"/>
              <w:rPr>
                <w:sz w:val="12"/>
                <w:szCs w:val="12"/>
                <w:color w:val="auto"/>
              </w:rPr>
            </w:pP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gridSpan w:val="35"/>
          </w:tcPr>
          <w:p>
            <w:pPr>
              <w:spacing w:after="0"/>
              <w:rPr>
                <w:sz w:val="20"/>
                <w:szCs w:val="20"/>
                <w:color w:val="auto"/>
              </w:rPr>
            </w:pPr>
            <w:r>
              <w:rPr>
                <w:rFonts w:ascii="Arial" w:cs="Arial" w:eastAsia="Arial" w:hAnsi="Arial"/>
                <w:sz w:val="14"/>
                <w:szCs w:val="14"/>
                <w:color w:val="0000EE"/>
              </w:rPr>
              <w:t>Ownership of Trustees and Executive Officers</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I</w:t>
            </w:r>
            <w:r>
              <w:rPr>
                <w:rFonts w:ascii="Arial" w:cs="Arial" w:eastAsia="Arial" w:hAnsi="Arial"/>
                <w:sz w:val="17"/>
                <w:szCs w:val="17"/>
                <w:b w:val="1"/>
                <w:bCs w:val="1"/>
                <w:color w:val="0000EE"/>
              </w:rPr>
              <w:t>NFORMATION ABOUT THE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NNUAL</w:t>
            </w:r>
            <w:r>
              <w:rPr>
                <w:rFonts w:ascii="Arial" w:cs="Arial" w:eastAsia="Arial" w:hAnsi="Arial"/>
                <w:sz w:val="22"/>
                <w:szCs w:val="22"/>
                <w:b w:val="1"/>
                <w:bCs w:val="1"/>
                <w:color w:val="0000EE"/>
              </w:rPr>
              <w:t xml:space="preserve"> M</w:t>
            </w:r>
            <w:r>
              <w:rPr>
                <w:rFonts w:ascii="Arial" w:cs="Arial" w:eastAsia="Arial" w:hAnsi="Arial"/>
                <w:sz w:val="17"/>
                <w:szCs w:val="17"/>
                <w:b w:val="1"/>
                <w:bCs w:val="1"/>
                <w:color w:val="0000EE"/>
              </w:rPr>
              <w:t>EETING</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45</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gridSpan w:val="35"/>
          </w:tcPr>
          <w:p>
            <w:pPr>
              <w:spacing w:after="0" w:line="149" w:lineRule="exact"/>
              <w:rPr>
                <w:sz w:val="20"/>
                <w:szCs w:val="20"/>
                <w:color w:val="auto"/>
              </w:rPr>
            </w:pPr>
            <w:r>
              <w:rPr>
                <w:rFonts w:ascii="Arial" w:cs="Arial" w:eastAsia="Arial" w:hAnsi="Arial"/>
                <w:sz w:val="14"/>
                <w:szCs w:val="14"/>
                <w:color w:val="0000EE"/>
              </w:rPr>
              <w:t>Notice of Electronic Availability of Proxy Materials</w:t>
            </w: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4"/>
                <w:szCs w:val="14"/>
                <w:color w:val="0000EE"/>
              </w:rPr>
              <w:t>Why You are Receiving These Materials</w:t>
            </w:r>
          </w:p>
        </w:tc>
        <w:tc>
          <w:tcPr>
            <w:tcW w:w="580" w:type="dxa"/>
            <w:vAlign w:val="bottom"/>
            <w:tcBorders>
              <w:top w:val="single" w:sz="8" w:color="0000EE"/>
            </w:tcBorders>
            <w:gridSpan w:val="4"/>
          </w:tcPr>
          <w:p>
            <w:pPr>
              <w:spacing w:after="0"/>
              <w:rPr>
                <w:sz w:val="14"/>
                <w:szCs w:val="14"/>
                <w:color w:val="auto"/>
              </w:rPr>
            </w:pPr>
          </w:p>
        </w:tc>
        <w:tc>
          <w:tcPr>
            <w:tcW w:w="1240" w:type="dxa"/>
            <w:vAlign w:val="bottom"/>
            <w:gridSpan w:val="12"/>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gridSpan w:val="35"/>
          </w:tcPr>
          <w:p>
            <w:pPr>
              <w:spacing w:after="0"/>
              <w:rPr>
                <w:sz w:val="20"/>
                <w:szCs w:val="20"/>
                <w:color w:val="auto"/>
              </w:rPr>
            </w:pPr>
            <w:r>
              <w:rPr>
                <w:rFonts w:ascii="Arial" w:cs="Arial" w:eastAsia="Arial" w:hAnsi="Arial"/>
                <w:sz w:val="14"/>
                <w:szCs w:val="14"/>
                <w:color w:val="0000EE"/>
              </w:rPr>
              <w:t>Accessing Materials</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w w:val="96"/>
              </w:rPr>
              <w:t>How to Vote</w:t>
            </w:r>
          </w:p>
        </w:tc>
        <w:tc>
          <w:tcPr>
            <w:tcW w:w="500" w:type="dxa"/>
            <w:vAlign w:val="bottom"/>
            <w:tcBorders>
              <w:top w:val="single" w:sz="8" w:color="0000EE"/>
            </w:tcBorders>
            <w:gridSpan w:val="5"/>
          </w:tcPr>
          <w:p>
            <w:pPr>
              <w:spacing w:after="0"/>
              <w:rPr>
                <w:sz w:val="14"/>
                <w:szCs w:val="14"/>
                <w:color w:val="auto"/>
              </w:rPr>
            </w:pPr>
          </w:p>
        </w:tc>
        <w:tc>
          <w:tcPr>
            <w:tcW w:w="3100" w:type="dxa"/>
            <w:vAlign w:val="bottom"/>
            <w:gridSpan w:val="28"/>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gridSpan w:val="35"/>
          </w:tcPr>
          <w:p>
            <w:pPr>
              <w:spacing w:after="0"/>
              <w:rPr>
                <w:sz w:val="20"/>
                <w:szCs w:val="20"/>
                <w:color w:val="auto"/>
              </w:rPr>
            </w:pPr>
            <w:r>
              <w:rPr>
                <w:rFonts w:ascii="Arial" w:cs="Arial" w:eastAsia="Arial" w:hAnsi="Arial"/>
                <w:sz w:val="14"/>
                <w:szCs w:val="14"/>
                <w:color w:val="0000EE"/>
              </w:rPr>
              <w:t>How to Participate in the Annual Meeting</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0000EE"/>
              </w:rPr>
              <w:t>Eliminating Duplicative Proxy Materials</w:t>
            </w:r>
          </w:p>
        </w:tc>
        <w:tc>
          <w:tcPr>
            <w:tcW w:w="1780" w:type="dxa"/>
            <w:vAlign w:val="bottom"/>
            <w:gridSpan w:val="15"/>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color w:val="0000EE"/>
              </w:rPr>
              <w:t>Solicitation of Proxies</w:t>
            </w:r>
          </w:p>
        </w:tc>
        <w:tc>
          <w:tcPr>
            <w:tcW w:w="1100" w:type="dxa"/>
            <w:vAlign w:val="bottom"/>
            <w:tcBorders>
              <w:top w:val="single" w:sz="8" w:color="0000EE"/>
            </w:tcBorders>
            <w:gridSpan w:val="10"/>
          </w:tcPr>
          <w:p>
            <w:pPr>
              <w:spacing w:after="0"/>
              <w:rPr>
                <w:sz w:val="14"/>
                <w:szCs w:val="14"/>
                <w:color w:val="auto"/>
              </w:rPr>
            </w:pPr>
          </w:p>
        </w:tc>
        <w:tc>
          <w:tcPr>
            <w:tcW w:w="1900" w:type="dxa"/>
            <w:vAlign w:val="bottom"/>
            <w:gridSpan w:val="17"/>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rPr>
              <w:t>Shareholder Proposals for the 2024 Annual Meeting</w:t>
            </w:r>
          </w:p>
        </w:tc>
        <w:tc>
          <w:tcPr>
            <w:tcW w:w="1060" w:type="dxa"/>
            <w:vAlign w:val="bottom"/>
            <w:gridSpan w:val="11"/>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6"/>
          </w:tcPr>
          <w:p>
            <w:pPr>
              <w:spacing w:after="0"/>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PPENDIX</w:t>
            </w:r>
            <w:r>
              <w:rPr>
                <w:rFonts w:ascii="Arial" w:cs="Arial" w:eastAsia="Arial" w:hAnsi="Arial"/>
                <w:sz w:val="22"/>
                <w:szCs w:val="22"/>
                <w:b w:val="1"/>
                <w:bCs w:val="1"/>
                <w:color w:val="0000EE"/>
              </w:rPr>
              <w:t xml:space="preserve"> A</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A-1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80" w:type="dxa"/>
            <w:vAlign w:val="bottom"/>
            <w:tcBorders>
              <w:bottom w:val="single" w:sz="8" w:color="0000EE"/>
            </w:tcBorders>
            <w:gridSpan w:val="32"/>
          </w:tcPr>
          <w:p>
            <w:pPr>
              <w:spacing w:after="0" w:line="129" w:lineRule="exact"/>
              <w:rPr>
                <w:sz w:val="20"/>
                <w:szCs w:val="20"/>
                <w:color w:val="auto"/>
              </w:rPr>
            </w:pPr>
            <w:r>
              <w:rPr>
                <w:rFonts w:ascii="Arial" w:cs="Arial" w:eastAsia="Arial" w:hAnsi="Arial"/>
                <w:sz w:val="14"/>
                <w:szCs w:val="14"/>
                <w:color w:val="0000EE"/>
              </w:rPr>
              <w:t>Appendix A – Reconciliation of Non-GAAP Financial Measures</w:t>
            </w:r>
          </w:p>
        </w:tc>
        <w:tc>
          <w:tcPr>
            <w:tcW w:w="380" w:type="dxa"/>
            <w:vAlign w:val="bottom"/>
            <w:gridSpan w:val="3"/>
          </w:tcPr>
          <w:p>
            <w:pPr>
              <w:spacing w:after="0"/>
              <w:rPr>
                <w:sz w:val="12"/>
                <w:szCs w:val="12"/>
                <w:color w:val="auto"/>
              </w:rPr>
            </w:pPr>
          </w:p>
        </w:tc>
        <w:tc>
          <w:tcPr>
            <w:tcW w:w="680" w:type="dxa"/>
            <w:vAlign w:val="bottom"/>
          </w:tcPr>
          <w:p>
            <w:pPr>
              <w:jc w:val="right"/>
              <w:ind w:right="19"/>
              <w:spacing w:after="0" w:line="142"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Company Information</w:t>
      </w:r>
    </w:p>
    <w:p>
      <w:pPr>
        <w:spacing w:after="0" w:line="23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Following is basic information about the Company and highlights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and its subsidiaries.</w:t>
      </w:r>
    </w:p>
    <w:p>
      <w:pPr>
        <w:spacing w:after="0" w:line="17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Federal Realty Investment Trust is an S&amp;P 500 company headquartered in North Bethesda, Maryland that owns, operates and redevelops high-quality retail based real estate located primarily in major coastal markets.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60" w:type="dxa"/>
            <w:vAlign w:val="bottom"/>
          </w:tcPr>
          <w:p>
            <w:pPr>
              <w:jc w:val="center"/>
              <w:ind w:left="90"/>
              <w:spacing w:after="0"/>
              <w:rPr>
                <w:sz w:val="20"/>
                <w:szCs w:val="20"/>
                <w:color w:val="auto"/>
              </w:rPr>
            </w:pPr>
            <w:r>
              <w:rPr>
                <w:rFonts w:ascii="Arial" w:cs="Arial" w:eastAsia="Arial" w:hAnsi="Arial"/>
                <w:sz w:val="18"/>
                <w:szCs w:val="18"/>
                <w:color w:val="FF160F"/>
                <w:w w:val="99"/>
              </w:rPr>
              <w:t>Company Information</w:t>
            </w:r>
          </w:p>
        </w:tc>
        <w:tc>
          <w:tcPr>
            <w:tcW w:w="3860" w:type="dxa"/>
            <w:vAlign w:val="bottom"/>
          </w:tcPr>
          <w:p>
            <w:pPr>
              <w:jc w:val="center"/>
              <w:ind w:left="210"/>
              <w:spacing w:after="0"/>
              <w:rPr>
                <w:sz w:val="20"/>
                <w:szCs w:val="20"/>
                <w:color w:val="auto"/>
              </w:rPr>
            </w:pPr>
            <w:r>
              <w:rPr>
                <w:rFonts w:ascii="Arial" w:cs="Arial" w:eastAsia="Arial" w:hAnsi="Arial"/>
                <w:sz w:val="18"/>
                <w:szCs w:val="18"/>
                <w:color w:val="FF160F"/>
                <w:w w:val="99"/>
              </w:rPr>
              <w:t>Our Properties*</w:t>
            </w:r>
          </w:p>
        </w:tc>
        <w:tc>
          <w:tcPr>
            <w:tcW w:w="3500" w:type="dxa"/>
            <w:vAlign w:val="bottom"/>
          </w:tcPr>
          <w:p>
            <w:pPr>
              <w:jc w:val="center"/>
              <w:spacing w:after="0"/>
              <w:rPr>
                <w:sz w:val="20"/>
                <w:szCs w:val="20"/>
                <w:color w:val="auto"/>
              </w:rPr>
            </w:pPr>
            <w:r>
              <w:rPr>
                <w:rFonts w:ascii="Arial" w:cs="Arial" w:eastAsia="Arial" w:hAnsi="Arial"/>
                <w:sz w:val="18"/>
                <w:szCs w:val="18"/>
                <w:color w:val="FF160F"/>
                <w:w w:val="99"/>
              </w:rPr>
              <w:t>Our Employees*</w:t>
            </w:r>
          </w:p>
        </w:tc>
      </w:tr>
      <w:tr>
        <w:trPr>
          <w:trHeight w:val="77"/>
        </w:trPr>
        <w:tc>
          <w:tcPr>
            <w:tcW w:w="36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c>
          <w:tcPr>
            <w:tcW w:w="3500" w:type="dxa"/>
            <w:vAlign w:val="bottom"/>
            <w:tcBorders>
              <w:bottom w:val="single" w:sz="8" w:color="auto"/>
            </w:tcBorders>
          </w:tcPr>
          <w:p>
            <w:pPr>
              <w:spacing w:after="0"/>
              <w:rPr>
                <w:sz w:val="6"/>
                <w:szCs w:val="6"/>
                <w:color w:val="auto"/>
              </w:rPr>
            </w:pPr>
          </w:p>
        </w:tc>
      </w:tr>
      <w:tr>
        <w:trPr>
          <w:trHeight w:val="339"/>
        </w:trPr>
        <w:tc>
          <w:tcPr>
            <w:tcW w:w="3660" w:type="dxa"/>
            <w:vAlign w:val="bottom"/>
          </w:tcPr>
          <w:p>
            <w:pPr>
              <w:jc w:val="center"/>
              <w:ind w:left="110"/>
              <w:spacing w:after="0"/>
              <w:rPr>
                <w:sz w:val="20"/>
                <w:szCs w:val="20"/>
                <w:color w:val="auto"/>
              </w:rPr>
            </w:pPr>
            <w:r>
              <w:rPr>
                <w:rFonts w:ascii="Arial" w:cs="Arial" w:eastAsia="Arial" w:hAnsi="Arial"/>
                <w:sz w:val="18"/>
                <w:szCs w:val="18"/>
                <w:color w:val="auto"/>
              </w:rPr>
              <w:t>Established in 1962</w:t>
            </w:r>
          </w:p>
        </w:tc>
        <w:tc>
          <w:tcPr>
            <w:tcW w:w="3860" w:type="dxa"/>
            <w:vAlign w:val="bottom"/>
          </w:tcPr>
          <w:p>
            <w:pPr>
              <w:jc w:val="center"/>
              <w:ind w:left="210"/>
              <w:spacing w:after="0"/>
              <w:rPr>
                <w:sz w:val="20"/>
                <w:szCs w:val="20"/>
                <w:color w:val="auto"/>
              </w:rPr>
            </w:pPr>
            <w:r>
              <w:rPr>
                <w:rFonts w:ascii="Arial" w:cs="Arial" w:eastAsia="Arial" w:hAnsi="Arial"/>
                <w:sz w:val="18"/>
                <w:szCs w:val="18"/>
                <w:color w:val="auto"/>
                <w:w w:val="99"/>
              </w:rPr>
              <w:t>103 Properties</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319 employees</w:t>
            </w:r>
          </w:p>
        </w:tc>
      </w:tr>
      <w:tr>
        <w:trPr>
          <w:trHeight w:val="203"/>
        </w:trPr>
        <w:tc>
          <w:tcPr>
            <w:tcW w:w="3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Member of the S&amp;P 500</w:t>
            </w:r>
          </w:p>
        </w:tc>
        <w:tc>
          <w:tcPr>
            <w:tcW w:w="386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25.9M SF of commercial space</w:t>
            </w:r>
          </w:p>
        </w:tc>
        <w:tc>
          <w:tcPr>
            <w:tcW w:w="3500" w:type="dxa"/>
            <w:vAlign w:val="bottom"/>
          </w:tcPr>
          <w:p>
            <w:pPr>
              <w:jc w:val="center"/>
              <w:spacing w:after="0" w:line="202" w:lineRule="exact"/>
              <w:rPr>
                <w:sz w:val="20"/>
                <w:szCs w:val="20"/>
                <w:color w:val="auto"/>
              </w:rPr>
            </w:pPr>
            <w:r>
              <w:rPr>
                <w:rFonts w:ascii="Arial" w:cs="Arial" w:eastAsia="Arial" w:hAnsi="Arial"/>
                <w:sz w:val="18"/>
                <w:szCs w:val="18"/>
                <w:color w:val="auto"/>
                <w:w w:val="98"/>
              </w:rPr>
              <w:t>6 primary offices</w:t>
            </w:r>
          </w:p>
        </w:tc>
      </w:tr>
      <w:tr>
        <w:trPr>
          <w:trHeight w:val="252"/>
        </w:trPr>
        <w:tc>
          <w:tcPr>
            <w:tcW w:w="3660" w:type="dxa"/>
            <w:vAlign w:val="bottom"/>
          </w:tcPr>
          <w:p>
            <w:pPr>
              <w:spacing w:after="0"/>
              <w:rPr>
                <w:sz w:val="21"/>
                <w:szCs w:val="21"/>
                <w:color w:val="auto"/>
              </w:rPr>
            </w:pPr>
          </w:p>
        </w:tc>
        <w:tc>
          <w:tcPr>
            <w:tcW w:w="3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3,000 residential units</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Average tenure exceeds 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Information as of December 31, 2022.</w:t>
      </w:r>
    </w:p>
    <w:p>
      <w:pPr>
        <w:spacing w:after="0" w:line="234" w:lineRule="exact"/>
        <w:rPr>
          <w:sz w:val="20"/>
          <w:szCs w:val="20"/>
          <w:color w:val="auto"/>
        </w:rPr>
      </w:pPr>
    </w:p>
    <w:p>
      <w:pPr>
        <w:ind w:left="540" w:hanging="424"/>
        <w:spacing w:after="0"/>
        <w:tabs>
          <w:tab w:leader="none" w:pos="540" w:val="left"/>
        </w:tabs>
        <w:numPr>
          <w:ilvl w:val="0"/>
          <w:numId w:val="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HIGHLIGHTS OF 2022 COMPANY PERFORMANCE</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Key business and financial achievements for 2022, in addition to net income per diluted share of $4.71 (growth of 44% over 2021), included: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20" w:type="dxa"/>
            <w:vAlign w:val="bottom"/>
            <w:shd w:val="clear" w:color="auto" w:fill="A5A5A5"/>
          </w:tcPr>
          <w:p>
            <w:pPr>
              <w:spacing w:after="0"/>
              <w:rPr>
                <w:sz w:val="17"/>
                <w:szCs w:val="17"/>
                <w:color w:val="auto"/>
              </w:rPr>
            </w:pPr>
          </w:p>
        </w:tc>
        <w:tc>
          <w:tcPr>
            <w:tcW w:w="186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FFO Per Share</w:t>
            </w:r>
          </w:p>
        </w:tc>
        <w:tc>
          <w:tcPr>
            <w:tcW w:w="140" w:type="dxa"/>
            <w:vAlign w:val="bottom"/>
            <w:shd w:val="clear" w:color="auto" w:fill="F2F2F2"/>
          </w:tcPr>
          <w:p>
            <w:pPr>
              <w:spacing w:after="0"/>
              <w:rPr>
                <w:sz w:val="17"/>
                <w:szCs w:val="17"/>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$6.32</w:t>
            </w:r>
            <w:r>
              <w:rPr>
                <w:rFonts w:ascii="Arial" w:cs="Arial" w:eastAsia="Arial" w:hAnsi="Arial"/>
                <w:sz w:val="18"/>
                <w:szCs w:val="18"/>
                <w:color w:val="auto"/>
              </w:rPr>
              <w:t xml:space="preserve"> representing growth of </w:t>
            </w:r>
            <w:r>
              <w:rPr>
                <w:rFonts w:ascii="Arial" w:cs="Arial" w:eastAsia="Arial" w:hAnsi="Arial"/>
                <w:sz w:val="18"/>
                <w:szCs w:val="18"/>
                <w:color w:val="FF160F"/>
              </w:rPr>
              <w:t>13.5%</w:t>
            </w:r>
            <w:r>
              <w:rPr>
                <w:rFonts w:ascii="Arial" w:cs="Arial" w:eastAsia="Arial" w:hAnsi="Arial"/>
                <w:sz w:val="18"/>
                <w:szCs w:val="18"/>
                <w:color w:val="auto"/>
              </w:rPr>
              <w:t xml:space="preserve"> over 2021 driven by improved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shd w:val="clear" w:color="auto" w:fill="A5A5A5"/>
          </w:tcPr>
          <w:p>
            <w:pPr>
              <w:spacing w:after="0"/>
              <w:rPr>
                <w:sz w:val="7"/>
                <w:szCs w:val="7"/>
                <w:color w:val="auto"/>
              </w:rPr>
            </w:pPr>
          </w:p>
        </w:tc>
        <w:tc>
          <w:tcPr>
            <w:tcW w:w="1860" w:type="dxa"/>
            <w:vAlign w:val="bottom"/>
            <w:vMerge w:val="continue"/>
            <w:shd w:val="clear" w:color="auto" w:fill="A5A5A5"/>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7600" w:type="dxa"/>
            <w:vAlign w:val="bottom"/>
            <w:vMerge w:val="restart"/>
            <w:shd w:val="clear" w:color="auto" w:fill="F2F2F2"/>
          </w:tcPr>
          <w:p>
            <w:pPr>
              <w:spacing w:after="0" w:line="202" w:lineRule="exact"/>
              <w:rPr>
                <w:sz w:val="20"/>
                <w:szCs w:val="20"/>
                <w:color w:val="auto"/>
              </w:rPr>
            </w:pPr>
            <w:r>
              <w:rPr>
                <w:rFonts w:ascii="Arial" w:cs="Arial" w:eastAsia="Arial" w:hAnsi="Arial"/>
                <w:sz w:val="18"/>
                <w:szCs w:val="18"/>
                <w:color w:val="auto"/>
              </w:rPr>
              <w:t>occupancy, increasing rents, strategic acquisitions, new projects coming on line, and strong</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20" w:type="dxa"/>
            <w:vAlign w:val="bottom"/>
            <w:shd w:val="clear" w:color="auto" w:fill="A5A5A5"/>
          </w:tcPr>
          <w:p>
            <w:pPr>
              <w:spacing w:after="0"/>
              <w:rPr>
                <w:sz w:val="10"/>
                <w:szCs w:val="10"/>
                <w:color w:val="auto"/>
              </w:rPr>
            </w:pPr>
          </w:p>
        </w:tc>
        <w:tc>
          <w:tcPr>
            <w:tcW w:w="186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rPr>
              <w:t>Growth</w:t>
            </w:r>
          </w:p>
        </w:tc>
        <w:tc>
          <w:tcPr>
            <w:tcW w:w="140" w:type="dxa"/>
            <w:vAlign w:val="bottom"/>
            <w:shd w:val="clear" w:color="auto" w:fill="F2F2F2"/>
          </w:tcPr>
          <w:p>
            <w:pPr>
              <w:spacing w:after="0"/>
              <w:rPr>
                <w:sz w:val="10"/>
                <w:szCs w:val="10"/>
                <w:color w:val="auto"/>
              </w:rPr>
            </w:pPr>
          </w:p>
        </w:tc>
        <w:tc>
          <w:tcPr>
            <w:tcW w:w="760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20" w:type="dxa"/>
            <w:vAlign w:val="bottom"/>
            <w:shd w:val="clear" w:color="auto" w:fill="A5A5A5"/>
          </w:tcPr>
          <w:p>
            <w:pPr>
              <w:spacing w:after="0"/>
              <w:rPr>
                <w:sz w:val="10"/>
                <w:szCs w:val="10"/>
                <w:color w:val="auto"/>
              </w:rPr>
            </w:pPr>
          </w:p>
        </w:tc>
        <w:tc>
          <w:tcPr>
            <w:tcW w:w="1860" w:type="dxa"/>
            <w:vAlign w:val="bottom"/>
            <w:vMerge w:val="continue"/>
            <w:shd w:val="clear" w:color="auto" w:fill="A5A5A5"/>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60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balance sheet management</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120" w:type="dxa"/>
            <w:vAlign w:val="bottom"/>
            <w:shd w:val="clear" w:color="auto" w:fill="A5A5A5"/>
          </w:tcPr>
          <w:p>
            <w:pPr>
              <w:spacing w:after="0"/>
              <w:rPr>
                <w:sz w:val="9"/>
                <w:szCs w:val="9"/>
                <w:color w:val="auto"/>
              </w:rPr>
            </w:pPr>
          </w:p>
        </w:tc>
        <w:tc>
          <w:tcPr>
            <w:tcW w:w="1860" w:type="dxa"/>
            <w:vAlign w:val="bottom"/>
            <w:shd w:val="clear" w:color="auto" w:fill="A5A5A5"/>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76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A5A5A5"/>
          </w:tcPr>
          <w:p>
            <w:pPr>
              <w:spacing w:after="0"/>
              <w:rPr>
                <w:sz w:val="17"/>
                <w:szCs w:val="17"/>
                <w:color w:val="auto"/>
              </w:rPr>
            </w:pPr>
          </w:p>
        </w:tc>
        <w:tc>
          <w:tcPr>
            <w:tcW w:w="1860" w:type="dxa"/>
            <w:vAlign w:val="bottom"/>
            <w:tcBorders>
              <w:bottom w:val="single" w:sz="8" w:color="auto"/>
            </w:tcBorders>
            <w:shd w:val="clear" w:color="auto" w:fill="A5A5A5"/>
          </w:tcPr>
          <w:p>
            <w:pPr>
              <w:spacing w:after="0"/>
              <w:rPr>
                <w:sz w:val="17"/>
                <w:szCs w:val="17"/>
                <w:color w:val="auto"/>
              </w:rPr>
            </w:pPr>
          </w:p>
        </w:tc>
        <w:tc>
          <w:tcPr>
            <w:tcW w:w="140" w:type="dxa"/>
            <w:vAlign w:val="bottom"/>
            <w:tcBorders>
              <w:bottom w:val="single" w:sz="8" w:color="auto"/>
            </w:tcBorders>
            <w:shd w:val="clear" w:color="auto" w:fill="F2F2F2"/>
          </w:tcPr>
          <w:p>
            <w:pPr>
              <w:spacing w:after="0"/>
              <w:rPr>
                <w:sz w:val="17"/>
                <w:szCs w:val="17"/>
                <w:color w:val="auto"/>
              </w:rPr>
            </w:pPr>
          </w:p>
        </w:tc>
        <w:tc>
          <w:tcPr>
            <w:tcW w:w="760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Record Leasing</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color w:val="FF160F"/>
              </w:rPr>
              <w:t>475</w:t>
            </w:r>
            <w:r>
              <w:rPr>
                <w:rFonts w:ascii="Arial" w:cs="Arial" w:eastAsia="Arial" w:hAnsi="Arial"/>
                <w:sz w:val="18"/>
                <w:szCs w:val="18"/>
                <w:color w:val="auto"/>
              </w:rPr>
              <w:t xml:space="preserve"> new and renewal comparable space leases covering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 million</w:t>
            </w:r>
            <w:r>
              <w:rPr>
                <w:rFonts w:ascii="Arial" w:cs="Arial" w:eastAsia="Arial" w:hAnsi="Arial"/>
                <w:sz w:val="18"/>
                <w:szCs w:val="18"/>
                <w:color w:val="auto"/>
              </w:rPr>
              <w:t xml:space="preserve"> square feet of</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0" w:type="dxa"/>
            <w:vAlign w:val="bottom"/>
            <w:shd w:val="clear" w:color="auto" w:fill="A5A5A5"/>
          </w:tcPr>
          <w:p>
            <w:pPr>
              <w:spacing w:after="0"/>
              <w:rPr>
                <w:sz w:val="21"/>
                <w:szCs w:val="21"/>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Activity</w:t>
            </w:r>
          </w:p>
        </w:tc>
        <w:tc>
          <w:tcPr>
            <w:tcW w:w="140" w:type="dxa"/>
            <w:vAlign w:val="bottom"/>
            <w:shd w:val="clear" w:color="auto" w:fill="F2F2F2"/>
          </w:tcPr>
          <w:p>
            <w:pPr>
              <w:spacing w:after="0"/>
              <w:rPr>
                <w:sz w:val="21"/>
                <w:szCs w:val="21"/>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space and more than $74 million of year 1 revenue</w:t>
            </w:r>
          </w:p>
        </w:tc>
        <w:tc>
          <w:tcPr>
            <w:tcW w:w="0" w:type="dxa"/>
            <w:vAlign w:val="bottom"/>
          </w:tcPr>
          <w:p>
            <w:pPr>
              <w:spacing w:after="0"/>
              <w:rPr>
                <w:sz w:val="1"/>
                <w:szCs w:val="1"/>
                <w:color w:val="auto"/>
              </w:rPr>
            </w:pPr>
          </w:p>
        </w:tc>
      </w:tr>
      <w:tr>
        <w:trPr>
          <w:trHeight w:val="190"/>
        </w:trPr>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shd w:val="clear" w:color="auto" w:fill="A5A5A5"/>
          </w:tcPr>
          <w:p>
            <w:pPr>
              <w:spacing w:after="0"/>
              <w:rPr>
                <w:sz w:val="16"/>
                <w:szCs w:val="16"/>
                <w:color w:val="auto"/>
              </w:rPr>
            </w:pPr>
          </w:p>
        </w:tc>
        <w:tc>
          <w:tcPr>
            <w:tcW w:w="1860" w:type="dxa"/>
            <w:vAlign w:val="bottom"/>
            <w:tcBorders>
              <w:bottom w:val="single" w:sz="8" w:color="auto"/>
            </w:tcBorders>
            <w:shd w:val="clear" w:color="auto" w:fill="A5A5A5"/>
          </w:tcPr>
          <w:p>
            <w:pPr>
              <w:spacing w:after="0"/>
              <w:rPr>
                <w:sz w:val="16"/>
                <w:szCs w:val="16"/>
                <w:color w:val="auto"/>
              </w:rPr>
            </w:pPr>
          </w:p>
        </w:tc>
        <w:tc>
          <w:tcPr>
            <w:tcW w:w="140" w:type="dxa"/>
            <w:vAlign w:val="bottom"/>
            <w:tcBorders>
              <w:bottom w:val="single" w:sz="8" w:color="auto"/>
            </w:tcBorders>
            <w:shd w:val="clear" w:color="auto" w:fill="F2F2F2"/>
          </w:tcPr>
          <w:p>
            <w:pPr>
              <w:spacing w:after="0"/>
              <w:rPr>
                <w:sz w:val="16"/>
                <w:szCs w:val="16"/>
                <w:color w:val="auto"/>
              </w:rPr>
            </w:pPr>
          </w:p>
        </w:tc>
        <w:tc>
          <w:tcPr>
            <w:tcW w:w="760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Significant</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Achieved commercial occupancy of </w:t>
            </w:r>
            <w:r>
              <w:rPr>
                <w:rFonts w:ascii="Arial" w:cs="Arial" w:eastAsia="Arial" w:hAnsi="Arial"/>
                <w:sz w:val="18"/>
                <w:szCs w:val="18"/>
                <w:color w:val="FF160F"/>
              </w:rPr>
              <w:t>92.8%</w:t>
            </w:r>
            <w:r>
              <w:rPr>
                <w:rFonts w:ascii="Arial" w:cs="Arial" w:eastAsia="Arial" w:hAnsi="Arial"/>
                <w:sz w:val="18"/>
                <w:szCs w:val="18"/>
                <w:color w:val="auto"/>
              </w:rPr>
              <w:t xml:space="preserve">, an increase of more than </w:t>
            </w:r>
            <w:r>
              <w:rPr>
                <w:rFonts w:ascii="Arial" w:cs="Arial" w:eastAsia="Arial" w:hAnsi="Arial"/>
                <w:sz w:val="18"/>
                <w:szCs w:val="18"/>
                <w:color w:val="FF160F"/>
              </w:rPr>
              <w:t>3.3%</w:t>
            </w:r>
            <w:r>
              <w:rPr>
                <w:rFonts w:ascii="Arial" w:cs="Arial" w:eastAsia="Arial" w:hAnsi="Arial"/>
                <w:sz w:val="18"/>
                <w:szCs w:val="18"/>
                <w:color w:val="auto"/>
              </w:rPr>
              <w:t xml:space="preserve"> over the lowest</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20" w:type="dxa"/>
            <w:vAlign w:val="bottom"/>
            <w:shd w:val="clear" w:color="auto" w:fill="A5A5A5"/>
          </w:tcPr>
          <w:p>
            <w:pPr>
              <w:spacing w:after="0"/>
              <w:rPr>
                <w:sz w:val="17"/>
                <w:szCs w:val="17"/>
                <w:color w:val="auto"/>
              </w:rPr>
            </w:pPr>
          </w:p>
        </w:tc>
        <w:tc>
          <w:tcPr>
            <w:tcW w:w="186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8"/>
              </w:rPr>
              <w:t>Occupancy</w:t>
            </w:r>
          </w:p>
        </w:tc>
        <w:tc>
          <w:tcPr>
            <w:tcW w:w="140" w:type="dxa"/>
            <w:vAlign w:val="bottom"/>
            <w:shd w:val="clear" w:color="auto" w:fill="F2F2F2"/>
          </w:tcPr>
          <w:p>
            <w:pPr>
              <w:spacing w:after="0"/>
              <w:rPr>
                <w:sz w:val="17"/>
                <w:szCs w:val="17"/>
                <w:color w:val="auto"/>
              </w:rPr>
            </w:pPr>
          </w:p>
        </w:tc>
        <w:tc>
          <w:tcPr>
            <w:tcW w:w="760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level of occupancy experienced in more than 15 years resulting from high level of COVID</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120" w:type="dxa"/>
            <w:vAlign w:val="bottom"/>
            <w:shd w:val="clear" w:color="auto" w:fill="A5A5A5"/>
          </w:tcPr>
          <w:p>
            <w:pPr>
              <w:spacing w:after="0"/>
              <w:rPr>
                <w:sz w:val="23"/>
                <w:szCs w:val="23"/>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Improvement</w:t>
            </w:r>
          </w:p>
        </w:tc>
        <w:tc>
          <w:tcPr>
            <w:tcW w:w="140" w:type="dxa"/>
            <w:vAlign w:val="bottom"/>
            <w:shd w:val="clear" w:color="auto" w:fill="F2F2F2"/>
          </w:tcPr>
          <w:p>
            <w:pPr>
              <w:spacing w:after="0"/>
              <w:rPr>
                <w:sz w:val="23"/>
                <w:szCs w:val="23"/>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related tenant failures</w:t>
            </w:r>
          </w:p>
        </w:tc>
        <w:tc>
          <w:tcPr>
            <w:tcW w:w="0" w:type="dxa"/>
            <w:vAlign w:val="bottom"/>
          </w:tcPr>
          <w:p>
            <w:pPr>
              <w:spacing w:after="0"/>
              <w:rPr>
                <w:sz w:val="1"/>
                <w:szCs w:val="1"/>
                <w:color w:val="auto"/>
              </w:rPr>
            </w:pPr>
          </w:p>
        </w:tc>
      </w:tr>
      <w:tr>
        <w:trPr>
          <w:trHeight w:val="150"/>
        </w:trPr>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A5A5A5"/>
          </w:tcPr>
          <w:p>
            <w:pPr>
              <w:spacing w:after="0"/>
              <w:rPr>
                <w:sz w:val="13"/>
                <w:szCs w:val="13"/>
                <w:color w:val="auto"/>
              </w:rPr>
            </w:pPr>
          </w:p>
        </w:tc>
        <w:tc>
          <w:tcPr>
            <w:tcW w:w="1860" w:type="dxa"/>
            <w:vAlign w:val="bottom"/>
            <w:tcBorders>
              <w:bottom w:val="single" w:sz="8" w:color="auto"/>
            </w:tcBorders>
            <w:shd w:val="clear" w:color="auto" w:fill="A5A5A5"/>
          </w:tcPr>
          <w:p>
            <w:pPr>
              <w:spacing w:after="0"/>
              <w:rPr>
                <w:sz w:val="13"/>
                <w:szCs w:val="13"/>
                <w:color w:val="auto"/>
              </w:rPr>
            </w:pPr>
          </w:p>
        </w:tc>
        <w:tc>
          <w:tcPr>
            <w:tcW w:w="140" w:type="dxa"/>
            <w:vAlign w:val="bottom"/>
            <w:tcBorders>
              <w:bottom w:val="single" w:sz="8" w:color="auto"/>
            </w:tcBorders>
            <w:shd w:val="clear" w:color="auto" w:fill="F2F2F2"/>
          </w:tcPr>
          <w:p>
            <w:pPr>
              <w:spacing w:after="0"/>
              <w:rPr>
                <w:sz w:val="13"/>
                <w:szCs w:val="13"/>
                <w:color w:val="auto"/>
              </w:rPr>
            </w:pPr>
          </w:p>
        </w:tc>
        <w:tc>
          <w:tcPr>
            <w:tcW w:w="7600" w:type="dxa"/>
            <w:vAlign w:val="bottom"/>
            <w:tcBorders>
              <w:bottom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Productive</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w:t>
            </w:r>
            <w:r>
              <w:rPr>
                <w:rFonts w:ascii="Arial" w:cs="Arial" w:eastAsia="Arial" w:hAnsi="Arial"/>
                <w:sz w:val="18"/>
                <w:szCs w:val="18"/>
                <w:color w:val="FF160F"/>
              </w:rPr>
              <w:t>$136M</w:t>
            </w:r>
            <w:r>
              <w:rPr>
                <w:rFonts w:ascii="Arial" w:cs="Arial" w:eastAsia="Arial" w:hAnsi="Arial"/>
                <w:sz w:val="18"/>
                <w:szCs w:val="18"/>
                <w:color w:val="auto"/>
              </w:rPr>
              <w:t xml:space="preserve"> through sale of non-strategic, slow growing assets and invested </w:t>
            </w:r>
            <w:r>
              <w:rPr>
                <w:rFonts w:ascii="Arial" w:cs="Arial" w:eastAsia="Arial" w:hAnsi="Arial"/>
                <w:sz w:val="18"/>
                <w:szCs w:val="18"/>
                <w:color w:val="FF160F"/>
              </w:rPr>
              <w:t>$526M</w:t>
            </w:r>
            <w:r>
              <w:rPr>
                <w:rFonts w:ascii="Arial" w:cs="Arial" w:eastAsia="Arial" w:hAnsi="Arial"/>
                <w:sz w:val="18"/>
                <w:szCs w:val="18"/>
                <w:color w:val="auto"/>
              </w:rPr>
              <w:t xml:space="preserve"> into</w:t>
            </w:r>
          </w:p>
        </w:tc>
        <w:tc>
          <w:tcPr>
            <w:tcW w:w="0" w:type="dxa"/>
            <w:vAlign w:val="bottom"/>
          </w:tcPr>
          <w:p>
            <w:pPr>
              <w:spacing w:after="0"/>
              <w:rPr>
                <w:sz w:val="1"/>
                <w:szCs w:val="1"/>
                <w:color w:val="auto"/>
              </w:rPr>
            </w:pPr>
          </w:p>
        </w:tc>
      </w:tr>
      <w:tr>
        <w:trPr>
          <w:trHeight w:val="181"/>
        </w:trPr>
        <w:tc>
          <w:tcPr>
            <w:tcW w:w="1300" w:type="dxa"/>
            <w:vAlign w:val="bottom"/>
          </w:tcPr>
          <w:p>
            <w:pPr>
              <w:spacing w:after="0"/>
              <w:rPr>
                <w:sz w:val="15"/>
                <w:szCs w:val="15"/>
                <w:color w:val="auto"/>
              </w:rPr>
            </w:pPr>
          </w:p>
        </w:tc>
        <w:tc>
          <w:tcPr>
            <w:tcW w:w="120" w:type="dxa"/>
            <w:vAlign w:val="bottom"/>
            <w:shd w:val="clear" w:color="auto" w:fill="A5A5A5"/>
          </w:tcPr>
          <w:p>
            <w:pPr>
              <w:spacing w:after="0"/>
              <w:rPr>
                <w:sz w:val="15"/>
                <w:szCs w:val="15"/>
                <w:color w:val="auto"/>
              </w:rPr>
            </w:pPr>
          </w:p>
        </w:tc>
        <w:tc>
          <w:tcPr>
            <w:tcW w:w="1860" w:type="dxa"/>
            <w:vAlign w:val="bottom"/>
            <w:vMerge w:val="continue"/>
            <w:shd w:val="clear" w:color="auto" w:fill="A5A5A5"/>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7600" w:type="dxa"/>
            <w:vAlign w:val="bottom"/>
            <w:shd w:val="clear" w:color="auto" w:fill="F2F2F2"/>
          </w:tcPr>
          <w:p>
            <w:pPr>
              <w:spacing w:after="0" w:line="181" w:lineRule="exact"/>
              <w:rPr>
                <w:sz w:val="20"/>
                <w:szCs w:val="20"/>
                <w:color w:val="auto"/>
              </w:rPr>
            </w:pPr>
            <w:r>
              <w:rPr>
                <w:rFonts w:ascii="Arial" w:cs="Arial" w:eastAsia="Arial" w:hAnsi="Arial"/>
                <w:sz w:val="18"/>
                <w:szCs w:val="18"/>
                <w:color w:val="auto"/>
              </w:rPr>
              <w:t>more productive, higher yielding, faster growing operating assets with potential for additional</w:t>
            </w: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2"/>
                <w:szCs w:val="22"/>
                <w:color w:val="auto"/>
              </w:rPr>
            </w:pPr>
          </w:p>
        </w:tc>
        <w:tc>
          <w:tcPr>
            <w:tcW w:w="120" w:type="dxa"/>
            <w:vAlign w:val="bottom"/>
            <w:shd w:val="clear" w:color="auto" w:fill="A5A5A5"/>
          </w:tcPr>
          <w:p>
            <w:pPr>
              <w:spacing w:after="0"/>
              <w:rPr>
                <w:sz w:val="22"/>
                <w:szCs w:val="22"/>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Capital Recycling</w:t>
            </w:r>
          </w:p>
        </w:tc>
        <w:tc>
          <w:tcPr>
            <w:tcW w:w="140" w:type="dxa"/>
            <w:vAlign w:val="bottom"/>
            <w:shd w:val="clear" w:color="auto" w:fill="F2F2F2"/>
          </w:tcPr>
          <w:p>
            <w:pPr>
              <w:spacing w:after="0"/>
              <w:rPr>
                <w:sz w:val="22"/>
                <w:szCs w:val="22"/>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199"/>
        </w:trPr>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A5A5A5"/>
          </w:tcPr>
          <w:p>
            <w:pPr>
              <w:spacing w:after="0"/>
              <w:rPr>
                <w:sz w:val="17"/>
                <w:szCs w:val="17"/>
                <w:color w:val="auto"/>
              </w:rPr>
            </w:pPr>
          </w:p>
        </w:tc>
        <w:tc>
          <w:tcPr>
            <w:tcW w:w="1860" w:type="dxa"/>
            <w:vAlign w:val="bottom"/>
            <w:tcBorders>
              <w:bottom w:val="single" w:sz="8" w:color="auto"/>
            </w:tcBorders>
            <w:shd w:val="clear" w:color="auto" w:fill="A5A5A5"/>
          </w:tcPr>
          <w:p>
            <w:pPr>
              <w:spacing w:after="0"/>
              <w:rPr>
                <w:sz w:val="17"/>
                <w:szCs w:val="17"/>
                <w:color w:val="auto"/>
              </w:rPr>
            </w:pPr>
          </w:p>
        </w:tc>
        <w:tc>
          <w:tcPr>
            <w:tcW w:w="140" w:type="dxa"/>
            <w:vAlign w:val="bottom"/>
            <w:tcBorders>
              <w:bottom w:val="single" w:sz="8" w:color="auto"/>
            </w:tcBorders>
            <w:shd w:val="clear" w:color="auto" w:fill="F2F2F2"/>
          </w:tcPr>
          <w:p>
            <w:pPr>
              <w:spacing w:after="0"/>
              <w:rPr>
                <w:sz w:val="17"/>
                <w:szCs w:val="17"/>
                <w:color w:val="auto"/>
              </w:rPr>
            </w:pPr>
          </w:p>
        </w:tc>
        <w:tc>
          <w:tcPr>
            <w:tcW w:w="760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55th Year of Dividend</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55th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120" w:type="dxa"/>
            <w:vAlign w:val="bottom"/>
            <w:shd w:val="clear" w:color="auto" w:fill="A5A5A5"/>
          </w:tcPr>
          <w:p>
            <w:pPr>
              <w:spacing w:after="0"/>
              <w:rPr>
                <w:sz w:val="23"/>
                <w:szCs w:val="23"/>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Increases</w:t>
            </w:r>
          </w:p>
        </w:tc>
        <w:tc>
          <w:tcPr>
            <w:tcW w:w="140" w:type="dxa"/>
            <w:vAlign w:val="bottom"/>
            <w:shd w:val="clear" w:color="auto" w:fill="F2F2F2"/>
          </w:tcPr>
          <w:p>
            <w:pPr>
              <w:spacing w:after="0"/>
              <w:rPr>
                <w:sz w:val="23"/>
                <w:szCs w:val="23"/>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55-year period</w:t>
            </w:r>
          </w:p>
        </w:tc>
        <w:tc>
          <w:tcPr>
            <w:tcW w:w="0" w:type="dxa"/>
            <w:vAlign w:val="bottom"/>
          </w:tcPr>
          <w:p>
            <w:pPr>
              <w:spacing w:after="0"/>
              <w:rPr>
                <w:sz w:val="1"/>
                <w:szCs w:val="1"/>
                <w:color w:val="auto"/>
              </w:rPr>
            </w:pPr>
          </w:p>
        </w:tc>
      </w:tr>
      <w:tr>
        <w:trPr>
          <w:trHeight w:val="150"/>
        </w:trPr>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A5A5A5"/>
          </w:tcPr>
          <w:p>
            <w:pPr>
              <w:spacing w:after="0"/>
              <w:rPr>
                <w:sz w:val="13"/>
                <w:szCs w:val="13"/>
                <w:color w:val="auto"/>
              </w:rPr>
            </w:pPr>
          </w:p>
        </w:tc>
        <w:tc>
          <w:tcPr>
            <w:tcW w:w="1860" w:type="dxa"/>
            <w:vAlign w:val="bottom"/>
            <w:tcBorders>
              <w:bottom w:val="single" w:sz="8" w:color="auto"/>
            </w:tcBorders>
            <w:shd w:val="clear" w:color="auto" w:fill="A5A5A5"/>
          </w:tcPr>
          <w:p>
            <w:pPr>
              <w:spacing w:after="0"/>
              <w:rPr>
                <w:sz w:val="13"/>
                <w:szCs w:val="13"/>
                <w:color w:val="auto"/>
              </w:rPr>
            </w:pPr>
          </w:p>
        </w:tc>
        <w:tc>
          <w:tcPr>
            <w:tcW w:w="140" w:type="dxa"/>
            <w:vAlign w:val="bottom"/>
            <w:tcBorders>
              <w:bottom w:val="single" w:sz="8" w:color="auto"/>
            </w:tcBorders>
            <w:shd w:val="clear" w:color="auto" w:fill="F2F2F2"/>
          </w:tcPr>
          <w:p>
            <w:pPr>
              <w:spacing w:after="0"/>
              <w:rPr>
                <w:sz w:val="13"/>
                <w:szCs w:val="13"/>
                <w:color w:val="auto"/>
              </w:rPr>
            </w:pPr>
          </w:p>
        </w:tc>
        <w:tc>
          <w:tcPr>
            <w:tcW w:w="7600" w:type="dxa"/>
            <w:vAlign w:val="bottom"/>
            <w:tcBorders>
              <w:bottom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22%</w:t>
            </w:r>
            <w:r>
              <w:rPr>
                <w:rFonts w:ascii="Arial" w:cs="Arial" w:eastAsia="Arial" w:hAnsi="Arial"/>
                <w:sz w:val="18"/>
                <w:szCs w:val="18"/>
                <w:color w:val="auto"/>
              </w:rPr>
              <w:t xml:space="preserve"> decrease in Scope 1 and 2 GHG emissions through 2021 versus 2019</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120" w:type="dxa"/>
            <w:vAlign w:val="bottom"/>
            <w:shd w:val="clear" w:color="auto" w:fill="A5A5A5"/>
          </w:tcPr>
          <w:p>
            <w:pPr>
              <w:spacing w:after="0"/>
              <w:rPr>
                <w:sz w:val="19"/>
                <w:szCs w:val="19"/>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Sustainability</w:t>
            </w:r>
          </w:p>
        </w:tc>
        <w:tc>
          <w:tcPr>
            <w:tcW w:w="140" w:type="dxa"/>
            <w:vAlign w:val="bottom"/>
            <w:shd w:val="clear" w:color="auto" w:fill="F2F2F2"/>
          </w:tcPr>
          <w:p>
            <w:pPr>
              <w:spacing w:after="0"/>
              <w:rPr>
                <w:sz w:val="19"/>
                <w:szCs w:val="19"/>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baseline in alignment with our 2030 GHG reduction target set in accordance with the Science-</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20" w:type="dxa"/>
            <w:vAlign w:val="bottom"/>
            <w:shd w:val="clear" w:color="auto" w:fill="A5A5A5"/>
          </w:tcPr>
          <w:p>
            <w:pPr>
              <w:spacing w:after="0"/>
              <w:rPr>
                <w:sz w:val="20"/>
                <w:szCs w:val="20"/>
                <w:color w:val="auto"/>
              </w:rPr>
            </w:pPr>
          </w:p>
        </w:tc>
        <w:tc>
          <w:tcPr>
            <w:tcW w:w="1860" w:type="dxa"/>
            <w:vAlign w:val="bottom"/>
            <w:shd w:val="clear" w:color="auto" w:fill="A5A5A5"/>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Based Target initiative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shd w:val="clear" w:color="auto" w:fill="A5A5A5"/>
          </w:tcPr>
          <w:p>
            <w:pPr>
              <w:spacing w:after="0"/>
              <w:rPr>
                <w:sz w:val="15"/>
                <w:szCs w:val="15"/>
                <w:color w:val="auto"/>
              </w:rPr>
            </w:pPr>
          </w:p>
        </w:tc>
        <w:tc>
          <w:tcPr>
            <w:tcW w:w="1860" w:type="dxa"/>
            <w:vAlign w:val="bottom"/>
            <w:tcBorders>
              <w:bottom w:val="single" w:sz="8" w:color="auto"/>
            </w:tcBorders>
            <w:shd w:val="clear" w:color="auto" w:fill="A5A5A5"/>
          </w:tcPr>
          <w:p>
            <w:pPr>
              <w:spacing w:after="0"/>
              <w:rPr>
                <w:sz w:val="15"/>
                <w:szCs w:val="15"/>
                <w:color w:val="auto"/>
              </w:rPr>
            </w:pPr>
          </w:p>
        </w:tc>
        <w:tc>
          <w:tcPr>
            <w:tcW w:w="140" w:type="dxa"/>
            <w:vAlign w:val="bottom"/>
            <w:tcBorders>
              <w:bottom w:val="single" w:sz="8" w:color="auto"/>
            </w:tcBorders>
            <w:shd w:val="clear" w:color="auto" w:fill="F2F2F2"/>
          </w:tcPr>
          <w:p>
            <w:pPr>
              <w:spacing w:after="0"/>
              <w:rPr>
                <w:sz w:val="15"/>
                <w:szCs w:val="15"/>
                <w:color w:val="auto"/>
              </w:rPr>
            </w:pPr>
          </w:p>
        </w:tc>
        <w:tc>
          <w:tcPr>
            <w:tcW w:w="760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-3359785</wp:posOffset>
            </wp:positionV>
            <wp:extent cx="505460" cy="925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460" cy="92583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-2271395</wp:posOffset>
            </wp:positionV>
            <wp:extent cx="522605"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605" cy="4972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-1610995</wp:posOffset>
            </wp:positionV>
            <wp:extent cx="394335"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-1105535</wp:posOffset>
            </wp:positionV>
            <wp:extent cx="565785"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4800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-530860</wp:posOffset>
            </wp:positionV>
            <wp:extent cx="436880"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spacing w:after="0" w:line="177" w:lineRule="exact"/>
        <w:rPr>
          <w:sz w:val="20"/>
          <w:szCs w:val="20"/>
          <w:color w:val="auto"/>
        </w:rPr>
      </w:pPr>
    </w:p>
    <w:p>
      <w:pPr>
        <w:ind w:left="120" w:hanging="4"/>
        <w:spacing w:after="0" w:line="271"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CORPORATE VALUES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18"/>
          <w:szCs w:val="18"/>
          <w:b w:val="1"/>
          <w:bCs w:val="1"/>
          <w:color w:val="FF160F"/>
        </w:rPr>
        <w:t>Excellence</w:t>
      </w:r>
      <w:r>
        <w:rPr>
          <w:rFonts w:ascii="Arial" w:cs="Arial" w:eastAsia="Arial" w:hAnsi="Arial"/>
          <w:sz w:val="18"/>
          <w:szCs w:val="18"/>
          <w:color w:val="auto"/>
        </w:rPr>
        <w:t xml:space="preserve"> in all that we do as we operate, develop and redevelop properties to serve the needs of the local communities. </w:t>
      </w:r>
      <w:r>
        <w:rPr>
          <w:rFonts w:ascii="Arial" w:cs="Arial" w:eastAsia="Arial" w:hAnsi="Arial"/>
          <w:sz w:val="18"/>
          <w:szCs w:val="18"/>
          <w:b w:val="1"/>
          <w:bCs w:val="1"/>
          <w:color w:val="FF160F"/>
        </w:rPr>
        <w:t>Innovation</w:t>
      </w:r>
      <w:r>
        <w:rPr>
          <w:rFonts w:ascii="Arial" w:cs="Arial" w:eastAsia="Arial" w:hAnsi="Arial"/>
          <w:sz w:val="18"/>
          <w:szCs w:val="18"/>
          <w:color w:val="auto"/>
        </w:rPr>
        <w:t xml:space="preserve"> is key to introducing new ways of conducting our business to continue to meet the evolving economic, environmental and social challenges the real estate industry must address both in the short- and long-term. We hold ourselves </w:t>
      </w:r>
      <w:r>
        <w:rPr>
          <w:rFonts w:ascii="Arial" w:cs="Arial" w:eastAsia="Arial" w:hAnsi="Arial"/>
          <w:sz w:val="18"/>
          <w:szCs w:val="18"/>
          <w:b w:val="1"/>
          <w:bCs w:val="1"/>
          <w:color w:val="FF160F"/>
        </w:rPr>
        <w:t>Accountable</w:t>
      </w:r>
      <w:r>
        <w:rPr>
          <w:rFonts w:ascii="Arial" w:cs="Arial" w:eastAsia="Arial" w:hAnsi="Arial"/>
          <w:sz w:val="18"/>
          <w:szCs w:val="18"/>
          <w:color w:val="auto"/>
        </w:rPr>
        <w:t xml:space="preserve"> for our work and our results and always act with the highest level of </w:t>
      </w:r>
      <w:r>
        <w:rPr>
          <w:rFonts w:ascii="Arial" w:cs="Arial" w:eastAsia="Arial" w:hAnsi="Arial"/>
          <w:sz w:val="18"/>
          <w:szCs w:val="18"/>
          <w:b w:val="1"/>
          <w:bCs w:val="1"/>
          <w:color w:val="FF160F"/>
        </w:rPr>
        <w:t>Integrity</w:t>
      </w:r>
      <w:r>
        <w:rPr>
          <w:rFonts w:ascii="Arial" w:cs="Arial" w:eastAsia="Arial" w:hAnsi="Arial"/>
          <w:sz w:val="18"/>
          <w:szCs w:val="18"/>
          <w:color w:val="auto"/>
        </w:rPr>
        <w:t xml:space="preserve"> in our dealings with our shareholders, our employees, our tenants, our business partners and our community partners. Living these values underpins our ability to successfully deliver results for all stakeholders.</w:t>
      </w:r>
    </w:p>
    <w:p>
      <w:pPr>
        <w:spacing w:after="0" w:line="212" w:lineRule="exact"/>
        <w:rPr>
          <w:sz w:val="20"/>
          <w:szCs w:val="20"/>
          <w:color w:val="auto"/>
        </w:rPr>
      </w:pPr>
    </w:p>
    <w:p>
      <w:pPr>
        <w:ind w:left="540" w:hanging="424"/>
        <w:spacing w:after="0"/>
        <w:tabs>
          <w:tab w:leader="none" w:pos="540" w:val="left"/>
        </w:tabs>
        <w:numPr>
          <w:ilvl w:val="0"/>
          <w:numId w:val="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OUR BOARD</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have seven (7) trustees serving on our Board, all of whom are independent except for Don Wood who serves as our CEO. Each of these individuals has been nominated for election at the 2023 annual shareholder meeting.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shd w:val="clear" w:color="auto" w:fill="FF160F"/>
          </w:tcPr>
          <w:p>
            <w:pPr>
              <w:spacing w:after="0"/>
              <w:rPr>
                <w:sz w:val="17"/>
                <w:szCs w:val="17"/>
                <w:color w:val="auto"/>
              </w:rPr>
            </w:pPr>
          </w:p>
        </w:tc>
        <w:tc>
          <w:tcPr>
            <w:tcW w:w="840" w:type="dxa"/>
            <w:vAlign w:val="bottom"/>
            <w:shd w:val="clear" w:color="auto" w:fill="FF160F"/>
          </w:tcPr>
          <w:p>
            <w:pPr>
              <w:spacing w:after="0"/>
              <w:rPr>
                <w:sz w:val="17"/>
                <w:szCs w:val="17"/>
                <w:color w:val="auto"/>
              </w:rPr>
            </w:pPr>
          </w:p>
        </w:tc>
        <w:tc>
          <w:tcPr>
            <w:tcW w:w="120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Trustee</w:t>
            </w:r>
          </w:p>
        </w:tc>
        <w:tc>
          <w:tcPr>
            <w:tcW w:w="1800" w:type="dxa"/>
            <w:vAlign w:val="bottom"/>
            <w:shd w:val="clear" w:color="auto" w:fill="FF160F"/>
          </w:tcPr>
          <w:p>
            <w:pPr>
              <w:spacing w:after="0"/>
              <w:rPr>
                <w:sz w:val="17"/>
                <w:szCs w:val="17"/>
                <w:color w:val="auto"/>
              </w:rPr>
            </w:pPr>
          </w:p>
        </w:tc>
        <w:tc>
          <w:tcPr>
            <w:tcW w:w="2640" w:type="dxa"/>
            <w:vAlign w:val="bottom"/>
            <w:gridSpan w:val="3"/>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Committee Memberships</w:t>
            </w:r>
          </w:p>
        </w:tc>
      </w:tr>
      <w:tr>
        <w:trPr>
          <w:trHeight w:val="282"/>
        </w:trPr>
        <w:tc>
          <w:tcPr>
            <w:tcW w:w="454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8"/>
                <w:szCs w:val="18"/>
                <w:b w:val="1"/>
                <w:bCs w:val="1"/>
                <w:color w:val="FFFFFF"/>
              </w:rPr>
              <w:t>Name and Principal Occupation</w:t>
            </w:r>
          </w:p>
        </w:tc>
        <w:tc>
          <w:tcPr>
            <w:tcW w:w="840" w:type="dxa"/>
            <w:vAlign w:val="bottom"/>
            <w:tcBorders>
              <w:bottom w:val="single" w:sz="8" w:color="FF160F"/>
            </w:tcBorders>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Age</w:t>
            </w:r>
          </w:p>
        </w:tc>
        <w:tc>
          <w:tcPr>
            <w:tcW w:w="1200" w:type="dxa"/>
            <w:vAlign w:val="bottom"/>
            <w:tcBorders>
              <w:bottom w:val="single" w:sz="8" w:color="FF160F"/>
            </w:tcBorders>
            <w:shd w:val="clear" w:color="auto" w:fill="FF160F"/>
          </w:tcPr>
          <w:p>
            <w:pPr>
              <w:jc w:val="right"/>
              <w:ind w:right="270"/>
              <w:spacing w:after="0"/>
              <w:rPr>
                <w:sz w:val="20"/>
                <w:szCs w:val="20"/>
                <w:color w:val="auto"/>
              </w:rPr>
            </w:pPr>
            <w:r>
              <w:rPr>
                <w:rFonts w:ascii="Arial" w:cs="Arial" w:eastAsia="Arial" w:hAnsi="Arial"/>
                <w:sz w:val="18"/>
                <w:szCs w:val="18"/>
                <w:b w:val="1"/>
                <w:bCs w:val="1"/>
                <w:color w:val="FFFFFF"/>
              </w:rPr>
              <w:t>Since</w:t>
            </w:r>
          </w:p>
        </w:tc>
        <w:tc>
          <w:tcPr>
            <w:tcW w:w="1800" w:type="dxa"/>
            <w:vAlign w:val="bottom"/>
            <w:tcBorders>
              <w:bottom w:val="single" w:sz="8" w:color="FF160F"/>
            </w:tcBorders>
            <w:shd w:val="clear" w:color="auto" w:fill="FF160F"/>
          </w:tcPr>
          <w:p>
            <w:pPr>
              <w:jc w:val="right"/>
              <w:ind w:right="350"/>
              <w:spacing w:after="0"/>
              <w:rPr>
                <w:sz w:val="20"/>
                <w:szCs w:val="20"/>
                <w:color w:val="auto"/>
              </w:rPr>
            </w:pPr>
            <w:r>
              <w:rPr>
                <w:rFonts w:ascii="Arial" w:cs="Arial" w:eastAsia="Arial" w:hAnsi="Arial"/>
                <w:sz w:val="18"/>
                <w:szCs w:val="18"/>
                <w:b w:val="1"/>
                <w:bCs w:val="1"/>
                <w:color w:val="FFFFFF"/>
              </w:rPr>
              <w:t>Independent</w:t>
            </w:r>
          </w:p>
        </w:tc>
        <w:tc>
          <w:tcPr>
            <w:tcW w:w="900" w:type="dxa"/>
            <w:vAlign w:val="bottom"/>
            <w:tcBorders>
              <w:bottom w:val="single" w:sz="8" w:color="FF160F"/>
            </w:tcBorders>
            <w:shd w:val="clear" w:color="auto" w:fill="FF160F"/>
          </w:tcPr>
          <w:p>
            <w:pPr>
              <w:ind w:left="320"/>
              <w:spacing w:after="0"/>
              <w:rPr>
                <w:sz w:val="20"/>
                <w:szCs w:val="20"/>
                <w:color w:val="auto"/>
              </w:rPr>
            </w:pPr>
            <w:r>
              <w:rPr>
                <w:rFonts w:ascii="Arial" w:cs="Arial" w:eastAsia="Arial" w:hAnsi="Arial"/>
                <w:sz w:val="18"/>
                <w:szCs w:val="18"/>
                <w:b w:val="1"/>
                <w:bCs w:val="1"/>
                <w:color w:val="FFFFFF"/>
              </w:rPr>
              <w:t>AC</w:t>
            </w:r>
          </w:p>
        </w:tc>
        <w:tc>
          <w:tcPr>
            <w:tcW w:w="94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CC</w:t>
            </w:r>
          </w:p>
        </w:tc>
        <w:tc>
          <w:tcPr>
            <w:tcW w:w="800" w:type="dxa"/>
            <w:vAlign w:val="bottom"/>
            <w:tcBorders>
              <w:bottom w:val="single" w:sz="8" w:color="FF160F"/>
            </w:tcBorders>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NC</w:t>
            </w: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David W. Faeder±</w:t>
            </w:r>
          </w:p>
        </w:tc>
        <w:tc>
          <w:tcPr>
            <w:tcW w:w="84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66</w:t>
            </w:r>
          </w:p>
        </w:tc>
        <w:tc>
          <w:tcPr>
            <w:tcW w:w="12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5"/>
        </w:trPr>
        <w:tc>
          <w:tcPr>
            <w:tcW w:w="4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Managing Partner Fountain Square Properties/Managing</w:t>
            </w:r>
          </w:p>
        </w:tc>
        <w:tc>
          <w:tcPr>
            <w:tcW w:w="840" w:type="dxa"/>
            <w:vAlign w:val="bottom"/>
            <w:shd w:val="clear" w:color="auto" w:fill="D8D8D8"/>
          </w:tcPr>
          <w:p>
            <w:pPr>
              <w:spacing w:after="0"/>
              <w:rPr>
                <w:sz w:val="15"/>
                <w:szCs w:val="15"/>
                <w:color w:val="auto"/>
              </w:rPr>
            </w:pPr>
          </w:p>
        </w:tc>
        <w:tc>
          <w:tcPr>
            <w:tcW w:w="1200" w:type="dxa"/>
            <w:vAlign w:val="bottom"/>
            <w:shd w:val="clear" w:color="auto" w:fill="D8D8D8"/>
          </w:tcPr>
          <w:p>
            <w:pPr>
              <w:spacing w:after="0"/>
              <w:rPr>
                <w:sz w:val="15"/>
                <w:szCs w:val="15"/>
                <w:color w:val="auto"/>
              </w:rPr>
            </w:pPr>
          </w:p>
        </w:tc>
        <w:tc>
          <w:tcPr>
            <w:tcW w:w="18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r>
      <w:tr>
        <w:trPr>
          <w:trHeight w:val="203"/>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Member Kensington Senior Living</w:t>
            </w:r>
          </w:p>
        </w:tc>
        <w:tc>
          <w:tcPr>
            <w:tcW w:w="84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8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Elizabeth I. Holland</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2017</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C</w:t>
            </w:r>
          </w:p>
        </w:tc>
        <w:tc>
          <w:tcPr>
            <w:tcW w:w="800" w:type="dxa"/>
            <w:vAlign w:val="bottom"/>
          </w:tcPr>
          <w:p>
            <w:pPr>
              <w:spacing w:after="0"/>
              <w:rPr>
                <w:sz w:val="17"/>
                <w:szCs w:val="17"/>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Chief Executive Officer/Abbell Credit Corporation and Abbell</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Associates, LLC</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Nicole Y. Lamb-Hale</w:t>
            </w:r>
          </w:p>
        </w:tc>
        <w:tc>
          <w:tcPr>
            <w:tcW w:w="84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56</w:t>
            </w:r>
          </w:p>
        </w:tc>
        <w:tc>
          <w:tcPr>
            <w:tcW w:w="12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spacing w:after="0"/>
              <w:rPr>
                <w:sz w:val="18"/>
                <w:szCs w:val="18"/>
                <w:color w:val="auto"/>
              </w:rPr>
            </w:pPr>
          </w:p>
        </w:tc>
        <w:tc>
          <w:tcPr>
            <w:tcW w:w="94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Vice President and Chief Legal Officer/Cummins Inc.</w:t>
            </w:r>
          </w:p>
        </w:tc>
        <w:tc>
          <w:tcPr>
            <w:tcW w:w="84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Thomas A. McEachin</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70</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2022</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spacing w:after="0"/>
              <w:rPr>
                <w:sz w:val="17"/>
                <w:szCs w:val="17"/>
                <w:color w:val="auto"/>
              </w:rPr>
            </w:pP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Former Group Chief Financial Officer/Covidien Surgical</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Solutions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Anthony P. Nader, III</w:t>
            </w:r>
          </w:p>
        </w:tc>
        <w:tc>
          <w:tcPr>
            <w:tcW w:w="84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59</w:t>
            </w:r>
          </w:p>
        </w:tc>
        <w:tc>
          <w:tcPr>
            <w:tcW w:w="12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rPr>
                <w:sz w:val="20"/>
                <w:szCs w:val="20"/>
                <w:color w:val="auto"/>
              </w:rPr>
            </w:pPr>
            <w:r>
              <w:rPr>
                <w:rFonts w:ascii="Arial" w:cs="Arial" w:eastAsia="Arial" w:hAnsi="Arial"/>
                <w:sz w:val="18"/>
                <w:szCs w:val="18"/>
                <w:color w:val="auto"/>
              </w:rPr>
              <w:t>C</w:t>
            </w: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Managing Director/SWaN &amp; Legend Venture Partners</w:t>
            </w:r>
          </w:p>
        </w:tc>
        <w:tc>
          <w:tcPr>
            <w:tcW w:w="84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Gail P. Steinel</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66</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2006</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ind w:left="340"/>
              <w:spacing w:after="0" w:line="202" w:lineRule="exact"/>
              <w:rPr>
                <w:sz w:val="20"/>
                <w:szCs w:val="20"/>
                <w:color w:val="auto"/>
              </w:rPr>
            </w:pPr>
            <w:r>
              <w:rPr>
                <w:rFonts w:ascii="Arial" w:cs="Arial" w:eastAsia="Arial" w:hAnsi="Arial"/>
                <w:sz w:val="18"/>
                <w:szCs w:val="18"/>
                <w:color w:val="auto"/>
              </w:rPr>
              <w:t>C$</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Owner/Executive Advisors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40" w:type="dxa"/>
            <w:vAlign w:val="bottom"/>
            <w:shd w:val="clear" w:color="auto" w:fill="D8D8D8"/>
          </w:tcPr>
          <w:p>
            <w:pPr>
              <w:spacing w:after="0" w:line="202" w:lineRule="exact"/>
              <w:rPr>
                <w:sz w:val="20"/>
                <w:szCs w:val="20"/>
                <w:color w:val="auto"/>
              </w:rPr>
            </w:pPr>
            <w:r>
              <w:rPr>
                <w:rFonts w:ascii="Arial" w:cs="Arial" w:eastAsia="Arial" w:hAnsi="Arial"/>
                <w:sz w:val="18"/>
                <w:szCs w:val="18"/>
                <w:b w:val="1"/>
                <w:bCs w:val="1"/>
                <w:color w:val="auto"/>
              </w:rPr>
              <w:t>Donald C. Wood</w:t>
            </w:r>
          </w:p>
        </w:tc>
        <w:tc>
          <w:tcPr>
            <w:tcW w:w="840" w:type="dxa"/>
            <w:vAlign w:val="bottom"/>
            <w:shd w:val="clear" w:color="auto" w:fill="D8D8D8"/>
          </w:tcPr>
          <w:p>
            <w:pPr>
              <w:jc w:val="right"/>
              <w:ind w:right="210"/>
              <w:spacing w:after="0" w:line="202" w:lineRule="exact"/>
              <w:rPr>
                <w:sz w:val="20"/>
                <w:szCs w:val="20"/>
                <w:color w:val="auto"/>
              </w:rPr>
            </w:pPr>
            <w:r>
              <w:rPr>
                <w:rFonts w:ascii="Arial" w:cs="Arial" w:eastAsia="Arial" w:hAnsi="Arial"/>
                <w:sz w:val="18"/>
                <w:szCs w:val="18"/>
                <w:color w:val="auto"/>
              </w:rPr>
              <w:t>62</w:t>
            </w:r>
          </w:p>
        </w:tc>
        <w:tc>
          <w:tcPr>
            <w:tcW w:w="1200" w:type="dxa"/>
            <w:vAlign w:val="bottom"/>
            <w:shd w:val="clear" w:color="auto" w:fill="D8D8D8"/>
          </w:tcPr>
          <w:p>
            <w:pPr>
              <w:jc w:val="right"/>
              <w:ind w:right="190"/>
              <w:spacing w:after="0" w:line="202" w:lineRule="exact"/>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jc w:val="right"/>
              <w:ind w:right="350"/>
              <w:spacing w:after="0" w:line="202" w:lineRule="exact"/>
              <w:rPr>
                <w:sz w:val="20"/>
                <w:szCs w:val="20"/>
                <w:color w:val="auto"/>
              </w:rPr>
            </w:pPr>
            <w:r>
              <w:rPr>
                <w:rFonts w:ascii="Arial" w:cs="Arial" w:eastAsia="Arial" w:hAnsi="Arial"/>
                <w:sz w:val="18"/>
                <w:szCs w:val="18"/>
                <w:color w:val="auto"/>
              </w:rPr>
              <w:t>No</w:t>
            </w: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Chief Executive Officer/Federal Realty Investment Trust</w:t>
            </w:r>
          </w:p>
        </w:tc>
        <w:tc>
          <w:tcPr>
            <w:tcW w:w="84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Legend:</w:t>
      </w:r>
    </w:p>
    <w:p>
      <w:pPr>
        <w:spacing w:after="0" w:line="1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AC-Audit Committee; CC-Compensation and Human Capital Management Committee; NC-Nominating and Corporate Governance Committee</w:t>
      </w:r>
    </w:p>
    <w:p>
      <w:pPr>
        <w:spacing w:after="0" w:line="1" w:lineRule="exact"/>
        <w:rPr>
          <w:sz w:val="20"/>
          <w:szCs w:val="20"/>
          <w:color w:val="auto"/>
        </w:rPr>
      </w:pPr>
    </w:p>
    <w:p>
      <w:pPr>
        <w:ind w:left="540" w:right="7580" w:firstLine="8"/>
        <w:spacing w:after="0" w:line="281"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Chairman of the Board C Indicates Committee Chair</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Indicates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701230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61"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ENVIRONMENTAL, SOCIAL AND GOVERNANCE SNAPSHOT</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environmental, social and governance (“ESG”)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left="628"/>
        <w:spacing w:after="0"/>
        <w:rPr>
          <w:sz w:val="20"/>
          <w:szCs w:val="20"/>
          <w:color w:val="auto"/>
        </w:rPr>
      </w:pPr>
      <w:r>
        <w:rPr>
          <w:rFonts w:ascii="Arial" w:cs="Arial" w:eastAsia="Arial" w:hAnsi="Arial"/>
          <w:sz w:val="22"/>
          <w:szCs w:val="22"/>
          <w:b w:val="1"/>
          <w:bCs w:val="1"/>
          <w:color w:val="FFFFFF"/>
        </w:rPr>
        <w:t>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-342900</wp:posOffset>
            </wp:positionV>
            <wp:extent cx="1979930" cy="1225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9930" cy="1225550"/>
                    </a:xfrm>
                    <a:prstGeom prst="rect">
                      <a:avLst/>
                    </a:prstGeom>
                    <a:noFill/>
                  </pic:spPr>
                </pic:pic>
              </a:graphicData>
            </a:graphic>
          </wp:anchor>
        </w:drawing>
      </w:r>
    </w:p>
    <w:p>
      <w:pPr>
        <w:jc w:val="center"/>
        <w:ind w:left="628"/>
        <w:spacing w:after="0"/>
        <w:rPr>
          <w:sz w:val="20"/>
          <w:szCs w:val="20"/>
          <w:color w:val="auto"/>
        </w:rPr>
      </w:pPr>
      <w:r>
        <w:rPr>
          <w:rFonts w:ascii="Arial" w:cs="Arial" w:eastAsia="Arial" w:hAnsi="Arial"/>
          <w:sz w:val="22"/>
          <w:szCs w:val="22"/>
          <w:b w:val="1"/>
          <w:bCs w:val="1"/>
          <w:color w:val="FFFFFF"/>
        </w:rPr>
        <w:t>Decarbonization*</w:t>
      </w:r>
    </w:p>
    <w:p>
      <w:pPr>
        <w:spacing w:after="0" w:line="180" w:lineRule="exact"/>
        <w:rPr>
          <w:sz w:val="20"/>
          <w:szCs w:val="20"/>
          <w:color w:val="auto"/>
        </w:rPr>
      </w:pPr>
    </w:p>
    <w:p>
      <w:pPr>
        <w:jc w:val="center"/>
        <w:ind w:left="680" w:right="52"/>
        <w:spacing w:after="0" w:line="275" w:lineRule="auto"/>
        <w:rPr>
          <w:sz w:val="20"/>
          <w:szCs w:val="20"/>
          <w:color w:val="auto"/>
        </w:rPr>
      </w:pPr>
      <w:r>
        <w:rPr>
          <w:rFonts w:ascii="Arial" w:cs="Arial" w:eastAsia="Arial" w:hAnsi="Arial"/>
          <w:sz w:val="17"/>
          <w:szCs w:val="17"/>
          <w:color w:val="FFFFFF"/>
        </w:rPr>
        <w:t>Minimize the carbon footprint of our Company and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266700</wp:posOffset>
            </wp:positionV>
            <wp:extent cx="1979930" cy="1354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9930" cy="13544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Strengthen</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Resiliency*</w:t>
      </w:r>
    </w:p>
    <w:p>
      <w:pPr>
        <w:spacing w:after="0" w:line="180" w:lineRule="exact"/>
        <w:rPr>
          <w:sz w:val="20"/>
          <w:szCs w:val="20"/>
          <w:color w:val="auto"/>
        </w:rPr>
      </w:pPr>
    </w:p>
    <w:p>
      <w:pPr>
        <w:jc w:val="center"/>
        <w:ind w:left="680" w:right="52"/>
        <w:spacing w:after="0" w:line="255" w:lineRule="auto"/>
        <w:rPr>
          <w:sz w:val="20"/>
          <w:szCs w:val="20"/>
          <w:color w:val="auto"/>
        </w:rPr>
      </w:pPr>
      <w:r>
        <w:rPr>
          <w:rFonts w:ascii="Arial" w:cs="Arial" w:eastAsia="Arial" w:hAnsi="Arial"/>
          <w:sz w:val="17"/>
          <w:szCs w:val="17"/>
          <w:color w:val="FFFFFF"/>
        </w:rPr>
        <w:t>Invest in and manage our assets to protect value from increasing frequency</w:t>
      </w:r>
    </w:p>
    <w:p>
      <w:pPr>
        <w:spacing w:after="0" w:line="2" w:lineRule="exact"/>
        <w:rPr>
          <w:sz w:val="20"/>
          <w:szCs w:val="20"/>
          <w:color w:val="auto"/>
        </w:rPr>
      </w:pPr>
    </w:p>
    <w:p>
      <w:pPr>
        <w:jc w:val="center"/>
        <w:ind w:left="680" w:right="52"/>
        <w:spacing w:after="0" w:line="264" w:lineRule="auto"/>
        <w:rPr>
          <w:sz w:val="20"/>
          <w:szCs w:val="20"/>
          <w:color w:val="auto"/>
        </w:rPr>
      </w:pPr>
      <w:r>
        <w:rPr>
          <w:rFonts w:ascii="Arial" w:cs="Arial" w:eastAsia="Arial" w:hAnsi="Arial"/>
          <w:sz w:val="17"/>
          <w:szCs w:val="17"/>
          <w:color w:val="FFFFFF"/>
        </w:rPr>
        <w:t>and severity of weather related events and other hazards of climate change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08" w:right="620" w:hanging="308"/>
        <w:spacing w:after="0" w:line="245" w:lineRule="auto"/>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Science Based Target to reduce Scope 1&amp;2 GHG emissions by 46% by 2030 (2019 baseline)</w:t>
      </w:r>
    </w:p>
    <w:p>
      <w:pPr>
        <w:ind w:left="308" w:hanging="308"/>
        <w:spacing w:after="0"/>
        <w:tabs>
          <w:tab w:leader="none" w:pos="308"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22% Scope 1&amp;2 GHG emissions reduction from 2019 through 2021</w:t>
      </w:r>
    </w:p>
    <w:p>
      <w:pPr>
        <w:spacing w:after="0" w:line="8" w:lineRule="exact"/>
        <w:rPr>
          <w:rFonts w:ascii="MS PGothic" w:cs="MS PGothic" w:eastAsia="MS PGothic" w:hAnsi="MS PGothic"/>
          <w:sz w:val="18"/>
          <w:szCs w:val="18"/>
          <w:color w:val="auto"/>
        </w:rPr>
      </w:pPr>
    </w:p>
    <w:p>
      <w:pPr>
        <w:ind w:left="308" w:hanging="308"/>
        <w:spacing w:after="0"/>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5 million square feet of LEED certified buildings constructed and in service</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60% of electric consumption in 2021 provided by green sources</w:t>
      </w:r>
    </w:p>
    <w:p>
      <w:pPr>
        <w:spacing w:after="0" w:line="9" w:lineRule="exact"/>
        <w:rPr>
          <w:rFonts w:ascii="MS PGothic" w:cs="MS PGothic" w:eastAsia="MS PGothic" w:hAnsi="MS PGothic"/>
          <w:sz w:val="18"/>
          <w:szCs w:val="18"/>
          <w:color w:val="auto"/>
        </w:rPr>
      </w:pPr>
    </w:p>
    <w:p>
      <w:pPr>
        <w:ind w:left="308" w:right="460" w:hanging="308"/>
        <w:spacing w:after="0" w:line="234" w:lineRule="auto"/>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89% properties fully or partially upgraded with energy efficient LED lighting in landlord controlled areas</w:t>
      </w:r>
    </w:p>
    <w:p>
      <w:pPr>
        <w:spacing w:after="0" w:line="1" w:lineRule="exact"/>
        <w:rPr>
          <w:rFonts w:ascii="MS PGothic" w:cs="MS PGothic" w:eastAsia="MS PGothic" w:hAnsi="MS PGothic"/>
          <w:sz w:val="18"/>
          <w:szCs w:val="18"/>
          <w:color w:val="auto"/>
        </w:rPr>
      </w:pPr>
    </w:p>
    <w:p>
      <w:pPr>
        <w:ind w:left="308" w:hanging="308"/>
        <w:spacing w:after="0"/>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14 MW solar power generating capacity in solar arrays at 25 properties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12" w:lineRule="exact"/>
        <w:rPr>
          <w:rFonts w:ascii="MS PGothic" w:cs="MS PGothic" w:eastAsia="MS PGothic" w:hAnsi="MS PGothic"/>
          <w:sz w:val="18"/>
          <w:szCs w:val="18"/>
          <w:color w:val="auto"/>
        </w:rPr>
      </w:pPr>
    </w:p>
    <w:p>
      <w:pPr>
        <w:ind w:left="308" w:right="560" w:hanging="308"/>
        <w:spacing w:after="0" w:line="255" w:lineRule="auto"/>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Climate change scenario analysis using RCP 8.5 showing minimal financial risk over short-, medium- and long-term</w:t>
      </w:r>
    </w:p>
    <w:p>
      <w:pPr>
        <w:spacing w:after="0" w:line="19" w:lineRule="exact"/>
        <w:rPr>
          <w:rFonts w:ascii="MS PGothic" w:cs="MS PGothic" w:eastAsia="MS PGothic" w:hAnsi="MS PGothic"/>
          <w:sz w:val="18"/>
          <w:szCs w:val="18"/>
          <w:color w:val="auto"/>
        </w:rPr>
      </w:pPr>
    </w:p>
    <w:p>
      <w:pPr>
        <w:ind w:left="308" w:hanging="308"/>
        <w:spacing w:after="0"/>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Management of water usage through technology and landscaping choices</w:t>
      </w:r>
    </w:p>
    <w:p>
      <w:pPr>
        <w:spacing w:after="0" w:line="47" w:lineRule="exact"/>
        <w:rPr>
          <w:rFonts w:ascii="MS PGothic" w:cs="MS PGothic" w:eastAsia="MS PGothic" w:hAnsi="MS PGothic"/>
          <w:sz w:val="18"/>
          <w:szCs w:val="18"/>
          <w:color w:val="auto"/>
        </w:rPr>
      </w:pPr>
    </w:p>
    <w:p>
      <w:pPr>
        <w:ind w:left="308" w:hanging="308"/>
        <w:spacing w:after="0"/>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Focus on increasing waste diverted to recycling</w:t>
      </w:r>
    </w:p>
    <w:p>
      <w:pPr>
        <w:spacing w:after="0" w:line="36" w:lineRule="exact"/>
        <w:rPr>
          <w:rFonts w:ascii="MS PGothic" w:cs="MS PGothic" w:eastAsia="MS PGothic" w:hAnsi="MS PGothic"/>
          <w:sz w:val="18"/>
          <w:szCs w:val="18"/>
          <w:color w:val="auto"/>
        </w:rPr>
      </w:pPr>
    </w:p>
    <w:p>
      <w:pPr>
        <w:ind w:left="308" w:right="300" w:hanging="308"/>
        <w:spacing w:after="0" w:line="258" w:lineRule="auto"/>
        <w:tabs>
          <w:tab w:leader="none" w:pos="308"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Physical risk exposures incorporated into property level capital planning and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-2343785</wp:posOffset>
            </wp:positionV>
            <wp:extent cx="4903470" cy="2657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03470" cy="2657475"/>
                    </a:xfrm>
                    <a:prstGeom prst="rect">
                      <a:avLst/>
                    </a:prstGeom>
                    <a:noFill/>
                  </pic:spPr>
                </pic:pic>
              </a:graphicData>
            </a:graphic>
          </wp:anchor>
        </w:drawing>
      </w:r>
    </w:p>
    <w:p>
      <w:pPr>
        <w:spacing w:after="0" w:line="581" w:lineRule="exact"/>
        <w:rPr>
          <w:sz w:val="20"/>
          <w:szCs w:val="20"/>
          <w:color w:val="auto"/>
        </w:rPr>
      </w:pPr>
    </w:p>
    <w:p>
      <w:pPr>
        <w:sectPr>
          <w:pgSz w:w="11900" w:h="16838" w:orient="portrait"/>
          <w:cols w:equalWidth="0" w:num="2">
            <w:col w:w="2832" w:space="720"/>
            <w:col w:w="7588"/>
          </w:cols>
          <w:pgMar w:left="320" w:top="482" w:right="439" w:bottom="1440" w:gutter="0" w:footer="0" w:header="0"/>
          <w:type w:val="continuous"/>
        </w:sectPr>
      </w:pPr>
    </w:p>
    <w:p>
      <w:pPr>
        <w:spacing w:after="0" w:line="302" w:lineRule="exact"/>
        <w:rPr>
          <w:sz w:val="20"/>
          <w:szCs w:val="20"/>
          <w:color w:val="auto"/>
        </w:rPr>
      </w:pPr>
    </w:p>
    <w:p>
      <w:pPr>
        <w:jc w:val="center"/>
        <w:ind w:left="628"/>
        <w:spacing w:after="0"/>
        <w:rPr>
          <w:sz w:val="20"/>
          <w:szCs w:val="20"/>
          <w:color w:val="auto"/>
        </w:rPr>
      </w:pPr>
      <w:r>
        <w:rPr>
          <w:rFonts w:ascii="Arial" w:cs="Arial" w:eastAsia="Arial" w:hAnsi="Arial"/>
          <w:sz w:val="22"/>
          <w:szCs w:val="22"/>
          <w:b w:val="1"/>
          <w:bCs w:val="1"/>
          <w:color w:val="FFFFFF"/>
        </w:rPr>
        <w:t>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-300355</wp:posOffset>
            </wp:positionV>
            <wp:extent cx="1979930" cy="1268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9930" cy="1268730"/>
                    </a:xfrm>
                    <a:prstGeom prst="rect">
                      <a:avLst/>
                    </a:prstGeom>
                    <a:noFill/>
                  </pic:spPr>
                </pic:pic>
              </a:graphicData>
            </a:graphic>
          </wp:anchor>
        </w:drawing>
      </w:r>
    </w:p>
    <w:p>
      <w:pPr>
        <w:jc w:val="center"/>
        <w:ind w:left="628"/>
        <w:spacing w:after="0"/>
        <w:rPr>
          <w:sz w:val="20"/>
          <w:szCs w:val="20"/>
          <w:color w:val="auto"/>
        </w:rPr>
      </w:pPr>
      <w:r>
        <w:rPr>
          <w:rFonts w:ascii="Arial" w:cs="Arial" w:eastAsia="Arial" w:hAnsi="Arial"/>
          <w:sz w:val="22"/>
          <w:szCs w:val="22"/>
          <w:b w:val="1"/>
          <w:bCs w:val="1"/>
          <w:color w:val="FFFFFF"/>
        </w:rPr>
        <w:t>Communities*</w:t>
      </w:r>
    </w:p>
    <w:p>
      <w:pPr>
        <w:spacing w:after="0" w:line="180" w:lineRule="exact"/>
        <w:rPr>
          <w:sz w:val="20"/>
          <w:szCs w:val="20"/>
          <w:color w:val="auto"/>
        </w:rPr>
      </w:pPr>
    </w:p>
    <w:p>
      <w:pPr>
        <w:jc w:val="center"/>
        <w:ind w:left="680" w:right="52"/>
        <w:spacing w:after="0" w:line="244" w:lineRule="auto"/>
        <w:rPr>
          <w:sz w:val="20"/>
          <w:szCs w:val="20"/>
          <w:color w:val="auto"/>
        </w:rPr>
      </w:pPr>
      <w:r>
        <w:rPr>
          <w:rFonts w:ascii="Arial" w:cs="Arial" w:eastAsia="Arial" w:hAnsi="Arial"/>
          <w:sz w:val="18"/>
          <w:szCs w:val="18"/>
          <w:color w:val="FFFFFF"/>
        </w:rPr>
        <w:t>Use our real estate to contribute to social and economic prosperity of the community and advance social equity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308" w:right="1080" w:hanging="308"/>
        <w:spacing w:after="0" w:line="255"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$425 million invested in partnership with Primestor Development in historically underrepresented communities</w:t>
      </w:r>
    </w:p>
    <w:p>
      <w:pPr>
        <w:spacing w:after="0" w:line="1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Local cultural programming and events at properties</w:t>
      </w:r>
    </w:p>
    <w:p>
      <w:pPr>
        <w:spacing w:after="0" w:line="4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Support local philanthropic initiatives and tenants</w:t>
      </w:r>
    </w:p>
    <w:p>
      <w:pPr>
        <w:spacing w:after="0" w:line="47"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Feature work of local artists in art installations at our properties</w:t>
      </w:r>
    </w:p>
    <w:p>
      <w:pPr>
        <w:spacing w:after="0" w:line="37"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Significant contributions to tax base of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-899160</wp:posOffset>
            </wp:positionV>
            <wp:extent cx="4903470" cy="1251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03470" cy="125158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2832" w:space="720"/>
            <w:col w:w="7588"/>
          </w:cols>
          <w:pgMar w:left="320" w:top="482" w:right="439" w:bottom="1440" w:gutter="0" w:footer="0" w:header="0"/>
          <w:type w:val="continuous"/>
        </w:sectPr>
      </w:pPr>
    </w:p>
    <w:p>
      <w:pPr>
        <w:spacing w:after="0" w:line="220"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Empower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-300355</wp:posOffset>
            </wp:positionV>
            <wp:extent cx="1979930" cy="1113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79930" cy="1113790"/>
                    </a:xfrm>
                    <a:prstGeom prst="rect">
                      <a:avLst/>
                    </a:prstGeom>
                    <a:noFill/>
                  </pic:spPr>
                </pic:pic>
              </a:graphicData>
            </a:graphic>
          </wp:anchor>
        </w:drawing>
      </w:r>
    </w:p>
    <w:p>
      <w:pPr>
        <w:spacing w:after="0" w:line="182" w:lineRule="exact"/>
        <w:rPr>
          <w:sz w:val="20"/>
          <w:szCs w:val="20"/>
          <w:color w:val="auto"/>
        </w:rPr>
      </w:pPr>
    </w:p>
    <w:p>
      <w:pPr>
        <w:jc w:val="center"/>
        <w:ind w:left="640" w:right="32"/>
        <w:spacing w:after="0" w:line="261" w:lineRule="auto"/>
        <w:rPr>
          <w:sz w:val="20"/>
          <w:szCs w:val="20"/>
          <w:color w:val="auto"/>
        </w:rPr>
      </w:pPr>
      <w:r>
        <w:rPr>
          <w:rFonts w:ascii="Arial" w:cs="Arial" w:eastAsia="Arial" w:hAnsi="Arial"/>
          <w:sz w:val="17"/>
          <w:szCs w:val="17"/>
          <w:color w:val="FFFFFF"/>
        </w:rPr>
        <w:t>Create a work environment that is diverse, engaging and helps employees grow personally and professionally</w:t>
      </w:r>
    </w:p>
    <w:p>
      <w:pPr>
        <w:spacing w:after="0" w:line="20" w:lineRule="exact"/>
        <w:rPr>
          <w:sz w:val="20"/>
          <w:szCs w:val="20"/>
          <w:color w:val="auto"/>
        </w:rPr>
      </w:pPr>
      <w:r>
        <w:rPr>
          <w:sz w:val="20"/>
          <w:szCs w:val="20"/>
          <w:color w:val="auto"/>
        </w:rPr>
        <w:br w:type="column"/>
      </w: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Competitive pay and benefits</w:t>
      </w:r>
    </w:p>
    <w:p>
      <w:pPr>
        <w:spacing w:after="0" w:line="47"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Average tenure in excess of 8 years</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Pay equity analysis shows no pay anomalies based on race or gender</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Women represented 53% of our workforce and 75% of all promotions</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Minorities represented 47% of all new hires and 24% of all promotions</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Comprehensive health and wellness programs through our Be Well with Federal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-906145</wp:posOffset>
            </wp:positionV>
            <wp:extent cx="7012305" cy="1329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2305" cy="132905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2832" w:space="720"/>
            <w:col w:w="7588"/>
          </w:cols>
          <w:pgMar w:left="320" w:top="482" w:right="439" w:bottom="1440" w:gutter="0" w:footer="0" w:header="0"/>
          <w:type w:val="continuous"/>
        </w:sect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212725</wp:posOffset>
            </wp:positionV>
            <wp:extent cx="1979930" cy="1174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9930" cy="11741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ind w:right="12"/>
        <w:spacing w:after="0"/>
        <w:rPr>
          <w:sz w:val="20"/>
          <w:szCs w:val="20"/>
          <w:color w:val="auto"/>
        </w:rPr>
      </w:pPr>
      <w:r>
        <w:rPr>
          <w:rFonts w:ascii="Arial" w:cs="Arial" w:eastAsia="Arial" w:hAnsi="Arial"/>
          <w:sz w:val="22"/>
          <w:szCs w:val="22"/>
          <w:b w:val="1"/>
          <w:bCs w:val="1"/>
          <w:color w:val="FFFFFF"/>
        </w:rPr>
        <w:t>Govern Responsibly*</w:t>
      </w:r>
    </w:p>
    <w:p>
      <w:pPr>
        <w:spacing w:after="0" w:line="121" w:lineRule="exact"/>
        <w:rPr>
          <w:sz w:val="20"/>
          <w:szCs w:val="20"/>
          <w:color w:val="auto"/>
        </w:rPr>
      </w:pPr>
    </w:p>
    <w:p>
      <w:pPr>
        <w:jc w:val="center"/>
        <w:ind w:left="628" w:right="12"/>
        <w:spacing w:after="0" w:line="244" w:lineRule="auto"/>
        <w:rPr>
          <w:sz w:val="20"/>
          <w:szCs w:val="20"/>
          <w:color w:val="auto"/>
        </w:rPr>
      </w:pPr>
      <w:r>
        <w:rPr>
          <w:rFonts w:ascii="Arial" w:cs="Arial" w:eastAsia="Arial" w:hAnsi="Arial"/>
          <w:sz w:val="18"/>
          <w:szCs w:val="18"/>
          <w:color w:val="FFFFFF"/>
        </w:rPr>
        <w:t>Establish foundation to run the Company ethically with appropriate fiscal and decision making controls to manage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Annual election of all trustees</w:t>
      </w:r>
    </w:p>
    <w:p>
      <w:pPr>
        <w:spacing w:after="0" w:line="49"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Independent Non-Executive Chairman</w:t>
      </w:r>
    </w:p>
    <w:p>
      <w:pPr>
        <w:spacing w:after="0" w:line="130"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Majority voting and proxy access for trustee elections</w:t>
      </w:r>
    </w:p>
    <w:p>
      <w:pPr>
        <w:spacing w:after="0" w:line="103" w:lineRule="exact"/>
        <w:rPr>
          <w:rFonts w:ascii="MS PGothic" w:cs="MS PGothic" w:eastAsia="MS PGothic" w:hAnsi="MS PGothic"/>
          <w:sz w:val="18"/>
          <w:szCs w:val="18"/>
          <w:color w:val="auto"/>
        </w:rPr>
      </w:pPr>
    </w:p>
    <w:p>
      <w:pPr>
        <w:ind w:left="308" w:right="100" w:hanging="308"/>
        <w:spacing w:after="0" w:line="271" w:lineRule="auto"/>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Prohibition on hedging and pledging our shares combined with clawback policy and equity hold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-1536065</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-970280</wp:posOffset>
            </wp:positionV>
            <wp:extent cx="4903470" cy="1157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03470" cy="115760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832" w:space="720"/>
            <w:col w:w="7568"/>
          </w:cols>
          <w:pgMar w:left="320" w:top="482" w:right="459" w:bottom="1440" w:gutter="0" w:footer="0" w:header="0"/>
        </w:sectPr>
      </w:pP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All information provided is as of December 31, 2022 unless otherwise indicated.</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More information about our ESG program can be found in our 2021 Environmental Social and Governance Report which is available under the ESG tab on our website and can be accessed by using this link 2021 ESG Report by Federal 1962 - Issuu/. The report provides additional, detailed information in alignment with the frameworks established by the Global Reporting Initiative, Task Force for Climate Related Financial Disclosures and Sustainability Accounting Standards Board.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of the areas where we have been recognized for our ESG efforts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1457960</wp:posOffset>
            </wp:positionV>
            <wp:extent cx="699516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1105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604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Governing the Company</w:t>
      </w:r>
    </w:p>
    <w:p>
      <w:pPr>
        <w:spacing w:after="0" w:line="264" w:lineRule="exact"/>
        <w:rPr>
          <w:sz w:val="20"/>
          <w:szCs w:val="20"/>
          <w:color w:val="auto"/>
        </w:rPr>
      </w:pPr>
    </w:p>
    <w:p>
      <w:pPr>
        <w:ind w:left="540" w:hanging="424"/>
        <w:spacing w:after="0"/>
        <w:tabs>
          <w:tab w:leader="none" w:pos="540" w:val="left"/>
        </w:tabs>
        <w:numPr>
          <w:ilvl w:val="0"/>
          <w:numId w:val="1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GOVERNANCE DOCUMENTS</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196" w:lineRule="exact"/>
        <w:rPr>
          <w:sz w:val="20"/>
          <w:szCs w:val="20"/>
          <w:color w:val="auto"/>
        </w:rPr>
      </w:pPr>
    </w:p>
    <w:p>
      <w:pPr>
        <w:ind w:left="1080" w:right="7300"/>
        <w:spacing w:after="0" w:line="260" w:lineRule="auto"/>
        <w:rPr>
          <w:sz w:val="20"/>
          <w:szCs w:val="20"/>
          <w:color w:val="auto"/>
        </w:rPr>
      </w:pPr>
      <w:r>
        <w:rPr>
          <w:rFonts w:ascii="Arial" w:cs="Arial" w:eastAsia="Arial" w:hAnsi="Arial"/>
          <w:sz w:val="18"/>
          <w:szCs w:val="18"/>
          <w:color w:val="auto"/>
        </w:rPr>
        <w:t>Corporate Governance Guidelines Code of Business Conduct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Code of Ethics for our Senior Financial Officers</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These documents are reviewed periodically and revised when needed to reflect changing regulatory and governmental requirements and best practices. Complete copies of these documents are available in the Investor/Corporate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Printed copies of these documents are available upon written request to our Investor Relations department at</w:t>
      </w:r>
      <w:r>
        <w:rPr>
          <w:rFonts w:ascii="Arial" w:cs="Arial" w:eastAsia="Arial" w:hAnsi="Arial"/>
          <w:sz w:val="18"/>
          <w:szCs w:val="18"/>
          <w:i w:val="1"/>
          <w:iCs w:val="1"/>
          <w:color w:val="auto"/>
        </w:rPr>
        <w:t xml:space="preserve"> </w:t>
      </w:r>
      <w:r>
        <w:rPr>
          <w:rFonts w:ascii="Arial" w:cs="Arial" w:eastAsia="Arial" w:hAnsi="Arial"/>
          <w:sz w:val="18"/>
          <w:szCs w:val="18"/>
          <w:color w:val="auto"/>
        </w:rPr>
        <w:t>909 Rose Avenue, Suite 200, 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w:t>
      </w:r>
    </w:p>
    <w:p>
      <w:pPr>
        <w:sectPr>
          <w:pgSz w:w="11900" w:h="16838" w:orient="portrait"/>
          <w:cols w:equalWidth="0" w:num="1">
            <w:col w:w="11120"/>
          </w:cols>
          <w:pgMar w:left="320" w:top="482"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GOVERNANCE POLICIES AND PROCEDURES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commitment to good governance is an integral part of our business. Highlights of our corporate governance practices include:</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3620" w:type="dxa"/>
            <w:vAlign w:val="bottom"/>
            <w:tcBorders>
              <w:top w:val="single" w:sz="8" w:color="auto"/>
              <w:left w:val="single" w:sz="8" w:color="auto"/>
            </w:tcBorders>
            <w:shd w:val="clear" w:color="auto" w:fill="D8D8D8"/>
          </w:tcPr>
          <w:p>
            <w:pPr>
              <w:ind w:left="16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election of Trustees</w:t>
            </w:r>
          </w:p>
        </w:tc>
        <w:tc>
          <w:tcPr>
            <w:tcW w:w="3640" w:type="dxa"/>
            <w:vAlign w:val="bottom"/>
            <w:tcBorders>
              <w:top w:val="single" w:sz="8" w:color="auto"/>
            </w:tcBorders>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Independent non-executive chairman</w:t>
            </w:r>
          </w:p>
        </w:tc>
        <w:tc>
          <w:tcPr>
            <w:tcW w:w="3540" w:type="dxa"/>
            <w:vAlign w:val="bottom"/>
            <w:tcBorders>
              <w:top w:val="single" w:sz="8" w:color="auto"/>
              <w:right w:val="single" w:sz="8" w:color="auto"/>
            </w:tcBorders>
            <w:shd w:val="clear" w:color="auto" w:fill="D8D8D8"/>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Board oversight of ESG, cyber</w:t>
            </w:r>
          </w:p>
        </w:tc>
      </w:tr>
      <w:tr>
        <w:trPr>
          <w:trHeight w:val="203"/>
        </w:trPr>
        <w:tc>
          <w:tcPr>
            <w:tcW w:w="3620" w:type="dxa"/>
            <w:vAlign w:val="bottom"/>
            <w:tcBorders>
              <w:left w:val="single" w:sz="8" w:color="auto"/>
            </w:tcBorders>
            <w:shd w:val="clear" w:color="auto" w:fill="D8D8D8"/>
          </w:tcPr>
          <w:p>
            <w:pPr>
              <w:spacing w:after="0"/>
              <w:rPr>
                <w:sz w:val="17"/>
                <w:szCs w:val="17"/>
                <w:color w:val="auto"/>
              </w:rPr>
            </w:pP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since 2003</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security, data protection and human</w:t>
            </w:r>
          </w:p>
        </w:tc>
      </w:tr>
      <w:tr>
        <w:trPr>
          <w:trHeight w:val="235"/>
        </w:trPr>
        <w:tc>
          <w:tcPr>
            <w:tcW w:w="3620" w:type="dxa"/>
            <w:vAlign w:val="bottom"/>
            <w:tcBorders>
              <w:left w:val="single" w:sz="8" w:color="auto"/>
            </w:tcBorders>
            <w:shd w:val="clear" w:color="auto" w:fill="D8D8D8"/>
          </w:tcPr>
          <w:p>
            <w:pPr>
              <w:spacing w:after="0"/>
              <w:rPr>
                <w:sz w:val="20"/>
                <w:szCs w:val="20"/>
                <w:color w:val="auto"/>
              </w:rPr>
            </w:pPr>
          </w:p>
        </w:tc>
        <w:tc>
          <w:tcPr>
            <w:tcW w:w="3640" w:type="dxa"/>
            <w:vAlign w:val="bottom"/>
          </w:tcPr>
          <w:p>
            <w:pPr>
              <w:spacing w:after="0"/>
              <w:rPr>
                <w:sz w:val="20"/>
                <w:szCs w:val="20"/>
                <w:color w:val="auto"/>
              </w:rPr>
            </w:pPr>
          </w:p>
        </w:tc>
        <w:tc>
          <w:tcPr>
            <w:tcW w:w="3540" w:type="dxa"/>
            <w:vAlign w:val="bottom"/>
            <w:tcBorders>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resources</w:t>
            </w:r>
          </w:p>
        </w:tc>
      </w:tr>
      <w:tr>
        <w:trPr>
          <w:trHeight w:val="216"/>
        </w:trPr>
        <w:tc>
          <w:tcPr>
            <w:tcW w:w="3620" w:type="dxa"/>
            <w:vAlign w:val="bottom"/>
            <w:tcBorders>
              <w:lef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Board and Trustee evaluations</w:t>
            </w:r>
          </w:p>
        </w:tc>
        <w:tc>
          <w:tcPr>
            <w:tcW w:w="3640" w:type="dxa"/>
            <w:vAlign w:val="bottom"/>
            <w:shd w:val="clear" w:color="auto" w:fill="D8D8D8"/>
          </w:tcPr>
          <w:p>
            <w:pPr>
              <w:ind w:left="10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Majority voting in uncontested elections</w:t>
            </w:r>
          </w:p>
        </w:tc>
        <w:tc>
          <w:tcPr>
            <w:tcW w:w="354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Proxy access for all shareholders</w:t>
            </w:r>
          </w:p>
        </w:tc>
      </w:tr>
      <w:tr>
        <w:trPr>
          <w:trHeight w:val="184"/>
        </w:trPr>
        <w:tc>
          <w:tcPr>
            <w:tcW w:w="3620" w:type="dxa"/>
            <w:vAlign w:val="bottom"/>
            <w:tcBorders>
              <w:left w:val="single" w:sz="8" w:color="auto"/>
            </w:tcBorders>
            <w:shd w:val="clear" w:color="auto" w:fill="D8D8D8"/>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and</w:t>
            </w:r>
          </w:p>
        </w:tc>
        <w:tc>
          <w:tcPr>
            <w:tcW w:w="3640" w:type="dxa"/>
            <w:vAlign w:val="bottom"/>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Shareholder approval required to</w:t>
            </w:r>
          </w:p>
        </w:tc>
        <w:tc>
          <w:tcPr>
            <w:tcW w:w="3540" w:type="dxa"/>
            <w:vAlign w:val="bottom"/>
            <w:tcBorders>
              <w:right w:val="single" w:sz="8" w:color="auto"/>
            </w:tcBorders>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Robust stock ownership guidelines in</w:t>
            </w:r>
          </w:p>
        </w:tc>
      </w:tr>
      <w:tr>
        <w:trPr>
          <w:trHeight w:val="203"/>
        </w:trPr>
        <w:tc>
          <w:tcPr>
            <w:tcW w:w="362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management hedging and pledging our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classify our Board</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place for Trustees and senior</w:t>
            </w:r>
          </w:p>
        </w:tc>
      </w:tr>
      <w:tr>
        <w:trPr>
          <w:trHeight w:val="221"/>
        </w:trPr>
        <w:tc>
          <w:tcPr>
            <w:tcW w:w="3620" w:type="dxa"/>
            <w:vAlign w:val="bottom"/>
            <w:tcBorders>
              <w:left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shares</w:t>
            </w:r>
          </w:p>
        </w:tc>
        <w:tc>
          <w:tcPr>
            <w:tcW w:w="364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management</w:t>
            </w:r>
          </w:p>
        </w:tc>
      </w:tr>
    </w:tbl>
    <w:p>
      <w:pPr>
        <w:spacing w:after="0" w:line="224" w:lineRule="exact"/>
        <w:rPr>
          <w:sz w:val="20"/>
          <w:szCs w:val="20"/>
          <w:color w:val="auto"/>
        </w:rPr>
      </w:pPr>
    </w:p>
    <w:p>
      <w:pPr>
        <w:ind w:left="540" w:hanging="424"/>
        <w:spacing w:after="0"/>
        <w:tabs>
          <w:tab w:leader="none" w:pos="540" w:val="left"/>
        </w:tabs>
        <w:numPr>
          <w:ilvl w:val="0"/>
          <w:numId w:val="1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LEADERSHIP</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has been led by an independent, Non-Executive Chairman for the past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ectPr>
          <w:pgSz w:w="11900" w:h="16838" w:orient="portrait"/>
          <w:cols w:equalWidth="0" w:num="1">
            <w:col w:w="11140"/>
          </w:cols>
          <w:pgMar w:left="320" w:top="482" w:right="439" w:bottom="1440" w:gutter="0" w:footer="0" w:header="0"/>
        </w:sectPr>
      </w:pPr>
    </w:p>
    <w:p>
      <w:pPr>
        <w:spacing w:after="0" w:line="203" w:lineRule="exact"/>
        <w:rPr>
          <w:sz w:val="20"/>
          <w:szCs w:val="20"/>
          <w:color w:val="auto"/>
        </w:rPr>
      </w:pPr>
    </w:p>
    <w:p>
      <w:pPr>
        <w:ind w:left="540" w:hanging="424"/>
        <w:spacing w:after="0"/>
        <w:tabs>
          <w:tab w:leader="none" w:pos="540" w:val="left"/>
        </w:tabs>
        <w:numPr>
          <w:ilvl w:val="0"/>
          <w:numId w:val="1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MEETINGS</w:t>
      </w:r>
    </w:p>
    <w:p>
      <w:pPr>
        <w:spacing w:after="0" w:line="23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Board met six (6) times in 2022 and each trustee attended at least 75% of the meetings of the Board and the committees on which that trustee serves. Our practice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then-serving Trustees attended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-1296035</wp:posOffset>
            </wp:positionV>
            <wp:extent cx="17145" cy="1577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57734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Wingdings" w:cs="Wingdings" w:eastAsia="Wingdings" w:hAnsi="Wingdings"/>
          <w:sz w:val="18"/>
          <w:szCs w:val="18"/>
          <w:b w:val="1"/>
          <w:bCs w:val="1"/>
          <w:color w:val="FF160F"/>
        </w:rPr>
        <w:t>Ø</w:t>
      </w:r>
      <w:r>
        <w:rPr>
          <w:rFonts w:ascii="Arial" w:cs="Arial" w:eastAsia="Arial" w:hAnsi="Arial"/>
          <w:sz w:val="18"/>
          <w:szCs w:val="18"/>
          <w:b w:val="1"/>
          <w:bCs w:val="1"/>
          <w:color w:val="000000"/>
        </w:rPr>
        <w:t xml:space="preserve">   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100%</w:t>
      </w:r>
    </w:p>
    <w:p>
      <w:pPr>
        <w:spacing w:after="0" w:line="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Attendance at the annual shareholder</w:t>
      </w:r>
    </w:p>
    <w:p>
      <w:pPr>
        <w:jc w:val="center"/>
        <w:ind w:right="28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128270</wp:posOffset>
            </wp:positionV>
            <wp:extent cx="21602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96%</w:t>
      </w:r>
    </w:p>
    <w:p>
      <w:pPr>
        <w:spacing w:after="0" w:line="20" w:lineRule="exact"/>
        <w:rPr>
          <w:sz w:val="20"/>
          <w:szCs w:val="20"/>
          <w:color w:val="auto"/>
        </w:rPr>
      </w:pPr>
    </w:p>
    <w:p>
      <w:pPr>
        <w:jc w:val="center"/>
        <w:ind w:left="80" w:right="280"/>
        <w:spacing w:after="0" w:line="256" w:lineRule="auto"/>
        <w:rPr>
          <w:sz w:val="20"/>
          <w:szCs w:val="20"/>
          <w:color w:val="auto"/>
        </w:rPr>
      </w:pPr>
      <w:r>
        <w:rPr>
          <w:rFonts w:ascii="Arial" w:cs="Arial" w:eastAsia="Arial" w:hAnsi="Arial"/>
          <w:sz w:val="16"/>
          <w:szCs w:val="16"/>
          <w:color w:val="auto"/>
        </w:rPr>
        <w:t>Attendance by Trustees of total Board meetings and meetings of Committees on which they serve</w:t>
      </w:r>
    </w:p>
    <w:p>
      <w:pPr>
        <w:spacing w:after="0" w:line="485" w:lineRule="exact"/>
        <w:rPr>
          <w:sz w:val="20"/>
          <w:szCs w:val="20"/>
          <w:color w:val="auto"/>
        </w:rPr>
      </w:pPr>
    </w:p>
    <w:p>
      <w:pPr>
        <w:sectPr>
          <w:pgSz w:w="11900" w:h="16838" w:orient="portrait"/>
          <w:cols w:equalWidth="0" w:num="2">
            <w:col w:w="7380" w:space="620"/>
            <w:col w:w="3140"/>
          </w:cols>
          <w:pgMar w:left="320" w:top="482" w:right="439" w:bottom="1440" w:gutter="0" w:footer="0" w:header="0"/>
          <w:type w:val="continuous"/>
        </w:sectPr>
      </w:pPr>
    </w:p>
    <w:p>
      <w:pPr>
        <w:spacing w:after="0" w:line="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The Board has three standing committees – the Audit Committee, the Compensation and Human Capital Management Committee (“Compensation Committee”) and the Nominating and Corporate Governance Committee (“NCGC”). Each committee operates under a written charter that is available in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committee consists entirely of independent, non-employee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5</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A</w:t>
      </w:r>
      <w:r>
        <w:rPr>
          <w:rFonts w:ascii="Arial" w:cs="Arial" w:eastAsia="Arial" w:hAnsi="Arial"/>
          <w:sz w:val="14"/>
          <w:szCs w:val="14"/>
          <w:b w:val="1"/>
          <w:bCs w:val="1"/>
          <w:color w:val="FFFFFF"/>
        </w:rPr>
        <w:t>UDIT</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197485</wp:posOffset>
            </wp:positionV>
            <wp:extent cx="642620" cy="702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Gail P. Steinel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Anthony P. Nader, III*</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b w:val="1"/>
          <w:bCs w:val="1"/>
          <w:color w:val="FF160F"/>
        </w:rPr>
        <w:t>4</w:t>
      </w:r>
    </w:p>
    <w:p>
      <w:pPr>
        <w:spacing w:after="0" w:line="208" w:lineRule="exact"/>
        <w:rPr>
          <w:sz w:val="20"/>
          <w:szCs w:val="20"/>
          <w:color w:val="auto"/>
        </w:rPr>
      </w:pPr>
    </w:p>
    <w:p>
      <w:pPr>
        <w:ind w:left="220" w:right="480" w:firstLine="4"/>
        <w:spacing w:after="0" w:line="285" w:lineRule="auto"/>
        <w:tabs>
          <w:tab w:leader="none" w:pos="3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 committee financial expert as defined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C</w:t>
      </w:r>
      <w:r>
        <w:rPr>
          <w:rFonts w:ascii="Arial" w:cs="Arial" w:eastAsia="Arial" w:hAnsi="Arial"/>
          <w:sz w:val="14"/>
          <w:szCs w:val="14"/>
          <w:b w:val="1"/>
          <w:bCs w:val="1"/>
          <w:color w:val="FFFFFF"/>
        </w:rPr>
        <w:t>OMPENSATION</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197485</wp:posOffset>
            </wp:positionV>
            <wp:extent cx="659765" cy="7283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Elizabeth I. Holland (Chair)</w:t>
      </w:r>
    </w:p>
    <w:p>
      <w:pPr>
        <w:ind w:left="220"/>
        <w:spacing w:after="0" w:line="234" w:lineRule="auto"/>
        <w:rPr>
          <w:sz w:val="20"/>
          <w:szCs w:val="20"/>
          <w:color w:val="auto"/>
        </w:rPr>
      </w:pPr>
      <w:r>
        <w:rPr>
          <w:rFonts w:ascii="Arial" w:cs="Arial" w:eastAsia="Arial" w:hAnsi="Arial"/>
          <w:sz w:val="18"/>
          <w:szCs w:val="18"/>
          <w:color w:val="auto"/>
        </w:rPr>
        <w:t>Nicole Y. Lamb-Hale</w:t>
      </w:r>
    </w:p>
    <w:p>
      <w:pPr>
        <w:ind w:left="220"/>
        <w:spacing w:after="0" w:line="235"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Gail P. Steinel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b w:val="1"/>
          <w:bCs w:val="1"/>
          <w:color w:val="FF160F"/>
        </w:rPr>
        <w:t>2</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Joined the Committee on October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-864870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-307340</wp:posOffset>
            </wp:positionV>
            <wp:extent cx="698627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219" w:lineRule="exact"/>
        <w:rPr>
          <w:sz w:val="20"/>
          <w:szCs w:val="20"/>
          <w:color w:val="auto"/>
        </w:rPr>
      </w:pPr>
    </w:p>
    <w:p>
      <w:pPr>
        <w:ind w:left="340" w:hanging="333"/>
        <w:spacing w:after="0"/>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Select and oversee our independent auditor</w:t>
      </w:r>
    </w:p>
    <w:p>
      <w:pPr>
        <w:spacing w:after="0" w:line="265" w:lineRule="exact"/>
        <w:rPr>
          <w:rFonts w:ascii="MS PGothic" w:cs="MS PGothic" w:eastAsia="MS PGothic" w:hAnsi="MS PGothic"/>
          <w:sz w:val="18"/>
          <w:szCs w:val="18"/>
          <w:color w:val="FF160F"/>
        </w:rPr>
      </w:pPr>
    </w:p>
    <w:p>
      <w:pPr>
        <w:ind w:left="340" w:right="620" w:hanging="333"/>
        <w:spacing w:after="0" w:line="271" w:lineRule="auto"/>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Oversee our financial reporting including reviewing results with management and independent auditors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Oversee internal audit function</w:t>
      </w:r>
    </w:p>
    <w:p>
      <w:pPr>
        <w:spacing w:after="0" w:line="265" w:lineRule="exact"/>
        <w:rPr>
          <w:rFonts w:ascii="MS PGothic" w:cs="MS PGothic" w:eastAsia="MS PGothic" w:hAnsi="MS PGothic"/>
          <w:sz w:val="18"/>
          <w:szCs w:val="18"/>
          <w:color w:val="FF160F"/>
        </w:rPr>
      </w:pPr>
    </w:p>
    <w:p>
      <w:pPr>
        <w:ind w:left="340" w:right="800" w:hanging="333"/>
        <w:spacing w:after="0" w:line="271" w:lineRule="auto"/>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Oversee adequacy and integrity of financial statements, financial reporting and disclosures</w:t>
      </w:r>
    </w:p>
    <w:p>
      <w:pPr>
        <w:spacing w:after="0" w:line="194" w:lineRule="exact"/>
        <w:rPr>
          <w:rFonts w:ascii="MS PGothic" w:cs="MS PGothic" w:eastAsia="MS PGothic" w:hAnsi="MS PGothic"/>
          <w:sz w:val="18"/>
          <w:szCs w:val="18"/>
          <w:color w:val="FF160F"/>
        </w:rPr>
      </w:pPr>
    </w:p>
    <w:p>
      <w:pPr>
        <w:ind w:left="340" w:right="160" w:hanging="333"/>
        <w:spacing w:after="0" w:line="271" w:lineRule="auto"/>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Oversee financial risks and risks related to cybersecurity, data security and information protection</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1"/>
        </w:numPr>
        <w:rPr>
          <w:rFonts w:ascii="MS PGothic" w:cs="MS PGothic" w:eastAsia="MS PGothic" w:hAnsi="MS PGothic"/>
          <w:sz w:val="18"/>
          <w:szCs w:val="18"/>
          <w:color w:val="FF160F"/>
        </w:rPr>
      </w:pPr>
      <w:r>
        <w:rPr>
          <w:rFonts w:ascii="Arial" w:cs="Arial" w:eastAsia="Arial" w:hAnsi="Arial"/>
          <w:sz w:val="18"/>
          <w:szCs w:val="18"/>
          <w:color w:val="auto"/>
        </w:rPr>
        <w:t>Review and approve any related party transactions requiring disclosure</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 information on the Audit Committee is included in the Audit Committee Report and “Proposal 3: Ratification of Independent Registered Public Accounting Firm” beginning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144780</wp:posOffset>
            </wp:positionV>
            <wp:extent cx="698627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responsibilities include:</w:t>
      </w:r>
    </w:p>
    <w:p>
      <w:pPr>
        <w:spacing w:after="0" w:line="239" w:lineRule="exact"/>
        <w:rPr>
          <w:sz w:val="20"/>
          <w:szCs w:val="20"/>
          <w:color w:val="auto"/>
        </w:rPr>
      </w:pPr>
    </w:p>
    <w:p>
      <w:pPr>
        <w:ind w:left="340" w:right="20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Evaluate performance of our CEO and recommend annual compensation and benefits for our CEO</w:t>
      </w:r>
    </w:p>
    <w:p>
      <w:pPr>
        <w:spacing w:after="0" w:line="194" w:lineRule="exact"/>
        <w:rPr>
          <w:rFonts w:ascii="MS PGothic" w:cs="MS PGothic" w:eastAsia="MS PGothic" w:hAnsi="MS PGothic"/>
          <w:sz w:val="18"/>
          <w:szCs w:val="18"/>
          <w:color w:val="FF160F"/>
        </w:rPr>
      </w:pPr>
    </w:p>
    <w:p>
      <w:pPr>
        <w:ind w:left="340" w:right="36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Review and approve compensation and benefits for our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Administer certain other benefit plans of the Company</w:t>
      </w:r>
    </w:p>
    <w:p>
      <w:pPr>
        <w:spacing w:after="0" w:line="265" w:lineRule="exact"/>
        <w:rPr>
          <w:rFonts w:ascii="MS PGothic" w:cs="MS PGothic" w:eastAsia="MS PGothic" w:hAnsi="MS PGothic"/>
          <w:sz w:val="18"/>
          <w:szCs w:val="18"/>
          <w:color w:val="FF160F"/>
        </w:rPr>
      </w:pPr>
    </w:p>
    <w:p>
      <w:pPr>
        <w:ind w:left="340" w:right="24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Review and approve employment related agreements for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Administer and make equity awards under our long-term plan</w:t>
      </w:r>
    </w:p>
    <w:p>
      <w:pPr>
        <w:spacing w:after="0" w:line="265" w:lineRule="exact"/>
        <w:rPr>
          <w:sz w:val="20"/>
          <w:szCs w:val="20"/>
          <w:color w:val="auto"/>
        </w:rPr>
      </w:pPr>
    </w:p>
    <w:p>
      <w:pPr>
        <w:sectPr>
          <w:pgSz w:w="11900" w:h="16838" w:orient="portrait"/>
          <w:cols w:equalWidth="0" w:num="2">
            <w:col w:w="3040" w:space="700"/>
            <w:col w:w="7380"/>
          </w:cols>
          <w:pgMar w:left="320" w:top="482" w:right="459" w:bottom="1440" w:gutter="0" w:footer="0" w:header="0"/>
        </w:sectPr>
      </w:pPr>
    </w:p>
    <w:p>
      <w:pPr>
        <w:ind w:left="4080" w:hanging="333"/>
        <w:spacing w:after="0"/>
        <w:tabs>
          <w:tab w:leader="none" w:pos="408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Oversee key strategies and human resource policies and practices for all employees</w:t>
      </w:r>
    </w:p>
    <w:p>
      <w:pPr>
        <w:spacing w:after="0" w:line="266" w:lineRule="exact"/>
        <w:rPr>
          <w:sz w:val="20"/>
          <w:szCs w:val="20"/>
          <w:color w:val="auto"/>
        </w:rPr>
      </w:pPr>
    </w:p>
    <w:p>
      <w:pPr>
        <w:ind w:left="3740" w:right="220"/>
        <w:spacing w:after="0" w:line="253" w:lineRule="auto"/>
        <w:rPr>
          <w:sz w:val="20"/>
          <w:szCs w:val="20"/>
          <w:color w:val="auto"/>
        </w:rPr>
      </w:pPr>
      <w:r>
        <w:rPr>
          <w:rFonts w:ascii="Arial" w:cs="Arial" w:eastAsia="Arial" w:hAnsi="Arial"/>
          <w:sz w:val="18"/>
          <w:szCs w:val="18"/>
          <w:color w:val="auto"/>
        </w:rPr>
        <w:t>The Compensation Committee report is included at page 30 of this proxy statement and more detail on the work of the Compensation Committee is included in the “Compensation Discussion and Analysis”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85090</wp:posOffset>
            </wp:positionV>
            <wp:extent cx="701230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2"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6</w:t>
      </w:r>
    </w:p>
    <w:p>
      <w:pPr>
        <w:sectPr>
          <w:pgSz w:w="11900" w:h="16838" w:orient="portrait"/>
          <w:cols w:equalWidth="0" w:num="1">
            <w:col w:w="11120"/>
          </w:cols>
          <w:pgMar w:left="320" w:top="482"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N</w:t>
      </w:r>
      <w:r>
        <w:rPr>
          <w:rFonts w:ascii="Arial" w:cs="Arial" w:eastAsia="Arial" w:hAnsi="Arial"/>
          <w:sz w:val="14"/>
          <w:szCs w:val="14"/>
          <w:b w:val="1"/>
          <w:bCs w:val="1"/>
          <w:color w:val="FFFFFF"/>
        </w:rPr>
        <w:t>OMINATING</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7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Nominating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8890</wp:posOffset>
            </wp:positionV>
            <wp:extent cx="668655" cy="7283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8655" cy="728345"/>
                    </a:xfrm>
                    <a:prstGeom prst="rect">
                      <a:avLst/>
                    </a:prstGeom>
                    <a:noFill/>
                  </pic:spPr>
                </pic:pic>
              </a:graphicData>
            </a:graphic>
          </wp:anchor>
        </w:drawing>
      </w:r>
    </w:p>
    <w:p>
      <w:pPr>
        <w:spacing w:after="0" w:line="219" w:lineRule="exact"/>
        <w:rPr>
          <w:sz w:val="20"/>
          <w:szCs w:val="20"/>
          <w:color w:val="auto"/>
        </w:rPr>
      </w:pPr>
    </w:p>
    <w:p>
      <w:pPr>
        <w:ind w:left="4080" w:hanging="319"/>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Identify and recommend individuals to stand for election to the Board</w:t>
      </w:r>
    </w:p>
    <w:p>
      <w:pPr>
        <w:spacing w:after="0" w:line="292" w:lineRule="exact"/>
        <w:rPr>
          <w:rFonts w:ascii="MS PGothic" w:cs="MS PGothic" w:eastAsia="MS PGothic" w:hAnsi="MS PGothic"/>
          <w:sz w:val="18"/>
          <w:szCs w:val="18"/>
          <w:color w:val="FF160F"/>
        </w:rPr>
      </w:pPr>
    </w:p>
    <w:p>
      <w:pPr>
        <w:ind w:left="4080" w:hanging="319"/>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Develop and oversee corporate governance policies and procedures</w:t>
      </w:r>
    </w:p>
    <w:p>
      <w:pPr>
        <w:sectPr>
          <w:pgSz w:w="11900" w:h="16838" w:orient="portrait"/>
          <w:cols w:equalWidth="0" w:num="1">
            <w:col w:w="11120"/>
          </w:cols>
          <w:pgMar w:left="320" w:top="482" w:right="459" w:bottom="1440" w:gutter="0" w:footer="0" w:header="0"/>
        </w:sect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Anthony P. Nader, III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Nicole Y. Lamb-Hale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A. McEachin**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b w:val="1"/>
          <w:bCs w:val="1"/>
          <w:color w:val="FF160F"/>
        </w:rPr>
        <w:t>2</w:t>
      </w:r>
    </w:p>
    <w:p>
      <w:pPr>
        <w:spacing w:after="0" w:line="208" w:lineRule="exact"/>
        <w:rPr>
          <w:sz w:val="20"/>
          <w:szCs w:val="20"/>
          <w:color w:val="auto"/>
        </w:rPr>
      </w:pPr>
    </w:p>
    <w:p>
      <w:pPr>
        <w:ind w:left="220" w:right="21" w:firstLine="4"/>
        <w:spacing w:after="0" w:line="285" w:lineRule="auto"/>
        <w:tabs>
          <w:tab w:leader="none" w:pos="3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Committee chair as of October 1, 2022 **Joined the committee on October 1, 2022.</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19" w:hanging="319"/>
        <w:spacing w:after="0"/>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Oversee annual trustee evaluation process</w:t>
      </w:r>
    </w:p>
    <w:p>
      <w:pPr>
        <w:spacing w:after="0" w:line="279" w:lineRule="exact"/>
        <w:rPr>
          <w:rFonts w:ascii="MS PGothic" w:cs="MS PGothic" w:eastAsia="MS PGothic" w:hAnsi="MS PGothic"/>
          <w:sz w:val="18"/>
          <w:szCs w:val="18"/>
          <w:color w:val="FF160F"/>
        </w:rPr>
      </w:pPr>
    </w:p>
    <w:p>
      <w:pPr>
        <w:ind w:left="319" w:hanging="319"/>
        <w:spacing w:after="0"/>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Recommend members of the Board to serve on its committees and in leadership roles</w:t>
      </w:r>
    </w:p>
    <w:p>
      <w:pPr>
        <w:spacing w:after="0" w:line="265" w:lineRule="exact"/>
        <w:rPr>
          <w:rFonts w:ascii="MS PGothic" w:cs="MS PGothic" w:eastAsia="MS PGothic" w:hAnsi="MS PGothic"/>
          <w:sz w:val="18"/>
          <w:szCs w:val="18"/>
          <w:color w:val="FF160F"/>
        </w:rPr>
      </w:pPr>
    </w:p>
    <w:p>
      <w:pPr>
        <w:ind w:left="319" w:right="40" w:hanging="319"/>
        <w:spacing w:after="0" w:line="271" w:lineRule="auto"/>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Oversee corporate responsibility and ESG efforts and monitor priorities and progress on goals</w:t>
      </w:r>
    </w:p>
    <w:p>
      <w:pPr>
        <w:spacing w:after="0" w:line="842" w:lineRule="exact"/>
        <w:rPr>
          <w:sz w:val="20"/>
          <w:szCs w:val="20"/>
          <w:color w:val="auto"/>
        </w:rPr>
      </w:pPr>
    </w:p>
    <w:p>
      <w:pPr>
        <w:sectPr>
          <w:pgSz w:w="11900" w:h="16838" w:orient="portrait"/>
          <w:cols w:equalWidth="0" w:num="2">
            <w:col w:w="3041" w:space="720"/>
            <w:col w:w="7359"/>
          </w:cols>
          <w:pgMar w:left="320" w:top="482" w:right="459" w:bottom="1440" w:gutter="0" w:footer="0" w:header="0"/>
          <w:type w:val="continuous"/>
        </w:sectPr>
      </w:pPr>
    </w:p>
    <w:p>
      <w:pPr>
        <w:ind w:left="540" w:hanging="424"/>
        <w:spacing w:after="0"/>
        <w:tabs>
          <w:tab w:leader="none" w:pos="540" w:val="left"/>
        </w:tabs>
        <w:numPr>
          <w:ilvl w:val="0"/>
          <w:numId w:val="2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BOARD’S ROLE IN RISK OVERSIGHT</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86360</wp:posOffset>
            </wp:positionV>
            <wp:extent cx="701230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4"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7</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4543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86045"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424"/>
        <w:spacing w:after="0"/>
        <w:tabs>
          <w:tab w:leader="none" w:pos="540" w:val="left"/>
        </w:tabs>
        <w:numPr>
          <w:ilvl w:val="0"/>
          <w:numId w:val="2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EVALUATION PROCESS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and each standing committee conducts an annual evaluation that covers overall effectiveness of the Board and the committee as well as the effectiveness of each individual trustee. The NCGC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81280</wp:posOffset>
            </wp:positionV>
            <wp:extent cx="701230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5"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8</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COMMITTEE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2040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7565" cy="2040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460" w:right="620"/>
        <w:spacing w:after="0" w:line="266" w:lineRule="auto"/>
        <w:rPr>
          <w:sz w:val="20"/>
          <w:szCs w:val="20"/>
          <w:color w:val="auto"/>
        </w:rPr>
      </w:pPr>
      <w:r>
        <w:rPr>
          <w:rFonts w:ascii="Arial" w:cs="Arial" w:eastAsia="Arial" w:hAnsi="Arial"/>
          <w:sz w:val="16"/>
          <w:szCs w:val="16"/>
          <w:color w:val="auto"/>
        </w:rPr>
        <w:t>Annual assessment by each committee of its effectiveness using a committee specific list of topics to guide an in-depth discussion of performance.</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780" w:hanging="295"/>
        <w:spacing w:after="0"/>
        <w:tabs>
          <w:tab w:leader="none" w:pos="780" w:val="left"/>
        </w:tabs>
        <w:numPr>
          <w:ilvl w:val="1"/>
          <w:numId w:val="29"/>
        </w:numPr>
        <w:rPr>
          <w:rFonts w:ascii="MS PGothic" w:cs="MS PGothic" w:eastAsia="MS PGothic" w:hAnsi="MS PGothic"/>
          <w:sz w:val="16"/>
          <w:szCs w:val="16"/>
          <w:color w:val="FF160F"/>
        </w:rPr>
      </w:pPr>
      <w:r>
        <w:rPr>
          <w:rFonts w:ascii="Arial" w:cs="Arial" w:eastAsia="Arial" w:hAnsi="Arial"/>
          <w:sz w:val="16"/>
          <w:szCs w:val="16"/>
          <w:color w:val="auto"/>
        </w:rPr>
        <w:t>Skills and expertise of committee members</w:t>
      </w:r>
    </w:p>
    <w:p>
      <w:pPr>
        <w:spacing w:after="0" w:line="22" w:lineRule="exact"/>
        <w:rPr>
          <w:rFonts w:ascii="MS PGothic" w:cs="MS PGothic" w:eastAsia="MS PGothic" w:hAnsi="MS PGothic"/>
          <w:sz w:val="16"/>
          <w:szCs w:val="16"/>
          <w:color w:val="FF160F"/>
        </w:rPr>
      </w:pPr>
    </w:p>
    <w:p>
      <w:pPr>
        <w:ind w:left="760" w:hanging="275"/>
        <w:spacing w:after="0"/>
        <w:tabs>
          <w:tab w:leader="none" w:pos="760" w:val="left"/>
        </w:tabs>
        <w:numPr>
          <w:ilvl w:val="1"/>
          <w:numId w:val="29"/>
        </w:numPr>
        <w:rPr>
          <w:rFonts w:ascii="MS PGothic" w:cs="MS PGothic" w:eastAsia="MS PGothic" w:hAnsi="MS PGothic"/>
          <w:sz w:val="16"/>
          <w:szCs w:val="16"/>
          <w:color w:val="FF160F"/>
        </w:rPr>
      </w:pPr>
      <w:r>
        <w:rPr>
          <w:rFonts w:ascii="Arial" w:cs="Arial" w:eastAsia="Arial" w:hAnsi="Arial"/>
          <w:sz w:val="16"/>
          <w:szCs w:val="16"/>
          <w:color w:val="auto"/>
        </w:rPr>
        <w:t>Adherence to committee charter</w:t>
      </w:r>
    </w:p>
    <w:p>
      <w:pPr>
        <w:spacing w:after="0" w:line="18" w:lineRule="exact"/>
        <w:rPr>
          <w:rFonts w:ascii="MS PGothic" w:cs="MS PGothic" w:eastAsia="MS PGothic" w:hAnsi="MS PGothic"/>
          <w:sz w:val="16"/>
          <w:szCs w:val="16"/>
          <w:color w:val="FF160F"/>
        </w:rPr>
      </w:pPr>
    </w:p>
    <w:p>
      <w:pPr>
        <w:ind w:left="780" w:hanging="295"/>
        <w:spacing w:after="0"/>
        <w:tabs>
          <w:tab w:leader="none" w:pos="780" w:val="left"/>
        </w:tabs>
        <w:numPr>
          <w:ilvl w:val="1"/>
          <w:numId w:val="29"/>
        </w:numPr>
        <w:rPr>
          <w:rFonts w:ascii="MS PGothic" w:cs="MS PGothic" w:eastAsia="MS PGothic" w:hAnsi="MS PGothic"/>
          <w:sz w:val="16"/>
          <w:szCs w:val="16"/>
          <w:color w:val="FF160F"/>
        </w:rPr>
      </w:pPr>
      <w:r>
        <w:rPr>
          <w:rFonts w:ascii="Arial" w:cs="Arial" w:eastAsia="Arial" w:hAnsi="Arial"/>
          <w:sz w:val="16"/>
          <w:szCs w:val="16"/>
          <w:color w:val="auto"/>
        </w:rPr>
        <w:t>Committee specific topics</w:t>
      </w:r>
    </w:p>
    <w:p>
      <w:pPr>
        <w:spacing w:after="0" w:line="18" w:lineRule="exact"/>
        <w:rPr>
          <w:rFonts w:ascii="MS PGothic" w:cs="MS PGothic" w:eastAsia="MS PGothic" w:hAnsi="MS PGothic"/>
          <w:sz w:val="16"/>
          <w:szCs w:val="16"/>
          <w:color w:val="FF160F"/>
        </w:rPr>
      </w:pPr>
    </w:p>
    <w:p>
      <w:pPr>
        <w:ind w:left="680" w:right="1860" w:hanging="213"/>
        <w:spacing w:after="0" w:line="283" w:lineRule="auto"/>
        <w:tabs>
          <w:tab w:leader="none" w:pos="753"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Information provided by and access to management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CONTINUAL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1045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77565" cy="10458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60" w:right="320"/>
        <w:spacing w:after="0" w:line="259" w:lineRule="auto"/>
        <w:rPr>
          <w:sz w:val="20"/>
          <w:szCs w:val="20"/>
          <w:color w:val="auto"/>
        </w:rPr>
      </w:pPr>
      <w:r>
        <w:rPr>
          <w:rFonts w:ascii="Arial" w:cs="Arial" w:eastAsia="Arial" w:hAnsi="Arial"/>
          <w:sz w:val="16"/>
          <w:szCs w:val="16"/>
          <w:color w:val="auto"/>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TRUSTEE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-664210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-107315</wp:posOffset>
            </wp:positionV>
            <wp:extent cx="3480435" cy="3583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0435" cy="35833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Each Trustee completes a confidential questionnaire evaluating the performance of each other trustee with the results provided to the chair of the NCGC.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220" w:right="1420" w:hanging="217"/>
        <w:spacing w:after="0" w:line="257" w:lineRule="auto"/>
        <w:tabs>
          <w:tab w:leader="none" w:pos="293" w:val="left"/>
        </w:tabs>
        <w:numPr>
          <w:ilvl w:val="0"/>
          <w:numId w:val="30"/>
        </w:numPr>
        <w:rPr>
          <w:rFonts w:ascii="MS PGothic" w:cs="MS PGothic" w:eastAsia="MS PGothic" w:hAnsi="MS PGothic"/>
          <w:sz w:val="16"/>
          <w:szCs w:val="16"/>
          <w:color w:val="FF160F"/>
        </w:rPr>
      </w:pPr>
      <w:r>
        <w:rPr>
          <w:rFonts w:ascii="Arial" w:cs="Arial" w:eastAsia="Arial" w:hAnsi="Arial"/>
          <w:sz w:val="16"/>
          <w:szCs w:val="16"/>
          <w:color w:val="auto"/>
        </w:rPr>
        <w:t>Preparedness for meetings and understanding company business</w:t>
      </w:r>
    </w:p>
    <w:p>
      <w:pPr>
        <w:spacing w:after="0" w:line="1" w:lineRule="exact"/>
        <w:rPr>
          <w:rFonts w:ascii="MS PGothic" w:cs="MS PGothic" w:eastAsia="MS PGothic" w:hAnsi="MS PGothic"/>
          <w:sz w:val="16"/>
          <w:szCs w:val="16"/>
          <w:color w:val="FF160F"/>
        </w:rPr>
      </w:pPr>
    </w:p>
    <w:p>
      <w:pPr>
        <w:ind w:left="300" w:hanging="279"/>
        <w:spacing w:after="0"/>
        <w:tabs>
          <w:tab w:leader="none" w:pos="300" w:val="left"/>
        </w:tabs>
        <w:numPr>
          <w:ilvl w:val="1"/>
          <w:numId w:val="30"/>
        </w:numPr>
        <w:rPr>
          <w:rFonts w:ascii="MS PGothic" w:cs="MS PGothic" w:eastAsia="MS PGothic" w:hAnsi="MS PGothic"/>
          <w:sz w:val="16"/>
          <w:szCs w:val="16"/>
          <w:color w:val="FF160F"/>
        </w:rPr>
      </w:pPr>
      <w:r>
        <w:rPr>
          <w:rFonts w:ascii="Arial" w:cs="Arial" w:eastAsia="Arial" w:hAnsi="Arial"/>
          <w:sz w:val="16"/>
          <w:szCs w:val="16"/>
          <w:color w:val="auto"/>
        </w:rPr>
        <w:t>Overall contributions to Board and Committees</w:t>
      </w:r>
    </w:p>
    <w:p>
      <w:pPr>
        <w:spacing w:after="0" w:line="18" w:lineRule="exact"/>
        <w:rPr>
          <w:rFonts w:ascii="MS PGothic" w:cs="MS PGothic" w:eastAsia="MS PGothic" w:hAnsi="MS PGothic"/>
          <w:sz w:val="16"/>
          <w:szCs w:val="16"/>
          <w:color w:val="FF160F"/>
        </w:rPr>
      </w:pPr>
    </w:p>
    <w:p>
      <w:pPr>
        <w:ind w:left="300" w:hanging="279"/>
        <w:spacing w:after="0"/>
        <w:tabs>
          <w:tab w:leader="none" w:pos="300" w:val="left"/>
        </w:tabs>
        <w:numPr>
          <w:ilvl w:val="1"/>
          <w:numId w:val="30"/>
        </w:numPr>
        <w:rPr>
          <w:rFonts w:ascii="MS PGothic" w:cs="MS PGothic" w:eastAsia="MS PGothic" w:hAnsi="MS PGothic"/>
          <w:sz w:val="16"/>
          <w:szCs w:val="16"/>
          <w:color w:val="FF160F"/>
        </w:rPr>
      </w:pPr>
      <w:r>
        <w:rPr>
          <w:rFonts w:ascii="Arial" w:cs="Arial" w:eastAsia="Arial" w:hAnsi="Arial"/>
          <w:sz w:val="16"/>
          <w:szCs w:val="16"/>
          <w:color w:val="auto"/>
        </w:rPr>
        <w:t>Skill set</w:t>
      </w:r>
    </w:p>
    <w:p>
      <w:pPr>
        <w:spacing w:after="0" w:line="18" w:lineRule="exact"/>
        <w:rPr>
          <w:rFonts w:ascii="MS PGothic" w:cs="MS PGothic" w:eastAsia="MS PGothic" w:hAnsi="MS PGothic"/>
          <w:sz w:val="16"/>
          <w:szCs w:val="16"/>
          <w:color w:val="FF160F"/>
        </w:rPr>
      </w:pPr>
    </w:p>
    <w:p>
      <w:pPr>
        <w:ind w:left="300" w:hanging="279"/>
        <w:spacing w:after="0"/>
        <w:tabs>
          <w:tab w:leader="none" w:pos="300" w:val="left"/>
        </w:tabs>
        <w:numPr>
          <w:ilvl w:val="1"/>
          <w:numId w:val="30"/>
        </w:numPr>
        <w:rPr>
          <w:rFonts w:ascii="MS PGothic" w:cs="MS PGothic" w:eastAsia="MS PGothic" w:hAnsi="MS PGothic"/>
          <w:sz w:val="16"/>
          <w:szCs w:val="16"/>
          <w:color w:val="FF160F"/>
        </w:rPr>
      </w:pPr>
      <w:r>
        <w:rPr>
          <w:rFonts w:ascii="Arial" w:cs="Arial" w:eastAsia="Arial" w:hAnsi="Arial"/>
          <w:sz w:val="16"/>
          <w:szCs w:val="16"/>
          <w:color w:val="auto"/>
        </w:rPr>
        <w:t>Effectiveness in leadership roles (if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One-on-One Discussions</w:t>
      </w:r>
    </w:p>
    <w:p>
      <w:pPr>
        <w:spacing w:after="0" w:line="21"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The chair of NCGC discusses the individual assessments and overall Board effectiveness with each trustee. The Board chairman conducts the same process for the NCGC chair.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Summary and Action Taken</w:t>
      </w:r>
    </w:p>
    <w:p>
      <w:pPr>
        <w:spacing w:after="0" w:line="2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900" w:h="16838" w:orient="portrait"/>
          <w:cols w:equalWidth="0" w:num="2">
            <w:col w:w="5360" w:space="720"/>
            <w:col w:w="5040"/>
          </w:cols>
          <w:pgMar w:left="320" w:top="482" w:right="4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40" w:hanging="424"/>
        <w:spacing w:after="0"/>
        <w:tabs>
          <w:tab w:leader="none" w:pos="540" w:val="left"/>
        </w:tabs>
        <w:numPr>
          <w:ilvl w:val="0"/>
          <w:numId w:val="3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SUCCESSION PLANNING</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6" w:lineRule="exact"/>
        <w:rPr>
          <w:sz w:val="20"/>
          <w:szCs w:val="20"/>
          <w:color w:val="auto"/>
        </w:rPr>
      </w:pPr>
    </w:p>
    <w:p>
      <w:pPr>
        <w:ind w:left="540" w:hanging="424"/>
        <w:spacing w:after="0"/>
        <w:tabs>
          <w:tab w:leader="none" w:pos="540" w:val="left"/>
        </w:tabs>
        <w:numPr>
          <w:ilvl w:val="0"/>
          <w:numId w:val="3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COMMUNICATIONS WITH THE BOARD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206" w:lineRule="exact"/>
        <w:rPr>
          <w:sz w:val="20"/>
          <w:szCs w:val="20"/>
          <w:color w:val="auto"/>
        </w:rPr>
      </w:pPr>
    </w:p>
    <w:p>
      <w:pPr>
        <w:ind w:left="540" w:hanging="424"/>
        <w:spacing w:after="0"/>
        <w:tabs>
          <w:tab w:leader="none" w:pos="540" w:val="left"/>
        </w:tabs>
        <w:numPr>
          <w:ilvl w:val="0"/>
          <w:numId w:val="3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currently consists of Ms. Holland, Ms. Lamb-Hale, Mr. McEachin and Ms. Steinel. From January 1 through September 30, 2022, Mr. Ordan, a former trustee, also served on the Compensation Committee. There are no Compensation Committee interlocks and no member of the Compensation Committee serves, or has in the past served, as an employee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76200</wp:posOffset>
            </wp:positionV>
            <wp:extent cx="70123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8"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9</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no related party transactions with any of our Trustees that are required to be disclosed. None of our named executive officers has any indebtedness to the Company or any relationship with the Company other than as an employee and shareholder. Employment and change-in-control arrangements between the Company and the named executive officers are described in the “Potential Payments on Termination of Employment and Change-in-Control” section below.</w:t>
      </w:r>
    </w:p>
    <w:p>
      <w:pPr>
        <w:spacing w:after="0" w:line="201" w:lineRule="exact"/>
        <w:rPr>
          <w:sz w:val="20"/>
          <w:szCs w:val="20"/>
          <w:color w:val="auto"/>
        </w:rPr>
      </w:pPr>
    </w:p>
    <w:p>
      <w:pPr>
        <w:ind w:left="540" w:hanging="424"/>
        <w:spacing w:after="0"/>
        <w:tabs>
          <w:tab w:leader="none" w:pos="540" w:val="left"/>
        </w:tabs>
        <w:numPr>
          <w:ilvl w:val="0"/>
          <w:numId w:val="3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INDEPENDENCE</w:t>
      </w:r>
    </w:p>
    <w:p>
      <w:pPr>
        <w:spacing w:after="0" w:line="212"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18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in three of the Company’s small shop tenants. The Board determined that Mr. Nader’s passive investment in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1: Election of Trustees</w:t>
      </w:r>
    </w:p>
    <w:p>
      <w:pPr>
        <w:spacing w:after="0" w:line="27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On recommendation of the NCGC, our Board has nominated seven (7) candidates for election as trustees at the 2023 annual meeting of shareholders. All of the nominees are incumbent trustees and all nominees other than Mr. McEachin were elected by our shareholders in May 2022. Mr. McEachin was appointed to the Board in October 2022 to fill the vacancy created by the resignation of Mark S. Ordan. More detailed biographical information on each nominee can be found beginning on page 14.</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At the 2023 Annual Meeting, each trustee will be elected to hold office for a one-year term expiring at the 2024 annual meeting of shareholders and until his or her successor is elected and qualified.</w:t>
      </w:r>
    </w:p>
    <w:p>
      <w:pPr>
        <w:spacing w:after="0" w:line="181" w:lineRule="exact"/>
        <w:rPr>
          <w:sz w:val="20"/>
          <w:szCs w:val="20"/>
          <w:color w:val="auto"/>
        </w:rPr>
      </w:pPr>
    </w:p>
    <w:p>
      <w:pPr>
        <w:ind w:left="540" w:hanging="424"/>
        <w:spacing w:after="0"/>
        <w:tabs>
          <w:tab w:leader="none" w:pos="540" w:val="left"/>
        </w:tabs>
        <w:numPr>
          <w:ilvl w:val="0"/>
          <w:numId w:val="3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VOTE REQUIRED AND MAJORITY VOTING STANDARD</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entitled to cast one vote per share for each of the seven nominees. Proxies may not be voted for more than seven individuals. In an uncontested election such as this one, our Bylaws require that a nominee receive a majority of votes cast in order to be elected. Accordingly, any nominee who does not receive a majority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76200</wp:posOffset>
            </wp:positionV>
            <wp:extent cx="701230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8"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cast will be required to resign from the Board within ninety (90) days. Broker non-votes and abstentions, if any, will not be treated as votes cast and as a result, will have no effect on the outcome of the vote for this proposal. Over the past 5 years, each nominee who has previously stood for election has received 93% or more of the votes cast at each shareholder meeting at which that nominee stood for election.</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Prior to 2023, any nominee who did not receive a majority of the votes cast was required to submit a resignation but the Board had the ability to choose not to accept that resignation. The Board modified this policy to now require resignation with no ability for the Board to override that resignation. The Board believed this change was appropriate in order to ensure that shareholders had the ultimate say in electing their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139700</wp:posOffset>
            </wp:positionV>
            <wp:extent cx="6858000"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391"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each of the seven nominees</w:t>
      </w:r>
    </w:p>
    <w:p>
      <w:pPr>
        <w:spacing w:after="0" w:line="200" w:lineRule="exact"/>
        <w:rPr>
          <w:sz w:val="20"/>
          <w:szCs w:val="20"/>
          <w:color w:val="auto"/>
        </w:rPr>
      </w:pPr>
    </w:p>
    <w:p>
      <w:pPr>
        <w:spacing w:after="0" w:line="247" w:lineRule="exact"/>
        <w:rPr>
          <w:sz w:val="20"/>
          <w:szCs w:val="20"/>
          <w:color w:val="auto"/>
        </w:rPr>
      </w:pPr>
    </w:p>
    <w:p>
      <w:pPr>
        <w:ind w:left="540" w:hanging="424"/>
        <w:spacing w:after="0"/>
        <w:tabs>
          <w:tab w:leader="none" w:pos="540" w:val="left"/>
        </w:tabs>
        <w:numPr>
          <w:ilvl w:val="0"/>
          <w:numId w:val="3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NOMINEE CHARACTERISTICS AND SELECTION</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NCGC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committee assesses the contribution that a particular candidate’s skills and expertise will make with respect to guiding our strategy and management when considered as a whole with the skills and expertise of other trustees.</w:t>
      </w:r>
    </w:p>
    <w:p>
      <w:pPr>
        <w:spacing w:after="0" w:line="17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81280</wp:posOffset>
            </wp:positionV>
            <wp:extent cx="701230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5" w:lineRule="exact"/>
        <w:rPr>
          <w:sz w:val="20"/>
          <w:szCs w:val="20"/>
          <w:color w:val="auto"/>
        </w:rPr>
      </w:pPr>
    </w:p>
    <w:p>
      <w:pPr>
        <w:ind w:left="8020"/>
        <w:spacing w:after="0"/>
        <w:tabs>
          <w:tab w:leader="none" w:pos="926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nominate that individual. Further information on each nominee’s qualifications and relevant experience is provided in the individual biographical descriptions below starting on page 14.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Arial" w:cs="Arial" w:eastAsia="Arial" w:hAnsi="Arial"/>
                <w:sz w:val="14"/>
                <w:szCs w:val="14"/>
                <w:color w:val="auto"/>
                <w:w w:val="99"/>
              </w:rPr>
              <w:t>Faeder</w:t>
            </w:r>
          </w:p>
        </w:tc>
        <w:tc>
          <w:tcPr>
            <w:tcW w:w="1180" w:type="dxa"/>
            <w:vAlign w:val="bottom"/>
            <w:gridSpan w:val="2"/>
          </w:tcPr>
          <w:p>
            <w:pPr>
              <w:ind w:left="380"/>
              <w:spacing w:after="0"/>
              <w:rPr>
                <w:sz w:val="20"/>
                <w:szCs w:val="20"/>
                <w:color w:val="auto"/>
              </w:rPr>
            </w:pPr>
            <w:r>
              <w:rPr>
                <w:rFonts w:ascii="Arial" w:cs="Arial" w:eastAsia="Arial" w:hAnsi="Arial"/>
                <w:sz w:val="14"/>
                <w:szCs w:val="14"/>
                <w:color w:val="auto"/>
              </w:rPr>
              <w:t>Holland</w:t>
            </w:r>
          </w:p>
        </w:tc>
        <w:tc>
          <w:tcPr>
            <w:tcW w:w="820" w:type="dxa"/>
            <w:vAlign w:val="bottom"/>
          </w:tcPr>
          <w:p>
            <w:pPr>
              <w:ind w:left="100"/>
              <w:spacing w:after="0"/>
              <w:rPr>
                <w:sz w:val="20"/>
                <w:szCs w:val="20"/>
                <w:color w:val="auto"/>
              </w:rPr>
            </w:pPr>
            <w:r>
              <w:rPr>
                <w:rFonts w:ascii="Arial" w:cs="Arial" w:eastAsia="Arial" w:hAnsi="Arial"/>
                <w:sz w:val="14"/>
                <w:szCs w:val="14"/>
                <w:color w:val="auto"/>
                <w:w w:val="99"/>
              </w:rPr>
              <w:t>Lamb-Hale</w:t>
            </w:r>
          </w:p>
        </w:tc>
        <w:tc>
          <w:tcPr>
            <w:tcW w:w="1020" w:type="dxa"/>
            <w:vAlign w:val="bottom"/>
          </w:tcPr>
          <w:p>
            <w:pPr>
              <w:ind w:left="380"/>
              <w:spacing w:after="0"/>
              <w:rPr>
                <w:sz w:val="20"/>
                <w:szCs w:val="20"/>
                <w:color w:val="auto"/>
              </w:rPr>
            </w:pPr>
            <w:r>
              <w:rPr>
                <w:rFonts w:ascii="Arial" w:cs="Arial" w:eastAsia="Arial" w:hAnsi="Arial"/>
                <w:sz w:val="14"/>
                <w:szCs w:val="14"/>
                <w:color w:val="auto"/>
                <w:w w:val="97"/>
              </w:rPr>
              <w:t>McEachin</w:t>
            </w:r>
          </w:p>
        </w:tc>
        <w:tc>
          <w:tcPr>
            <w:tcW w:w="800" w:type="dxa"/>
            <w:vAlign w:val="bottom"/>
          </w:tcPr>
          <w:p>
            <w:pPr>
              <w:ind w:left="380"/>
              <w:spacing w:after="0"/>
              <w:rPr>
                <w:sz w:val="20"/>
                <w:szCs w:val="20"/>
                <w:color w:val="auto"/>
              </w:rPr>
            </w:pPr>
            <w:r>
              <w:rPr>
                <w:rFonts w:ascii="Arial" w:cs="Arial" w:eastAsia="Arial" w:hAnsi="Arial"/>
                <w:sz w:val="14"/>
                <w:szCs w:val="14"/>
                <w:color w:val="auto"/>
                <w:w w:val="99"/>
              </w:rPr>
              <w:t>Nader</w:t>
            </w:r>
          </w:p>
        </w:tc>
        <w:tc>
          <w:tcPr>
            <w:tcW w:w="840" w:type="dxa"/>
            <w:vAlign w:val="bottom"/>
          </w:tcPr>
          <w:p>
            <w:pPr>
              <w:ind w:left="380"/>
              <w:spacing w:after="0"/>
              <w:rPr>
                <w:sz w:val="20"/>
                <w:szCs w:val="20"/>
                <w:color w:val="auto"/>
              </w:rPr>
            </w:pPr>
            <w:r>
              <w:rPr>
                <w:rFonts w:ascii="Arial" w:cs="Arial" w:eastAsia="Arial" w:hAnsi="Arial"/>
                <w:sz w:val="14"/>
                <w:szCs w:val="14"/>
                <w:color w:val="auto"/>
                <w:w w:val="98"/>
              </w:rPr>
              <w:t>Steinel</w:t>
            </w:r>
          </w:p>
        </w:tc>
        <w:tc>
          <w:tcPr>
            <w:tcW w:w="760" w:type="dxa"/>
            <w:vAlign w:val="bottom"/>
          </w:tcPr>
          <w:p>
            <w:pPr>
              <w:ind w:left="380"/>
              <w:spacing w:after="0"/>
              <w:rPr>
                <w:sz w:val="20"/>
                <w:szCs w:val="20"/>
                <w:color w:val="auto"/>
              </w:rPr>
            </w:pPr>
            <w:r>
              <w:rPr>
                <w:rFonts w:ascii="Arial" w:cs="Arial" w:eastAsia="Arial" w:hAnsi="Arial"/>
                <w:sz w:val="14"/>
                <w:szCs w:val="14"/>
                <w:color w:val="auto"/>
                <w:w w:val="98"/>
              </w:rPr>
              <w:t>Wood</w:t>
            </w:r>
          </w:p>
        </w:tc>
        <w:tc>
          <w:tcPr>
            <w:tcW w:w="20" w:type="dxa"/>
            <w:vAlign w:val="bottom"/>
          </w:tcPr>
          <w:p>
            <w:pPr>
              <w:spacing w:after="0"/>
              <w:rPr>
                <w:sz w:val="14"/>
                <w:szCs w:val="14"/>
                <w:color w:val="auto"/>
              </w:rPr>
            </w:pPr>
          </w:p>
        </w:tc>
      </w:tr>
      <w:tr>
        <w:trPr>
          <w:trHeight w:val="277"/>
        </w:trPr>
        <w:tc>
          <w:tcPr>
            <w:tcW w:w="3640" w:type="dxa"/>
            <w:vAlign w:val="bottom"/>
            <w:tcBorders>
              <w:bottom w:val="single" w:sz="8" w:color="FF160F"/>
            </w:tcBorders>
            <w:shd w:val="clear" w:color="auto" w:fill="FF160F"/>
          </w:tcPr>
          <w:p>
            <w:pPr>
              <w:spacing w:after="0"/>
              <w:rPr>
                <w:sz w:val="24"/>
                <w:szCs w:val="24"/>
                <w:color w:val="auto"/>
              </w:rPr>
            </w:pPr>
          </w:p>
        </w:tc>
        <w:tc>
          <w:tcPr>
            <w:tcW w:w="4980" w:type="dxa"/>
            <w:vAlign w:val="bottom"/>
            <w:tcBorders>
              <w:bottom w:val="single" w:sz="8" w:color="FF160F"/>
              <w:right w:val="single" w:sz="8" w:color="FF160F"/>
            </w:tcBorders>
            <w:gridSpan w:val="6"/>
            <w:shd w:val="clear" w:color="auto" w:fill="FF160F"/>
          </w:tcPr>
          <w:p>
            <w:pPr>
              <w:ind w:left="280"/>
              <w:spacing w:after="0"/>
              <w:rPr>
                <w:sz w:val="20"/>
                <w:szCs w:val="20"/>
                <w:color w:val="auto"/>
              </w:rPr>
            </w:pPr>
            <w:r>
              <w:rPr>
                <w:rFonts w:ascii="Arial" w:cs="Arial" w:eastAsia="Arial" w:hAnsi="Arial"/>
                <w:sz w:val="18"/>
                <w:szCs w:val="18"/>
                <w:b w:val="1"/>
                <w:bCs w:val="1"/>
                <w:color w:val="FFFFFF"/>
              </w:rPr>
              <w:t>NOMINEE QUALIFICATIONS AND EXPERIENCE</w:t>
            </w:r>
          </w:p>
        </w:tc>
        <w:tc>
          <w:tcPr>
            <w:tcW w:w="800" w:type="dxa"/>
            <w:vAlign w:val="bottom"/>
            <w:tcBorders>
              <w:bottom w:val="single" w:sz="8" w:color="FF160F"/>
              <w:right w:val="single" w:sz="8" w:color="FF160F"/>
            </w:tcBorders>
            <w:shd w:val="clear" w:color="auto" w:fill="FF160F"/>
          </w:tcPr>
          <w:p>
            <w:pPr>
              <w:spacing w:after="0"/>
              <w:rPr>
                <w:sz w:val="24"/>
                <w:szCs w:val="24"/>
                <w:color w:val="auto"/>
              </w:rPr>
            </w:pPr>
          </w:p>
        </w:tc>
        <w:tc>
          <w:tcPr>
            <w:tcW w:w="840" w:type="dxa"/>
            <w:vAlign w:val="bottom"/>
            <w:tcBorders>
              <w:bottom w:val="single" w:sz="8" w:color="FF160F"/>
              <w:right w:val="single" w:sz="8" w:color="FF160F"/>
            </w:tcBorders>
            <w:shd w:val="clear" w:color="auto" w:fill="FF160F"/>
          </w:tcPr>
          <w:p>
            <w:pPr>
              <w:spacing w:after="0"/>
              <w:rPr>
                <w:sz w:val="24"/>
                <w:szCs w:val="24"/>
                <w:color w:val="auto"/>
              </w:rPr>
            </w:pPr>
          </w:p>
        </w:tc>
        <w:tc>
          <w:tcPr>
            <w:tcW w:w="760" w:type="dxa"/>
            <w:vAlign w:val="bottom"/>
            <w:tcBorders>
              <w:bottom w:val="single" w:sz="8" w:color="FF160F"/>
            </w:tcBorders>
            <w:shd w:val="clear" w:color="auto" w:fill="FF160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6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Qualification/Experience</w:t>
            </w:r>
          </w:p>
        </w:tc>
        <w:tc>
          <w:tcPr>
            <w:tcW w:w="112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900" w:type="dxa"/>
            <w:vAlign w:val="bottom"/>
            <w:tcBorders>
              <w:bottom w:val="single" w:sz="8" w:color="auto"/>
              <w:right w:val="single" w:sz="8" w:color="D8D8D8"/>
            </w:tcBorders>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820" w:type="dxa"/>
            <w:vAlign w:val="bottom"/>
            <w:tcBorders>
              <w:bottom w:val="single" w:sz="8" w:color="auto"/>
              <w:right w:val="single" w:sz="8" w:color="D8D8D8"/>
            </w:tcBorders>
            <w:shd w:val="clear" w:color="auto" w:fill="D8D8D8"/>
          </w:tcPr>
          <w:p>
            <w:pPr>
              <w:spacing w:after="0"/>
              <w:rPr>
                <w:sz w:val="21"/>
                <w:szCs w:val="21"/>
                <w:color w:val="auto"/>
              </w:rPr>
            </w:pPr>
          </w:p>
        </w:tc>
        <w:tc>
          <w:tcPr>
            <w:tcW w:w="1020" w:type="dxa"/>
            <w:vAlign w:val="bottom"/>
            <w:tcBorders>
              <w:bottom w:val="single" w:sz="8" w:color="auto"/>
              <w:right w:val="single" w:sz="8" w:color="D8D8D8"/>
            </w:tcBorders>
            <w:shd w:val="clear" w:color="auto" w:fill="D8D8D8"/>
          </w:tcPr>
          <w:p>
            <w:pPr>
              <w:spacing w:after="0"/>
              <w:rPr>
                <w:sz w:val="21"/>
                <w:szCs w:val="21"/>
                <w:color w:val="auto"/>
              </w:rPr>
            </w:pPr>
          </w:p>
        </w:tc>
        <w:tc>
          <w:tcPr>
            <w:tcW w:w="80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760" w:type="dxa"/>
            <w:vAlign w:val="bottom"/>
            <w:tcBorders>
              <w:bottom w:val="single" w:sz="8" w:color="auto"/>
            </w:tcBorders>
            <w:shd w:val="clear" w:color="auto" w:fill="D8D8D8"/>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Strategic Planning and Leadership</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56"/>
        </w:trPr>
        <w:tc>
          <w:tcPr>
            <w:tcW w:w="36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CEO/Executive Management</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56"/>
        </w:trPr>
        <w:tc>
          <w:tcPr>
            <w:tcW w:w="36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REIT/Public Company Executive</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56"/>
        </w:trPr>
        <w:tc>
          <w:tcPr>
            <w:tcW w:w="36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21"/>
        </w:trPr>
        <w:tc>
          <w:tcPr>
            <w:tcW w:w="3640" w:type="dxa"/>
            <w:vAlign w:val="bottom"/>
          </w:tcPr>
          <w:p>
            <w:pPr>
              <w:ind w:left="880"/>
              <w:spacing w:after="0"/>
              <w:rPr>
                <w:sz w:val="20"/>
                <w:szCs w:val="20"/>
                <w:color w:val="auto"/>
              </w:rPr>
            </w:pPr>
            <w:r>
              <w:rPr>
                <w:rFonts w:ascii="Arial" w:cs="Arial" w:eastAsia="Arial" w:hAnsi="Arial"/>
                <w:sz w:val="16"/>
                <w:szCs w:val="16"/>
                <w:color w:val="auto"/>
              </w:rPr>
              <w:t>Public Company Board Service</w:t>
            </w:r>
          </w:p>
        </w:tc>
        <w:tc>
          <w:tcPr>
            <w:tcW w:w="112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9"/>
                <w:szCs w:val="19"/>
                <w:color w:val="auto"/>
              </w:rPr>
            </w:pPr>
          </w:p>
        </w:tc>
      </w:tr>
      <w:tr>
        <w:trPr>
          <w:trHeight w:val="29"/>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Financial Expertise/Literacy</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70"/>
        </w:trPr>
        <w:tc>
          <w:tcPr>
            <w:tcW w:w="36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61"/>
        </w:trPr>
        <w:tc>
          <w:tcPr>
            <w:tcW w:w="3640" w:type="dxa"/>
            <w:vAlign w:val="bottom"/>
          </w:tcPr>
          <w:p>
            <w:pPr>
              <w:ind w:left="880"/>
              <w:spacing w:after="0"/>
              <w:rPr>
                <w:sz w:val="20"/>
                <w:szCs w:val="20"/>
                <w:color w:val="auto"/>
              </w:rPr>
            </w:pPr>
            <w:r>
              <w:rPr>
                <w:rFonts w:ascii="Arial" w:cs="Arial" w:eastAsia="Arial" w:hAnsi="Arial"/>
                <w:sz w:val="16"/>
                <w:szCs w:val="16"/>
                <w:color w:val="auto"/>
              </w:rPr>
              <w:t>Real Estate Investing/Finance</w:t>
            </w:r>
          </w:p>
        </w:tc>
        <w:tc>
          <w:tcPr>
            <w:tcW w:w="1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2"/>
                <w:szCs w:val="22"/>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2"/>
                <w:szCs w:val="22"/>
                <w:color w:val="auto"/>
              </w:rPr>
            </w:pPr>
          </w:p>
        </w:tc>
      </w:tr>
      <w:tr>
        <w:trPr>
          <w:trHeight w:val="70"/>
        </w:trPr>
        <w:tc>
          <w:tcPr>
            <w:tcW w:w="36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Retail Industry</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83"/>
        </w:trPr>
        <w:tc>
          <w:tcPr>
            <w:tcW w:w="36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Risk Management</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83"/>
        </w:trPr>
        <w:tc>
          <w:tcPr>
            <w:tcW w:w="36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Human Capital Management</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70"/>
        </w:trPr>
        <w:tc>
          <w:tcPr>
            <w:tcW w:w="36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Corporate Governance</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43"/>
        </w:trPr>
        <w:tc>
          <w:tcPr>
            <w:tcW w:w="364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Sustainability</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83"/>
        </w:trPr>
        <w:tc>
          <w:tcPr>
            <w:tcW w:w="3640" w:type="dxa"/>
            <w:vAlign w:val="bottom"/>
            <w:tcBorders>
              <w:bottom w:val="single" w:sz="8" w:color="FF160F"/>
            </w:tcBorders>
          </w:tcPr>
          <w:p>
            <w:pPr>
              <w:spacing w:after="0"/>
              <w:rPr>
                <w:sz w:val="7"/>
                <w:szCs w:val="7"/>
                <w:color w:val="auto"/>
              </w:rPr>
            </w:pPr>
          </w:p>
        </w:tc>
        <w:tc>
          <w:tcPr>
            <w:tcW w:w="1120" w:type="dxa"/>
            <w:vAlign w:val="bottom"/>
            <w:tcBorders>
              <w:bottom w:val="single" w:sz="8" w:color="FF160F"/>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57"/>
        </w:trPr>
        <w:tc>
          <w:tcPr>
            <w:tcW w:w="3640" w:type="dxa"/>
            <w:vAlign w:val="bottom"/>
            <w:tcBorders>
              <w:bottom w:val="single" w:sz="8" w:color="FF160F"/>
            </w:tcBorders>
            <w:shd w:val="clear" w:color="auto" w:fill="FF160F"/>
          </w:tcPr>
          <w:p>
            <w:pPr>
              <w:spacing w:after="0"/>
              <w:rPr>
                <w:sz w:val="22"/>
                <w:szCs w:val="22"/>
                <w:color w:val="auto"/>
              </w:rPr>
            </w:pPr>
          </w:p>
        </w:tc>
        <w:tc>
          <w:tcPr>
            <w:tcW w:w="1120" w:type="dxa"/>
            <w:vAlign w:val="bottom"/>
            <w:tcBorders>
              <w:bottom w:val="single" w:sz="8" w:color="FF160F"/>
              <w:right w:val="single" w:sz="8" w:color="FF160F"/>
            </w:tcBorders>
            <w:shd w:val="clear" w:color="auto" w:fill="FF160F"/>
          </w:tcPr>
          <w:p>
            <w:pPr>
              <w:spacing w:after="0"/>
              <w:rPr>
                <w:sz w:val="22"/>
                <w:szCs w:val="22"/>
                <w:color w:val="auto"/>
              </w:rPr>
            </w:pPr>
          </w:p>
        </w:tc>
        <w:tc>
          <w:tcPr>
            <w:tcW w:w="2020" w:type="dxa"/>
            <w:vAlign w:val="bottom"/>
            <w:tcBorders>
              <w:bottom w:val="single" w:sz="8" w:color="FF160F"/>
            </w:tcBorders>
            <w:gridSpan w:val="3"/>
            <w:shd w:val="clear" w:color="auto" w:fill="FF160F"/>
          </w:tcPr>
          <w:p>
            <w:pPr>
              <w:ind w:left="440"/>
              <w:spacing w:after="0"/>
              <w:rPr>
                <w:sz w:val="20"/>
                <w:szCs w:val="20"/>
                <w:color w:val="auto"/>
              </w:rPr>
            </w:pPr>
            <w:r>
              <w:rPr>
                <w:rFonts w:ascii="Arial" w:cs="Arial" w:eastAsia="Arial" w:hAnsi="Arial"/>
                <w:sz w:val="18"/>
                <w:szCs w:val="18"/>
                <w:b w:val="1"/>
                <w:bCs w:val="1"/>
                <w:color w:val="FFFFFF"/>
              </w:rPr>
              <w:t>DEMOGRAPHICS</w:t>
            </w:r>
          </w:p>
        </w:tc>
        <w:tc>
          <w:tcPr>
            <w:tcW w:w="820" w:type="dxa"/>
            <w:vAlign w:val="bottom"/>
            <w:tcBorders>
              <w:bottom w:val="single" w:sz="8" w:color="FF160F"/>
              <w:right w:val="single" w:sz="8" w:color="FF160F"/>
            </w:tcBorders>
            <w:shd w:val="clear" w:color="auto" w:fill="FF160F"/>
          </w:tcPr>
          <w:p>
            <w:pPr>
              <w:spacing w:after="0"/>
              <w:rPr>
                <w:sz w:val="22"/>
                <w:szCs w:val="22"/>
                <w:color w:val="auto"/>
              </w:rPr>
            </w:pPr>
          </w:p>
        </w:tc>
        <w:tc>
          <w:tcPr>
            <w:tcW w:w="1020" w:type="dxa"/>
            <w:vAlign w:val="bottom"/>
            <w:tcBorders>
              <w:bottom w:val="single" w:sz="8" w:color="FF160F"/>
              <w:right w:val="single" w:sz="8" w:color="FF160F"/>
            </w:tcBorders>
            <w:shd w:val="clear" w:color="auto" w:fill="FF160F"/>
          </w:tcPr>
          <w:p>
            <w:pPr>
              <w:spacing w:after="0"/>
              <w:rPr>
                <w:sz w:val="22"/>
                <w:szCs w:val="22"/>
                <w:color w:val="auto"/>
              </w:rPr>
            </w:pPr>
          </w:p>
        </w:tc>
        <w:tc>
          <w:tcPr>
            <w:tcW w:w="800" w:type="dxa"/>
            <w:vAlign w:val="bottom"/>
            <w:tcBorders>
              <w:bottom w:val="single" w:sz="8" w:color="FF160F"/>
              <w:right w:val="single" w:sz="8" w:color="FF160F"/>
            </w:tcBorders>
            <w:shd w:val="clear" w:color="auto" w:fill="FF160F"/>
          </w:tcPr>
          <w:p>
            <w:pPr>
              <w:spacing w:after="0"/>
              <w:rPr>
                <w:sz w:val="22"/>
                <w:szCs w:val="22"/>
                <w:color w:val="auto"/>
              </w:rPr>
            </w:pPr>
          </w:p>
        </w:tc>
        <w:tc>
          <w:tcPr>
            <w:tcW w:w="840" w:type="dxa"/>
            <w:vAlign w:val="bottom"/>
            <w:tcBorders>
              <w:bottom w:val="single" w:sz="8" w:color="FF160F"/>
              <w:right w:val="single" w:sz="8" w:color="FF160F"/>
            </w:tcBorders>
            <w:shd w:val="clear" w:color="auto" w:fill="FF160F"/>
          </w:tcPr>
          <w:p>
            <w:pPr>
              <w:spacing w:after="0"/>
              <w:rPr>
                <w:sz w:val="22"/>
                <w:szCs w:val="22"/>
                <w:color w:val="auto"/>
              </w:rPr>
            </w:pPr>
          </w:p>
        </w:tc>
        <w:tc>
          <w:tcPr>
            <w:tcW w:w="760" w:type="dxa"/>
            <w:vAlign w:val="bottom"/>
            <w:tcBorders>
              <w:bottom w:val="single" w:sz="8" w:color="FF160F"/>
            </w:tcBorders>
            <w:shd w:val="clear" w:color="auto" w:fill="FF160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36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Race/Ethnicity</w:t>
            </w:r>
          </w:p>
        </w:tc>
        <w:tc>
          <w:tcPr>
            <w:tcW w:w="112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900" w:type="dxa"/>
            <w:vAlign w:val="bottom"/>
            <w:tcBorders>
              <w:bottom w:val="single" w:sz="8" w:color="auto"/>
              <w:right w:val="single" w:sz="8" w:color="D8D8D8"/>
            </w:tcBorders>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820" w:type="dxa"/>
            <w:vAlign w:val="bottom"/>
            <w:tcBorders>
              <w:bottom w:val="single" w:sz="8" w:color="auto"/>
              <w:right w:val="single" w:sz="8" w:color="D8D8D8"/>
            </w:tcBorders>
            <w:shd w:val="clear" w:color="auto" w:fill="D8D8D8"/>
          </w:tcPr>
          <w:p>
            <w:pPr>
              <w:spacing w:after="0"/>
              <w:rPr>
                <w:sz w:val="21"/>
                <w:szCs w:val="21"/>
                <w:color w:val="auto"/>
              </w:rPr>
            </w:pPr>
          </w:p>
        </w:tc>
        <w:tc>
          <w:tcPr>
            <w:tcW w:w="1020" w:type="dxa"/>
            <w:vAlign w:val="bottom"/>
            <w:tcBorders>
              <w:bottom w:val="single" w:sz="8" w:color="auto"/>
              <w:right w:val="single" w:sz="8" w:color="D8D8D8"/>
            </w:tcBorders>
            <w:shd w:val="clear" w:color="auto" w:fill="D8D8D8"/>
          </w:tcPr>
          <w:p>
            <w:pPr>
              <w:spacing w:after="0"/>
              <w:rPr>
                <w:sz w:val="21"/>
                <w:szCs w:val="21"/>
                <w:color w:val="auto"/>
              </w:rPr>
            </w:pPr>
          </w:p>
        </w:tc>
        <w:tc>
          <w:tcPr>
            <w:tcW w:w="80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760" w:type="dxa"/>
            <w:vAlign w:val="bottom"/>
            <w:tcBorders>
              <w:bottom w:val="single" w:sz="8" w:color="auto"/>
            </w:tcBorders>
            <w:shd w:val="clear" w:color="auto" w:fill="D8D8D8"/>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Black or African American</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White</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3"/>
        </w:trPr>
        <w:tc>
          <w:tcPr>
            <w:tcW w:w="36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Gender</w:t>
            </w:r>
          </w:p>
        </w:tc>
        <w:tc>
          <w:tcPr>
            <w:tcW w:w="1120" w:type="dxa"/>
            <w:vAlign w:val="bottom"/>
            <w:tcBorders>
              <w:bottom w:val="single" w:sz="8" w:color="auto"/>
              <w:right w:val="single" w:sz="8" w:color="D8D8D8"/>
            </w:tcBorders>
            <w:shd w:val="clear" w:color="auto" w:fill="D8D8D8"/>
          </w:tcPr>
          <w:p>
            <w:pPr>
              <w:spacing w:after="0"/>
              <w:rPr>
                <w:sz w:val="19"/>
                <w:szCs w:val="19"/>
                <w:color w:val="auto"/>
              </w:rPr>
            </w:pPr>
          </w:p>
        </w:tc>
        <w:tc>
          <w:tcPr>
            <w:tcW w:w="840" w:type="dxa"/>
            <w:vAlign w:val="bottom"/>
            <w:tcBorders>
              <w:bottom w:val="single" w:sz="8" w:color="auto"/>
              <w:right w:val="single" w:sz="8" w:color="D8D8D8"/>
            </w:tcBorders>
            <w:shd w:val="clear" w:color="auto" w:fill="D8D8D8"/>
          </w:tcPr>
          <w:p>
            <w:pPr>
              <w:spacing w:after="0"/>
              <w:rPr>
                <w:sz w:val="19"/>
                <w:szCs w:val="19"/>
                <w:color w:val="auto"/>
              </w:rPr>
            </w:pPr>
          </w:p>
        </w:tc>
        <w:tc>
          <w:tcPr>
            <w:tcW w:w="900" w:type="dxa"/>
            <w:vAlign w:val="bottom"/>
            <w:tcBorders>
              <w:bottom w:val="single" w:sz="8" w:color="auto"/>
              <w:right w:val="single" w:sz="8" w:color="D8D8D8"/>
            </w:tcBorders>
            <w:shd w:val="clear" w:color="auto" w:fill="D8D8D8"/>
          </w:tcPr>
          <w:p>
            <w:pPr>
              <w:spacing w:after="0"/>
              <w:rPr>
                <w:sz w:val="19"/>
                <w:szCs w:val="19"/>
                <w:color w:val="auto"/>
              </w:rPr>
            </w:pPr>
          </w:p>
        </w:tc>
        <w:tc>
          <w:tcPr>
            <w:tcW w:w="28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right w:val="single" w:sz="8" w:color="D8D8D8"/>
            </w:tcBorders>
            <w:shd w:val="clear" w:color="auto" w:fill="D8D8D8"/>
          </w:tcPr>
          <w:p>
            <w:pPr>
              <w:spacing w:after="0"/>
              <w:rPr>
                <w:sz w:val="19"/>
                <w:szCs w:val="19"/>
                <w:color w:val="auto"/>
              </w:rPr>
            </w:pPr>
          </w:p>
        </w:tc>
        <w:tc>
          <w:tcPr>
            <w:tcW w:w="1020" w:type="dxa"/>
            <w:vAlign w:val="bottom"/>
            <w:tcBorders>
              <w:bottom w:val="single" w:sz="8" w:color="auto"/>
              <w:right w:val="single" w:sz="8" w:color="D8D8D8"/>
            </w:tcBorders>
            <w:shd w:val="clear" w:color="auto" w:fill="D8D8D8"/>
          </w:tcPr>
          <w:p>
            <w:pPr>
              <w:spacing w:after="0"/>
              <w:rPr>
                <w:sz w:val="19"/>
                <w:szCs w:val="19"/>
                <w:color w:val="auto"/>
              </w:rPr>
            </w:pPr>
          </w:p>
        </w:tc>
        <w:tc>
          <w:tcPr>
            <w:tcW w:w="800" w:type="dxa"/>
            <w:vAlign w:val="bottom"/>
            <w:tcBorders>
              <w:bottom w:val="single" w:sz="8" w:color="auto"/>
              <w:right w:val="single" w:sz="8" w:color="D8D8D8"/>
            </w:tcBorders>
            <w:shd w:val="clear" w:color="auto" w:fill="D8D8D8"/>
          </w:tcPr>
          <w:p>
            <w:pPr>
              <w:spacing w:after="0"/>
              <w:rPr>
                <w:sz w:val="19"/>
                <w:szCs w:val="19"/>
                <w:color w:val="auto"/>
              </w:rPr>
            </w:pPr>
          </w:p>
        </w:tc>
        <w:tc>
          <w:tcPr>
            <w:tcW w:w="840" w:type="dxa"/>
            <w:vAlign w:val="bottom"/>
            <w:tcBorders>
              <w:bottom w:val="single" w:sz="8" w:color="auto"/>
              <w:right w:val="single" w:sz="8" w:color="D8D8D8"/>
            </w:tcBorders>
            <w:shd w:val="clear" w:color="auto" w:fill="D8D8D8"/>
          </w:tcPr>
          <w:p>
            <w:pPr>
              <w:spacing w:after="0"/>
              <w:rPr>
                <w:sz w:val="19"/>
                <w:szCs w:val="19"/>
                <w:color w:val="auto"/>
              </w:rPr>
            </w:pPr>
          </w:p>
        </w:tc>
        <w:tc>
          <w:tcPr>
            <w:tcW w:w="760" w:type="dxa"/>
            <w:vAlign w:val="bottom"/>
            <w:tcBorders>
              <w:bottom w:val="single" w:sz="8" w:color="auto"/>
            </w:tcBorders>
            <w:shd w:val="clear" w:color="auto" w:fill="D8D8D8"/>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Female</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Male</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r>
      <w:tr>
        <w:trPr>
          <w:trHeight w:val="35"/>
        </w:trPr>
        <w:tc>
          <w:tcPr>
            <w:tcW w:w="364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-3548380</wp:posOffset>
            </wp:positionV>
            <wp:extent cx="16319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-3342640</wp:posOffset>
            </wp:positionV>
            <wp:extent cx="15430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-3136900</wp:posOffset>
            </wp:positionV>
            <wp:extent cx="18859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-2931160</wp:posOffset>
            </wp:positionV>
            <wp:extent cx="17970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705" cy="12001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-2759710</wp:posOffset>
            </wp:positionV>
            <wp:extent cx="17970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-2528570</wp:posOffset>
            </wp:positionV>
            <wp:extent cx="17970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-2305685</wp:posOffset>
            </wp:positionV>
            <wp:extent cx="18859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-2065020</wp:posOffset>
            </wp:positionV>
            <wp:extent cx="18859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-1825625</wp:posOffset>
            </wp:positionV>
            <wp:extent cx="15430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18034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-1593850</wp:posOffset>
            </wp:positionV>
            <wp:extent cx="19685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4541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-1397000</wp:posOffset>
            </wp:positionV>
            <wp:extent cx="22288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188595"/>
                    </a:xfrm>
                    <a:prstGeom prst="rect">
                      <a:avLst/>
                    </a:prstGeom>
                    <a:noFill/>
                  </pic:spPr>
                </pic:pic>
              </a:graphicData>
            </a:graphic>
          </wp:anchor>
        </w:drawing>
      </w:r>
    </w:p>
    <w:p>
      <w:pPr>
        <w:spacing w:after="0" w:line="17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identify, recruit and evaluate qualified candidates for the Board, the Board first looks to individuals known to current Board members through business and other relationships. Mr. McEachin who was appointed to the Board in 2022 was identified by a trustee.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2024 Annual Meeting” section starting at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0123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NOMINEE DIVERSITY AND TENURE</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01" w:lineRule="exact"/>
        <w:rPr>
          <w:sz w:val="20"/>
          <w:szCs w:val="20"/>
          <w:color w:val="auto"/>
        </w:rPr>
      </w:pPr>
    </w:p>
    <w:p>
      <w:pPr>
        <w:ind w:left="1680"/>
        <w:spacing w:after="0"/>
        <w:tabs>
          <w:tab w:leader="none" w:pos="5260" w:val="left"/>
          <w:tab w:leader="none" w:pos="8060" w:val="left"/>
        </w:tabs>
        <w:rPr>
          <w:sz w:val="20"/>
          <w:szCs w:val="20"/>
          <w:color w:val="auto"/>
        </w:rPr>
      </w:pPr>
      <w:r>
        <w:rPr>
          <w:rFonts w:ascii="Arial" w:cs="Arial" w:eastAsia="Arial" w:hAnsi="Arial"/>
          <w:sz w:val="18"/>
          <w:szCs w:val="18"/>
          <w:color w:val="FF160F"/>
        </w:rPr>
        <w:t>AGE</w:t>
      </w:r>
      <w:r>
        <w:rPr>
          <w:sz w:val="20"/>
          <w:szCs w:val="20"/>
          <w:color w:val="auto"/>
        </w:rPr>
        <w:tab/>
      </w:r>
      <w:r>
        <w:rPr>
          <w:rFonts w:ascii="Arial" w:cs="Arial" w:eastAsia="Arial" w:hAnsi="Arial"/>
          <w:sz w:val="18"/>
          <w:szCs w:val="18"/>
          <w:color w:val="FF160F"/>
        </w:rPr>
        <w:t>TENURE</w:t>
      </w:r>
      <w:r>
        <w:rPr>
          <w:sz w:val="20"/>
          <w:szCs w:val="20"/>
          <w:color w:val="auto"/>
        </w:rPr>
        <w:tab/>
      </w:r>
      <w:r>
        <w:rPr>
          <w:rFonts w:ascii="Arial" w:cs="Arial" w:eastAsia="Arial" w:hAnsi="Arial"/>
          <w:sz w:val="17"/>
          <w:szCs w:val="17"/>
          <w:color w:val="FF160F"/>
        </w:rPr>
        <w:t>GENDER &amp;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52070</wp:posOffset>
            </wp:positionV>
            <wp:extent cx="6549390" cy="1131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9390" cy="11315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Average age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Average tenure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Committees chaired by women</w:t>
      </w:r>
    </w:p>
    <w:p>
      <w:pPr>
        <w:spacing w:after="0" w:line="31" w:lineRule="exact"/>
        <w:rPr>
          <w:sz w:val="20"/>
          <w:szCs w:val="20"/>
          <w:color w:val="auto"/>
        </w:rPr>
      </w:pPr>
    </w:p>
    <w:p>
      <w:pPr>
        <w:sectPr>
          <w:pgSz w:w="11900" w:h="16838" w:orient="portrait"/>
          <w:cols w:equalWidth="0" w:num="3">
            <w:col w:w="3520" w:space="720"/>
            <w:col w:w="3340" w:space="720"/>
            <w:col w:w="2840"/>
          </w:cols>
          <w:pgMar w:left="320" w:top="482" w:right="439" w:bottom="1440" w:gutter="0" w:footer="0" w:header="0"/>
          <w:type w:val="continuous"/>
        </w:sectPr>
      </w:pPr>
    </w:p>
    <w:p>
      <w:pPr>
        <w:ind w:left="1480"/>
        <w:spacing w:after="0"/>
        <w:rPr>
          <w:sz w:val="20"/>
          <w:szCs w:val="20"/>
          <w:color w:val="auto"/>
        </w:rPr>
      </w:pPr>
      <w:r>
        <w:rPr>
          <w:rFonts w:ascii="Arial" w:cs="Arial" w:eastAsia="Arial" w:hAnsi="Arial"/>
          <w:sz w:val="16"/>
          <w:szCs w:val="16"/>
          <w:b w:val="1"/>
          <w:bCs w:val="1"/>
          <w:color w:val="FF160F"/>
        </w:rPr>
        <w:t>62.3 years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5"/>
          <w:szCs w:val="15"/>
          <w:b w:val="1"/>
          <w:bCs w:val="1"/>
          <w:color w:val="FF160F"/>
        </w:rPr>
        <w:t>8.3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160F"/>
        </w:rPr>
        <w:t>67%</w:t>
      </w:r>
    </w:p>
    <w:p>
      <w:pPr>
        <w:spacing w:after="0" w:line="211" w:lineRule="exact"/>
        <w:rPr>
          <w:sz w:val="20"/>
          <w:szCs w:val="20"/>
          <w:color w:val="auto"/>
        </w:rPr>
      </w:pPr>
    </w:p>
    <w:p>
      <w:pPr>
        <w:sectPr>
          <w:pgSz w:w="11900" w:h="16838" w:orient="portrait"/>
          <w:cols w:equalWidth="0" w:num="3">
            <w:col w:w="4600" w:space="720"/>
            <w:col w:w="3200" w:space="720"/>
            <w:col w:w="1900"/>
          </w:cols>
          <w:pgMar w:left="320" w:top="482" w:right="439" w:bottom="1440" w:gutter="0" w:footer="0" w:header="0"/>
          <w:type w:val="continuous"/>
        </w:sectPr>
      </w:pPr>
    </w:p>
    <w:p>
      <w:pPr>
        <w:spacing w:after="0" w:line="31" w:lineRule="exact"/>
        <w:rPr>
          <w:sz w:val="20"/>
          <w:szCs w:val="20"/>
          <w:color w:val="auto"/>
        </w:rPr>
      </w:pPr>
    </w:p>
    <w:p>
      <w:pPr>
        <w:ind w:left="540" w:hanging="424"/>
        <w:spacing w:after="0"/>
        <w:tabs>
          <w:tab w:leader="none" w:pos="540" w:val="left"/>
        </w:tabs>
        <w:numPr>
          <w:ilvl w:val="0"/>
          <w:numId w:val="3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OUR NOMINEES</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biographical descriptions set forth certain information with respect to each nominee for election at the 2023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76200</wp:posOffset>
            </wp:positionV>
            <wp:extent cx="701230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8"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13</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DAVID W. FAEDER</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66</w:t>
      </w:r>
    </w:p>
    <w:p>
      <w:pPr>
        <w:ind w:left="2780"/>
        <w:spacing w:after="0" w:line="234" w:lineRule="auto"/>
        <w:rPr>
          <w:sz w:val="20"/>
          <w:szCs w:val="20"/>
          <w:color w:val="auto"/>
        </w:rPr>
      </w:pPr>
      <w:r>
        <w:rPr>
          <w:rFonts w:ascii="Arial" w:cs="Arial" w:eastAsia="Arial" w:hAnsi="Arial"/>
          <w:sz w:val="18"/>
          <w:szCs w:val="18"/>
          <w:color w:val="auto"/>
        </w:rPr>
        <w:t>Trustee Since: 2003</w:t>
      </w:r>
    </w:p>
    <w:p>
      <w:pPr>
        <w:ind w:left="2780"/>
        <w:spacing w:after="0" w:line="235" w:lineRule="auto"/>
        <w:rPr>
          <w:sz w:val="20"/>
          <w:szCs w:val="20"/>
          <w:color w:val="auto"/>
        </w:rPr>
      </w:pPr>
      <w:r>
        <w:rPr>
          <w:rFonts w:ascii="Arial" w:cs="Arial" w:eastAsia="Arial" w:hAnsi="Arial"/>
          <w:sz w:val="18"/>
          <w:szCs w:val="18"/>
          <w:b w:val="1"/>
          <w:bCs w:val="1"/>
          <w:color w:val="auto"/>
        </w:rPr>
        <w:t>Non-Executive Chairman</w:t>
      </w:r>
    </w:p>
    <w:p>
      <w:pPr>
        <w:ind w:left="2780"/>
        <w:spacing w:after="0" w:line="235" w:lineRule="auto"/>
        <w:rPr>
          <w:sz w:val="20"/>
          <w:szCs w:val="20"/>
          <w:color w:val="auto"/>
        </w:rPr>
      </w:pPr>
      <w:r>
        <w:rPr>
          <w:rFonts w:ascii="Arial" w:cs="Arial" w:eastAsia="Arial" w:hAnsi="Arial"/>
          <w:sz w:val="18"/>
          <w:szCs w:val="18"/>
          <w:color w:val="auto"/>
        </w:rPr>
        <w:t>Managing Partner Fountain</w:t>
      </w:r>
    </w:p>
    <w:p>
      <w:pPr>
        <w:ind w:left="2780"/>
        <w:spacing w:after="0" w:line="235" w:lineRule="auto"/>
        <w:rPr>
          <w:sz w:val="20"/>
          <w:szCs w:val="20"/>
          <w:color w:val="auto"/>
        </w:rPr>
      </w:pPr>
      <w:r>
        <w:rPr>
          <w:rFonts w:ascii="Arial" w:cs="Arial" w:eastAsia="Arial" w:hAnsi="Arial"/>
          <w:sz w:val="18"/>
          <w:szCs w:val="18"/>
          <w:color w:val="auto"/>
        </w:rPr>
        <w:t>Square Properties and</w:t>
      </w:r>
    </w:p>
    <w:p>
      <w:pPr>
        <w:ind w:left="2780"/>
        <w:spacing w:after="0" w:line="235" w:lineRule="auto"/>
        <w:rPr>
          <w:sz w:val="20"/>
          <w:szCs w:val="20"/>
          <w:color w:val="auto"/>
        </w:rPr>
      </w:pPr>
      <w:r>
        <w:rPr>
          <w:rFonts w:ascii="Arial" w:cs="Arial" w:eastAsia="Arial" w:hAnsi="Arial"/>
          <w:sz w:val="18"/>
          <w:szCs w:val="18"/>
          <w:color w:val="auto"/>
        </w:rPr>
        <w:t>Managing Member Kensington</w:t>
      </w:r>
    </w:p>
    <w:p>
      <w:pPr>
        <w:ind w:left="2780"/>
        <w:spacing w:after="0"/>
        <w:rPr>
          <w:sz w:val="20"/>
          <w:szCs w:val="20"/>
          <w:color w:val="auto"/>
        </w:rPr>
      </w:pPr>
      <w:r>
        <w:rPr>
          <w:rFonts w:ascii="Arial" w:cs="Arial" w:eastAsia="Arial" w:hAnsi="Arial"/>
          <w:sz w:val="18"/>
          <w:szCs w:val="18"/>
          <w:color w:val="auto"/>
        </w:rPr>
        <w:t>Senior Living</w:t>
      </w:r>
    </w:p>
    <w:p>
      <w:pPr>
        <w:spacing w:after="0" w:line="261" w:lineRule="exact"/>
        <w:rPr>
          <w:sz w:val="20"/>
          <w:szCs w:val="20"/>
          <w:color w:val="auto"/>
        </w:rPr>
      </w:pPr>
    </w:p>
    <w:p>
      <w:pPr>
        <w:jc w:val="both"/>
        <w:ind w:left="580" w:right="40"/>
        <w:spacing w:after="0" w:line="237" w:lineRule="auto"/>
        <w:rPr>
          <w:sz w:val="20"/>
          <w:szCs w:val="20"/>
          <w:color w:val="auto"/>
        </w:rPr>
      </w:pPr>
      <w:r>
        <w:rPr>
          <w:rFonts w:ascii="Arial" w:cs="Arial" w:eastAsia="Arial" w:hAnsi="Arial"/>
          <w:sz w:val="18"/>
          <w:szCs w:val="18"/>
          <w:color w:val="auto"/>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40"/>
        <w:spacing w:after="0" w:line="236" w:lineRule="auto"/>
        <w:rPr>
          <w:sz w:val="20"/>
          <w:szCs w:val="20"/>
          <w:color w:val="auto"/>
        </w:rPr>
      </w:pPr>
      <w:r>
        <w:rPr>
          <w:rFonts w:ascii="Arial" w:cs="Arial" w:eastAsia="Arial" w:hAnsi="Arial"/>
          <w:sz w:val="18"/>
          <w:szCs w:val="18"/>
          <w:color w:val="auto"/>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-993140</wp:posOffset>
            </wp:positionV>
            <wp:extent cx="7174865" cy="7054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705485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Age: 57</w:t>
      </w:r>
    </w:p>
    <w:p>
      <w:pPr>
        <w:ind w:left="2200"/>
        <w:spacing w:after="0" w:line="234" w:lineRule="auto"/>
        <w:rPr>
          <w:sz w:val="20"/>
          <w:szCs w:val="20"/>
          <w:color w:val="auto"/>
        </w:rPr>
      </w:pPr>
      <w:r>
        <w:rPr>
          <w:rFonts w:ascii="Arial" w:cs="Arial" w:eastAsia="Arial" w:hAnsi="Arial"/>
          <w:sz w:val="18"/>
          <w:szCs w:val="18"/>
          <w:color w:val="auto"/>
        </w:rPr>
        <w:t>Trustee Since: 2017</w:t>
      </w:r>
    </w:p>
    <w:p>
      <w:pPr>
        <w:ind w:left="2200"/>
        <w:spacing w:after="0" w:line="235" w:lineRule="auto"/>
        <w:rPr>
          <w:sz w:val="20"/>
          <w:szCs w:val="20"/>
          <w:color w:val="auto"/>
        </w:rPr>
      </w:pPr>
      <w:r>
        <w:rPr>
          <w:rFonts w:ascii="Arial" w:cs="Arial" w:eastAsia="Arial" w:hAnsi="Arial"/>
          <w:sz w:val="18"/>
          <w:szCs w:val="18"/>
          <w:color w:val="auto"/>
        </w:rPr>
        <w:t>Chief Executive Officer Abbell</w:t>
      </w:r>
    </w:p>
    <w:p>
      <w:pPr>
        <w:ind w:left="2200"/>
        <w:spacing w:after="0" w:line="235" w:lineRule="auto"/>
        <w:rPr>
          <w:sz w:val="20"/>
          <w:szCs w:val="20"/>
          <w:color w:val="auto"/>
        </w:rPr>
      </w:pPr>
      <w:r>
        <w:rPr>
          <w:rFonts w:ascii="Arial" w:cs="Arial" w:eastAsia="Arial" w:hAnsi="Arial"/>
          <w:sz w:val="18"/>
          <w:szCs w:val="18"/>
          <w:color w:val="auto"/>
        </w:rPr>
        <w:t>Credit Corporation and Abbell</w:t>
      </w:r>
    </w:p>
    <w:p>
      <w:pPr>
        <w:ind w:left="2200"/>
        <w:spacing w:after="0"/>
        <w:rPr>
          <w:sz w:val="20"/>
          <w:szCs w:val="20"/>
          <w:color w:val="auto"/>
        </w:rPr>
      </w:pPr>
      <w:r>
        <w:rPr>
          <w:rFonts w:ascii="Arial" w:cs="Arial" w:eastAsia="Arial" w:hAnsi="Arial"/>
          <w:sz w:val="18"/>
          <w:szCs w:val="18"/>
          <w:color w:val="auto"/>
        </w:rPr>
        <w:t>Associates,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Holland is the Chief Executive Officer of Abbell Credit Corporation and Abbell Associates, LLC, a private retail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rPr>
          <w:sz w:val="20"/>
          <w:szCs w:val="20"/>
          <w:color w:val="auto"/>
        </w:rPr>
      </w:pPr>
      <w:r>
        <w:rPr>
          <w:rFonts w:ascii="Arial" w:cs="Arial" w:eastAsia="Arial" w:hAnsi="Arial"/>
          <w:sz w:val="18"/>
          <w:szCs w:val="18"/>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357505</wp:posOffset>
            </wp:positionV>
            <wp:extent cx="701230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5240" w:space="620"/>
            <w:col w:w="4840"/>
          </w:cols>
          <w:pgMar w:left="320" w:top="482" w:right="879" w:bottom="1440" w:gutter="0" w:footer="0" w:header="0"/>
        </w:sectPr>
      </w:pPr>
    </w:p>
    <w:p>
      <w:pPr>
        <w:spacing w:after="0" w:line="17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14</w:t>
      </w:r>
    </w:p>
    <w:p>
      <w:pPr>
        <w:sectPr>
          <w:pgSz w:w="11900" w:h="16838" w:orient="portrait"/>
          <w:cols w:equalWidth="0" w:num="1">
            <w:col w:w="10700"/>
          </w:cols>
          <w:pgMar w:left="320" w:top="482" w:right="8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6883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NICOLE Y. LAMB-HALE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Age: 56</w:t>
      </w:r>
    </w:p>
    <w:p>
      <w:pPr>
        <w:ind w:left="2920"/>
        <w:spacing w:after="0" w:line="234" w:lineRule="auto"/>
        <w:rPr>
          <w:sz w:val="20"/>
          <w:szCs w:val="20"/>
          <w:color w:val="auto"/>
        </w:rPr>
      </w:pPr>
      <w:r>
        <w:rPr>
          <w:rFonts w:ascii="Arial" w:cs="Arial" w:eastAsia="Arial" w:hAnsi="Arial"/>
          <w:sz w:val="18"/>
          <w:szCs w:val="18"/>
          <w:color w:val="auto"/>
        </w:rPr>
        <w:t>Trustee Since: 2020</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Vice President and Chief Legal</w:t>
      </w:r>
    </w:p>
    <w:p>
      <w:pPr>
        <w:spacing w:after="0" w:line="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Officer Cummins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80" w:right="60"/>
        <w:spacing w:after="0" w:line="236" w:lineRule="auto"/>
        <w:rPr>
          <w:sz w:val="20"/>
          <w:szCs w:val="20"/>
          <w:color w:val="auto"/>
        </w:rPr>
      </w:pPr>
      <w:r>
        <w:rPr>
          <w:rFonts w:ascii="Arial" w:cs="Arial" w:eastAsia="Arial" w:hAnsi="Arial"/>
          <w:sz w:val="18"/>
          <w:szCs w:val="18"/>
          <w:color w:val="auto"/>
        </w:rPr>
        <w:t>Ms. Lamb-Hale is the Vice President and Chief Legal Officer of Cummins Inc., a position she has held since 2021, overseeing all legal affairs and related risk management. Prior to that, she was a Managing Director at Kroll, a global governance, risk and transparency consultant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various non-profit groups including the American Leadership Initiative and the Center for International Private Enterprise.</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60"/>
        <w:spacing w:after="0" w:line="237" w:lineRule="auto"/>
        <w:rPr>
          <w:sz w:val="20"/>
          <w:szCs w:val="20"/>
          <w:color w:val="auto"/>
        </w:rPr>
      </w:pPr>
      <w:r>
        <w:rPr>
          <w:rFonts w:ascii="Arial" w:cs="Arial" w:eastAsia="Arial" w:hAnsi="Arial"/>
          <w:sz w:val="18"/>
          <w:szCs w:val="18"/>
          <w:color w:val="auto"/>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Compensation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897890</wp:posOffset>
            </wp:positionV>
            <wp:extent cx="701230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THOMAS A. McEACHIN</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70</w:t>
      </w:r>
    </w:p>
    <w:p>
      <w:pPr>
        <w:ind w:left="2200"/>
        <w:spacing w:after="0" w:line="234" w:lineRule="auto"/>
        <w:rPr>
          <w:sz w:val="20"/>
          <w:szCs w:val="20"/>
          <w:color w:val="auto"/>
        </w:rPr>
      </w:pPr>
      <w:r>
        <w:rPr>
          <w:rFonts w:ascii="Arial" w:cs="Arial" w:eastAsia="Arial" w:hAnsi="Arial"/>
          <w:sz w:val="18"/>
          <w:szCs w:val="18"/>
          <w:color w:val="auto"/>
        </w:rPr>
        <w:t>Trustee Since: 2022</w:t>
      </w:r>
    </w:p>
    <w:p>
      <w:pPr>
        <w:ind w:left="2200"/>
        <w:spacing w:after="0" w:line="235" w:lineRule="auto"/>
        <w:rPr>
          <w:sz w:val="20"/>
          <w:szCs w:val="20"/>
          <w:color w:val="auto"/>
        </w:rPr>
      </w:pPr>
      <w:r>
        <w:rPr>
          <w:rFonts w:ascii="Arial" w:cs="Arial" w:eastAsia="Arial" w:hAnsi="Arial"/>
          <w:sz w:val="18"/>
          <w:szCs w:val="18"/>
          <w:color w:val="auto"/>
        </w:rPr>
        <w:t>Retired Vice President and</w:t>
      </w:r>
    </w:p>
    <w:p>
      <w:pPr>
        <w:ind w:left="2200"/>
        <w:spacing w:after="0" w:line="235" w:lineRule="auto"/>
        <w:rPr>
          <w:sz w:val="20"/>
          <w:szCs w:val="20"/>
          <w:color w:val="auto"/>
        </w:rPr>
      </w:pPr>
      <w:r>
        <w:rPr>
          <w:rFonts w:ascii="Arial" w:cs="Arial" w:eastAsia="Arial" w:hAnsi="Arial"/>
          <w:sz w:val="18"/>
          <w:szCs w:val="18"/>
          <w:color w:val="auto"/>
        </w:rPr>
        <w:t>Group Chief Financial Officer</w:t>
      </w:r>
    </w:p>
    <w:p>
      <w:pPr>
        <w:ind w:left="2200"/>
        <w:spacing w:after="0"/>
        <w:rPr>
          <w:sz w:val="20"/>
          <w:szCs w:val="20"/>
          <w:color w:val="auto"/>
        </w:rPr>
      </w:pPr>
      <w:r>
        <w:rPr>
          <w:rFonts w:ascii="Arial" w:cs="Arial" w:eastAsia="Arial" w:hAnsi="Arial"/>
          <w:sz w:val="18"/>
          <w:szCs w:val="18"/>
          <w:color w:val="auto"/>
        </w:rPr>
        <w:t>Covidien Surgical Solutions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color w:val="auto"/>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and an MBA from Stanford University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color w:val="auto"/>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Pediatrix Medical Group, Inc.</w:t>
      </w:r>
    </w:p>
    <w:p>
      <w:pPr>
        <w:spacing w:after="0"/>
        <w:rPr>
          <w:sz w:val="20"/>
          <w:szCs w:val="20"/>
          <w:color w:val="auto"/>
        </w:rPr>
      </w:pPr>
      <w:r>
        <w:rPr>
          <w:rFonts w:ascii="Arial" w:cs="Arial" w:eastAsia="Arial" w:hAnsi="Arial"/>
          <w:sz w:val="18"/>
          <w:szCs w:val="18"/>
          <w:color w:val="auto"/>
        </w:rPr>
        <w:t>Surgalign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rPr>
          <w:sz w:val="20"/>
          <w:szCs w:val="20"/>
          <w:color w:val="auto"/>
        </w:rPr>
      </w:pPr>
      <w:r>
        <w:rPr>
          <w:rFonts w:ascii="Arial" w:cs="Arial" w:eastAsia="Arial" w:hAnsi="Arial"/>
          <w:sz w:val="18"/>
          <w:szCs w:val="18"/>
          <w:color w:val="auto"/>
        </w:rPr>
        <w:t>Nominating Committee</w:t>
      </w:r>
    </w:p>
    <w:p>
      <w:pPr>
        <w:spacing w:after="0" w:line="200" w:lineRule="exact"/>
        <w:rPr>
          <w:sz w:val="20"/>
          <w:szCs w:val="20"/>
          <w:color w:val="auto"/>
        </w:rPr>
      </w:pPr>
    </w:p>
    <w:p>
      <w:pPr>
        <w:sectPr>
          <w:pgSz w:w="11900" w:h="16838" w:orient="portrait"/>
          <w:cols w:equalWidth="0" w:num="2">
            <w:col w:w="5380" w:space="600"/>
            <w:col w:w="5040"/>
          </w:cols>
          <w:pgMar w:left="320" w:top="482" w:right="559" w:bottom="1440" w:gutter="0" w:footer="0" w:header="0"/>
        </w:sectPr>
      </w:pPr>
    </w:p>
    <w:p>
      <w:pPr>
        <w:spacing w:after="0" w:line="179"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15</w:t>
      </w:r>
    </w:p>
    <w:p>
      <w:pPr>
        <w:sectPr>
          <w:pgSz w:w="11900" w:h="16838" w:orient="portrait"/>
          <w:cols w:equalWidth="0" w:num="1">
            <w:col w:w="11020"/>
          </w:cols>
          <w:pgMar w:left="320" w:top="482" w:right="5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6626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ANTHONY P. NADER, III</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Age: 59</w:t>
      </w:r>
    </w:p>
    <w:p>
      <w:pPr>
        <w:ind w:left="2800"/>
        <w:spacing w:after="0" w:line="234" w:lineRule="auto"/>
        <w:rPr>
          <w:sz w:val="20"/>
          <w:szCs w:val="20"/>
          <w:color w:val="auto"/>
        </w:rPr>
      </w:pPr>
      <w:r>
        <w:rPr>
          <w:rFonts w:ascii="Arial" w:cs="Arial" w:eastAsia="Arial" w:hAnsi="Arial"/>
          <w:sz w:val="18"/>
          <w:szCs w:val="18"/>
          <w:color w:val="auto"/>
        </w:rPr>
        <w:t>Trustee Since: 2020</w:t>
      </w:r>
    </w:p>
    <w:p>
      <w:pPr>
        <w:ind w:left="2800"/>
        <w:spacing w:after="0" w:line="235" w:lineRule="auto"/>
        <w:rPr>
          <w:sz w:val="20"/>
          <w:szCs w:val="20"/>
          <w:color w:val="auto"/>
        </w:rPr>
      </w:pPr>
      <w:r>
        <w:rPr>
          <w:rFonts w:ascii="Arial" w:cs="Arial" w:eastAsia="Arial" w:hAnsi="Arial"/>
          <w:sz w:val="18"/>
          <w:szCs w:val="18"/>
          <w:color w:val="auto"/>
        </w:rPr>
        <w:t>Managing Director of SWaN &amp;</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Legend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Nader is a Managing Director of SWaN &amp; Legend Venture Partners, an investment firm that Mr. Nader co-founded in 2006, making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serves as the Chairman of the Inova Health System Board of Trustees. Mr. Nader has been designated by the Board as an audit committee financial expert in accordance with the SEC definition.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357505</wp:posOffset>
            </wp:positionV>
            <wp:extent cx="701230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GAIL P. STEINEL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66</w:t>
      </w:r>
    </w:p>
    <w:p>
      <w:pPr>
        <w:ind w:left="2200"/>
        <w:spacing w:after="0" w:line="234" w:lineRule="auto"/>
        <w:rPr>
          <w:sz w:val="20"/>
          <w:szCs w:val="20"/>
          <w:color w:val="auto"/>
        </w:rPr>
      </w:pPr>
      <w:r>
        <w:rPr>
          <w:rFonts w:ascii="Arial" w:cs="Arial" w:eastAsia="Arial" w:hAnsi="Arial"/>
          <w:sz w:val="18"/>
          <w:szCs w:val="18"/>
          <w:color w:val="auto"/>
        </w:rPr>
        <w:t>Trustee Since: 2006</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Owner of Executive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on the boards of Invesque, Inc., a Toronto stock exchange company that invests in a highly diversified portfolio of properties across the health care spectrum throughout the US and Canada,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MTS Systems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(Chair)</w:t>
      </w:r>
    </w:p>
    <w:p>
      <w:pPr>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5320" w:space="660"/>
            <w:col w:w="4720"/>
          </w:cols>
          <w:pgMar w:left="320" w:top="482" w:right="879" w:bottom="1440" w:gutter="0" w:footer="0" w:header="0"/>
        </w:sectPr>
      </w:pPr>
    </w:p>
    <w:p>
      <w:pPr>
        <w:spacing w:after="0" w:line="17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16</w:t>
      </w:r>
    </w:p>
    <w:p>
      <w:pPr>
        <w:sectPr>
          <w:pgSz w:w="11900" w:h="16838" w:orient="portrait"/>
          <w:cols w:equalWidth="0" w:num="1">
            <w:col w:w="10700"/>
          </w:cols>
          <w:pgMar w:left="320" w:top="482" w:right="8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9001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62</w:t>
      </w:r>
    </w:p>
    <w:p>
      <w:pPr>
        <w:ind w:left="2780"/>
        <w:spacing w:after="0" w:line="234" w:lineRule="auto"/>
        <w:rPr>
          <w:sz w:val="20"/>
          <w:szCs w:val="20"/>
          <w:color w:val="auto"/>
        </w:rPr>
      </w:pPr>
      <w:r>
        <w:rPr>
          <w:rFonts w:ascii="Arial" w:cs="Arial" w:eastAsia="Arial" w:hAnsi="Arial"/>
          <w:sz w:val="18"/>
          <w:szCs w:val="18"/>
          <w:color w:val="auto"/>
        </w:rPr>
        <w:t>Trustee Since: 2003</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Chief Executive Officer of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80" w:right="420"/>
        <w:spacing w:after="0" w:line="239" w:lineRule="auto"/>
        <w:rPr>
          <w:sz w:val="20"/>
          <w:szCs w:val="20"/>
          <w:color w:val="auto"/>
        </w:rPr>
      </w:pPr>
      <w:r>
        <w:rPr>
          <w:rFonts w:ascii="Arial" w:cs="Arial" w:eastAsia="Arial" w:hAnsi="Arial"/>
          <w:sz w:val="18"/>
          <w:szCs w:val="18"/>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420"/>
        <w:spacing w:after="0" w:line="250" w:lineRule="auto"/>
        <w:rPr>
          <w:sz w:val="20"/>
          <w:szCs w:val="20"/>
          <w:color w:val="auto"/>
        </w:rPr>
      </w:pPr>
      <w:r>
        <w:rPr>
          <w:rFonts w:ascii="Arial" w:cs="Arial" w:eastAsia="Arial" w:hAnsi="Arial"/>
          <w:sz w:val="18"/>
          <w:szCs w:val="18"/>
          <w:color w:val="auto"/>
        </w:rPr>
        <w:t>Mr. Wood’s 25 years of experience with Federal, including his responsibilities as chief executive officer and as a REIT CFO, provide the Board with familiarity and details on all aspects of the operations and financial condition of the Company.</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Quality Care Properties</w:t>
      </w:r>
    </w:p>
    <w:p>
      <w:pPr>
        <w:ind w:left="580"/>
        <w:spacing w:after="0"/>
        <w:rPr>
          <w:sz w:val="20"/>
          <w:szCs w:val="20"/>
          <w:color w:val="auto"/>
        </w:rPr>
      </w:pPr>
      <w:r>
        <w:rPr>
          <w:rFonts w:ascii="Arial" w:cs="Arial" w:eastAsia="Arial" w:hAnsi="Arial"/>
          <w:sz w:val="18"/>
          <w:szCs w:val="18"/>
          <w:color w:val="auto"/>
        </w:rPr>
        <w:t>Post Properties</w:t>
      </w:r>
    </w:p>
    <w:p>
      <w:pPr>
        <w:spacing w:after="0" w:line="200" w:lineRule="exact"/>
        <w:rPr>
          <w:sz w:val="20"/>
          <w:szCs w:val="20"/>
          <w:color w:val="auto"/>
        </w:rPr>
      </w:pPr>
    </w:p>
    <w:p>
      <w:pPr>
        <w:spacing w:after="0" w:line="237" w:lineRule="exact"/>
        <w:rPr>
          <w:sz w:val="20"/>
          <w:szCs w:val="20"/>
          <w:color w:val="auto"/>
        </w:rPr>
      </w:pPr>
    </w:p>
    <w:p>
      <w:pPr>
        <w:ind w:left="540" w:hanging="424"/>
        <w:spacing w:after="0"/>
        <w:tabs>
          <w:tab w:leader="none" w:pos="540" w:val="left"/>
        </w:tabs>
        <w:numPr>
          <w:ilvl w:val="0"/>
          <w:numId w:val="4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our standard arrangement for compensation for our non-management trustees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163195</wp:posOffset>
            </wp:positionV>
            <wp:extent cx="1714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2057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163195</wp:posOffset>
            </wp:positionV>
            <wp:extent cx="1714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205740"/>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4420" w:type="dxa"/>
            <w:vAlign w:val="bottom"/>
            <w:tcBorders>
              <w:bottom w:val="single" w:sz="8" w:color="FF160F"/>
            </w:tcBorders>
            <w:shd w:val="clear" w:color="auto" w:fill="FF160F"/>
          </w:tcPr>
          <w:p>
            <w:pPr>
              <w:ind w:left="180"/>
              <w:spacing w:after="0"/>
              <w:rPr>
                <w:sz w:val="20"/>
                <w:szCs w:val="20"/>
                <w:color w:val="auto"/>
              </w:rPr>
            </w:pPr>
            <w:r>
              <w:rPr>
                <w:rFonts w:ascii="Arial" w:cs="Arial" w:eastAsia="Arial" w:hAnsi="Arial"/>
                <w:sz w:val="16"/>
                <w:szCs w:val="16"/>
                <w:b w:val="1"/>
                <w:bCs w:val="1"/>
                <w:color w:val="FFFFFF"/>
              </w:rPr>
              <w:t>Trustee Compensation Element</w:t>
            </w:r>
          </w:p>
        </w:tc>
        <w:tc>
          <w:tcPr>
            <w:tcW w:w="1200" w:type="dxa"/>
            <w:vAlign w:val="bottom"/>
            <w:tcBorders>
              <w:bottom w:val="single" w:sz="8" w:color="FF160F"/>
            </w:tcBorders>
            <w:gridSpan w:val="2"/>
            <w:shd w:val="clear" w:color="auto" w:fill="FF160F"/>
          </w:tcPr>
          <w:p>
            <w:pPr>
              <w:jc w:val="right"/>
              <w:ind w:right="399"/>
              <w:spacing w:after="0"/>
              <w:rPr>
                <w:sz w:val="20"/>
                <w:szCs w:val="20"/>
                <w:color w:val="auto"/>
              </w:rPr>
            </w:pPr>
            <w:r>
              <w:rPr>
                <w:rFonts w:ascii="Arial" w:cs="Arial" w:eastAsia="Arial" w:hAnsi="Arial"/>
                <w:sz w:val="16"/>
                <w:szCs w:val="16"/>
                <w:b w:val="1"/>
                <w:bCs w:val="1"/>
                <w:color w:val="FFFFFF"/>
              </w:rPr>
              <w:t>Amount</w:t>
            </w:r>
          </w:p>
        </w:tc>
        <w:tc>
          <w:tcPr>
            <w:tcW w:w="2400" w:type="dxa"/>
            <w:vAlign w:val="bottom"/>
            <w:tcBorders>
              <w:bottom w:val="single" w:sz="8" w:color="FF160F"/>
            </w:tcBorders>
            <w:shd w:val="clear" w:color="auto" w:fill="FF160F"/>
          </w:tcPr>
          <w:p>
            <w:pPr>
              <w:ind w:left="80"/>
              <w:spacing w:after="0"/>
              <w:rPr>
                <w:sz w:val="20"/>
                <w:szCs w:val="20"/>
                <w:color w:val="auto"/>
              </w:rPr>
            </w:pPr>
            <w:r>
              <w:rPr>
                <w:rFonts w:ascii="Arial" w:cs="Arial" w:eastAsia="Arial" w:hAnsi="Arial"/>
                <w:sz w:val="16"/>
                <w:szCs w:val="16"/>
                <w:b w:val="1"/>
                <w:bCs w:val="1"/>
                <w:color w:val="FFFFFF"/>
              </w:rPr>
              <w:t>Payment Form</w:t>
            </w:r>
          </w:p>
        </w:tc>
      </w:tr>
      <w:tr>
        <w:trPr>
          <w:trHeight w:val="280"/>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Board Service</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ind w:left="40"/>
              <w:spacing w:after="0"/>
              <w:rPr>
                <w:sz w:val="20"/>
                <w:szCs w:val="20"/>
                <w:color w:val="auto"/>
              </w:rPr>
            </w:pPr>
            <w:r>
              <w:rPr>
                <w:rFonts w:ascii="Arial" w:cs="Arial" w:eastAsia="Arial" w:hAnsi="Arial"/>
                <w:sz w:val="16"/>
                <w:szCs w:val="16"/>
                <w:color w:val="auto"/>
              </w:rPr>
              <w:t>Annual Retainer</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2400" w:type="dxa"/>
            <w:vAlign w:val="bottom"/>
          </w:tcPr>
          <w:p>
            <w:pPr>
              <w:ind w:left="80"/>
              <w:spacing w:after="0"/>
              <w:rPr>
                <w:sz w:val="20"/>
                <w:szCs w:val="20"/>
                <w:color w:val="auto"/>
              </w:rPr>
            </w:pPr>
            <w:r>
              <w:rPr>
                <w:rFonts w:ascii="Arial" w:cs="Arial" w:eastAsia="Arial" w:hAnsi="Arial"/>
                <w:sz w:val="16"/>
                <w:szCs w:val="16"/>
                <w:color w:val="auto"/>
              </w:rPr>
              <w:t>40% cash; 60% equity</w:t>
            </w:r>
          </w:p>
        </w:tc>
      </w:tr>
      <w:tr>
        <w:trPr>
          <w:trHeight w:val="293"/>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Annual Retainer Non-Executive Chairman</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225,000</w:t>
            </w: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60% cash; 40% equity</w:t>
            </w:r>
          </w:p>
        </w:tc>
      </w:tr>
      <w:tr>
        <w:trPr>
          <w:trHeight w:val="33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Committee Chairs</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ind w:left="40"/>
              <w:spacing w:after="0"/>
              <w:rPr>
                <w:sz w:val="20"/>
                <w:szCs w:val="20"/>
                <w:color w:val="auto"/>
              </w:rPr>
            </w:pPr>
            <w:r>
              <w:rPr>
                <w:rFonts w:ascii="Arial" w:cs="Arial" w:eastAsia="Arial" w:hAnsi="Arial"/>
                <w:sz w:val="16"/>
                <w:szCs w:val="16"/>
                <w:color w:val="auto"/>
              </w:rPr>
              <w:t>Audit Committee</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25,000</w:t>
            </w:r>
          </w:p>
        </w:tc>
        <w:tc>
          <w:tcPr>
            <w:tcW w:w="2400" w:type="dxa"/>
            <w:vAlign w:val="bottom"/>
          </w:tcPr>
          <w:p>
            <w:pPr>
              <w:ind w:left="8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2400" w:type="dxa"/>
            <w:vAlign w:val="bottom"/>
          </w:tcPr>
          <w:p>
            <w:pPr>
              <w:ind w:left="80"/>
              <w:spacing w:after="0"/>
              <w:rPr>
                <w:sz w:val="20"/>
                <w:szCs w:val="20"/>
                <w:color w:val="auto"/>
              </w:rPr>
            </w:pPr>
            <w:r>
              <w:rPr>
                <w:rFonts w:ascii="Arial" w:cs="Arial" w:eastAsia="Arial" w:hAnsi="Arial"/>
                <w:sz w:val="16"/>
                <w:szCs w:val="16"/>
                <w:color w:val="auto"/>
              </w:rPr>
              <w:t>Cash</w:t>
            </w:r>
          </w:p>
        </w:tc>
      </w:tr>
      <w:tr>
        <w:trPr>
          <w:trHeight w:val="284"/>
        </w:trPr>
        <w:tc>
          <w:tcPr>
            <w:tcW w:w="4420" w:type="dxa"/>
            <w:vAlign w:val="bottom"/>
          </w:tcPr>
          <w:p>
            <w:pPr>
              <w:ind w:left="40"/>
              <w:spacing w:after="0"/>
              <w:rPr>
                <w:sz w:val="20"/>
                <w:szCs w:val="20"/>
                <w:color w:val="auto"/>
              </w:rPr>
            </w:pPr>
            <w:r>
              <w:rPr>
                <w:rFonts w:ascii="Arial" w:cs="Arial" w:eastAsia="Arial" w:hAnsi="Arial"/>
                <w:sz w:val="16"/>
                <w:szCs w:val="16"/>
                <w:color w:val="auto"/>
              </w:rPr>
              <w:t>Nominating Committee</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2400" w:type="dxa"/>
            <w:vAlign w:val="bottom"/>
          </w:tcPr>
          <w:p>
            <w:pPr>
              <w:ind w:left="80"/>
              <w:spacing w:after="0"/>
              <w:rPr>
                <w:sz w:val="20"/>
                <w:szCs w:val="20"/>
                <w:color w:val="auto"/>
              </w:rPr>
            </w:pPr>
            <w:r>
              <w:rPr>
                <w:rFonts w:ascii="Arial" w:cs="Arial" w:eastAsia="Arial" w:hAnsi="Arial"/>
                <w:sz w:val="16"/>
                <w:szCs w:val="16"/>
                <w:color w:val="auto"/>
              </w:rPr>
              <w:t>Cash</w:t>
            </w: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are prorated for any partial years of service and shares issued are fully vested on the grant date.</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Our non-management Trustees are required to maintain ownership of our shares having a value equal to at least 5 times the amount of their annual cash retainer. This requirement must be met within 5 years after joining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17</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Board. As of December 31, 2022, all of our Trustees who have been on the Board for 5 or more years were in full compliance with this ownership requirement. We expect our newest Trustees who joined the Board in 2020 and 2022 to be in compliance with this equity ownership requirement within the 5-year time frame.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actual compensation awarded to our Trustees for service in 2022 was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400" w:type="dxa"/>
            <w:vAlign w:val="bottom"/>
            <w:shd w:val="clear" w:color="auto" w:fill="FF160F"/>
          </w:tcPr>
          <w:p>
            <w:pPr>
              <w:spacing w:after="0"/>
              <w:rPr>
                <w:sz w:val="24"/>
                <w:szCs w:val="24"/>
                <w:color w:val="auto"/>
              </w:rPr>
            </w:pPr>
          </w:p>
        </w:tc>
        <w:tc>
          <w:tcPr>
            <w:tcW w:w="360" w:type="dxa"/>
            <w:vAlign w:val="bottom"/>
            <w:shd w:val="clear" w:color="auto" w:fill="FF160F"/>
          </w:tcPr>
          <w:p>
            <w:pPr>
              <w:spacing w:after="0"/>
              <w:rPr>
                <w:sz w:val="24"/>
                <w:szCs w:val="24"/>
                <w:color w:val="auto"/>
              </w:rPr>
            </w:pPr>
          </w:p>
        </w:tc>
        <w:tc>
          <w:tcPr>
            <w:tcW w:w="2080" w:type="dxa"/>
            <w:vAlign w:val="bottom"/>
            <w:gridSpan w:val="2"/>
            <w:shd w:val="clear" w:color="auto" w:fill="FF160F"/>
          </w:tcPr>
          <w:p>
            <w:pPr>
              <w:jc w:val="right"/>
              <w:spacing w:after="0"/>
              <w:rPr>
                <w:sz w:val="20"/>
                <w:szCs w:val="20"/>
                <w:color w:val="auto"/>
              </w:rPr>
            </w:pPr>
            <w:r>
              <w:rPr>
                <w:rFonts w:ascii="Arial" w:cs="Arial" w:eastAsia="Arial" w:hAnsi="Arial"/>
                <w:sz w:val="18"/>
                <w:szCs w:val="18"/>
                <w:b w:val="1"/>
                <w:bCs w:val="1"/>
                <w:color w:val="FFFFFF"/>
              </w:rPr>
              <w:t>Annual Retainer</w:t>
            </w:r>
          </w:p>
        </w:tc>
        <w:tc>
          <w:tcPr>
            <w:tcW w:w="880" w:type="dxa"/>
            <w:vAlign w:val="bottom"/>
            <w:shd w:val="clear" w:color="auto" w:fill="FF160F"/>
          </w:tcPr>
          <w:p>
            <w:pPr>
              <w:spacing w:after="0"/>
              <w:rPr>
                <w:sz w:val="24"/>
                <w:szCs w:val="24"/>
                <w:color w:val="auto"/>
              </w:rPr>
            </w:pPr>
          </w:p>
        </w:tc>
        <w:tc>
          <w:tcPr>
            <w:tcW w:w="400" w:type="dxa"/>
            <w:vAlign w:val="bottom"/>
            <w:shd w:val="clear" w:color="auto" w:fill="FF160F"/>
          </w:tcPr>
          <w:p>
            <w:pPr>
              <w:spacing w:after="0"/>
              <w:rPr>
                <w:sz w:val="24"/>
                <w:szCs w:val="24"/>
                <w:color w:val="auto"/>
              </w:rPr>
            </w:pPr>
          </w:p>
        </w:tc>
        <w:tc>
          <w:tcPr>
            <w:tcW w:w="12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Committee</w:t>
            </w:r>
          </w:p>
        </w:tc>
        <w:tc>
          <w:tcPr>
            <w:tcW w:w="440" w:type="dxa"/>
            <w:vAlign w:val="bottom"/>
            <w:shd w:val="clear" w:color="auto" w:fill="FF160F"/>
          </w:tcPr>
          <w:p>
            <w:pPr>
              <w:spacing w:after="0"/>
              <w:rPr>
                <w:sz w:val="24"/>
                <w:szCs w:val="24"/>
                <w:color w:val="auto"/>
              </w:rPr>
            </w:pPr>
          </w:p>
        </w:tc>
        <w:tc>
          <w:tcPr>
            <w:tcW w:w="1220" w:type="dxa"/>
            <w:vAlign w:val="bottom"/>
            <w:shd w:val="clear" w:color="auto" w:fill="FF160F"/>
          </w:tcPr>
          <w:p>
            <w:pPr>
              <w:spacing w:after="0"/>
              <w:rPr>
                <w:sz w:val="24"/>
                <w:szCs w:val="24"/>
                <w:color w:val="auto"/>
              </w:rPr>
            </w:pPr>
          </w:p>
        </w:tc>
      </w:tr>
      <w:tr>
        <w:trPr>
          <w:trHeight w:val="258"/>
        </w:trPr>
        <w:tc>
          <w:tcPr>
            <w:tcW w:w="4400" w:type="dxa"/>
            <w:vAlign w:val="bottom"/>
            <w:shd w:val="clear" w:color="auto" w:fill="FF160F"/>
          </w:tcPr>
          <w:p>
            <w:pPr>
              <w:ind w:left="40"/>
              <w:spacing w:after="0"/>
              <w:rPr>
                <w:sz w:val="20"/>
                <w:szCs w:val="20"/>
                <w:color w:val="auto"/>
              </w:rPr>
            </w:pPr>
            <w:r>
              <w:rPr>
                <w:rFonts w:ascii="Arial" w:cs="Arial" w:eastAsia="Arial" w:hAnsi="Arial"/>
                <w:sz w:val="18"/>
                <w:szCs w:val="18"/>
                <w:b w:val="1"/>
                <w:bCs w:val="1"/>
                <w:color w:val="FFFFFF"/>
              </w:rPr>
              <w:t>Name</w:t>
            </w:r>
          </w:p>
        </w:tc>
        <w:tc>
          <w:tcPr>
            <w:tcW w:w="360" w:type="dxa"/>
            <w:vAlign w:val="bottom"/>
            <w:shd w:val="clear" w:color="auto" w:fill="FF160F"/>
          </w:tcPr>
          <w:p>
            <w:pPr>
              <w:spacing w:after="0"/>
              <w:rPr>
                <w:sz w:val="22"/>
                <w:szCs w:val="22"/>
                <w:color w:val="auto"/>
              </w:rPr>
            </w:pPr>
          </w:p>
        </w:tc>
        <w:tc>
          <w:tcPr>
            <w:tcW w:w="132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Paid in Cash</w:t>
            </w:r>
          </w:p>
        </w:tc>
        <w:tc>
          <w:tcPr>
            <w:tcW w:w="1640" w:type="dxa"/>
            <w:vAlign w:val="bottom"/>
            <w:gridSpan w:val="2"/>
            <w:shd w:val="clear" w:color="auto" w:fill="FF160F"/>
          </w:tcPr>
          <w:p>
            <w:pPr>
              <w:jc w:val="right"/>
              <w:spacing w:after="0" w:line="258" w:lineRule="exact"/>
              <w:rPr>
                <w:sz w:val="20"/>
                <w:szCs w:val="20"/>
                <w:color w:val="auto"/>
              </w:rPr>
            </w:pPr>
            <w:r>
              <w:rPr>
                <w:rFonts w:ascii="Arial" w:cs="Arial" w:eastAsia="Arial" w:hAnsi="Arial"/>
                <w:sz w:val="18"/>
                <w:szCs w:val="18"/>
                <w:b w:val="1"/>
                <w:bCs w:val="1"/>
                <w:color w:val="FFFFFF"/>
              </w:rPr>
              <w:t>Paid in Shares</w:t>
            </w:r>
            <w:r>
              <w:rPr>
                <w:rFonts w:ascii="Arial" w:cs="Arial" w:eastAsia="Arial" w:hAnsi="Arial"/>
                <w:sz w:val="26"/>
                <w:szCs w:val="26"/>
                <w:b w:val="1"/>
                <w:bCs w:val="1"/>
                <w:color w:val="FFFFFF"/>
                <w:vertAlign w:val="superscript"/>
              </w:rPr>
              <w:t>(1)</w:t>
            </w:r>
          </w:p>
        </w:tc>
        <w:tc>
          <w:tcPr>
            <w:tcW w:w="400" w:type="dxa"/>
            <w:vAlign w:val="bottom"/>
            <w:shd w:val="clear" w:color="auto" w:fill="FF160F"/>
          </w:tcPr>
          <w:p>
            <w:pPr>
              <w:spacing w:after="0"/>
              <w:rPr>
                <w:sz w:val="22"/>
                <w:szCs w:val="22"/>
                <w:color w:val="auto"/>
              </w:rPr>
            </w:pPr>
          </w:p>
        </w:tc>
        <w:tc>
          <w:tcPr>
            <w:tcW w:w="12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Chair Fees</w:t>
            </w:r>
          </w:p>
        </w:tc>
        <w:tc>
          <w:tcPr>
            <w:tcW w:w="440" w:type="dxa"/>
            <w:vAlign w:val="bottom"/>
            <w:shd w:val="clear" w:color="auto" w:fill="FF160F"/>
          </w:tcPr>
          <w:p>
            <w:pPr>
              <w:spacing w:after="0"/>
              <w:rPr>
                <w:sz w:val="22"/>
                <w:szCs w:val="22"/>
                <w:color w:val="auto"/>
              </w:rPr>
            </w:pPr>
          </w:p>
        </w:tc>
        <w:tc>
          <w:tcPr>
            <w:tcW w:w="1220" w:type="dxa"/>
            <w:vAlign w:val="bottom"/>
            <w:shd w:val="clear" w:color="auto" w:fill="FF160F"/>
          </w:tcPr>
          <w:p>
            <w:pPr>
              <w:jc w:val="right"/>
              <w:ind w:right="30"/>
              <w:spacing w:after="0"/>
              <w:rPr>
                <w:sz w:val="20"/>
                <w:szCs w:val="20"/>
                <w:color w:val="auto"/>
              </w:rPr>
            </w:pPr>
            <w:r>
              <w:rPr>
                <w:rFonts w:ascii="Arial" w:cs="Arial" w:eastAsia="Arial" w:hAnsi="Arial"/>
                <w:sz w:val="18"/>
                <w:szCs w:val="18"/>
                <w:b w:val="1"/>
                <w:bCs w:val="1"/>
                <w:color w:val="FFFFFF"/>
              </w:rPr>
              <w:t>Total</w:t>
            </w:r>
          </w:p>
        </w:tc>
      </w:tr>
      <w:tr>
        <w:trPr>
          <w:trHeight w:val="288"/>
        </w:trPr>
        <w:tc>
          <w:tcPr>
            <w:tcW w:w="4400" w:type="dxa"/>
            <w:vAlign w:val="bottom"/>
          </w:tcPr>
          <w:p>
            <w:pPr>
              <w:ind w:left="40"/>
              <w:spacing w:after="0"/>
              <w:rPr>
                <w:sz w:val="20"/>
                <w:szCs w:val="20"/>
                <w:color w:val="auto"/>
              </w:rPr>
            </w:pPr>
            <w:r>
              <w:rPr>
                <w:rFonts w:ascii="Arial" w:cs="Arial" w:eastAsia="Arial" w:hAnsi="Arial"/>
                <w:sz w:val="18"/>
                <w:szCs w:val="18"/>
                <w:color w:val="auto"/>
              </w:rPr>
              <w:t>David W. Faeder</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135,000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225,000</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color w:val="auto"/>
              </w:rPr>
              <w:t>Elizabeth I. Holland</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215,000</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color w:val="auto"/>
              </w:rPr>
              <w:t>Nicole Y. Lamb-Hale</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200,000</w:t>
            </w:r>
          </w:p>
        </w:tc>
      </w:tr>
      <w:tr>
        <w:trPr>
          <w:trHeight w:val="355"/>
        </w:trPr>
        <w:tc>
          <w:tcPr>
            <w:tcW w:w="4400" w:type="dxa"/>
            <w:vAlign w:val="bottom"/>
          </w:tcPr>
          <w:p>
            <w:pPr>
              <w:ind w:left="40"/>
              <w:spacing w:after="0"/>
              <w:rPr>
                <w:sz w:val="20"/>
                <w:szCs w:val="20"/>
                <w:color w:val="auto"/>
              </w:rPr>
            </w:pPr>
            <w:r>
              <w:rPr>
                <w:rFonts w:ascii="Arial" w:cs="Arial" w:eastAsia="Arial" w:hAnsi="Arial"/>
                <w:sz w:val="18"/>
                <w:szCs w:val="18"/>
                <w:color w:val="auto"/>
              </w:rPr>
              <w:t>Thomas A. McEachin</w:t>
            </w:r>
            <w:r>
              <w:rPr>
                <w:rFonts w:ascii="Arial" w:cs="Arial" w:eastAsia="Arial" w:hAnsi="Arial"/>
                <w:sz w:val="26"/>
                <w:szCs w:val="26"/>
                <w:color w:val="auto"/>
                <w:vertAlign w:val="superscript"/>
              </w:rPr>
              <w:t>(2)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20,164</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30,247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50,411</w:t>
            </w:r>
          </w:p>
        </w:tc>
      </w:tr>
      <w:tr>
        <w:trPr>
          <w:trHeight w:val="297"/>
        </w:trPr>
        <w:tc>
          <w:tcPr>
            <w:tcW w:w="4400" w:type="dxa"/>
            <w:vAlign w:val="bottom"/>
          </w:tcPr>
          <w:p>
            <w:pPr>
              <w:ind w:left="40"/>
              <w:spacing w:after="0" w:line="297" w:lineRule="exact"/>
              <w:rPr>
                <w:sz w:val="20"/>
                <w:szCs w:val="20"/>
                <w:color w:val="auto"/>
              </w:rPr>
            </w:pPr>
            <w:r>
              <w:rPr>
                <w:rFonts w:ascii="Arial" w:cs="Arial" w:eastAsia="Arial" w:hAnsi="Arial"/>
                <w:sz w:val="18"/>
                <w:szCs w:val="18"/>
                <w:color w:val="auto"/>
              </w:rPr>
              <w:t>Anthony P. Nader, III</w:t>
            </w:r>
            <w:r>
              <w:rPr>
                <w:rFonts w:ascii="Arial" w:cs="Arial" w:eastAsia="Arial" w:hAnsi="Arial"/>
                <w:sz w:val="26"/>
                <w:szCs w:val="26"/>
                <w:color w:val="auto"/>
                <w:vertAlign w:val="superscript"/>
              </w:rPr>
              <w:t>(3)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3,781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203,781</w:t>
            </w:r>
          </w:p>
        </w:tc>
      </w:tr>
      <w:tr>
        <w:trPr>
          <w:trHeight w:val="297"/>
        </w:trPr>
        <w:tc>
          <w:tcPr>
            <w:tcW w:w="4400" w:type="dxa"/>
            <w:vAlign w:val="bottom"/>
          </w:tcPr>
          <w:p>
            <w:pPr>
              <w:ind w:left="40"/>
              <w:spacing w:after="0" w:line="297" w:lineRule="exact"/>
              <w:rPr>
                <w:sz w:val="20"/>
                <w:szCs w:val="20"/>
                <w:color w:val="auto"/>
              </w:rPr>
            </w:pPr>
            <w:r>
              <w:rPr>
                <w:rFonts w:ascii="Arial" w:cs="Arial" w:eastAsia="Arial" w:hAnsi="Arial"/>
                <w:sz w:val="18"/>
                <w:szCs w:val="18"/>
                <w:color w:val="auto"/>
              </w:rPr>
              <w:t>Mark S. Ordan</w:t>
            </w:r>
            <w:r>
              <w:rPr>
                <w:rFonts w:ascii="Arial" w:cs="Arial" w:eastAsia="Arial" w:hAnsi="Arial"/>
                <w:sz w:val="26"/>
                <w:szCs w:val="26"/>
                <w:color w:val="auto"/>
                <w:vertAlign w:val="superscript"/>
              </w:rPr>
              <w:t>(4)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149,589</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11,219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160,808</w:t>
            </w:r>
          </w:p>
        </w:tc>
      </w:tr>
      <w:tr>
        <w:trPr>
          <w:trHeight w:val="24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Gail P. Steinel</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225,000</w:t>
            </w:r>
          </w:p>
        </w:tc>
      </w:tr>
      <w:tr>
        <w:trPr>
          <w:trHeight w:val="28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624,753</w:t>
            </w:r>
          </w:p>
        </w:tc>
        <w:tc>
          <w:tcPr>
            <w:tcW w:w="7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600,247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55,000</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1,280,000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0" w:lineRule="exact"/>
        <w:rPr>
          <w:sz w:val="20"/>
          <w:szCs w:val="20"/>
          <w:color w:val="auto"/>
        </w:rPr>
      </w:pPr>
    </w:p>
    <w:p>
      <w:pPr>
        <w:ind w:left="540" w:hanging="424"/>
        <w:spacing w:after="0" w:line="205" w:lineRule="auto"/>
        <w:tabs>
          <w:tab w:leader="none" w:pos="540" w:val="left"/>
        </w:tabs>
        <w:numPr>
          <w:ilvl w:val="0"/>
          <w:numId w:val="41"/>
        </w:numPr>
        <w:rPr>
          <w:rFonts w:ascii="Arial" w:cs="Arial" w:eastAsia="Arial" w:hAnsi="Arial"/>
          <w:sz w:val="24"/>
          <w:szCs w:val="24"/>
          <w:color w:val="auto"/>
          <w:vertAlign w:val="superscript"/>
        </w:rPr>
      </w:pPr>
      <w:r>
        <w:rPr>
          <w:rFonts w:ascii="Arial" w:cs="Arial" w:eastAsia="Arial" w:hAnsi="Arial"/>
          <w:sz w:val="16"/>
          <w:szCs w:val="16"/>
          <w:color w:val="auto"/>
        </w:rPr>
        <w:t>Shares were issued on January 3, 2023 with the number of shares received by each Trustee determined by dividing the amount to be paid in shares by $101.04, the closing price of our shares on the NYSE on December 30, 2022.</w:t>
      </w:r>
    </w:p>
    <w:p>
      <w:pPr>
        <w:spacing w:after="0" w:line="1" w:lineRule="exact"/>
        <w:rPr>
          <w:rFonts w:ascii="Arial" w:cs="Arial" w:eastAsia="Arial" w:hAnsi="Arial"/>
          <w:sz w:val="24"/>
          <w:szCs w:val="24"/>
          <w:color w:val="auto"/>
          <w:vertAlign w:val="superscript"/>
        </w:rPr>
      </w:pPr>
    </w:p>
    <w:p>
      <w:pPr>
        <w:ind w:left="540" w:hanging="424"/>
        <w:spacing w:after="0" w:line="187" w:lineRule="auto"/>
        <w:tabs>
          <w:tab w:leader="none" w:pos="54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Prorated for partial year of service. Mr. McEachin joined the Board on October 1, 2022.</w:t>
      </w:r>
    </w:p>
    <w:p>
      <w:pPr>
        <w:ind w:left="540" w:hanging="424"/>
        <w:spacing w:after="0" w:line="187" w:lineRule="auto"/>
        <w:tabs>
          <w:tab w:leader="none" w:pos="54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Committee chair fee is pro-rated for partial year of service as chair of the NCGC beginning October 1, 2022.</w:t>
      </w:r>
    </w:p>
    <w:p>
      <w:pPr>
        <w:ind w:left="540" w:hanging="424"/>
        <w:spacing w:after="0" w:line="180" w:lineRule="auto"/>
        <w:tabs>
          <w:tab w:leader="none" w:pos="540" w:val="left"/>
        </w:tabs>
        <w:numPr>
          <w:ilvl w:val="0"/>
          <w:numId w:val="41"/>
        </w:numPr>
        <w:rPr>
          <w:rFonts w:ascii="Arial" w:cs="Arial" w:eastAsia="Arial" w:hAnsi="Arial"/>
          <w:sz w:val="23"/>
          <w:szCs w:val="23"/>
          <w:color w:val="auto"/>
          <w:vertAlign w:val="superscript"/>
        </w:rPr>
      </w:pPr>
      <w:r>
        <w:rPr>
          <w:rFonts w:ascii="Arial" w:cs="Arial" w:eastAsia="Arial" w:hAnsi="Arial"/>
          <w:sz w:val="16"/>
          <w:szCs w:val="16"/>
          <w:color w:val="auto"/>
        </w:rPr>
        <w:t>Prorated for partial year of service as a trustee and as chair of the NCGC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344170</wp:posOffset>
            </wp:positionV>
            <wp:extent cx="699516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2: Approving our Executive Compensation</w:t>
      </w:r>
    </w:p>
    <w:p>
      <w:pPr>
        <w:spacing w:after="0" w:line="27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are seeking an advisory vote to approve our executive compensation for 2022. We have always held our “Say on Pay” vote annually and are asking our shareholders for input this year as to the frequency with which to hold that vote in the future. See Proposal 3: Approving Frequency of Say on Pay Vote starting on page 40. Although this “Say on Pay” vote is advisory and is not binding on our Board, our Compensation Committee will take into consideration the outcome of the vote when making future executive compensation decisions.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text of the resolution if Proposal 2 is passed is:</w:t>
      </w:r>
    </w:p>
    <w:p>
      <w:pPr>
        <w:spacing w:after="0" w:line="212" w:lineRule="exact"/>
        <w:rPr>
          <w:sz w:val="20"/>
          <w:szCs w:val="20"/>
          <w:color w:val="auto"/>
        </w:rPr>
      </w:pPr>
    </w:p>
    <w:p>
      <w:pPr>
        <w:ind w:left="440" w:right="20"/>
        <w:spacing w:after="0" w:line="271" w:lineRule="auto"/>
        <w:rPr>
          <w:sz w:val="20"/>
          <w:szCs w:val="20"/>
          <w:color w:val="auto"/>
        </w:rPr>
      </w:pPr>
      <w:r>
        <w:rPr>
          <w:rFonts w:ascii="Arial" w:cs="Arial" w:eastAsia="Arial" w:hAnsi="Arial"/>
          <w:sz w:val="18"/>
          <w:szCs w:val="18"/>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15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1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Board has designed our current executive compensation program to appropriately link compensation realized by our named executive officers to our performance and properly align the interests of our named executive officers with those of our shareholders. The details of this compensation for 2022,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858000"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386"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236220</wp:posOffset>
            </wp:positionV>
            <wp:extent cx="701230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36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Discussion and Analysis</w:t>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100" w:type="dxa"/>
            <w:vAlign w:val="bottom"/>
            <w:gridSpan w:val="27"/>
            <w:shd w:val="clear" w:color="auto" w:fill="FF160F"/>
          </w:tcPr>
          <w:p>
            <w:pPr>
              <w:spacing w:after="0"/>
              <w:rPr>
                <w:sz w:val="20"/>
                <w:szCs w:val="20"/>
                <w:color w:val="auto"/>
              </w:rPr>
            </w:pPr>
            <w:r>
              <w:rPr>
                <w:rFonts w:ascii="Arial" w:cs="Arial" w:eastAsia="Arial" w:hAnsi="Arial"/>
                <w:sz w:val="18"/>
                <w:szCs w:val="18"/>
                <w:b w:val="1"/>
                <w:bCs w:val="1"/>
                <w:color w:val="FFFFFF"/>
              </w:rPr>
              <w:t>CD&amp;A TABLE OF CONTENTS</w:t>
            </w:r>
          </w:p>
        </w:tc>
        <w:tc>
          <w:tcPr>
            <w:tcW w:w="118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Page #</w:t>
            </w:r>
          </w:p>
        </w:tc>
        <w:tc>
          <w:tcPr>
            <w:tcW w:w="0" w:type="dxa"/>
            <w:vAlign w:val="bottom"/>
          </w:tcPr>
          <w:p>
            <w:pPr>
              <w:spacing w:after="0"/>
              <w:rPr>
                <w:sz w:val="1"/>
                <w:szCs w:val="1"/>
                <w:color w:val="auto"/>
              </w:rPr>
            </w:pPr>
          </w:p>
        </w:tc>
      </w:tr>
      <w:tr>
        <w:trPr>
          <w:trHeight w:val="310"/>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Introduction</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36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20" w:type="dxa"/>
            <w:vAlign w:val="bottom"/>
            <w:tcBorders>
              <w:bottom w:val="single" w:sz="8" w:color="FF160F"/>
            </w:tcBorders>
          </w:tcPr>
          <w:p>
            <w:pPr>
              <w:spacing w:after="0" w:line="20" w:lineRule="exact"/>
              <w:rPr>
                <w:sz w:val="1"/>
                <w:szCs w:val="1"/>
                <w:color w:val="auto"/>
              </w:rPr>
            </w:pPr>
          </w:p>
        </w:tc>
        <w:tc>
          <w:tcPr>
            <w:tcW w:w="20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7"/>
          </w:tcPr>
          <w:p>
            <w:pPr>
              <w:spacing w:after="0" w:line="156" w:lineRule="exact"/>
              <w:rPr>
                <w:sz w:val="20"/>
                <w:szCs w:val="20"/>
                <w:color w:val="auto"/>
              </w:rPr>
            </w:pPr>
            <w:r>
              <w:rPr>
                <w:rFonts w:ascii="Arial" w:cs="Arial" w:eastAsia="Arial" w:hAnsi="Arial"/>
                <w:sz w:val="18"/>
                <w:szCs w:val="18"/>
                <w:color w:val="0000EE"/>
              </w:rPr>
              <w:t xml:space="preserve">2022 Business Highlights </w:t>
            </w:r>
            <w:r>
              <w:rPr>
                <w:rFonts w:ascii="Arial" w:cs="Arial" w:eastAsia="Arial" w:hAnsi="Arial"/>
                <w:sz w:val="18"/>
                <w:szCs w:val="18"/>
                <w:color w:val="000000"/>
              </w:rPr>
              <w:t>supporting</w:t>
            </w: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1"/>
        </w:trPr>
        <w:tc>
          <w:tcPr>
            <w:tcW w:w="2020" w:type="dxa"/>
            <w:vAlign w:val="bottom"/>
            <w:tcBorders>
              <w:top w:val="single" w:sz="8" w:color="0000EE"/>
            </w:tcBorders>
            <w:gridSpan w:val="7"/>
          </w:tcPr>
          <w:p>
            <w:pPr>
              <w:ind w:left="180"/>
              <w:spacing w:after="0" w:line="191" w:lineRule="exact"/>
              <w:rPr>
                <w:sz w:val="20"/>
                <w:szCs w:val="20"/>
                <w:color w:val="auto"/>
              </w:rPr>
            </w:pPr>
            <w:r>
              <w:rPr>
                <w:rFonts w:ascii="Arial" w:cs="Arial" w:eastAsia="Arial" w:hAnsi="Arial"/>
                <w:sz w:val="18"/>
                <w:szCs w:val="18"/>
                <w:color w:val="auto"/>
                <w:w w:val="91"/>
              </w:rPr>
              <w:t>Compensation Decisions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00" w:type="dxa"/>
            <w:vAlign w:val="bottom"/>
            <w:gridSpan w:val="27"/>
          </w:tcPr>
          <w:p>
            <w:pPr>
              <w:spacing w:after="0" w:line="195" w:lineRule="exact"/>
              <w:rPr>
                <w:sz w:val="20"/>
                <w:szCs w:val="20"/>
                <w:color w:val="auto"/>
              </w:rPr>
            </w:pPr>
            <w:r>
              <w:rPr>
                <w:rFonts w:ascii="Arial" w:cs="Arial" w:eastAsia="Arial" w:hAnsi="Arial"/>
                <w:sz w:val="18"/>
                <w:szCs w:val="18"/>
                <w:color w:val="0000EE"/>
              </w:rPr>
              <w:t>Program Philosophy and Objectives</w:t>
            </w:r>
          </w:p>
        </w:tc>
        <w:tc>
          <w:tcPr>
            <w:tcW w:w="11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Executive Compensation Practices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Components of Compensation</w:t>
            </w:r>
          </w:p>
        </w:tc>
        <w:tc>
          <w:tcPr>
            <w:tcW w:w="36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Compensation Setting Process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7"/>
          </w:tcPr>
          <w:p>
            <w:pPr>
              <w:spacing w:after="0" w:line="156" w:lineRule="exact"/>
              <w:rPr>
                <w:sz w:val="20"/>
                <w:szCs w:val="20"/>
                <w:color w:val="auto"/>
              </w:rPr>
            </w:pPr>
            <w:r>
              <w:rPr>
                <w:rFonts w:ascii="Arial" w:cs="Arial" w:eastAsia="Arial" w:hAnsi="Arial"/>
                <w:sz w:val="18"/>
                <w:szCs w:val="18"/>
                <w:color w:val="0000EE"/>
              </w:rPr>
              <w:t>Annual Compensation Decision Making</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Role of the Compensation Committee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Role of Management</w:t>
            </w: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Role of Independent</w:t>
            </w:r>
          </w:p>
        </w:tc>
        <w:tc>
          <w:tcPr>
            <w:tcW w:w="2420" w:type="dxa"/>
            <w:vAlign w:val="bottom"/>
            <w:gridSpan w:val="22"/>
          </w:tcPr>
          <w:p>
            <w:pPr>
              <w:spacing w:after="0" w:line="182" w:lineRule="exact"/>
              <w:rPr>
                <w:sz w:val="20"/>
                <w:szCs w:val="20"/>
                <w:color w:val="auto"/>
              </w:rPr>
            </w:pPr>
            <w:r>
              <w:rPr>
                <w:rFonts w:ascii="Arial" w:cs="Arial" w:eastAsia="Arial" w:hAnsi="Arial"/>
                <w:sz w:val="18"/>
                <w:szCs w:val="18"/>
                <w:color w:val="0000EE"/>
              </w:rPr>
              <w:t>Compensation Consultant</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3740" w:type="dxa"/>
            <w:vAlign w:val="bottom"/>
            <w:tcBorders>
              <w:top w:val="single" w:sz="8" w:color="0000EE"/>
            </w:tcBorders>
            <w:gridSpan w:val="25"/>
          </w:tcPr>
          <w:p>
            <w:pPr>
              <w:spacing w:after="0"/>
              <w:rPr>
                <w:sz w:val="20"/>
                <w:szCs w:val="20"/>
                <w:color w:val="auto"/>
              </w:rPr>
            </w:pPr>
            <w:r>
              <w:rPr>
                <w:rFonts w:ascii="Arial" w:cs="Arial" w:eastAsia="Arial" w:hAnsi="Arial"/>
                <w:sz w:val="18"/>
                <w:szCs w:val="18"/>
                <w:b w:val="1"/>
                <w:bCs w:val="1"/>
                <w:color w:val="0000EE"/>
              </w:rPr>
              <w:t>2022 Compensation Decisions</w:t>
            </w:r>
          </w:p>
        </w:tc>
        <w:tc>
          <w:tcPr>
            <w:tcW w:w="360" w:type="dxa"/>
            <w:vAlign w:val="bottom"/>
            <w:gridSpan w:val="2"/>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7"/>
          </w:tcPr>
          <w:p>
            <w:pPr>
              <w:spacing w:after="0" w:line="156" w:lineRule="exact"/>
              <w:rPr>
                <w:sz w:val="20"/>
                <w:szCs w:val="20"/>
                <w:color w:val="auto"/>
              </w:rPr>
            </w:pPr>
            <w:r>
              <w:rPr>
                <w:rFonts w:ascii="Arial" w:cs="Arial" w:eastAsia="Arial" w:hAnsi="Arial"/>
                <w:sz w:val="18"/>
                <w:szCs w:val="18"/>
                <w:color w:val="0000EE"/>
              </w:rPr>
              <w:t>Setting 2022 Target Compensation</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7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Individual Elements of 2022 Pay</w:t>
            </w:r>
          </w:p>
        </w:tc>
        <w:tc>
          <w:tcPr>
            <w:tcW w:w="8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i w:val="1"/>
                <w:iCs w:val="1"/>
                <w:color w:val="0000EE"/>
                <w:w w:val="98"/>
              </w:rPr>
              <w:t>Base Pay</w:t>
            </w:r>
          </w:p>
        </w:tc>
        <w:tc>
          <w:tcPr>
            <w:tcW w:w="1440" w:type="dxa"/>
            <w:vAlign w:val="bottom"/>
            <w:tcBorders>
              <w:top w:val="single" w:sz="8" w:color="0000EE"/>
            </w:tcBorders>
            <w:gridSpan w:val="9"/>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3740" w:type="dxa"/>
            <w:vAlign w:val="bottom"/>
            <w:gridSpan w:val="26"/>
          </w:tcPr>
          <w:p>
            <w:pPr>
              <w:spacing w:after="0" w:line="182" w:lineRule="exact"/>
              <w:rPr>
                <w:sz w:val="20"/>
                <w:szCs w:val="20"/>
                <w:color w:val="auto"/>
              </w:rPr>
            </w:pPr>
            <w:r>
              <w:rPr>
                <w:rFonts w:ascii="Arial" w:cs="Arial" w:eastAsia="Arial" w:hAnsi="Arial"/>
                <w:sz w:val="18"/>
                <w:szCs w:val="18"/>
                <w:i w:val="1"/>
                <w:iCs w:val="1"/>
                <w:color w:val="0000EE"/>
              </w:rPr>
              <w:t>Annual Bonus Program</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38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i w:val="1"/>
                <w:iCs w:val="1"/>
                <w:color w:val="0000EE"/>
                <w:w w:val="98"/>
              </w:rPr>
              <w:t>Long-Term Incentive Program</w:t>
            </w:r>
          </w:p>
        </w:tc>
        <w:tc>
          <w:tcPr>
            <w:tcW w:w="1360" w:type="dxa"/>
            <w:vAlign w:val="bottom"/>
            <w:gridSpan w:val="11"/>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2022 NEO Performance Summary</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Other Compensation Practices and Policies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0000EE"/>
            </w:tcBorders>
            <w:gridSpan w:val="15"/>
          </w:tcPr>
          <w:p>
            <w:pPr>
              <w:spacing w:after="0" w:line="156" w:lineRule="exact"/>
              <w:rPr>
                <w:sz w:val="20"/>
                <w:szCs w:val="20"/>
                <w:color w:val="auto"/>
              </w:rPr>
            </w:pPr>
            <w:r>
              <w:rPr>
                <w:rFonts w:ascii="Arial" w:cs="Arial" w:eastAsia="Arial" w:hAnsi="Arial"/>
                <w:sz w:val="18"/>
                <w:szCs w:val="18"/>
                <w:color w:val="0000EE"/>
                <w:w w:val="99"/>
              </w:rPr>
              <w:t>Consideration of Say on Pay Vote</w:t>
            </w:r>
          </w:p>
        </w:tc>
        <w:tc>
          <w:tcPr>
            <w:tcW w:w="1400" w:type="dxa"/>
            <w:vAlign w:val="bottom"/>
            <w:gridSpan w:val="12"/>
          </w:tcPr>
          <w:p>
            <w:pPr>
              <w:spacing w:after="0"/>
              <w:rPr>
                <w:sz w:val="13"/>
                <w:szCs w:val="13"/>
                <w:color w:val="auto"/>
              </w:rPr>
            </w:pP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No Hedging or Pledging of Our Shares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Severance and Change-in-Control Agreements</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Clawback Policy</w:t>
            </w: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3"/>
              </w:rPr>
              <w:t>Share Ownership</w:t>
            </w:r>
          </w:p>
        </w:tc>
        <w:tc>
          <w:tcPr>
            <w:tcW w:w="980" w:type="dxa"/>
            <w:vAlign w:val="bottom"/>
            <w:tcBorders>
              <w:bottom w:val="single" w:sz="8" w:color="0000EE"/>
            </w:tcBorders>
            <w:gridSpan w:val="6"/>
          </w:tcPr>
          <w:p>
            <w:pPr>
              <w:ind w:left="120"/>
              <w:spacing w:after="0" w:line="182" w:lineRule="exact"/>
              <w:rPr>
                <w:sz w:val="20"/>
                <w:szCs w:val="20"/>
                <w:color w:val="auto"/>
              </w:rPr>
            </w:pPr>
            <w:r>
              <w:rPr>
                <w:rFonts w:ascii="Arial" w:cs="Arial" w:eastAsia="Arial" w:hAnsi="Arial"/>
                <w:sz w:val="18"/>
                <w:szCs w:val="18"/>
                <w:color w:val="0000EE"/>
                <w:w w:val="98"/>
              </w:rPr>
              <w:t>Guidelines</w:t>
            </w:r>
          </w:p>
        </w:tc>
        <w:tc>
          <w:tcPr>
            <w:tcW w:w="1800" w:type="dxa"/>
            <w:vAlign w:val="bottom"/>
            <w:gridSpan w:val="17"/>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Risk Assessment of Compensation Programs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Equity Grant Practices</w:t>
            </w:r>
          </w:p>
        </w:tc>
        <w:tc>
          <w:tcPr>
            <w:tcW w:w="1820" w:type="dxa"/>
            <w:vAlign w:val="bottom"/>
            <w:tcBorders>
              <w:top w:val="single" w:sz="8" w:color="0000EE"/>
            </w:tcBorders>
            <w:gridSpan w:val="18"/>
          </w:tcPr>
          <w:p>
            <w:pPr>
              <w:spacing w:after="0"/>
              <w:rPr>
                <w:sz w:val="15"/>
                <w:szCs w:val="15"/>
                <w:color w:val="auto"/>
              </w:rPr>
            </w:pPr>
          </w:p>
        </w:tc>
        <w:tc>
          <w:tcPr>
            <w:tcW w:w="480" w:type="dxa"/>
            <w:vAlign w:val="bottom"/>
            <w:gridSpan w:val="3"/>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Tax Deductibility of Executive Compensation</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Health and Welfare Benefits</w:t>
            </w:r>
          </w:p>
        </w:tc>
        <w:tc>
          <w:tcPr>
            <w:tcW w:w="1300" w:type="dxa"/>
            <w:vAlign w:val="bottom"/>
            <w:tcBorders>
              <w:top w:val="single" w:sz="8" w:color="0000EE"/>
            </w:tcBorders>
            <w:gridSpan w:val="14"/>
          </w:tcPr>
          <w:p>
            <w:pPr>
              <w:spacing w:after="0"/>
              <w:rPr>
                <w:sz w:val="15"/>
                <w:szCs w:val="15"/>
                <w:color w:val="auto"/>
              </w:rPr>
            </w:pPr>
          </w:p>
        </w:tc>
        <w:tc>
          <w:tcPr>
            <w:tcW w:w="560" w:type="dxa"/>
            <w:vAlign w:val="bottom"/>
            <w:gridSpan w:val="4"/>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Compensation Committee Report</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188595</wp:posOffset>
            </wp:positionV>
            <wp:extent cx="701230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-118745</wp:posOffset>
            </wp:positionV>
            <wp:extent cx="3420110" cy="3206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0110" cy="320611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ind w:left="200"/>
        <w:spacing w:after="0" w:line="234" w:lineRule="auto"/>
        <w:tabs>
          <w:tab w:leader="none" w:pos="1540" w:val="left"/>
        </w:tabs>
        <w:rPr>
          <w:sz w:val="20"/>
          <w:szCs w:val="20"/>
          <w:color w:val="auto"/>
        </w:rPr>
      </w:pPr>
      <w:r>
        <w:rPr>
          <w:rFonts w:ascii="Arial" w:cs="Arial" w:eastAsia="Arial" w:hAnsi="Arial"/>
          <w:sz w:val="18"/>
          <w:szCs w:val="18"/>
          <w:color w:val="auto"/>
        </w:rPr>
        <w:t>Age: 62</w:t>
      </w:r>
      <w:r>
        <w:rPr>
          <w:sz w:val="20"/>
          <w:szCs w:val="20"/>
          <w:color w:val="auto"/>
        </w:rPr>
        <w:tab/>
      </w:r>
      <w:r>
        <w:rPr>
          <w:rFonts w:ascii="Arial" w:cs="Arial" w:eastAsia="Arial" w:hAnsi="Arial"/>
          <w:sz w:val="18"/>
          <w:szCs w:val="18"/>
          <w:color w:val="auto"/>
        </w:rPr>
        <w:t>Joined Federal: 1998</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position since: 2003</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JEFFREY S. BERKES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and Chief Operating Officer</w:t>
      </w:r>
    </w:p>
    <w:p>
      <w:pPr>
        <w:ind w:left="200"/>
        <w:spacing w:after="0" w:line="234" w:lineRule="auto"/>
        <w:tabs>
          <w:tab w:leader="none" w:pos="1540" w:val="left"/>
        </w:tabs>
        <w:rPr>
          <w:sz w:val="20"/>
          <w:szCs w:val="20"/>
          <w:color w:val="auto"/>
        </w:rPr>
      </w:pPr>
      <w:r>
        <w:rPr>
          <w:rFonts w:ascii="Arial" w:cs="Arial" w:eastAsia="Arial" w:hAnsi="Arial"/>
          <w:sz w:val="18"/>
          <w:szCs w:val="18"/>
          <w:color w:val="auto"/>
        </w:rPr>
        <w:t>Age: 59</w:t>
      </w:r>
      <w:r>
        <w:rPr>
          <w:sz w:val="20"/>
          <w:szCs w:val="20"/>
          <w:color w:val="auto"/>
        </w:rPr>
        <w:tab/>
      </w:r>
      <w:r>
        <w:rPr>
          <w:rFonts w:ascii="Arial" w:cs="Arial" w:eastAsia="Arial" w:hAnsi="Arial"/>
          <w:sz w:val="18"/>
          <w:szCs w:val="18"/>
          <w:color w:val="auto"/>
        </w:rPr>
        <w:t>Joined Federal: 2000</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position since: 2021</w:t>
      </w:r>
    </w:p>
    <w:p>
      <w:pPr>
        <w:spacing w:after="0" w:line="383" w:lineRule="exact"/>
        <w:rPr>
          <w:sz w:val="20"/>
          <w:szCs w:val="20"/>
          <w:color w:val="auto"/>
        </w:rPr>
      </w:pPr>
    </w:p>
    <w:p>
      <w:pPr>
        <w:ind w:left="200" w:right="500"/>
        <w:spacing w:after="0" w:line="245" w:lineRule="auto"/>
        <w:rPr>
          <w:sz w:val="20"/>
          <w:szCs w:val="20"/>
          <w:color w:val="auto"/>
        </w:rPr>
      </w:pPr>
      <w:r>
        <w:rPr>
          <w:rFonts w:ascii="Arial" w:cs="Arial" w:eastAsia="Arial" w:hAnsi="Arial"/>
          <w:sz w:val="18"/>
          <w:szCs w:val="18"/>
          <w:b w:val="1"/>
          <w:bCs w:val="1"/>
          <w:color w:val="auto"/>
        </w:rPr>
        <w:t xml:space="preserve">DANIEL GUGLIELMONE </w:t>
      </w:r>
      <w:r>
        <w:rPr>
          <w:rFonts w:ascii="Arial" w:cs="Arial" w:eastAsia="Arial" w:hAnsi="Arial"/>
          <w:sz w:val="18"/>
          <w:szCs w:val="18"/>
          <w:color w:val="auto"/>
        </w:rPr>
        <w:t>EVP-Chief Financial Officer and Treasurer</w:t>
      </w:r>
    </w:p>
    <w:p>
      <w:pPr>
        <w:ind w:left="200"/>
        <w:spacing w:after="0" w:line="235" w:lineRule="auto"/>
        <w:tabs>
          <w:tab w:leader="none" w:pos="1540" w:val="left"/>
        </w:tabs>
        <w:rPr>
          <w:sz w:val="20"/>
          <w:szCs w:val="20"/>
          <w:color w:val="auto"/>
        </w:rPr>
      </w:pPr>
      <w:r>
        <w:rPr>
          <w:rFonts w:ascii="Arial" w:cs="Arial" w:eastAsia="Arial" w:hAnsi="Arial"/>
          <w:sz w:val="18"/>
          <w:szCs w:val="18"/>
          <w:color w:val="auto"/>
        </w:rPr>
        <w:t>Age: 56</w:t>
      </w:r>
      <w:r>
        <w:rPr>
          <w:sz w:val="20"/>
          <w:szCs w:val="20"/>
          <w:color w:val="auto"/>
        </w:rPr>
        <w:tab/>
      </w:r>
      <w:r>
        <w:rPr>
          <w:rFonts w:ascii="Arial" w:cs="Arial" w:eastAsia="Arial" w:hAnsi="Arial"/>
          <w:sz w:val="18"/>
          <w:szCs w:val="18"/>
          <w:color w:val="auto"/>
        </w:rPr>
        <w:t>Joined Federal: 2016</w:t>
      </w:r>
    </w:p>
    <w:p>
      <w:pPr>
        <w:ind w:left="1540"/>
        <w:spacing w:after="0"/>
        <w:rPr>
          <w:sz w:val="20"/>
          <w:szCs w:val="20"/>
          <w:color w:val="auto"/>
        </w:rPr>
      </w:pPr>
      <w:r>
        <w:rPr>
          <w:rFonts w:ascii="Arial" w:cs="Arial" w:eastAsia="Arial" w:hAnsi="Arial"/>
          <w:sz w:val="18"/>
          <w:szCs w:val="18"/>
          <w:color w:val="auto"/>
        </w:rPr>
        <w:t>In position since: 2016</w:t>
      </w:r>
    </w:p>
    <w:p>
      <w:pPr>
        <w:spacing w:after="0" w:line="383" w:lineRule="exact"/>
        <w:rPr>
          <w:sz w:val="20"/>
          <w:szCs w:val="20"/>
          <w:color w:val="auto"/>
        </w:rPr>
      </w:pPr>
    </w:p>
    <w:p>
      <w:pPr>
        <w:ind w:left="200" w:right="920"/>
        <w:spacing w:after="0" w:line="245" w:lineRule="auto"/>
        <w:rPr>
          <w:sz w:val="20"/>
          <w:szCs w:val="20"/>
          <w:color w:val="auto"/>
        </w:rPr>
      </w:pPr>
      <w:r>
        <w:rPr>
          <w:rFonts w:ascii="Arial" w:cs="Arial" w:eastAsia="Arial" w:hAnsi="Arial"/>
          <w:sz w:val="18"/>
          <w:szCs w:val="18"/>
          <w:b w:val="1"/>
          <w:bCs w:val="1"/>
          <w:color w:val="auto"/>
        </w:rPr>
        <w:t xml:space="preserve">DAWN M. BECKER </w:t>
      </w:r>
      <w:r>
        <w:rPr>
          <w:rFonts w:ascii="Arial" w:cs="Arial" w:eastAsia="Arial" w:hAnsi="Arial"/>
          <w:sz w:val="18"/>
          <w:szCs w:val="18"/>
          <w:color w:val="auto"/>
        </w:rPr>
        <w:t>EVP-General Counsel and Secretary</w:t>
      </w:r>
    </w:p>
    <w:p>
      <w:pPr>
        <w:ind w:left="200"/>
        <w:spacing w:after="0" w:line="235" w:lineRule="auto"/>
        <w:tabs>
          <w:tab w:leader="none" w:pos="1540" w:val="left"/>
        </w:tabs>
        <w:rPr>
          <w:sz w:val="20"/>
          <w:szCs w:val="20"/>
          <w:color w:val="auto"/>
        </w:rPr>
      </w:pPr>
      <w:r>
        <w:rPr>
          <w:rFonts w:ascii="Arial" w:cs="Arial" w:eastAsia="Arial" w:hAnsi="Arial"/>
          <w:sz w:val="18"/>
          <w:szCs w:val="18"/>
          <w:color w:val="auto"/>
        </w:rPr>
        <w:t>Age: 59</w:t>
      </w:r>
      <w:r>
        <w:rPr>
          <w:sz w:val="20"/>
          <w:szCs w:val="20"/>
          <w:color w:val="auto"/>
        </w:rPr>
        <w:tab/>
      </w:r>
      <w:r>
        <w:rPr>
          <w:rFonts w:ascii="Arial" w:cs="Arial" w:eastAsia="Arial" w:hAnsi="Arial"/>
          <w:sz w:val="18"/>
          <w:szCs w:val="18"/>
          <w:color w:val="auto"/>
        </w:rPr>
        <w:t>Joined Federal: 1997</w:t>
      </w:r>
    </w:p>
    <w:p>
      <w:pPr>
        <w:ind w:left="1540"/>
        <w:spacing w:after="0"/>
        <w:rPr>
          <w:sz w:val="20"/>
          <w:szCs w:val="20"/>
          <w:color w:val="auto"/>
        </w:rPr>
      </w:pPr>
      <w:r>
        <w:rPr>
          <w:rFonts w:ascii="Arial" w:cs="Arial" w:eastAsia="Arial" w:hAnsi="Arial"/>
          <w:sz w:val="18"/>
          <w:szCs w:val="18"/>
          <w:color w:val="auto"/>
        </w:rPr>
        <w:t>In position since: 2002</w:t>
      </w:r>
    </w:p>
    <w:p>
      <w:pPr>
        <w:spacing w:after="0" w:line="2464" w:lineRule="exact"/>
        <w:rPr>
          <w:sz w:val="20"/>
          <w:szCs w:val="20"/>
          <w:color w:val="auto"/>
        </w:rPr>
      </w:pPr>
    </w:p>
    <w:p>
      <w:pPr>
        <w:sectPr>
          <w:pgSz w:w="11900" w:h="16838" w:orient="portrait"/>
          <w:cols w:equalWidth="0" w:num="2">
            <w:col w:w="6400" w:space="560"/>
            <w:col w:w="4060"/>
          </w:cols>
          <w:pgMar w:left="320" w:top="482" w:right="559" w:bottom="1440" w:gutter="0" w:footer="0" w:header="0"/>
          <w:type w:val="continuous"/>
        </w:sectPr>
      </w:pPr>
    </w:p>
    <w:p>
      <w:pPr>
        <w:spacing w:after="0" w:line="115"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19</w:t>
      </w:r>
    </w:p>
    <w:p>
      <w:pPr>
        <w:sectPr>
          <w:pgSz w:w="11900" w:h="16838" w:orient="portrait"/>
          <w:cols w:equalWidth="0" w:num="1">
            <w:col w:w="11020"/>
          </w:cols>
          <w:pgMar w:left="320" w:top="482" w:right="5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240"/>
        <w:spacing w:after="0"/>
        <w:rPr>
          <w:sz w:val="20"/>
          <w:szCs w:val="20"/>
          <w:color w:val="auto"/>
        </w:rPr>
      </w:pPr>
      <w:r>
        <w:rPr>
          <w:rFonts w:ascii="Arial" w:cs="Arial" w:eastAsia="Arial" w:hAnsi="Arial"/>
          <w:sz w:val="22"/>
          <w:szCs w:val="22"/>
          <w:color w:val="FF160F"/>
        </w:rPr>
        <w:t>I</w:t>
      </w:r>
      <w:r>
        <w:rPr>
          <w:rFonts w:ascii="Arial" w:cs="Arial" w:eastAsia="Arial" w:hAnsi="Arial"/>
          <w:sz w:val="17"/>
          <w:szCs w:val="17"/>
          <w:color w:val="FF160F"/>
        </w:rPr>
        <w:t>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9" w:lineRule="exact"/>
        <w:rPr>
          <w:sz w:val="20"/>
          <w:szCs w:val="20"/>
          <w:color w:val="auto"/>
        </w:rPr>
      </w:pPr>
    </w:p>
    <w:p>
      <w:pPr>
        <w:ind w:left="540" w:hanging="424"/>
        <w:spacing w:after="0"/>
        <w:tabs>
          <w:tab w:leader="none" w:pos="540" w:val="left"/>
        </w:tabs>
        <w:numPr>
          <w:ilvl w:val="0"/>
          <w:numId w:val="4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2022 BUSINESS HIGHLIGHTS SUPPORTING COMPENSATION DECISIONS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accomplishments for the year ended December 31, 2022 that were considered in compensation decisions included the following:</w:t>
      </w:r>
    </w:p>
    <w:p>
      <w:pPr>
        <w:spacing w:after="0" w:line="239" w:lineRule="exact"/>
        <w:rPr>
          <w:sz w:val="20"/>
          <w:szCs w:val="20"/>
          <w:color w:val="auto"/>
        </w:rPr>
      </w:pPr>
    </w:p>
    <w:p>
      <w:pPr>
        <w:ind w:left="1700" w:right="480" w:firstLine="1616"/>
        <w:spacing w:after="0" w:line="237" w:lineRule="auto"/>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$6.32</w:t>
      </w:r>
      <w:r>
        <w:rPr>
          <w:rFonts w:ascii="Arial" w:cs="Arial" w:eastAsia="Arial" w:hAnsi="Arial"/>
          <w:sz w:val="18"/>
          <w:szCs w:val="18"/>
          <w:color w:val="auto"/>
        </w:rPr>
        <w:t xml:space="preserve"> representing growth of </w:t>
      </w:r>
      <w:r>
        <w:rPr>
          <w:rFonts w:ascii="Arial" w:cs="Arial" w:eastAsia="Arial" w:hAnsi="Arial"/>
          <w:sz w:val="18"/>
          <w:szCs w:val="18"/>
          <w:color w:val="FF160F"/>
        </w:rPr>
        <w:t>13.5%</w:t>
      </w:r>
      <w:r>
        <w:rPr>
          <w:rFonts w:ascii="Arial" w:cs="Arial" w:eastAsia="Arial" w:hAnsi="Arial"/>
          <w:sz w:val="18"/>
          <w:szCs w:val="18"/>
          <w:color w:val="auto"/>
        </w:rPr>
        <w:t xml:space="preserve"> over 2021 driven by improved </w:t>
      </w:r>
      <w:r>
        <w:rPr>
          <w:rFonts w:ascii="Arial" w:cs="Arial" w:eastAsia="Arial" w:hAnsi="Arial"/>
          <w:sz w:val="19"/>
          <w:szCs w:val="19"/>
          <w:color w:val="FFFFFF"/>
        </w:rPr>
        <w:t xml:space="preserve">FFO Per Share </w:t>
      </w:r>
      <w:r>
        <w:rPr>
          <w:rFonts w:ascii="Arial" w:cs="Arial" w:eastAsia="Arial" w:hAnsi="Arial"/>
          <w:sz w:val="17"/>
          <w:szCs w:val="17"/>
          <w:color w:val="000000"/>
        </w:rPr>
        <w:t>occupancy, increasing rents, strategic acquisitions, new projects coming on line, and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-254000</wp:posOffset>
            </wp:positionV>
            <wp:extent cx="6831965" cy="33858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3385820"/>
                    </a:xfrm>
                    <a:prstGeom prst="rect">
                      <a:avLst/>
                    </a:prstGeom>
                    <a:noFill/>
                  </pic:spPr>
                </pic:pic>
              </a:graphicData>
            </a:graphic>
          </wp:anchor>
        </w:drawing>
      </w:r>
    </w:p>
    <w:p>
      <w:pPr>
        <w:ind w:left="2060"/>
        <w:spacing w:after="0" w:line="233" w:lineRule="auto"/>
        <w:tabs>
          <w:tab w:leader="none" w:pos="3300" w:val="left"/>
        </w:tabs>
        <w:rPr>
          <w:sz w:val="20"/>
          <w:szCs w:val="20"/>
          <w:color w:val="auto"/>
        </w:rPr>
      </w:pPr>
      <w:r>
        <w:rPr>
          <w:rFonts w:ascii="Arial" w:cs="Arial" w:eastAsia="Arial" w:hAnsi="Arial"/>
          <w:sz w:val="20"/>
          <w:szCs w:val="20"/>
          <w:color w:val="FFFFFF"/>
        </w:rPr>
        <w:t>Growth</w:t>
      </w:r>
      <w:r>
        <w:rPr>
          <w:sz w:val="20"/>
          <w:szCs w:val="20"/>
          <w:color w:val="auto"/>
        </w:rPr>
        <w:tab/>
      </w:r>
      <w:r>
        <w:rPr>
          <w:rFonts w:ascii="Arial" w:cs="Arial" w:eastAsia="Arial" w:hAnsi="Arial"/>
          <w:sz w:val="18"/>
          <w:szCs w:val="18"/>
          <w:color w:val="auto"/>
        </w:rPr>
        <w:t>balance sheet management</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400"/>
        </w:trPr>
        <w:tc>
          <w:tcPr>
            <w:tcW w:w="14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shd w:val="clear" w:color="auto" w:fill="A5A5A5"/>
          </w:tcPr>
          <w:p>
            <w:pPr>
              <w:jc w:val="center"/>
              <w:spacing w:after="0"/>
              <w:rPr>
                <w:sz w:val="20"/>
                <w:szCs w:val="20"/>
                <w:color w:val="auto"/>
              </w:rPr>
            </w:pPr>
            <w:r>
              <w:rPr>
                <w:rFonts w:ascii="Arial" w:cs="Arial" w:eastAsia="Arial" w:hAnsi="Arial"/>
                <w:sz w:val="18"/>
                <w:szCs w:val="18"/>
                <w:color w:val="FFFFFF"/>
                <w:w w:val="99"/>
              </w:rPr>
              <w:t>Record Leasing</w:t>
            </w:r>
          </w:p>
        </w:tc>
        <w:tc>
          <w:tcPr>
            <w:tcW w:w="120" w:type="dxa"/>
            <w:vAlign w:val="bottom"/>
            <w:tcBorders>
              <w:top w:val="single" w:sz="8" w:color="auto"/>
            </w:tcBorders>
          </w:tcPr>
          <w:p>
            <w:pPr>
              <w:spacing w:after="0"/>
              <w:rPr>
                <w:sz w:val="24"/>
                <w:szCs w:val="24"/>
                <w:color w:val="auto"/>
              </w:rPr>
            </w:pPr>
          </w:p>
        </w:tc>
        <w:tc>
          <w:tcPr>
            <w:tcW w:w="782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color w:val="FF160F"/>
              </w:rPr>
              <w:t>475</w:t>
            </w:r>
            <w:r>
              <w:rPr>
                <w:rFonts w:ascii="Arial" w:cs="Arial" w:eastAsia="Arial" w:hAnsi="Arial"/>
                <w:sz w:val="18"/>
                <w:szCs w:val="18"/>
                <w:color w:val="auto"/>
              </w:rPr>
              <w:t xml:space="preserve"> new and renewal comparable space leases covering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 million</w:t>
            </w:r>
            <w:r>
              <w:rPr>
                <w:rFonts w:ascii="Arial" w:cs="Arial" w:eastAsia="Arial" w:hAnsi="Arial"/>
                <w:sz w:val="18"/>
                <w:szCs w:val="18"/>
                <w:color w:val="auto"/>
              </w:rPr>
              <w:t xml:space="preserve"> square feet of space</w:t>
            </w:r>
          </w:p>
        </w:tc>
        <w:tc>
          <w:tcPr>
            <w:tcW w:w="0" w:type="dxa"/>
            <w:vAlign w:val="bottom"/>
          </w:tcPr>
          <w:p>
            <w:pPr>
              <w:spacing w:after="0"/>
              <w:rPr>
                <w:sz w:val="1"/>
                <w:szCs w:val="1"/>
                <w:color w:val="auto"/>
              </w:rPr>
            </w:pPr>
          </w:p>
        </w:tc>
      </w:tr>
      <w:tr>
        <w:trPr>
          <w:trHeight w:val="252"/>
        </w:trPr>
        <w:tc>
          <w:tcPr>
            <w:tcW w:w="1420" w:type="dxa"/>
            <w:vAlign w:val="bottom"/>
          </w:tcPr>
          <w:p>
            <w:pPr>
              <w:spacing w:after="0"/>
              <w:rPr>
                <w:sz w:val="21"/>
                <w:szCs w:val="21"/>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rPr>
              <w:t>Activity</w:t>
            </w:r>
          </w:p>
        </w:tc>
        <w:tc>
          <w:tcPr>
            <w:tcW w:w="120" w:type="dxa"/>
            <w:vAlign w:val="bottom"/>
          </w:tcPr>
          <w:p>
            <w:pPr>
              <w:spacing w:after="0"/>
              <w:rPr>
                <w:sz w:val="21"/>
                <w:szCs w:val="21"/>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and more than $74 million of year 1 revenue</w:t>
            </w: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shd w:val="clear" w:color="auto" w:fill="A5A5A5"/>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tcPr>
          <w:p>
            <w:pPr>
              <w:spacing w:after="0"/>
              <w:rPr>
                <w:sz w:val="24"/>
                <w:szCs w:val="24"/>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w w:val="98"/>
              </w:rPr>
              <w:t>Significant</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w w:val="99"/>
              </w:rPr>
              <w:t xml:space="preserve">Achieved commercial occupancy of </w:t>
            </w:r>
            <w:r>
              <w:rPr>
                <w:rFonts w:ascii="Arial" w:cs="Arial" w:eastAsia="Arial" w:hAnsi="Arial"/>
                <w:sz w:val="18"/>
                <w:szCs w:val="18"/>
                <w:color w:val="FF160F"/>
                <w:w w:val="99"/>
              </w:rPr>
              <w:t>92.8%</w:t>
            </w:r>
            <w:r>
              <w:rPr>
                <w:rFonts w:ascii="Arial" w:cs="Arial" w:eastAsia="Arial" w:hAnsi="Arial"/>
                <w:sz w:val="18"/>
                <w:szCs w:val="18"/>
                <w:color w:val="auto"/>
                <w:w w:val="99"/>
              </w:rPr>
              <w:t xml:space="preserve">, an increase of more than </w:t>
            </w:r>
            <w:r>
              <w:rPr>
                <w:rFonts w:ascii="Arial" w:cs="Arial" w:eastAsia="Arial" w:hAnsi="Arial"/>
                <w:sz w:val="18"/>
                <w:szCs w:val="18"/>
                <w:color w:val="FF160F"/>
                <w:w w:val="99"/>
              </w:rPr>
              <w:t>3.3%</w:t>
            </w:r>
            <w:r>
              <w:rPr>
                <w:rFonts w:ascii="Arial" w:cs="Arial" w:eastAsia="Arial" w:hAnsi="Arial"/>
                <w:sz w:val="18"/>
                <w:szCs w:val="18"/>
                <w:color w:val="auto"/>
                <w:w w:val="99"/>
              </w:rPr>
              <w:t xml:space="preserve"> over the lowest level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66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color w:val="FFFFFF"/>
                <w:w w:val="99"/>
              </w:rPr>
              <w:t>Occupancy</w:t>
            </w:r>
          </w:p>
        </w:tc>
        <w:tc>
          <w:tcPr>
            <w:tcW w:w="120" w:type="dxa"/>
            <w:vAlign w:val="bottom"/>
          </w:tcPr>
          <w:p>
            <w:pPr>
              <w:spacing w:after="0"/>
              <w:rPr>
                <w:sz w:val="17"/>
                <w:szCs w:val="17"/>
                <w:color w:val="auto"/>
              </w:rPr>
            </w:pPr>
          </w:p>
        </w:tc>
        <w:tc>
          <w:tcPr>
            <w:tcW w:w="782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occupancy experienced in more than 15 years resulting from high level of COVID related tenant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rPr>
              <w:t>Improvement</w:t>
            </w:r>
          </w:p>
        </w:tc>
        <w:tc>
          <w:tcPr>
            <w:tcW w:w="120" w:type="dxa"/>
            <w:vAlign w:val="bottom"/>
          </w:tcPr>
          <w:p>
            <w:pPr>
              <w:spacing w:after="0"/>
              <w:rPr>
                <w:sz w:val="22"/>
                <w:szCs w:val="22"/>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failures</w:t>
            </w:r>
          </w:p>
        </w:tc>
        <w:tc>
          <w:tcPr>
            <w:tcW w:w="0" w:type="dxa"/>
            <w:vAlign w:val="bottom"/>
          </w:tcPr>
          <w:p>
            <w:pPr>
              <w:spacing w:after="0"/>
              <w:rPr>
                <w:sz w:val="1"/>
                <w:szCs w:val="1"/>
                <w:color w:val="auto"/>
              </w:rPr>
            </w:pPr>
          </w:p>
        </w:tc>
      </w:tr>
      <w:tr>
        <w:trPr>
          <w:trHeight w:val="158"/>
        </w:trPr>
        <w:tc>
          <w:tcPr>
            <w:tcW w:w="1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A5A5A5"/>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20" w:type="dxa"/>
            <w:vAlign w:val="bottom"/>
            <w:tcBorders>
              <w:bottom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420" w:type="dxa"/>
            <w:vAlign w:val="bottom"/>
          </w:tcPr>
          <w:p>
            <w:pPr>
              <w:spacing w:after="0"/>
              <w:rPr>
                <w:sz w:val="24"/>
                <w:szCs w:val="24"/>
                <w:color w:val="auto"/>
              </w:rPr>
            </w:pPr>
          </w:p>
        </w:tc>
        <w:tc>
          <w:tcPr>
            <w:tcW w:w="1660" w:type="dxa"/>
            <w:vAlign w:val="bottom"/>
            <w:vMerge w:val="restart"/>
            <w:shd w:val="clear" w:color="auto" w:fill="A5A5A5"/>
          </w:tcPr>
          <w:p>
            <w:pPr>
              <w:jc w:val="center"/>
              <w:spacing w:after="0"/>
              <w:rPr>
                <w:sz w:val="20"/>
                <w:szCs w:val="20"/>
                <w:color w:val="auto"/>
              </w:rPr>
            </w:pPr>
            <w:r>
              <w:rPr>
                <w:rFonts w:ascii="Arial" w:cs="Arial" w:eastAsia="Arial" w:hAnsi="Arial"/>
                <w:sz w:val="18"/>
                <w:szCs w:val="18"/>
                <w:color w:val="FFFFFF"/>
              </w:rPr>
              <w:t>Productive</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w:t>
            </w:r>
            <w:r>
              <w:rPr>
                <w:rFonts w:ascii="Arial" w:cs="Arial" w:eastAsia="Arial" w:hAnsi="Arial"/>
                <w:sz w:val="18"/>
                <w:szCs w:val="18"/>
                <w:color w:val="FF160F"/>
              </w:rPr>
              <w:t>$136M</w:t>
            </w:r>
            <w:r>
              <w:rPr>
                <w:rFonts w:ascii="Arial" w:cs="Arial" w:eastAsia="Arial" w:hAnsi="Arial"/>
                <w:sz w:val="18"/>
                <w:szCs w:val="18"/>
                <w:color w:val="auto"/>
              </w:rPr>
              <w:t xml:space="preserve"> through sale of non-strategic, slow growing assets and invested </w:t>
            </w:r>
            <w:r>
              <w:rPr>
                <w:rFonts w:ascii="Arial" w:cs="Arial" w:eastAsia="Arial" w:hAnsi="Arial"/>
                <w:sz w:val="18"/>
                <w:szCs w:val="18"/>
                <w:color w:val="FF160F"/>
              </w:rPr>
              <w:t>$526M</w:t>
            </w:r>
            <w:r>
              <w:rPr>
                <w:rFonts w:ascii="Arial" w:cs="Arial" w:eastAsia="Arial" w:hAnsi="Arial"/>
                <w:sz w:val="18"/>
                <w:szCs w:val="18"/>
                <w:color w:val="auto"/>
              </w:rPr>
              <w:t xml:space="preserve"> into more</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660" w:type="dxa"/>
            <w:vAlign w:val="bottom"/>
            <w:vMerge w:val="continue"/>
            <w:shd w:val="clear" w:color="auto" w:fill="A5A5A5"/>
          </w:tcPr>
          <w:p>
            <w:pPr>
              <w:spacing w:after="0"/>
              <w:rPr>
                <w:sz w:val="11"/>
                <w:szCs w:val="11"/>
                <w:color w:val="auto"/>
              </w:rPr>
            </w:pPr>
          </w:p>
        </w:tc>
        <w:tc>
          <w:tcPr>
            <w:tcW w:w="120" w:type="dxa"/>
            <w:vAlign w:val="bottom"/>
          </w:tcPr>
          <w:p>
            <w:pPr>
              <w:spacing w:after="0"/>
              <w:rPr>
                <w:sz w:val="11"/>
                <w:szCs w:val="11"/>
                <w:color w:val="auto"/>
              </w:rPr>
            </w:pPr>
          </w:p>
        </w:tc>
        <w:tc>
          <w:tcPr>
            <w:tcW w:w="7820" w:type="dxa"/>
            <w:vAlign w:val="bottom"/>
            <w:vMerge w:val="restart"/>
            <w:shd w:val="clear" w:color="auto" w:fill="F2F2F2"/>
          </w:tcPr>
          <w:p>
            <w:pPr>
              <w:spacing w:after="0" w:line="202" w:lineRule="exact"/>
              <w:rPr>
                <w:sz w:val="20"/>
                <w:szCs w:val="20"/>
                <w:color w:val="auto"/>
              </w:rPr>
            </w:pPr>
            <w:r>
              <w:rPr>
                <w:rFonts w:ascii="Arial" w:cs="Arial" w:eastAsia="Arial" w:hAnsi="Arial"/>
                <w:sz w:val="18"/>
                <w:szCs w:val="18"/>
                <w:color w:val="auto"/>
              </w:rPr>
              <w:t>productive, higher yielding, faster growing operating assets with potential for additional value</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660" w:type="dxa"/>
            <w:vAlign w:val="bottom"/>
            <w:vMerge w:val="restart"/>
            <w:shd w:val="clear" w:color="auto" w:fill="A5A5A5"/>
          </w:tcPr>
          <w:p>
            <w:pPr>
              <w:jc w:val="center"/>
              <w:spacing w:after="0"/>
              <w:rPr>
                <w:sz w:val="20"/>
                <w:szCs w:val="20"/>
                <w:color w:val="auto"/>
              </w:rPr>
            </w:pPr>
            <w:r>
              <w:rPr>
                <w:rFonts w:ascii="Arial" w:cs="Arial" w:eastAsia="Arial" w:hAnsi="Arial"/>
                <w:sz w:val="18"/>
                <w:szCs w:val="18"/>
                <w:color w:val="FFFFFF"/>
                <w:w w:val="99"/>
              </w:rPr>
              <w:t>Capital Recycling</w:t>
            </w:r>
          </w:p>
        </w:tc>
        <w:tc>
          <w:tcPr>
            <w:tcW w:w="120" w:type="dxa"/>
            <w:vAlign w:val="bottom"/>
          </w:tcPr>
          <w:p>
            <w:pPr>
              <w:spacing w:after="0"/>
              <w:rPr>
                <w:sz w:val="5"/>
                <w:szCs w:val="5"/>
                <w:color w:val="auto"/>
              </w:rPr>
            </w:pPr>
          </w:p>
        </w:tc>
        <w:tc>
          <w:tcPr>
            <w:tcW w:w="782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660" w:type="dxa"/>
            <w:vAlign w:val="bottom"/>
            <w:vMerge w:val="continue"/>
            <w:shd w:val="clear" w:color="auto" w:fill="A5A5A5"/>
          </w:tcPr>
          <w:p>
            <w:pPr>
              <w:spacing w:after="0"/>
              <w:rPr>
                <w:sz w:val="14"/>
                <w:szCs w:val="14"/>
                <w:color w:val="auto"/>
              </w:rPr>
            </w:pPr>
          </w:p>
        </w:tc>
        <w:tc>
          <w:tcPr>
            <w:tcW w:w="120" w:type="dxa"/>
            <w:vAlign w:val="bottom"/>
          </w:tcPr>
          <w:p>
            <w:pPr>
              <w:spacing w:after="0"/>
              <w:rPr>
                <w:sz w:val="14"/>
                <w:szCs w:val="14"/>
                <w:color w:val="auto"/>
              </w:rPr>
            </w:pPr>
          </w:p>
        </w:tc>
        <w:tc>
          <w:tcPr>
            <w:tcW w:w="782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creation</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660" w:type="dxa"/>
            <w:vAlign w:val="bottom"/>
            <w:shd w:val="clear" w:color="auto" w:fill="A5A5A5"/>
          </w:tcPr>
          <w:p>
            <w:pPr>
              <w:spacing w:after="0"/>
              <w:rPr>
                <w:sz w:val="5"/>
                <w:szCs w:val="5"/>
                <w:color w:val="auto"/>
              </w:rPr>
            </w:pPr>
          </w:p>
        </w:tc>
        <w:tc>
          <w:tcPr>
            <w:tcW w:w="120" w:type="dxa"/>
            <w:vAlign w:val="bottom"/>
          </w:tcPr>
          <w:p>
            <w:pPr>
              <w:spacing w:after="0"/>
              <w:rPr>
                <w:sz w:val="5"/>
                <w:szCs w:val="5"/>
                <w:color w:val="auto"/>
              </w:rPr>
            </w:pPr>
          </w:p>
        </w:tc>
        <w:tc>
          <w:tcPr>
            <w:tcW w:w="782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shd w:val="clear" w:color="auto" w:fill="A5A5A5"/>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420" w:type="dxa"/>
            <w:vAlign w:val="bottom"/>
          </w:tcPr>
          <w:p>
            <w:pPr>
              <w:spacing w:after="0"/>
              <w:rPr>
                <w:sz w:val="24"/>
                <w:szCs w:val="24"/>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w w:val="99"/>
              </w:rPr>
              <w:t>55th Year of</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55th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rPr>
              <w:t>Dividend Increases</w:t>
            </w:r>
          </w:p>
        </w:tc>
        <w:tc>
          <w:tcPr>
            <w:tcW w:w="120" w:type="dxa"/>
            <w:vAlign w:val="bottom"/>
          </w:tcPr>
          <w:p>
            <w:pPr>
              <w:spacing w:after="0"/>
              <w:rPr>
                <w:sz w:val="22"/>
                <w:szCs w:val="22"/>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55-year period</w:t>
            </w:r>
          </w:p>
        </w:tc>
        <w:tc>
          <w:tcPr>
            <w:tcW w:w="0" w:type="dxa"/>
            <w:vAlign w:val="bottom"/>
          </w:tcPr>
          <w:p>
            <w:pPr>
              <w:spacing w:after="0"/>
              <w:rPr>
                <w:sz w:val="1"/>
                <w:szCs w:val="1"/>
                <w:color w:val="auto"/>
              </w:rPr>
            </w:pPr>
          </w:p>
        </w:tc>
      </w:tr>
      <w:tr>
        <w:trPr>
          <w:trHeight w:val="172"/>
        </w:trPr>
        <w:tc>
          <w:tcPr>
            <w:tcW w:w="1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shd w:val="clear" w:color="auto" w:fill="A5A5A5"/>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420" w:type="dxa"/>
            <w:vAlign w:val="bottom"/>
          </w:tcPr>
          <w:p>
            <w:pPr>
              <w:spacing w:after="0"/>
              <w:rPr>
                <w:sz w:val="24"/>
                <w:szCs w:val="24"/>
                <w:color w:val="auto"/>
              </w:rPr>
            </w:pPr>
          </w:p>
        </w:tc>
        <w:tc>
          <w:tcPr>
            <w:tcW w:w="1660" w:type="dxa"/>
            <w:vAlign w:val="bottom"/>
            <w:shd w:val="clear" w:color="auto" w:fill="A5A5A5"/>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22%</w:t>
            </w:r>
            <w:r>
              <w:rPr>
                <w:rFonts w:ascii="Arial" w:cs="Arial" w:eastAsia="Arial" w:hAnsi="Arial"/>
                <w:sz w:val="18"/>
                <w:szCs w:val="18"/>
                <w:color w:val="auto"/>
              </w:rPr>
              <w:t xml:space="preserve"> decrease in Scope 1 and 2 GHG emissions through 2021 versus 2019 baseline</w:t>
            </w: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w w:val="99"/>
              </w:rPr>
              <w:t>Sustainability**</w:t>
            </w:r>
          </w:p>
        </w:tc>
        <w:tc>
          <w:tcPr>
            <w:tcW w:w="120" w:type="dxa"/>
            <w:vAlign w:val="bottom"/>
          </w:tcPr>
          <w:p>
            <w:pPr>
              <w:spacing w:after="0"/>
              <w:rPr>
                <w:sz w:val="18"/>
                <w:szCs w:val="18"/>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w w:val="99"/>
              </w:rPr>
              <w:t>in alignment with our 2030 GHG reduction target set in accordance with the Science-Based Target</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1660" w:type="dxa"/>
            <w:vAlign w:val="bottom"/>
            <w:shd w:val="clear" w:color="auto" w:fill="A5A5A5"/>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initiative</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shd w:val="clear" w:color="auto" w:fill="A5A5A5"/>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-2811145</wp:posOffset>
            </wp:positionV>
            <wp:extent cx="419735" cy="420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000000"/>
                        </a:clrFrom>
                        <a:clrTo>
                          <a:srgbClr val="000000">
                            <a:alpha val="0"/>
                          </a:srgbClr>
                        </a:clrTo>
                      </a:clrChange>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-2811145</wp:posOffset>
            </wp:positionV>
            <wp:extent cx="419735" cy="420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-2271395</wp:posOffset>
            </wp:positionV>
            <wp:extent cx="522605" cy="497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522605" cy="49720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-2271395</wp:posOffset>
            </wp:positionV>
            <wp:extent cx="522605" cy="497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22605" cy="4972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-1610995</wp:posOffset>
            </wp:positionV>
            <wp:extent cx="394335"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000000"/>
                        </a:clrFrom>
                        <a:clrTo>
                          <a:srgbClr val="000000">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-1610995</wp:posOffset>
            </wp:positionV>
            <wp:extent cx="394335" cy="394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-1105535</wp:posOffset>
            </wp:positionV>
            <wp:extent cx="565785"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000000"/>
                        </a:clrFrom>
                        <a:clrTo>
                          <a:srgbClr val="000000">
                            <a:alpha val="0"/>
                          </a:srgbClr>
                        </a:clrTo>
                      </a:clrChange>
                      <a:extLst>
                        <a:ext uri="{28A0092B-C50C-407E-A947-70E740481C1C}"/>
                      </a:extLst>
                    </a:blip>
                    <a:srcRect/>
                    <a:stretch>
                      <a:fillRect/>
                    </a:stretch>
                  </pic:blipFill>
                  <pic:spPr bwMode="auto">
                    <a:xfrm>
                      <a:off x="0" y="0"/>
                      <a:ext cx="565785" cy="4800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-1105535</wp:posOffset>
            </wp:positionV>
            <wp:extent cx="565785" cy="480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65785" cy="4800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-530860</wp:posOffset>
            </wp:positionV>
            <wp:extent cx="436880" cy="436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000000"/>
                        </a:clrFrom>
                        <a:clrTo>
                          <a:srgbClr val="000000">
                            <a:alpha val="0"/>
                          </a:srgbClr>
                        </a:clrTo>
                      </a:clrChange>
                      <a:extLst>
                        <a:ext uri="{28A0092B-C50C-407E-A947-70E740481C1C}"/>
                      </a:extLst>
                    </a:blip>
                    <a:srcRect/>
                    <a:stretch>
                      <a:fillRect/>
                    </a:stretch>
                  </pic:blipFill>
                  <pic:spPr bwMode="auto">
                    <a:xfrm>
                      <a:off x="0" y="0"/>
                      <a:ext cx="436880" cy="43688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-530860</wp:posOffset>
            </wp:positionV>
            <wp:extent cx="436880" cy="436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spacing w:after="0" w:line="204" w:lineRule="exact"/>
        <w:rPr>
          <w:sz w:val="20"/>
          <w:szCs w:val="20"/>
          <w:color w:val="auto"/>
        </w:rPr>
      </w:pPr>
    </w:p>
    <w:p>
      <w:pPr>
        <w:ind w:left="540" w:hanging="424"/>
        <w:spacing w:after="0" w:line="24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pages 3 - 4 for more information on sustainability initiatives and achievements.</w:t>
      </w:r>
    </w:p>
    <w:p>
      <w:pPr>
        <w:spacing w:after="0" w:line="221" w:lineRule="exact"/>
        <w:rPr>
          <w:sz w:val="20"/>
          <w:szCs w:val="20"/>
          <w:color w:val="auto"/>
        </w:rPr>
      </w:pPr>
    </w:p>
    <w:p>
      <w:pPr>
        <w:ind w:left="540" w:hanging="424"/>
        <w:spacing w:after="0"/>
        <w:tabs>
          <w:tab w:leader="none" w:pos="540" w:val="left"/>
        </w:tabs>
        <w:numPr>
          <w:ilvl w:val="0"/>
          <w:numId w:val="4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PROGRAM PHILOSOPHY AND OBJECTIVES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19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strong link between pay and performance</w:t>
      </w:r>
    </w:p>
    <w:p>
      <w:pPr>
        <w:spacing w:after="0" w:line="13"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Align the financial interest of our NEOs with our shareholders, particularly over the longer term</w:t>
      </w: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Reinforce business strategies and objectives and drive sustained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92075</wp:posOffset>
            </wp:positionV>
            <wp:extent cx="701230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4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4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EXECUTIVE COMPENSATION PRACTICES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key governance elements related to our compensation programs:</w:t>
      </w:r>
    </w:p>
    <w:p>
      <w:pPr>
        <w:sectPr>
          <w:pgSz w:w="11900" w:h="16838" w:orient="portrait"/>
          <w:cols w:equalWidth="0" w:num="1">
            <w:col w:w="11140"/>
          </w:cols>
          <w:pgMar w:left="320" w:top="482" w:right="439" w:bottom="1440" w:gutter="0" w:footer="0" w:header="0"/>
        </w:sectPr>
      </w:pP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What We Do</w:t>
      </w:r>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Maintain a pay mix that is heavily performance-based</w:t>
      </w:r>
    </w:p>
    <w:p>
      <w:pPr>
        <w:spacing w:after="0" w:line="320" w:lineRule="exact"/>
        <w:rPr>
          <w:sz w:val="20"/>
          <w:szCs w:val="20"/>
          <w:color w:val="auto"/>
        </w:rPr>
      </w:pPr>
    </w:p>
    <w:p>
      <w:pPr>
        <w:ind w:left="800" w:right="700"/>
        <w:spacing w:after="0" w:line="271" w:lineRule="auto"/>
        <w:rPr>
          <w:sz w:val="20"/>
          <w:szCs w:val="20"/>
          <w:color w:val="auto"/>
        </w:rPr>
      </w:pPr>
      <w:r>
        <w:rPr>
          <w:rFonts w:ascii="Arial" w:cs="Arial" w:eastAsia="Arial" w:hAnsi="Arial"/>
          <w:sz w:val="18"/>
          <w:szCs w:val="18"/>
          <w:color w:val="auto"/>
        </w:rPr>
        <w:t>Align compensation with company and individual performance</w:t>
      </w:r>
    </w:p>
    <w:p>
      <w:pPr>
        <w:spacing w:after="0" w:line="154" w:lineRule="exact"/>
        <w:rPr>
          <w:sz w:val="20"/>
          <w:szCs w:val="20"/>
          <w:color w:val="auto"/>
        </w:rPr>
      </w:pPr>
    </w:p>
    <w:p>
      <w:pPr>
        <w:ind w:left="800" w:right="900"/>
        <w:spacing w:after="0" w:line="271" w:lineRule="auto"/>
        <w:rPr>
          <w:sz w:val="20"/>
          <w:szCs w:val="20"/>
          <w:color w:val="auto"/>
        </w:rPr>
      </w:pPr>
      <w:r>
        <w:rPr>
          <w:rFonts w:ascii="Arial" w:cs="Arial" w:eastAsia="Arial" w:hAnsi="Arial"/>
          <w:sz w:val="18"/>
          <w:szCs w:val="18"/>
          <w:color w:val="auto"/>
        </w:rPr>
        <w:t>Seek annual shareholder advisory approval of executive compensation</w:t>
      </w:r>
    </w:p>
    <w:p>
      <w:pPr>
        <w:spacing w:after="0" w:line="154" w:lineRule="exact"/>
        <w:rPr>
          <w:sz w:val="20"/>
          <w:szCs w:val="20"/>
          <w:color w:val="auto"/>
        </w:rPr>
      </w:pPr>
    </w:p>
    <w:p>
      <w:pPr>
        <w:ind w:left="800" w:right="260"/>
        <w:spacing w:after="0" w:line="253" w:lineRule="auto"/>
        <w:rPr>
          <w:sz w:val="20"/>
          <w:szCs w:val="20"/>
          <w:color w:val="auto"/>
        </w:rPr>
      </w:pPr>
      <w:r>
        <w:rPr>
          <w:rFonts w:ascii="Arial" w:cs="Arial" w:eastAsia="Arial" w:hAnsi="Arial"/>
          <w:sz w:val="18"/>
          <w:szCs w:val="18"/>
          <w:color w:val="auto"/>
        </w:rPr>
        <w:t>Maintain strong stock ownership guidelines of 7x base salary for our CEO and 2.5x base salary plus annual bonus for our other NEOs</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Maintain incentive compensation clawback policy</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Conduct annual compensation risk assessment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-118745</wp:posOffset>
            </wp:positionV>
            <wp:extent cx="6995160" cy="25203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2520315"/>
                    </a:xfrm>
                    <a:prstGeom prst="rect">
                      <a:avLst/>
                    </a:prstGeom>
                    <a:noFill/>
                  </pic:spPr>
                </pic:pic>
              </a:graphicData>
            </a:graphic>
          </wp:anchor>
        </w:drawing>
      </w:r>
    </w:p>
    <w:p>
      <w:pPr>
        <w:spacing w:after="0" w:line="192" w:lineRule="exact"/>
        <w:rPr>
          <w:sz w:val="20"/>
          <w:szCs w:val="20"/>
          <w:color w:val="auto"/>
        </w:rPr>
      </w:pPr>
    </w:p>
    <w:p>
      <w:pPr>
        <w:ind w:left="540" w:right="480"/>
        <w:spacing w:after="0" w:line="271" w:lineRule="auto"/>
        <w:rPr>
          <w:sz w:val="20"/>
          <w:szCs w:val="20"/>
          <w:color w:val="auto"/>
        </w:rPr>
      </w:pPr>
      <w:r>
        <w:rPr>
          <w:rFonts w:ascii="Arial" w:cs="Arial" w:eastAsia="Arial" w:hAnsi="Arial"/>
          <w:sz w:val="18"/>
          <w:szCs w:val="18"/>
          <w:color w:val="auto"/>
        </w:rPr>
        <w:t>Have employment agreements with our NEOs with required fixed compensation increases</w:t>
      </w:r>
    </w:p>
    <w:p>
      <w:pPr>
        <w:spacing w:after="0" w:line="24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Grant options below fair market value or reprice options</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Permit hedging or pledging of our shares</w:t>
      </w:r>
    </w:p>
    <w:p>
      <w:pPr>
        <w:spacing w:after="0" w:line="200" w:lineRule="exact"/>
        <w:rPr>
          <w:sz w:val="20"/>
          <w:szCs w:val="20"/>
          <w:color w:val="auto"/>
        </w:rPr>
      </w:pPr>
    </w:p>
    <w:p>
      <w:pPr>
        <w:spacing w:after="0" w:line="214" w:lineRule="exact"/>
        <w:rPr>
          <w:sz w:val="20"/>
          <w:szCs w:val="20"/>
          <w:color w:val="auto"/>
        </w:rPr>
      </w:pPr>
    </w:p>
    <w:p>
      <w:pPr>
        <w:ind w:left="540" w:right="140"/>
        <w:spacing w:after="0" w:line="271" w:lineRule="auto"/>
        <w:rPr>
          <w:sz w:val="20"/>
          <w:szCs w:val="20"/>
          <w:color w:val="auto"/>
        </w:rPr>
      </w:pPr>
      <w:r>
        <w:rPr>
          <w:rFonts w:ascii="Arial" w:cs="Arial" w:eastAsia="Arial" w:hAnsi="Arial"/>
          <w:sz w:val="18"/>
          <w:szCs w:val="18"/>
          <w:color w:val="auto"/>
        </w:rPr>
        <w:t>Provide perquisites that are not made available to all of our employees</w:t>
      </w:r>
    </w:p>
    <w:p>
      <w:pPr>
        <w:spacing w:after="0" w:line="1262" w:lineRule="exact"/>
        <w:rPr>
          <w:sz w:val="20"/>
          <w:szCs w:val="20"/>
          <w:color w:val="auto"/>
        </w:rPr>
      </w:pPr>
    </w:p>
    <w:p>
      <w:pPr>
        <w:sectPr>
          <w:pgSz w:w="11900" w:h="16838" w:orient="portrait"/>
          <w:cols w:equalWidth="0" w:num="2">
            <w:col w:w="5360" w:space="720"/>
            <w:col w:w="5060"/>
          </w:cols>
          <w:pgMar w:left="320" w:top="482" w:right="439" w:bottom="1440" w:gutter="0" w:footer="0" w:header="0"/>
          <w:type w:val="continuous"/>
        </w:sectPr>
      </w:pPr>
    </w:p>
    <w:p>
      <w:pPr>
        <w:spacing w:after="0" w:line="106" w:lineRule="exact"/>
        <w:rPr>
          <w:sz w:val="20"/>
          <w:szCs w:val="20"/>
          <w:color w:val="auto"/>
        </w:rPr>
      </w:pPr>
    </w:p>
    <w:p>
      <w:pPr>
        <w:ind w:left="540" w:hanging="424"/>
        <w:spacing w:after="0"/>
        <w:tabs>
          <w:tab w:leader="none" w:pos="540" w:val="left"/>
        </w:tabs>
        <w:numPr>
          <w:ilvl w:val="0"/>
          <w:numId w:val="4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COMPONENTS OF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the three components of our compensation plan as well as key information about each component.</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bottom w:val="single" w:sz="8" w:color="auto"/>
            </w:tcBorders>
            <w:shd w:val="clear" w:color="auto" w:fill="E5E5E5"/>
          </w:tcPr>
          <w:p>
            <w:pPr>
              <w:spacing w:after="0"/>
              <w:rPr>
                <w:sz w:val="17"/>
                <w:szCs w:val="17"/>
                <w:color w:val="auto"/>
              </w:rPr>
            </w:pPr>
          </w:p>
        </w:tc>
        <w:tc>
          <w:tcPr>
            <w:tcW w:w="172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Pay Component</w:t>
            </w:r>
          </w:p>
        </w:tc>
        <w:tc>
          <w:tcPr>
            <w:tcW w:w="68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Time</w:t>
            </w:r>
          </w:p>
        </w:tc>
        <w:tc>
          <w:tcPr>
            <w:tcW w:w="208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6"/>
                <w:szCs w:val="16"/>
                <w:b w:val="1"/>
                <w:bCs w:val="1"/>
                <w:color w:val="auto"/>
              </w:rPr>
              <w:t>Metric</w:t>
            </w:r>
          </w:p>
        </w:tc>
        <w:tc>
          <w:tcPr>
            <w:tcW w:w="2220" w:type="dxa"/>
            <w:vAlign w:val="bottom"/>
            <w:tcBorders>
              <w:top w:val="single" w:sz="8" w:color="auto"/>
              <w:bottom w:val="single" w:sz="8" w:color="auto"/>
            </w:tcBorders>
            <w:shd w:val="clear" w:color="auto" w:fill="E5E5E5"/>
          </w:tcPr>
          <w:p>
            <w:pPr>
              <w:ind w:left="120"/>
              <w:spacing w:after="0"/>
              <w:rPr>
                <w:sz w:val="20"/>
                <w:szCs w:val="20"/>
                <w:color w:val="auto"/>
              </w:rPr>
            </w:pPr>
            <w:r>
              <w:rPr>
                <w:rFonts w:ascii="Arial" w:cs="Arial" w:eastAsia="Arial" w:hAnsi="Arial"/>
                <w:sz w:val="16"/>
                <w:szCs w:val="16"/>
                <w:b w:val="1"/>
                <w:bCs w:val="1"/>
                <w:color w:val="auto"/>
              </w:rPr>
              <w:t>Purpose</w:t>
            </w:r>
          </w:p>
        </w:tc>
        <w:tc>
          <w:tcPr>
            <w:tcW w:w="192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Impact</w:t>
            </w:r>
          </w:p>
        </w:tc>
        <w:tc>
          <w:tcPr>
            <w:tcW w:w="80" w:type="dxa"/>
            <w:vAlign w:val="bottom"/>
            <w:tcBorders>
              <w:top w:val="single" w:sz="8" w:color="auto"/>
              <w:bottom w:val="single" w:sz="8" w:color="auto"/>
            </w:tcBorders>
            <w:shd w:val="clear" w:color="auto" w:fill="E5E5E5"/>
          </w:tcPr>
          <w:p>
            <w:pPr>
              <w:spacing w:after="0"/>
              <w:rPr>
                <w:sz w:val="17"/>
                <w:szCs w:val="17"/>
                <w:color w:val="auto"/>
              </w:rPr>
            </w:pPr>
          </w:p>
        </w:tc>
        <w:tc>
          <w:tcPr>
            <w:tcW w:w="880" w:type="dxa"/>
            <w:vAlign w:val="bottom"/>
            <w:tcBorders>
              <w:top w:val="single" w:sz="8" w:color="auto"/>
              <w:bottom w:val="single" w:sz="8" w:color="auto"/>
            </w:tcBorders>
            <w:shd w:val="clear" w:color="auto" w:fill="E5E5E5"/>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40" w:type="dxa"/>
            <w:vAlign w:val="bottom"/>
            <w:tcBorders>
              <w:left w:val="single" w:sz="8" w:color="auto"/>
            </w:tcBorders>
            <w:shd w:val="clear" w:color="auto" w:fill="000000"/>
          </w:tcPr>
          <w:p>
            <w:pPr>
              <w:jc w:val="center"/>
              <w:spacing w:after="0" w:line="168" w:lineRule="exact"/>
              <w:rPr>
                <w:sz w:val="20"/>
                <w:szCs w:val="20"/>
                <w:color w:val="auto"/>
              </w:rPr>
            </w:pPr>
            <w:r>
              <w:rPr>
                <w:rFonts w:ascii="Arial" w:cs="Arial" w:eastAsia="Arial" w:hAnsi="Arial"/>
                <w:sz w:val="16"/>
                <w:szCs w:val="16"/>
                <w:color w:val="FFFFFF"/>
                <w:w w:val="99"/>
              </w:rPr>
              <w:t>Annual / Short-Term</w:t>
            </w:r>
          </w:p>
        </w:tc>
        <w:tc>
          <w:tcPr>
            <w:tcW w:w="17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Base Pay</w:t>
            </w:r>
          </w:p>
        </w:tc>
        <w:tc>
          <w:tcPr>
            <w:tcW w:w="680" w:type="dxa"/>
            <w:vAlign w:val="bottom"/>
          </w:tcPr>
          <w:p>
            <w:pPr>
              <w:ind w:left="60"/>
              <w:spacing w:after="0" w:line="168" w:lineRule="exact"/>
              <w:rPr>
                <w:sz w:val="20"/>
                <w:szCs w:val="20"/>
                <w:color w:val="auto"/>
              </w:rPr>
            </w:pPr>
            <w:r>
              <w:rPr>
                <w:rFonts w:ascii="Arial" w:cs="Arial" w:eastAsia="Arial" w:hAnsi="Arial"/>
                <w:sz w:val="16"/>
                <w:szCs w:val="16"/>
                <w:color w:val="auto"/>
              </w:rPr>
              <w:t>1 year</w:t>
            </w:r>
          </w:p>
        </w:tc>
        <w:tc>
          <w:tcPr>
            <w:tcW w:w="2080" w:type="dxa"/>
            <w:vAlign w:val="bottom"/>
          </w:tcPr>
          <w:p>
            <w:pPr>
              <w:ind w:left="100"/>
              <w:spacing w:after="0" w:line="168" w:lineRule="exact"/>
              <w:rPr>
                <w:sz w:val="20"/>
                <w:szCs w:val="20"/>
                <w:color w:val="auto"/>
              </w:rPr>
            </w:pPr>
            <w:r>
              <w:rPr>
                <w:rFonts w:ascii="Arial" w:cs="Arial" w:eastAsia="Arial" w:hAnsi="Arial"/>
                <w:sz w:val="16"/>
                <w:szCs w:val="16"/>
                <w:color w:val="auto"/>
              </w:rPr>
              <w:t>Individual performance</w:t>
            </w:r>
          </w:p>
        </w:tc>
        <w:tc>
          <w:tcPr>
            <w:tcW w:w="2220" w:type="dxa"/>
            <w:vAlign w:val="bottom"/>
          </w:tcPr>
          <w:p>
            <w:pPr>
              <w:ind w:left="120"/>
              <w:spacing w:after="0" w:line="168" w:lineRule="exact"/>
              <w:rPr>
                <w:sz w:val="20"/>
                <w:szCs w:val="20"/>
                <w:color w:val="auto"/>
              </w:rPr>
            </w:pPr>
            <w:r>
              <w:rPr>
                <w:rFonts w:ascii="Arial" w:cs="Arial" w:eastAsia="Arial" w:hAnsi="Arial"/>
                <w:sz w:val="16"/>
                <w:szCs w:val="16"/>
                <w:color w:val="auto"/>
              </w:rPr>
              <w:t>To provide fair and</w:t>
            </w:r>
          </w:p>
        </w:tc>
        <w:tc>
          <w:tcPr>
            <w:tcW w:w="1920" w:type="dxa"/>
            <w:vAlign w:val="bottom"/>
          </w:tcPr>
          <w:p>
            <w:pPr>
              <w:ind w:left="80"/>
              <w:spacing w:after="0" w:line="168" w:lineRule="exact"/>
              <w:rPr>
                <w:sz w:val="20"/>
                <w:szCs w:val="20"/>
                <w:color w:val="auto"/>
              </w:rPr>
            </w:pPr>
            <w:r>
              <w:rPr>
                <w:rFonts w:ascii="Arial" w:cs="Arial" w:eastAsia="Arial" w:hAnsi="Arial"/>
                <w:sz w:val="16"/>
                <w:szCs w:val="16"/>
                <w:color w:val="auto"/>
              </w:rPr>
              <w:t>Attract and retain talent</w:t>
            </w:r>
          </w:p>
        </w:tc>
        <w:tc>
          <w:tcPr>
            <w:tcW w:w="80" w:type="dxa"/>
            <w:vAlign w:val="bottom"/>
            <w:shd w:val="clear" w:color="auto" w:fill="000000"/>
          </w:tcPr>
          <w:p>
            <w:pPr>
              <w:spacing w:after="0"/>
              <w:rPr>
                <w:sz w:val="14"/>
                <w:szCs w:val="14"/>
                <w:color w:val="auto"/>
              </w:rPr>
            </w:pPr>
          </w:p>
        </w:tc>
        <w:tc>
          <w:tcPr>
            <w:tcW w:w="880" w:type="dxa"/>
            <w:vAlign w:val="bottom"/>
            <w:shd w:val="clear" w:color="auto" w:fill="000000"/>
          </w:tcPr>
          <w:p>
            <w:pPr>
              <w:jc w:val="center"/>
              <w:spacing w:after="0" w:line="168" w:lineRule="exact"/>
              <w:rPr>
                <w:sz w:val="20"/>
                <w:szCs w:val="20"/>
                <w:color w:val="auto"/>
              </w:rPr>
            </w:pPr>
            <w:r>
              <w:rPr>
                <w:rFonts w:ascii="Arial" w:cs="Arial" w:eastAsia="Arial" w:hAnsi="Arial"/>
                <w:sz w:val="16"/>
                <w:szCs w:val="16"/>
                <w:color w:val="FFFFFF"/>
              </w:rPr>
              <w:t>Fixed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See p. 23 for more</w:t>
            </w: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competitive compensation</w:t>
            </w:r>
          </w:p>
        </w:tc>
        <w:tc>
          <w:tcPr>
            <w:tcW w:w="19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for individual performance</w:t>
            </w:r>
          </w:p>
        </w:tc>
        <w:tc>
          <w:tcPr>
            <w:tcW w:w="19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and level of responsibility of</w:t>
            </w:r>
          </w:p>
        </w:tc>
        <w:tc>
          <w:tcPr>
            <w:tcW w:w="19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bottom w:val="single" w:sz="8" w:color="auto"/>
            </w:tcBorders>
            <w:shd w:val="clear" w:color="auto" w:fill="000000"/>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position held</w:t>
            </w:r>
          </w:p>
        </w:tc>
        <w:tc>
          <w:tcPr>
            <w:tcW w:w="1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440" w:type="dxa"/>
            <w:vAlign w:val="bottom"/>
            <w:tcBorders>
              <w:left w:val="single" w:sz="8" w:color="auto"/>
            </w:tcBorders>
            <w:shd w:val="clear" w:color="auto" w:fill="000000"/>
          </w:tcPr>
          <w:p>
            <w:pPr>
              <w:spacing w:after="0"/>
              <w:rPr>
                <w:sz w:val="2"/>
                <w:szCs w:val="2"/>
                <w:color w:val="auto"/>
              </w:rPr>
            </w:pPr>
          </w:p>
        </w:tc>
        <w:tc>
          <w:tcPr>
            <w:tcW w:w="17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Annual Performance</w:t>
            </w:r>
          </w:p>
        </w:tc>
        <w:tc>
          <w:tcPr>
            <w:tcW w:w="680" w:type="dxa"/>
            <w:vAlign w:val="bottom"/>
            <w:vMerge w:val="restart"/>
          </w:tcPr>
          <w:p>
            <w:pPr>
              <w:ind w:left="60"/>
              <w:spacing w:after="0"/>
              <w:rPr>
                <w:sz w:val="20"/>
                <w:szCs w:val="20"/>
                <w:color w:val="auto"/>
              </w:rPr>
            </w:pPr>
            <w:r>
              <w:rPr>
                <w:rFonts w:ascii="Arial" w:cs="Arial" w:eastAsia="Arial" w:hAnsi="Arial"/>
                <w:sz w:val="16"/>
                <w:szCs w:val="16"/>
                <w:color w:val="auto"/>
              </w:rPr>
              <w:t>1 year</w:t>
            </w:r>
          </w:p>
        </w:tc>
        <w:tc>
          <w:tcPr>
            <w:tcW w:w="2080" w:type="dxa"/>
            <w:vAlign w:val="bottom"/>
            <w:vMerge w:val="restart"/>
          </w:tcPr>
          <w:p>
            <w:pPr>
              <w:ind w:left="100"/>
              <w:spacing w:after="0"/>
              <w:rPr>
                <w:sz w:val="20"/>
                <w:szCs w:val="20"/>
                <w:color w:val="auto"/>
              </w:rPr>
            </w:pPr>
            <w:r>
              <w:rPr>
                <w:rFonts w:ascii="Arial" w:cs="Arial" w:eastAsia="Arial" w:hAnsi="Arial"/>
                <w:sz w:val="16"/>
                <w:szCs w:val="16"/>
                <w:color w:val="auto"/>
              </w:rPr>
              <w:t>FFO per share</w:t>
            </w:r>
          </w:p>
        </w:tc>
        <w:tc>
          <w:tcPr>
            <w:tcW w:w="2220" w:type="dxa"/>
            <w:vAlign w:val="bottom"/>
            <w:vMerge w:val="restart"/>
          </w:tcPr>
          <w:p>
            <w:pPr>
              <w:ind w:left="120"/>
              <w:spacing w:after="0"/>
              <w:rPr>
                <w:sz w:val="20"/>
                <w:szCs w:val="20"/>
                <w:color w:val="auto"/>
              </w:rPr>
            </w:pPr>
            <w:r>
              <w:rPr>
                <w:rFonts w:ascii="Arial" w:cs="Arial" w:eastAsia="Arial" w:hAnsi="Arial"/>
                <w:sz w:val="16"/>
                <w:szCs w:val="16"/>
                <w:color w:val="auto"/>
              </w:rPr>
              <w:t>To provide performance</w:t>
            </w:r>
          </w:p>
        </w:tc>
        <w:tc>
          <w:tcPr>
            <w:tcW w:w="1920" w:type="dxa"/>
            <w:vAlign w:val="bottom"/>
            <w:vMerge w:val="restart"/>
          </w:tcPr>
          <w:p>
            <w:pPr>
              <w:ind w:left="80"/>
              <w:spacing w:after="0"/>
              <w:rPr>
                <w:sz w:val="20"/>
                <w:szCs w:val="20"/>
                <w:color w:val="auto"/>
              </w:rPr>
            </w:pPr>
            <w:r>
              <w:rPr>
                <w:rFonts w:ascii="Arial" w:cs="Arial" w:eastAsia="Arial" w:hAnsi="Arial"/>
                <w:sz w:val="16"/>
                <w:szCs w:val="16"/>
                <w:color w:val="auto"/>
              </w:rPr>
              <w:t>Drive near-term</w:t>
            </w: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40" w:type="dxa"/>
            <w:vAlign w:val="bottom"/>
            <w:tcBorders>
              <w:left w:val="single" w:sz="8" w:color="auto"/>
            </w:tcBorders>
            <w:shd w:val="clear" w:color="auto" w:fill="000000"/>
          </w:tcPr>
          <w:p>
            <w:pPr>
              <w:spacing w:after="0"/>
              <w:rPr>
                <w:sz w:val="15"/>
                <w:szCs w:val="15"/>
                <w:color w:val="auto"/>
              </w:rPr>
            </w:pPr>
          </w:p>
        </w:tc>
        <w:tc>
          <w:tcPr>
            <w:tcW w:w="17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80" w:type="dxa"/>
            <w:vAlign w:val="bottom"/>
            <w:shd w:val="clear" w:color="auto" w:fill="FF160F"/>
          </w:tcPr>
          <w:p>
            <w:pPr>
              <w:spacing w:after="0"/>
              <w:rPr>
                <w:sz w:val="15"/>
                <w:szCs w:val="15"/>
                <w:color w:val="auto"/>
              </w:rPr>
            </w:pPr>
          </w:p>
        </w:tc>
        <w:tc>
          <w:tcPr>
            <w:tcW w:w="880" w:type="dxa"/>
            <w:vAlign w:val="bottom"/>
            <w:shd w:val="clear" w:color="auto" w:fill="FF160F"/>
          </w:tcPr>
          <w:p>
            <w:pPr>
              <w:jc w:val="center"/>
              <w:spacing w:after="0" w:line="175" w:lineRule="exact"/>
              <w:rPr>
                <w:sz w:val="20"/>
                <w:szCs w:val="20"/>
                <w:color w:val="auto"/>
              </w:rPr>
            </w:pPr>
            <w:r>
              <w:rPr>
                <w:rFonts w:ascii="Arial" w:cs="Arial" w:eastAsia="Arial" w:hAnsi="Arial"/>
                <w:sz w:val="16"/>
                <w:szCs w:val="16"/>
                <w:color w:val="FFFFFF"/>
              </w:rPr>
              <w:t>Variable / At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b w:val="1"/>
                <w:bCs w:val="1"/>
                <w:color w:val="auto"/>
              </w:rPr>
              <w:t>Bonus</w:t>
            </w: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Individual performance</w:t>
            </w:r>
          </w:p>
        </w:tc>
        <w:tc>
          <w:tcPr>
            <w:tcW w:w="2220" w:type="dxa"/>
            <w:vAlign w:val="bottom"/>
          </w:tcPr>
          <w:p>
            <w:pPr>
              <w:ind w:left="120"/>
              <w:spacing w:after="0"/>
              <w:rPr>
                <w:sz w:val="20"/>
                <w:szCs w:val="20"/>
                <w:color w:val="auto"/>
              </w:rPr>
            </w:pPr>
            <w:r>
              <w:rPr>
                <w:rFonts w:ascii="Arial" w:cs="Arial" w:eastAsia="Arial" w:hAnsi="Arial"/>
                <w:sz w:val="16"/>
                <w:szCs w:val="16"/>
                <w:color w:val="auto"/>
              </w:rPr>
              <w:t>based annual cash awards</w:t>
            </w:r>
          </w:p>
        </w:tc>
        <w:tc>
          <w:tcPr>
            <w:tcW w:w="1920" w:type="dxa"/>
            <w:vAlign w:val="bottom"/>
          </w:tcPr>
          <w:p>
            <w:pPr>
              <w:ind w:left="80"/>
              <w:spacing w:after="0"/>
              <w:rPr>
                <w:sz w:val="20"/>
                <w:szCs w:val="20"/>
                <w:color w:val="auto"/>
              </w:rPr>
            </w:pPr>
            <w:r>
              <w:rPr>
                <w:rFonts w:ascii="Arial" w:cs="Arial" w:eastAsia="Arial" w:hAnsi="Arial"/>
                <w:sz w:val="16"/>
                <w:szCs w:val="16"/>
                <w:color w:val="auto"/>
              </w:rPr>
              <w:t>corporate and individual</w:t>
            </w: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jc w:val="center"/>
              <w:spacing w:after="0"/>
              <w:rPr>
                <w:sz w:val="20"/>
                <w:szCs w:val="20"/>
                <w:color w:val="auto"/>
              </w:rPr>
            </w:pPr>
            <w:r>
              <w:rPr>
                <w:rFonts w:ascii="Arial" w:cs="Arial" w:eastAsia="Arial" w:hAnsi="Arial"/>
                <w:sz w:val="16"/>
                <w:szCs w:val="16"/>
                <w:color w:val="FFFFFF"/>
                <w:w w:val="96"/>
              </w:rPr>
              <w:t>risk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See p. 23 for more</w:t>
            </w: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to motivate and reward</w:t>
            </w:r>
          </w:p>
        </w:tc>
        <w:tc>
          <w:tcPr>
            <w:tcW w:w="1920" w:type="dxa"/>
            <w:vAlign w:val="bottom"/>
          </w:tcPr>
          <w:p>
            <w:pPr>
              <w:ind w:left="80"/>
              <w:spacing w:after="0"/>
              <w:rPr>
                <w:sz w:val="20"/>
                <w:szCs w:val="20"/>
                <w:color w:val="auto"/>
              </w:rPr>
            </w:pPr>
            <w:r>
              <w:rPr>
                <w:rFonts w:ascii="Arial" w:cs="Arial" w:eastAsia="Arial" w:hAnsi="Arial"/>
                <w:sz w:val="16"/>
                <w:szCs w:val="16"/>
                <w:color w:val="auto"/>
              </w:rPr>
              <w:t>performance goals</w:t>
            </w: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employees for achieving our</w:t>
            </w:r>
          </w:p>
        </w:tc>
        <w:tc>
          <w:tcPr>
            <w:tcW w:w="1920" w:type="dxa"/>
            <w:vAlign w:val="bottom"/>
          </w:tcPr>
          <w:p>
            <w:pPr>
              <w:spacing w:after="0"/>
              <w:rPr>
                <w:sz w:val="16"/>
                <w:szCs w:val="16"/>
                <w:color w:val="auto"/>
              </w:rPr>
            </w:pP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shd w:val="clear" w:color="auto" w:fill="000000"/>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short-term business</w:t>
            </w:r>
          </w:p>
        </w:tc>
        <w:tc>
          <w:tcPr>
            <w:tcW w:w="1920" w:type="dxa"/>
            <w:vAlign w:val="bottom"/>
          </w:tcPr>
          <w:p>
            <w:pPr>
              <w:spacing w:after="0"/>
              <w:rPr>
                <w:sz w:val="16"/>
                <w:szCs w:val="16"/>
                <w:color w:val="auto"/>
              </w:rPr>
            </w:pP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bottom w:val="single" w:sz="8" w:color="FF160F"/>
            </w:tcBorders>
            <w:shd w:val="clear" w:color="auto" w:fill="000000"/>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objectives</w:t>
            </w:r>
          </w:p>
        </w:tc>
        <w:tc>
          <w:tcPr>
            <w:tcW w:w="1920" w:type="dxa"/>
            <w:vAlign w:val="bottom"/>
            <w:tcBorders>
              <w:bottom w:val="single" w:sz="8" w:color="auto"/>
            </w:tcBorders>
          </w:tcPr>
          <w:p>
            <w:pPr>
              <w:spacing w:after="0"/>
              <w:rPr>
                <w:sz w:val="17"/>
                <w:szCs w:val="17"/>
                <w:color w:val="auto"/>
              </w:rPr>
            </w:pPr>
          </w:p>
        </w:tc>
        <w:tc>
          <w:tcPr>
            <w:tcW w:w="80" w:type="dxa"/>
            <w:vAlign w:val="bottom"/>
            <w:tcBorders>
              <w:bottom w:val="single" w:sz="8" w:color="FF160F"/>
            </w:tcBorders>
            <w:shd w:val="clear" w:color="auto" w:fill="FF160F"/>
          </w:tcPr>
          <w:p>
            <w:pPr>
              <w:spacing w:after="0"/>
              <w:rPr>
                <w:sz w:val="17"/>
                <w:szCs w:val="17"/>
                <w:color w:val="auto"/>
              </w:rPr>
            </w:pPr>
          </w:p>
        </w:tc>
        <w:tc>
          <w:tcPr>
            <w:tcW w:w="880" w:type="dxa"/>
            <w:vAlign w:val="bottom"/>
            <w:tcBorders>
              <w:bottom w:val="single" w:sz="8" w:color="FF160F"/>
            </w:tcBorders>
            <w:shd w:val="clear" w:color="auto" w:fill="FF160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40" w:type="dxa"/>
            <w:vAlign w:val="bottom"/>
            <w:tcBorders>
              <w:left w:val="single" w:sz="8" w:color="FF160F"/>
            </w:tcBorders>
            <w:shd w:val="clear" w:color="auto" w:fill="FF160F"/>
          </w:tcPr>
          <w:p>
            <w:pPr>
              <w:jc w:val="center"/>
              <w:spacing w:after="0" w:line="168" w:lineRule="exact"/>
              <w:rPr>
                <w:sz w:val="20"/>
                <w:szCs w:val="20"/>
                <w:color w:val="auto"/>
              </w:rPr>
            </w:pPr>
            <w:r>
              <w:rPr>
                <w:rFonts w:ascii="Arial" w:cs="Arial" w:eastAsia="Arial" w:hAnsi="Arial"/>
                <w:sz w:val="16"/>
                <w:szCs w:val="16"/>
                <w:color w:val="FFFFFF"/>
                <w:w w:val="97"/>
              </w:rPr>
              <w:t>Long-Term</w:t>
            </w:r>
          </w:p>
        </w:tc>
        <w:tc>
          <w:tcPr>
            <w:tcW w:w="17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Equity Incentive</w:t>
            </w:r>
          </w:p>
        </w:tc>
        <w:tc>
          <w:tcPr>
            <w:tcW w:w="680" w:type="dxa"/>
            <w:vAlign w:val="bottom"/>
          </w:tcPr>
          <w:p>
            <w:pPr>
              <w:ind w:left="60"/>
              <w:spacing w:after="0" w:line="168" w:lineRule="exact"/>
              <w:rPr>
                <w:sz w:val="20"/>
                <w:szCs w:val="20"/>
                <w:color w:val="auto"/>
              </w:rPr>
            </w:pPr>
            <w:r>
              <w:rPr>
                <w:rFonts w:ascii="Arial" w:cs="Arial" w:eastAsia="Arial" w:hAnsi="Arial"/>
                <w:sz w:val="16"/>
                <w:szCs w:val="16"/>
                <w:color w:val="auto"/>
              </w:rPr>
              <w:t>3 years</w:t>
            </w:r>
          </w:p>
        </w:tc>
        <w:tc>
          <w:tcPr>
            <w:tcW w:w="2080" w:type="dxa"/>
            <w:vAlign w:val="bottom"/>
          </w:tcPr>
          <w:p>
            <w:pPr>
              <w:ind w:left="100"/>
              <w:spacing w:after="0" w:line="168" w:lineRule="exact"/>
              <w:rPr>
                <w:sz w:val="20"/>
                <w:szCs w:val="20"/>
                <w:color w:val="auto"/>
              </w:rPr>
            </w:pPr>
            <w:r>
              <w:rPr>
                <w:rFonts w:ascii="Arial" w:cs="Arial" w:eastAsia="Arial" w:hAnsi="Arial"/>
                <w:sz w:val="16"/>
                <w:szCs w:val="16"/>
                <w:color w:val="auto"/>
              </w:rPr>
              <w:t>Relative total shareholder</w:t>
            </w:r>
          </w:p>
        </w:tc>
        <w:tc>
          <w:tcPr>
            <w:tcW w:w="2220" w:type="dxa"/>
            <w:vAlign w:val="bottom"/>
          </w:tcPr>
          <w:p>
            <w:pPr>
              <w:ind w:left="120"/>
              <w:spacing w:after="0" w:line="168" w:lineRule="exact"/>
              <w:rPr>
                <w:sz w:val="20"/>
                <w:szCs w:val="20"/>
                <w:color w:val="auto"/>
              </w:rPr>
            </w:pPr>
            <w:r>
              <w:rPr>
                <w:rFonts w:ascii="Arial" w:cs="Arial" w:eastAsia="Arial" w:hAnsi="Arial"/>
                <w:sz w:val="16"/>
                <w:szCs w:val="16"/>
                <w:color w:val="auto"/>
              </w:rPr>
              <w:t>To provide performance-</w:t>
            </w:r>
          </w:p>
        </w:tc>
        <w:tc>
          <w:tcPr>
            <w:tcW w:w="1920" w:type="dxa"/>
            <w:vAlign w:val="bottom"/>
          </w:tcPr>
          <w:p>
            <w:pPr>
              <w:ind w:left="80"/>
              <w:spacing w:after="0" w:line="168" w:lineRule="exact"/>
              <w:rPr>
                <w:sz w:val="20"/>
                <w:szCs w:val="20"/>
                <w:color w:val="auto"/>
              </w:rPr>
            </w:pPr>
            <w:r>
              <w:rPr>
                <w:rFonts w:ascii="Arial" w:cs="Arial" w:eastAsia="Arial" w:hAnsi="Arial"/>
                <w:sz w:val="16"/>
                <w:szCs w:val="16"/>
                <w:color w:val="auto"/>
              </w:rPr>
              <w:t>Drive medium-term</w:t>
            </w:r>
          </w:p>
        </w:tc>
        <w:tc>
          <w:tcPr>
            <w:tcW w:w="80" w:type="dxa"/>
            <w:vAlign w:val="bottom"/>
            <w:shd w:val="clear" w:color="auto" w:fill="FF160F"/>
          </w:tcPr>
          <w:p>
            <w:pPr>
              <w:spacing w:after="0"/>
              <w:rPr>
                <w:sz w:val="14"/>
                <w:szCs w:val="14"/>
                <w:color w:val="auto"/>
              </w:rPr>
            </w:pPr>
          </w:p>
        </w:tc>
        <w:tc>
          <w:tcPr>
            <w:tcW w:w="880" w:type="dxa"/>
            <w:vAlign w:val="bottom"/>
            <w:shd w:val="clear" w:color="auto" w:fill="FF160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FF160F"/>
            </w:tcBorders>
            <w:shd w:val="clear" w:color="auto" w:fill="FF160F"/>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See p. 24 for more</w:t>
            </w: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return (34%)</w:t>
            </w:r>
          </w:p>
        </w:tc>
        <w:tc>
          <w:tcPr>
            <w:tcW w:w="2220" w:type="dxa"/>
            <w:vAlign w:val="bottom"/>
          </w:tcPr>
          <w:p>
            <w:pPr>
              <w:ind w:left="120"/>
              <w:spacing w:after="0"/>
              <w:rPr>
                <w:sz w:val="20"/>
                <w:szCs w:val="20"/>
                <w:color w:val="auto"/>
              </w:rPr>
            </w:pPr>
            <w:r>
              <w:rPr>
                <w:rFonts w:ascii="Arial" w:cs="Arial" w:eastAsia="Arial" w:hAnsi="Arial"/>
                <w:sz w:val="16"/>
                <w:szCs w:val="16"/>
                <w:color w:val="auto"/>
              </w:rPr>
              <w:t>based equity compensation</w:t>
            </w:r>
          </w:p>
        </w:tc>
        <w:tc>
          <w:tcPr>
            <w:tcW w:w="1920" w:type="dxa"/>
            <w:vAlign w:val="bottom"/>
          </w:tcPr>
          <w:p>
            <w:pPr>
              <w:ind w:left="80"/>
              <w:spacing w:after="0"/>
              <w:rPr>
                <w:sz w:val="20"/>
                <w:szCs w:val="20"/>
                <w:color w:val="auto"/>
              </w:rPr>
            </w:pPr>
            <w:r>
              <w:rPr>
                <w:rFonts w:ascii="Arial" w:cs="Arial" w:eastAsia="Arial" w:hAnsi="Arial"/>
                <w:sz w:val="16"/>
                <w:szCs w:val="16"/>
                <w:color w:val="auto"/>
              </w:rPr>
              <w:t>performance goals and</w:t>
            </w: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FF160F"/>
            </w:tcBorders>
            <w:shd w:val="clear" w:color="auto" w:fill="FF160F"/>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FFO multiple premium</w:t>
            </w:r>
          </w:p>
        </w:tc>
        <w:tc>
          <w:tcPr>
            <w:tcW w:w="2220" w:type="dxa"/>
            <w:vAlign w:val="bottom"/>
          </w:tcPr>
          <w:p>
            <w:pPr>
              <w:ind w:left="120"/>
              <w:spacing w:after="0"/>
              <w:rPr>
                <w:sz w:val="20"/>
                <w:szCs w:val="20"/>
                <w:color w:val="auto"/>
              </w:rPr>
            </w:pPr>
            <w:r>
              <w:rPr>
                <w:rFonts w:ascii="Arial" w:cs="Arial" w:eastAsia="Arial" w:hAnsi="Arial"/>
                <w:sz w:val="16"/>
                <w:szCs w:val="16"/>
                <w:color w:val="auto"/>
              </w:rPr>
              <w:t>in the form of restricted</w:t>
            </w:r>
          </w:p>
        </w:tc>
        <w:tc>
          <w:tcPr>
            <w:tcW w:w="1920" w:type="dxa"/>
            <w:vAlign w:val="bottom"/>
          </w:tcPr>
          <w:p>
            <w:pPr>
              <w:ind w:left="80"/>
              <w:spacing w:after="0"/>
              <w:rPr>
                <w:sz w:val="20"/>
                <w:szCs w:val="20"/>
                <w:color w:val="auto"/>
              </w:rPr>
            </w:pPr>
            <w:r>
              <w:rPr>
                <w:rFonts w:ascii="Arial" w:cs="Arial" w:eastAsia="Arial" w:hAnsi="Arial"/>
                <w:sz w:val="16"/>
                <w:szCs w:val="16"/>
                <w:color w:val="auto"/>
              </w:rPr>
              <w:t>retain talent</w:t>
            </w: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FF160F"/>
            </w:tcBorders>
            <w:shd w:val="clear" w:color="auto" w:fill="FF160F"/>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(33%)</w:t>
            </w:r>
          </w:p>
        </w:tc>
        <w:tc>
          <w:tcPr>
            <w:tcW w:w="2220" w:type="dxa"/>
            <w:vAlign w:val="bottom"/>
          </w:tcPr>
          <w:p>
            <w:pPr>
              <w:ind w:left="120"/>
              <w:spacing w:after="0"/>
              <w:rPr>
                <w:sz w:val="20"/>
                <w:szCs w:val="20"/>
                <w:color w:val="auto"/>
              </w:rPr>
            </w:pPr>
            <w:r>
              <w:rPr>
                <w:rFonts w:ascii="Arial" w:cs="Arial" w:eastAsia="Arial" w:hAnsi="Arial"/>
                <w:sz w:val="16"/>
                <w:szCs w:val="16"/>
                <w:color w:val="auto"/>
              </w:rPr>
              <w:t>shares to drive longer-term</w:t>
            </w:r>
          </w:p>
        </w:tc>
        <w:tc>
          <w:tcPr>
            <w:tcW w:w="1920" w:type="dxa"/>
            <w:vAlign w:val="bottom"/>
          </w:tcPr>
          <w:p>
            <w:pPr>
              <w:spacing w:after="0"/>
              <w:rPr>
                <w:sz w:val="16"/>
                <w:szCs w:val="16"/>
                <w:color w:val="auto"/>
              </w:rPr>
            </w:pP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FF160F"/>
            </w:tcBorders>
            <w:shd w:val="clear" w:color="auto" w:fill="FF160F"/>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Return on invested capital</w:t>
            </w:r>
          </w:p>
        </w:tc>
        <w:tc>
          <w:tcPr>
            <w:tcW w:w="2220" w:type="dxa"/>
            <w:vAlign w:val="bottom"/>
          </w:tcPr>
          <w:p>
            <w:pPr>
              <w:ind w:left="120"/>
              <w:spacing w:after="0"/>
              <w:rPr>
                <w:sz w:val="20"/>
                <w:szCs w:val="20"/>
                <w:color w:val="auto"/>
              </w:rPr>
            </w:pPr>
            <w:r>
              <w:rPr>
                <w:rFonts w:ascii="Arial" w:cs="Arial" w:eastAsia="Arial" w:hAnsi="Arial"/>
                <w:sz w:val="16"/>
                <w:szCs w:val="16"/>
                <w:color w:val="auto"/>
              </w:rPr>
              <w:t>business objectives</w:t>
            </w:r>
          </w:p>
        </w:tc>
        <w:tc>
          <w:tcPr>
            <w:tcW w:w="1920" w:type="dxa"/>
            <w:vAlign w:val="bottom"/>
          </w:tcPr>
          <w:p>
            <w:pPr>
              <w:spacing w:after="0"/>
              <w:rPr>
                <w:sz w:val="16"/>
                <w:szCs w:val="16"/>
                <w:color w:val="auto"/>
              </w:rPr>
            </w:pPr>
          </w:p>
        </w:tc>
        <w:tc>
          <w:tcPr>
            <w:tcW w:w="8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FF160F"/>
              <w:bottom w:val="single" w:sz="8" w:color="auto"/>
            </w:tcBorders>
            <w:shd w:val="clear" w:color="auto" w:fill="FF160F"/>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(33%)</w:t>
            </w:r>
          </w:p>
        </w:tc>
        <w:tc>
          <w:tcPr>
            <w:tcW w:w="2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shd w:val="clear" w:color="auto" w:fill="FF160F"/>
          </w:tcPr>
          <w:p>
            <w:pPr>
              <w:spacing w:after="0"/>
              <w:rPr>
                <w:sz w:val="18"/>
                <w:szCs w:val="18"/>
                <w:color w:val="auto"/>
              </w:rPr>
            </w:pPr>
          </w:p>
        </w:tc>
        <w:tc>
          <w:tcPr>
            <w:tcW w:w="880" w:type="dxa"/>
            <w:vAlign w:val="bottom"/>
            <w:tcBorders>
              <w:bottom w:val="single" w:sz="8" w:color="auto"/>
            </w:tcBorders>
            <w:shd w:val="clear" w:color="auto" w:fill="FF160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S</w:t>
      </w:r>
      <w:r>
        <w:rPr>
          <w:rFonts w:ascii="Arial" w:cs="Arial" w:eastAsia="Arial" w:hAnsi="Arial"/>
          <w:sz w:val="17"/>
          <w:szCs w:val="17"/>
          <w:b w:val="1"/>
          <w:bCs w:val="1"/>
          <w:color w:val="FF160F"/>
        </w:rPr>
        <w:t>ETTING</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1" w:lineRule="exact"/>
        <w:rPr>
          <w:sz w:val="20"/>
          <w:szCs w:val="20"/>
          <w:color w:val="auto"/>
        </w:rPr>
      </w:pPr>
    </w:p>
    <w:p>
      <w:pPr>
        <w:ind w:left="540" w:hanging="424"/>
        <w:spacing w:after="0"/>
        <w:tabs>
          <w:tab w:leader="none" w:pos="540" w:val="left"/>
        </w:tabs>
        <w:numPr>
          <w:ilvl w:val="0"/>
          <w:numId w:val="4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ANNUAL COMPENSATION DECISION MAKING</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21</w:t>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196" w:lineRule="exact"/>
        <w:rPr>
          <w:sz w:val="20"/>
          <w:szCs w:val="20"/>
          <w:color w:val="auto"/>
        </w:rPr>
      </w:pPr>
    </w:p>
    <w:p>
      <w:pPr>
        <w:ind w:left="540" w:hanging="424"/>
        <w:spacing w:after="0"/>
        <w:tabs>
          <w:tab w:leader="none" w:pos="540" w:val="left"/>
        </w:tabs>
        <w:numPr>
          <w:ilvl w:val="0"/>
          <w:numId w:val="5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THE COMPENSATION COMMITTEE</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181" w:lineRule="exact"/>
        <w:rPr>
          <w:sz w:val="20"/>
          <w:szCs w:val="20"/>
          <w:color w:val="auto"/>
        </w:rPr>
      </w:pPr>
    </w:p>
    <w:p>
      <w:pPr>
        <w:ind w:left="540" w:hanging="424"/>
        <w:spacing w:after="0"/>
        <w:tabs>
          <w:tab w:leader="none" w:pos="540" w:val="left"/>
        </w:tabs>
        <w:numPr>
          <w:ilvl w:val="0"/>
          <w:numId w:val="5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MANAGEMENT</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181" w:lineRule="exact"/>
        <w:rPr>
          <w:sz w:val="20"/>
          <w:szCs w:val="20"/>
          <w:color w:val="auto"/>
        </w:rPr>
      </w:pPr>
    </w:p>
    <w:p>
      <w:pPr>
        <w:ind w:left="540" w:hanging="424"/>
        <w:spacing w:after="0"/>
        <w:tabs>
          <w:tab w:leader="none" w:pos="540" w:val="left"/>
        </w:tabs>
        <w:numPr>
          <w:ilvl w:val="0"/>
          <w:numId w:val="5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INDEPENDENT COMPENSATION CONSULTANT</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Compensation Committee retained Semler Brossy Consulting Group (“SBCG”) to provide market compensation information for each of our NEOs for 2022. SBCG provided independent advice to the Compensation Committee and did not provide any services to management. The Compensation Committee reviewed the independence of SBCG and determined that there were no conflicts that would compromise SBCG’s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2022 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D</w:t>
      </w:r>
      <w:r>
        <w:rPr>
          <w:rFonts w:ascii="Arial" w:cs="Arial" w:eastAsia="Arial" w:hAnsi="Arial"/>
          <w:sz w:val="17"/>
          <w:szCs w:val="17"/>
          <w:b w:val="1"/>
          <w:bCs w:val="1"/>
          <w:color w:val="FF160F"/>
        </w:rPr>
        <w:t>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1" w:lineRule="exact"/>
        <w:rPr>
          <w:sz w:val="20"/>
          <w:szCs w:val="20"/>
          <w:color w:val="auto"/>
        </w:rPr>
      </w:pPr>
    </w:p>
    <w:p>
      <w:pPr>
        <w:ind w:left="540" w:hanging="424"/>
        <w:spacing w:after="0"/>
        <w:tabs>
          <w:tab w:leader="none" w:pos="540" w:val="left"/>
        </w:tabs>
        <w:numPr>
          <w:ilvl w:val="0"/>
          <w:numId w:val="5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SETTING 2022 TARGET COMPENSATION</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Compensation Committee determined target compensation for each NEO by considering numerous individual factors for each NEO, including job responsibilities and skill sets, performance in their position, importance to achieving our corporate objectives, retention risk, ability to replace the role, previously issued equity awards and tenure with the Company. The Compensation Committee then considered the market data and report provided by SBCG to ensure that the total target compensation was competitive for the market.</w:t>
      </w:r>
    </w:p>
    <w:p>
      <w:pPr>
        <w:spacing w:after="0" w:line="174" w:lineRule="exact"/>
        <w:rPr>
          <w:sz w:val="20"/>
          <w:szCs w:val="20"/>
          <w:color w:val="auto"/>
        </w:rPr>
      </w:pPr>
    </w:p>
    <w:p>
      <w:pPr>
        <w:jc w:val="both"/>
        <w:ind w:left="120"/>
        <w:spacing w:after="0" w:line="226" w:lineRule="auto"/>
        <w:rPr>
          <w:sz w:val="20"/>
          <w:szCs w:val="20"/>
          <w:color w:val="auto"/>
        </w:rPr>
      </w:pPr>
      <w:r>
        <w:rPr>
          <w:rFonts w:ascii="Arial" w:cs="Arial" w:eastAsia="Arial" w:hAnsi="Arial"/>
          <w:sz w:val="18"/>
          <w:szCs w:val="18"/>
          <w:color w:val="auto"/>
        </w:rPr>
        <w:t>Based on the market data provided by SBCG which showed that the target compensation of our NEOs was generally positioned between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and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percentiles of the data sets, the Compensation Committee elected to increase the target compensation for each of our NEOs. The Compensation Committee did not set target compensation to meet any particular benchmark level, however, it did use the median of the market data provided by SBCG to help guide its 2022 decisions. After taking into the account the factors identified above, including the value of previously issued but unvested equity awards and the need to provide competitive compensation to motivate and retain our talent, the Compensation Committee set 2022 target compensation for our NEOs as shown below. Each of these targets is within +/-10% of the median target compensation as compared to the market data provided by SBCG for that NEO’s position.</w:t>
      </w:r>
    </w:p>
    <w:p>
      <w:pPr>
        <w:spacing w:after="0" w:line="228" w:lineRule="exact"/>
        <w:rPr>
          <w:sz w:val="20"/>
          <w:szCs w:val="20"/>
          <w:color w:val="auto"/>
        </w:rPr>
      </w:pPr>
    </w:p>
    <w:tbl>
      <w:tblPr>
        <w:tblLayout w:type="fixed"/>
        <w:tblInd w:w="110" w:type="dxa"/>
        <w:tblCellMar>
          <w:top w:w="0" w:type="dxa"/>
          <w:left w:w="0" w:type="dxa"/>
          <w:bottom w:w="0" w:type="dxa"/>
          <w:right w:w="0" w:type="dxa"/>
        </w:tblCellMar>
      </w:tblPr>
      <w:tr>
        <w:trPr>
          <w:trHeight w:val="189"/>
        </w:trPr>
        <w:tc>
          <w:tcPr>
            <w:tcW w:w="1380" w:type="dxa"/>
            <w:vAlign w:val="bottom"/>
            <w:tcBorders>
              <w:left w:val="single" w:sz="8" w:color="FF160F"/>
            </w:tcBorders>
            <w:shd w:val="clear" w:color="auto" w:fill="FF160F"/>
          </w:tcPr>
          <w:p>
            <w:pPr>
              <w:spacing w:after="0"/>
              <w:rPr>
                <w:sz w:val="16"/>
                <w:szCs w:val="16"/>
                <w:color w:val="auto"/>
              </w:rPr>
            </w:pPr>
          </w:p>
        </w:tc>
        <w:tc>
          <w:tcPr>
            <w:tcW w:w="1960" w:type="dxa"/>
            <w:vAlign w:val="bottom"/>
            <w:shd w:val="clear" w:color="auto" w:fill="FF160F"/>
          </w:tcPr>
          <w:p>
            <w:pPr>
              <w:spacing w:after="0"/>
              <w:rPr>
                <w:sz w:val="16"/>
                <w:szCs w:val="16"/>
                <w:color w:val="auto"/>
              </w:rPr>
            </w:pPr>
          </w:p>
        </w:tc>
        <w:tc>
          <w:tcPr>
            <w:tcW w:w="1080" w:type="dxa"/>
            <w:vAlign w:val="bottom"/>
            <w:shd w:val="clear" w:color="auto" w:fill="FF160F"/>
          </w:tcPr>
          <w:p>
            <w:pPr>
              <w:spacing w:after="0"/>
              <w:rPr>
                <w:sz w:val="16"/>
                <w:szCs w:val="16"/>
                <w:color w:val="auto"/>
              </w:rPr>
            </w:pPr>
          </w:p>
        </w:tc>
        <w:tc>
          <w:tcPr>
            <w:tcW w:w="2560" w:type="dxa"/>
            <w:vAlign w:val="bottom"/>
            <w:gridSpan w:val="3"/>
            <w:shd w:val="clear" w:color="auto" w:fill="FF160F"/>
          </w:tcPr>
          <w:p>
            <w:pPr>
              <w:jc w:val="right"/>
              <w:ind w:right="319"/>
              <w:spacing w:after="0"/>
              <w:rPr>
                <w:sz w:val="20"/>
                <w:szCs w:val="20"/>
                <w:color w:val="auto"/>
              </w:rPr>
            </w:pPr>
            <w:r>
              <w:rPr>
                <w:rFonts w:ascii="Arial" w:cs="Arial" w:eastAsia="Arial" w:hAnsi="Arial"/>
                <w:sz w:val="16"/>
                <w:szCs w:val="16"/>
                <w:b w:val="1"/>
                <w:bCs w:val="1"/>
                <w:color w:val="FFFFFF"/>
              </w:rPr>
              <w:t>Target Annual Bonus</w:t>
            </w:r>
          </w:p>
        </w:tc>
        <w:tc>
          <w:tcPr>
            <w:tcW w:w="168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Target Long-</w:t>
            </w:r>
          </w:p>
        </w:tc>
        <w:tc>
          <w:tcPr>
            <w:tcW w:w="400" w:type="dxa"/>
            <w:vAlign w:val="bottom"/>
            <w:shd w:val="clear" w:color="auto" w:fill="FF160F"/>
          </w:tcPr>
          <w:p>
            <w:pPr>
              <w:spacing w:after="0"/>
              <w:rPr>
                <w:sz w:val="16"/>
                <w:szCs w:val="16"/>
                <w:color w:val="auto"/>
              </w:rPr>
            </w:pPr>
          </w:p>
        </w:tc>
        <w:tc>
          <w:tcPr>
            <w:tcW w:w="86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c>
          <w:tcPr>
            <w:tcW w:w="1120" w:type="dxa"/>
            <w:vAlign w:val="bottom"/>
          </w:tcPr>
          <w:p>
            <w:pPr>
              <w:spacing w:after="0"/>
              <w:rPr>
                <w:sz w:val="16"/>
                <w:szCs w:val="16"/>
                <w:color w:val="auto"/>
              </w:rPr>
            </w:pPr>
          </w:p>
        </w:tc>
      </w:tr>
      <w:tr>
        <w:trPr>
          <w:trHeight w:val="203"/>
        </w:trPr>
        <w:tc>
          <w:tcPr>
            <w:tcW w:w="1380" w:type="dxa"/>
            <w:vAlign w:val="bottom"/>
            <w:tcBorders>
              <w:left w:val="single" w:sz="8" w:color="FF160F"/>
            </w:tcBorders>
            <w:shd w:val="clear" w:color="auto" w:fill="FF160F"/>
          </w:tcPr>
          <w:p>
            <w:pPr>
              <w:spacing w:after="0"/>
              <w:rPr>
                <w:sz w:val="17"/>
                <w:szCs w:val="17"/>
                <w:color w:val="auto"/>
              </w:rPr>
            </w:pPr>
          </w:p>
        </w:tc>
        <w:tc>
          <w:tcPr>
            <w:tcW w:w="1960" w:type="dxa"/>
            <w:vAlign w:val="bottom"/>
            <w:shd w:val="clear" w:color="auto" w:fill="FF160F"/>
          </w:tcPr>
          <w:p>
            <w:pPr>
              <w:spacing w:after="0"/>
              <w:rPr>
                <w:sz w:val="17"/>
                <w:szCs w:val="17"/>
                <w:color w:val="auto"/>
              </w:rPr>
            </w:pPr>
          </w:p>
        </w:tc>
        <w:tc>
          <w:tcPr>
            <w:tcW w:w="1080" w:type="dxa"/>
            <w:vAlign w:val="bottom"/>
            <w:shd w:val="clear" w:color="auto" w:fill="FF160F"/>
          </w:tcPr>
          <w:p>
            <w:pPr>
              <w:jc w:val="right"/>
              <w:ind w:right="259"/>
              <w:spacing w:after="0"/>
              <w:rPr>
                <w:sz w:val="20"/>
                <w:szCs w:val="20"/>
                <w:color w:val="auto"/>
              </w:rPr>
            </w:pPr>
            <w:r>
              <w:rPr>
                <w:rFonts w:ascii="Arial" w:cs="Arial" w:eastAsia="Arial" w:hAnsi="Arial"/>
                <w:sz w:val="16"/>
                <w:szCs w:val="16"/>
                <w:b w:val="1"/>
                <w:bCs w:val="1"/>
                <w:color w:val="FFFFFF"/>
              </w:rPr>
              <w:t>Base Pay</w:t>
            </w:r>
          </w:p>
        </w:tc>
        <w:tc>
          <w:tcPr>
            <w:tcW w:w="132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 of Base</w:t>
            </w:r>
          </w:p>
        </w:tc>
        <w:tc>
          <w:tcPr>
            <w:tcW w:w="340" w:type="dxa"/>
            <w:vAlign w:val="bottom"/>
            <w:shd w:val="clear" w:color="auto" w:fill="FF160F"/>
          </w:tcPr>
          <w:p>
            <w:pPr>
              <w:spacing w:after="0"/>
              <w:rPr>
                <w:sz w:val="17"/>
                <w:szCs w:val="17"/>
                <w:color w:val="auto"/>
              </w:rPr>
            </w:pPr>
          </w:p>
        </w:tc>
        <w:tc>
          <w:tcPr>
            <w:tcW w:w="90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1680" w:type="dxa"/>
            <w:vAlign w:val="bottom"/>
            <w:gridSpan w:val="2"/>
            <w:shd w:val="clear" w:color="auto" w:fill="FF160F"/>
          </w:tcPr>
          <w:p>
            <w:pPr>
              <w:ind w:left="360"/>
              <w:spacing w:after="0"/>
              <w:rPr>
                <w:sz w:val="20"/>
                <w:szCs w:val="20"/>
                <w:color w:val="auto"/>
              </w:rPr>
            </w:pPr>
            <w:r>
              <w:rPr>
                <w:rFonts w:ascii="Arial" w:cs="Arial" w:eastAsia="Arial" w:hAnsi="Arial"/>
                <w:sz w:val="16"/>
                <w:szCs w:val="16"/>
                <w:b w:val="1"/>
                <w:bCs w:val="1"/>
                <w:color w:val="FFFFFF"/>
              </w:rPr>
              <w:t>Term Incentive</w:t>
            </w:r>
          </w:p>
        </w:tc>
        <w:tc>
          <w:tcPr>
            <w:tcW w:w="1260" w:type="dxa"/>
            <w:vAlign w:val="bottom"/>
            <w:gridSpan w:val="2"/>
            <w:shd w:val="clear" w:color="auto" w:fill="FF160F"/>
          </w:tcPr>
          <w:p>
            <w:pPr>
              <w:jc w:val="right"/>
              <w:ind w:right="19"/>
              <w:spacing w:after="0"/>
              <w:rPr>
                <w:sz w:val="20"/>
                <w:szCs w:val="20"/>
                <w:color w:val="auto"/>
              </w:rPr>
            </w:pPr>
            <w:r>
              <w:rPr>
                <w:rFonts w:ascii="Arial" w:cs="Arial" w:eastAsia="Arial" w:hAnsi="Arial"/>
                <w:sz w:val="16"/>
                <w:szCs w:val="16"/>
                <w:b w:val="1"/>
                <w:bCs w:val="1"/>
                <w:color w:val="FFFFFF"/>
              </w:rPr>
              <w:t>2022 Target</w:t>
            </w:r>
          </w:p>
        </w:tc>
        <w:tc>
          <w:tcPr>
            <w:tcW w:w="1120" w:type="dxa"/>
            <w:vAlign w:val="bottom"/>
          </w:tcPr>
          <w:p>
            <w:pPr>
              <w:spacing w:after="0"/>
              <w:rPr>
                <w:sz w:val="17"/>
                <w:szCs w:val="17"/>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Don Wood</w:t>
            </w:r>
          </w:p>
        </w:tc>
        <w:tc>
          <w:tcPr>
            <w:tcW w:w="1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1,000,000</w:t>
            </w:r>
          </w:p>
        </w:tc>
        <w:tc>
          <w:tcPr>
            <w:tcW w:w="132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150%</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600" w:type="dxa"/>
            <w:vAlign w:val="bottom"/>
          </w:tcPr>
          <w:p>
            <w:pPr>
              <w:ind w:left="360"/>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6,000,000</w:t>
            </w:r>
          </w:p>
        </w:tc>
        <w:tc>
          <w:tcPr>
            <w:tcW w:w="4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8,500,000</w:t>
            </w:r>
          </w:p>
        </w:tc>
        <w:tc>
          <w:tcPr>
            <w:tcW w:w="1120" w:type="dxa"/>
            <w:vAlign w:val="bottom"/>
          </w:tcPr>
          <w:p>
            <w:pPr>
              <w:spacing w:after="0"/>
              <w:rPr>
                <w:sz w:val="15"/>
                <w:szCs w:val="15"/>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Jeff Berkes</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650,000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650,000</w:t>
            </w: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2,300,000</w:t>
            </w:r>
          </w:p>
        </w:tc>
        <w:tc>
          <w:tcPr>
            <w:tcW w:w="1120" w:type="dxa"/>
            <w:vAlign w:val="bottom"/>
          </w:tcPr>
          <w:p>
            <w:pPr>
              <w:spacing w:after="0"/>
              <w:rPr>
                <w:sz w:val="16"/>
                <w:szCs w:val="16"/>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Dan Guglielmone</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575,000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2,150,000</w:t>
            </w:r>
          </w:p>
        </w:tc>
        <w:tc>
          <w:tcPr>
            <w:tcW w:w="1120" w:type="dxa"/>
            <w:vAlign w:val="bottom"/>
          </w:tcPr>
          <w:p>
            <w:pPr>
              <w:spacing w:after="0"/>
              <w:rPr>
                <w:sz w:val="16"/>
                <w:szCs w:val="16"/>
                <w:color w:val="auto"/>
              </w:rPr>
            </w:pP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Dawn Becker</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575,000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2,150,000</w:t>
            </w:r>
          </w:p>
        </w:tc>
        <w:tc>
          <w:tcPr>
            <w:tcW w:w="1120" w:type="dxa"/>
            <w:vAlign w:val="bottom"/>
          </w:tcPr>
          <w:p>
            <w:pPr>
              <w:spacing w:after="0"/>
              <w:rPr>
                <w:sz w:val="18"/>
                <w:szCs w:val="18"/>
                <w:color w:val="auto"/>
              </w:rPr>
            </w:pPr>
          </w:p>
        </w:tc>
      </w:tr>
      <w:tr>
        <w:trPr>
          <w:trHeight w:val="144"/>
        </w:trPr>
        <w:tc>
          <w:tcPr>
            <w:tcW w:w="13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69"/>
        </w:trPr>
        <w:tc>
          <w:tcPr>
            <w:tcW w:w="1380" w:type="dxa"/>
            <w:vAlign w:val="bottom"/>
            <w:tcBorders>
              <w:left w:val="single" w:sz="8" w:color="auto"/>
              <w:bottom w:val="single" w:sz="8" w:color="auto"/>
            </w:tcBorders>
            <w:shd w:val="clear" w:color="auto" w:fill="EAEFED"/>
          </w:tcPr>
          <w:p>
            <w:pPr>
              <w:ind w:left="240"/>
              <w:spacing w:after="0"/>
              <w:rPr>
                <w:sz w:val="20"/>
                <w:szCs w:val="20"/>
                <w:color w:val="auto"/>
              </w:rPr>
            </w:pPr>
            <w:r>
              <w:rPr>
                <w:rFonts w:ascii="Arial" w:cs="Arial" w:eastAsia="Arial" w:hAnsi="Arial"/>
                <w:sz w:val="14"/>
                <w:szCs w:val="14"/>
                <w:color w:val="FF160F"/>
              </w:rPr>
              <w:t>Federal Realty</w:t>
            </w:r>
          </w:p>
        </w:tc>
        <w:tc>
          <w:tcPr>
            <w:tcW w:w="1960" w:type="dxa"/>
            <w:vAlign w:val="bottom"/>
            <w:tcBorders>
              <w:bottom w:val="single" w:sz="8" w:color="auto"/>
            </w:tcBorders>
            <w:shd w:val="clear" w:color="auto" w:fill="EAEFED"/>
          </w:tcPr>
          <w:p>
            <w:pPr>
              <w:jc w:val="right"/>
              <w:ind w:right="21"/>
              <w:spacing w:after="0"/>
              <w:rPr>
                <w:sz w:val="20"/>
                <w:szCs w:val="20"/>
                <w:color w:val="auto"/>
              </w:rPr>
            </w:pPr>
            <w:r>
              <w:rPr>
                <w:rFonts w:ascii="Arial" w:cs="Arial" w:eastAsia="Arial" w:hAnsi="Arial"/>
                <w:sz w:val="14"/>
                <w:szCs w:val="14"/>
                <w:color w:val="auto"/>
              </w:rPr>
              <w:t>2023 Proxy Statement  22</w:t>
            </w:r>
          </w:p>
        </w:tc>
        <w:tc>
          <w:tcPr>
            <w:tcW w:w="1080" w:type="dxa"/>
            <w:vAlign w:val="bottom"/>
            <w:tcBorders>
              <w:bottom w:val="single" w:sz="8" w:color="auto"/>
            </w:tcBorders>
            <w:shd w:val="clear" w:color="auto" w:fill="EAEFED"/>
          </w:tcPr>
          <w:p>
            <w:pPr>
              <w:spacing w:after="0"/>
              <w:rPr>
                <w:sz w:val="14"/>
                <w:szCs w:val="14"/>
                <w:color w:val="auto"/>
              </w:rPr>
            </w:pPr>
          </w:p>
        </w:tc>
        <w:tc>
          <w:tcPr>
            <w:tcW w:w="1320" w:type="dxa"/>
            <w:vAlign w:val="bottom"/>
            <w:tcBorders>
              <w:bottom w:val="single" w:sz="8" w:color="auto"/>
            </w:tcBorders>
            <w:shd w:val="clear" w:color="auto" w:fill="EAEFED"/>
          </w:tcPr>
          <w:p>
            <w:pPr>
              <w:spacing w:after="0"/>
              <w:rPr>
                <w:sz w:val="14"/>
                <w:szCs w:val="14"/>
                <w:color w:val="auto"/>
              </w:rPr>
            </w:pPr>
          </w:p>
        </w:tc>
        <w:tc>
          <w:tcPr>
            <w:tcW w:w="340" w:type="dxa"/>
            <w:vAlign w:val="bottom"/>
            <w:tcBorders>
              <w:bottom w:val="single" w:sz="8" w:color="auto"/>
            </w:tcBorders>
            <w:shd w:val="clear" w:color="auto" w:fill="EAEFED"/>
          </w:tcPr>
          <w:p>
            <w:pPr>
              <w:spacing w:after="0"/>
              <w:rPr>
                <w:sz w:val="14"/>
                <w:szCs w:val="14"/>
                <w:color w:val="auto"/>
              </w:rPr>
            </w:pPr>
          </w:p>
        </w:tc>
        <w:tc>
          <w:tcPr>
            <w:tcW w:w="900" w:type="dxa"/>
            <w:vAlign w:val="bottom"/>
            <w:tcBorders>
              <w:bottom w:val="single" w:sz="8" w:color="auto"/>
            </w:tcBorders>
            <w:shd w:val="clear" w:color="auto" w:fill="EAEFED"/>
          </w:tcPr>
          <w:p>
            <w:pPr>
              <w:spacing w:after="0"/>
              <w:rPr>
                <w:sz w:val="14"/>
                <w:szCs w:val="14"/>
                <w:color w:val="auto"/>
              </w:rPr>
            </w:pPr>
          </w:p>
        </w:tc>
        <w:tc>
          <w:tcPr>
            <w:tcW w:w="600" w:type="dxa"/>
            <w:vAlign w:val="bottom"/>
            <w:tcBorders>
              <w:bottom w:val="single" w:sz="8" w:color="auto"/>
            </w:tcBorders>
            <w:shd w:val="clear" w:color="auto" w:fill="EAEFED"/>
          </w:tcPr>
          <w:p>
            <w:pPr>
              <w:spacing w:after="0"/>
              <w:rPr>
                <w:sz w:val="14"/>
                <w:szCs w:val="14"/>
                <w:color w:val="auto"/>
              </w:rPr>
            </w:pPr>
          </w:p>
        </w:tc>
        <w:tc>
          <w:tcPr>
            <w:tcW w:w="1080" w:type="dxa"/>
            <w:vAlign w:val="bottom"/>
            <w:tcBorders>
              <w:bottom w:val="single" w:sz="8" w:color="auto"/>
            </w:tcBorders>
            <w:shd w:val="clear" w:color="auto" w:fill="EAEFED"/>
          </w:tcPr>
          <w:p>
            <w:pPr>
              <w:spacing w:after="0"/>
              <w:rPr>
                <w:sz w:val="14"/>
                <w:szCs w:val="14"/>
                <w:color w:val="auto"/>
              </w:rPr>
            </w:pPr>
          </w:p>
        </w:tc>
        <w:tc>
          <w:tcPr>
            <w:tcW w:w="400" w:type="dxa"/>
            <w:vAlign w:val="bottom"/>
            <w:tcBorders>
              <w:bottom w:val="single" w:sz="8" w:color="auto"/>
            </w:tcBorders>
            <w:shd w:val="clear" w:color="auto" w:fill="EAEFED"/>
          </w:tcPr>
          <w:p>
            <w:pPr>
              <w:spacing w:after="0"/>
              <w:rPr>
                <w:sz w:val="14"/>
                <w:szCs w:val="14"/>
                <w:color w:val="auto"/>
              </w:rPr>
            </w:pPr>
          </w:p>
        </w:tc>
        <w:tc>
          <w:tcPr>
            <w:tcW w:w="860" w:type="dxa"/>
            <w:vAlign w:val="bottom"/>
            <w:tcBorders>
              <w:bottom w:val="single" w:sz="8" w:color="auto"/>
            </w:tcBorders>
            <w:shd w:val="clear" w:color="auto" w:fill="EAEFED"/>
          </w:tcPr>
          <w:p>
            <w:pPr>
              <w:spacing w:after="0"/>
              <w:rPr>
                <w:sz w:val="14"/>
                <w:szCs w:val="14"/>
                <w:color w:val="auto"/>
              </w:rPr>
            </w:pPr>
          </w:p>
        </w:tc>
        <w:tc>
          <w:tcPr>
            <w:tcW w:w="1120" w:type="dxa"/>
            <w:vAlign w:val="bottom"/>
            <w:tcBorders>
              <w:bottom w:val="single" w:sz="8" w:color="auto"/>
              <w:right w:val="single" w:sz="8" w:color="auto"/>
            </w:tcBorders>
            <w:shd w:val="clear" w:color="auto" w:fill="EAEFED"/>
          </w:tcPr>
          <w:p>
            <w:pPr>
              <w:spacing w:after="0"/>
              <w:rPr>
                <w:sz w:val="14"/>
                <w:szCs w:val="14"/>
                <w:color w:val="auto"/>
              </w:rPr>
            </w:pP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These target pay packages are heavily weighted to components that are paid based on both company and individual performance which creates significant alignment between our NEOs and shareholders.</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rPr>
              <w:t>CEO Pay</w:t>
            </w:r>
          </w:p>
        </w:tc>
        <w:tc>
          <w:tcPr>
            <w:tcW w:w="1800" w:type="dxa"/>
            <w:vAlign w:val="bottom"/>
            <w:gridSpan w:val="2"/>
          </w:tcPr>
          <w:p>
            <w:pPr>
              <w:jc w:val="center"/>
              <w:ind w:right="120"/>
              <w:spacing w:after="0"/>
              <w:rPr>
                <w:sz w:val="20"/>
                <w:szCs w:val="20"/>
                <w:color w:val="auto"/>
              </w:rPr>
            </w:pPr>
            <w:r>
              <w:rPr>
                <w:rFonts w:ascii="Arial" w:cs="Arial" w:eastAsia="Arial" w:hAnsi="Arial"/>
                <w:sz w:val="15"/>
                <w:szCs w:val="15"/>
                <w:color w:val="auto"/>
                <w:w w:val="99"/>
              </w:rPr>
              <w:t>Base Pay</w:t>
            </w:r>
          </w:p>
        </w:tc>
        <w:tc>
          <w:tcPr>
            <w:tcW w:w="2620" w:type="dxa"/>
            <w:vAlign w:val="bottom"/>
            <w:gridSpan w:val="3"/>
          </w:tcPr>
          <w:p>
            <w:pPr>
              <w:jc w:val="center"/>
              <w:ind w:right="1240"/>
              <w:spacing w:after="0"/>
              <w:rPr>
                <w:sz w:val="20"/>
                <w:szCs w:val="20"/>
                <w:color w:val="auto"/>
              </w:rPr>
            </w:pPr>
            <w:r>
              <w:rPr>
                <w:rFonts w:ascii="Arial" w:cs="Arial" w:eastAsia="Arial" w:hAnsi="Arial"/>
                <w:sz w:val="15"/>
                <w:szCs w:val="15"/>
                <w:color w:val="auto"/>
              </w:rPr>
              <w:t>Annual Bonus</w:t>
            </w:r>
          </w:p>
        </w:tc>
        <w:tc>
          <w:tcPr>
            <w:tcW w:w="760" w:type="dxa"/>
            <w:vAlign w:val="bottom"/>
          </w:tcPr>
          <w:p>
            <w:pPr>
              <w:spacing w:after="0"/>
              <w:rPr>
                <w:sz w:val="18"/>
                <w:szCs w:val="18"/>
                <w:color w:val="auto"/>
              </w:rPr>
            </w:pPr>
          </w:p>
        </w:tc>
        <w:tc>
          <w:tcPr>
            <w:tcW w:w="4740" w:type="dxa"/>
            <w:vAlign w:val="bottom"/>
          </w:tcPr>
          <w:p>
            <w:pPr>
              <w:jc w:val="center"/>
              <w:ind w:right="158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14"/>
        </w:trPr>
        <w:tc>
          <w:tcPr>
            <w:tcW w:w="9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Mix</w:t>
            </w:r>
          </w:p>
        </w:tc>
        <w:tc>
          <w:tcPr>
            <w:tcW w:w="1440" w:type="dxa"/>
            <w:vAlign w:val="bottom"/>
            <w:tcBorders>
              <w:top w:val="single" w:sz="8" w:color="E5E5E5"/>
            </w:tcBorders>
            <w:shd w:val="clear" w:color="auto" w:fill="E5E5E5"/>
          </w:tcPr>
          <w:p>
            <w:pPr>
              <w:jc w:val="right"/>
              <w:ind w:right="366"/>
              <w:spacing w:after="0" w:line="114" w:lineRule="exact"/>
              <w:rPr>
                <w:sz w:val="20"/>
                <w:szCs w:val="20"/>
                <w:color w:val="auto"/>
              </w:rPr>
            </w:pPr>
            <w:r>
              <w:rPr>
                <w:rFonts w:ascii="Arial" w:cs="Arial" w:eastAsia="Arial" w:hAnsi="Arial"/>
                <w:sz w:val="13"/>
                <w:szCs w:val="13"/>
                <w:b w:val="1"/>
                <w:bCs w:val="1"/>
                <w:color w:val="auto"/>
              </w:rPr>
              <w:t>12%</w:t>
            </w:r>
          </w:p>
        </w:tc>
        <w:tc>
          <w:tcPr>
            <w:tcW w:w="360" w:type="dxa"/>
            <w:vAlign w:val="bottom"/>
            <w:tcBorders>
              <w:top w:val="single" w:sz="8" w:color="CCCCCC"/>
            </w:tcBorders>
            <w:shd w:val="clear" w:color="auto" w:fill="CCCCCC"/>
          </w:tcPr>
          <w:p>
            <w:pPr>
              <w:spacing w:after="0"/>
              <w:rPr>
                <w:sz w:val="9"/>
                <w:szCs w:val="9"/>
                <w:color w:val="auto"/>
              </w:rPr>
            </w:pPr>
          </w:p>
        </w:tc>
        <w:tc>
          <w:tcPr>
            <w:tcW w:w="1620" w:type="dxa"/>
            <w:vAlign w:val="bottom"/>
            <w:tcBorders>
              <w:top w:val="single" w:sz="8" w:color="CCCCCC"/>
            </w:tcBorders>
            <w:gridSpan w:val="2"/>
            <w:shd w:val="clear" w:color="auto" w:fill="CCCCCC"/>
          </w:tcPr>
          <w:p>
            <w:pPr>
              <w:jc w:val="right"/>
              <w:ind w:right="704"/>
              <w:spacing w:after="0" w:line="114" w:lineRule="exact"/>
              <w:rPr>
                <w:sz w:val="20"/>
                <w:szCs w:val="20"/>
                <w:color w:val="auto"/>
              </w:rPr>
            </w:pPr>
            <w:r>
              <w:rPr>
                <w:rFonts w:ascii="Arial" w:cs="Arial" w:eastAsia="Arial" w:hAnsi="Arial"/>
                <w:sz w:val="13"/>
                <w:szCs w:val="13"/>
                <w:b w:val="1"/>
                <w:bCs w:val="1"/>
                <w:color w:val="auto"/>
              </w:rPr>
              <w:t>18%</w:t>
            </w:r>
          </w:p>
        </w:tc>
        <w:tc>
          <w:tcPr>
            <w:tcW w:w="1000" w:type="dxa"/>
            <w:vAlign w:val="bottom"/>
            <w:tcBorders>
              <w:top w:val="single" w:sz="8" w:color="FF160F"/>
            </w:tcBorders>
            <w:shd w:val="clear" w:color="auto" w:fill="FF160F"/>
          </w:tcPr>
          <w:p>
            <w:pPr>
              <w:spacing w:after="0"/>
              <w:rPr>
                <w:sz w:val="9"/>
                <w:szCs w:val="9"/>
                <w:color w:val="auto"/>
              </w:rPr>
            </w:pPr>
          </w:p>
        </w:tc>
        <w:tc>
          <w:tcPr>
            <w:tcW w:w="5500" w:type="dxa"/>
            <w:vAlign w:val="bottom"/>
            <w:tcBorders>
              <w:top w:val="single" w:sz="8" w:color="FF160F"/>
            </w:tcBorders>
            <w:gridSpan w:val="2"/>
            <w:shd w:val="clear" w:color="auto" w:fill="FF160F"/>
          </w:tcPr>
          <w:p>
            <w:pPr>
              <w:jc w:val="right"/>
              <w:ind w:right="2964"/>
              <w:spacing w:after="0" w:line="114" w:lineRule="exact"/>
              <w:rPr>
                <w:sz w:val="20"/>
                <w:szCs w:val="20"/>
                <w:color w:val="auto"/>
              </w:rPr>
            </w:pPr>
            <w:r>
              <w:rPr>
                <w:rFonts w:ascii="Arial" w:cs="Arial" w:eastAsia="Arial" w:hAnsi="Arial"/>
                <w:sz w:val="13"/>
                <w:szCs w:val="13"/>
                <w:b w:val="1"/>
                <w:bCs w:val="1"/>
                <w:color w:val="FFFFFF"/>
              </w:rPr>
              <w:t>70%</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360" w:type="dxa"/>
            <w:vAlign w:val="bottom"/>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1100" w:type="dxa"/>
            <w:vAlign w:val="bottom"/>
            <w:shd w:val="clear" w:color="auto" w:fill="000000"/>
          </w:tcPr>
          <w:p>
            <w:pPr>
              <w:spacing w:after="0"/>
              <w:rPr>
                <w:sz w:val="8"/>
                <w:szCs w:val="8"/>
                <w:color w:val="auto"/>
              </w:rPr>
            </w:pPr>
          </w:p>
        </w:tc>
        <w:tc>
          <w:tcPr>
            <w:tcW w:w="1000" w:type="dxa"/>
            <w:vAlign w:val="bottom"/>
            <w:shd w:val="clear" w:color="auto" w:fill="000000"/>
          </w:tcPr>
          <w:p>
            <w:pPr>
              <w:spacing w:after="0"/>
              <w:rPr>
                <w:sz w:val="8"/>
                <w:szCs w:val="8"/>
                <w:color w:val="auto"/>
              </w:rPr>
            </w:pPr>
          </w:p>
        </w:tc>
        <w:tc>
          <w:tcPr>
            <w:tcW w:w="5500" w:type="dxa"/>
            <w:vAlign w:val="bottom"/>
            <w:gridSpan w:val="2"/>
            <w:vMerge w:val="restart"/>
            <w:shd w:val="clear" w:color="auto" w:fill="000000"/>
          </w:tcPr>
          <w:p>
            <w:pPr>
              <w:ind w:left="140"/>
              <w:spacing w:after="0" w:line="162" w:lineRule="exact"/>
              <w:rPr>
                <w:sz w:val="20"/>
                <w:szCs w:val="20"/>
                <w:color w:val="auto"/>
              </w:rPr>
            </w:pPr>
            <w:r>
              <w:rPr>
                <w:rFonts w:ascii="Arial" w:cs="Arial" w:eastAsia="Arial" w:hAnsi="Arial"/>
                <w:sz w:val="15"/>
                <w:szCs w:val="15"/>
                <w:b w:val="1"/>
                <w:bCs w:val="1"/>
                <w:color w:val="FFFFFF"/>
              </w:rPr>
              <w:t>88% Performance-Based At Risk</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5500" w:type="dxa"/>
            <w:vAlign w:val="bottom"/>
            <w:gridSpan w:val="2"/>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w w:val="97"/>
              </w:rPr>
              <w:t>Average</w:t>
            </w:r>
          </w:p>
        </w:tc>
        <w:tc>
          <w:tcPr>
            <w:tcW w:w="1800" w:type="dxa"/>
            <w:vAlign w:val="bottom"/>
            <w:gridSpan w:val="2"/>
          </w:tcPr>
          <w:p>
            <w:pPr>
              <w:jc w:val="center"/>
              <w:ind w:left="686"/>
              <w:spacing w:after="0"/>
              <w:rPr>
                <w:sz w:val="20"/>
                <w:szCs w:val="20"/>
                <w:color w:val="auto"/>
              </w:rPr>
            </w:pPr>
            <w:r>
              <w:rPr>
                <w:rFonts w:ascii="Arial" w:cs="Arial" w:eastAsia="Arial" w:hAnsi="Arial"/>
                <w:sz w:val="15"/>
                <w:szCs w:val="15"/>
                <w:color w:val="auto"/>
                <w:w w:val="99"/>
              </w:rPr>
              <w:t>Base Pay</w:t>
            </w:r>
          </w:p>
        </w:tc>
        <w:tc>
          <w:tcPr>
            <w:tcW w:w="520" w:type="dxa"/>
            <w:vAlign w:val="bottom"/>
          </w:tcPr>
          <w:p>
            <w:pPr>
              <w:spacing w:after="0"/>
              <w:rPr>
                <w:sz w:val="24"/>
                <w:szCs w:val="24"/>
                <w:color w:val="auto"/>
              </w:rPr>
            </w:pPr>
          </w:p>
        </w:tc>
        <w:tc>
          <w:tcPr>
            <w:tcW w:w="2100" w:type="dxa"/>
            <w:vAlign w:val="bottom"/>
            <w:gridSpan w:val="2"/>
          </w:tcPr>
          <w:p>
            <w:pPr>
              <w:jc w:val="center"/>
              <w:ind w:left="804"/>
              <w:spacing w:after="0"/>
              <w:rPr>
                <w:sz w:val="20"/>
                <w:szCs w:val="20"/>
                <w:color w:val="auto"/>
              </w:rPr>
            </w:pPr>
            <w:r>
              <w:rPr>
                <w:rFonts w:ascii="Arial" w:cs="Arial" w:eastAsia="Arial" w:hAnsi="Arial"/>
                <w:sz w:val="15"/>
                <w:szCs w:val="15"/>
                <w:color w:val="auto"/>
              </w:rPr>
              <w:t>Annual Bonus</w:t>
            </w:r>
          </w:p>
        </w:tc>
        <w:tc>
          <w:tcPr>
            <w:tcW w:w="760" w:type="dxa"/>
            <w:vAlign w:val="bottom"/>
          </w:tcPr>
          <w:p>
            <w:pPr>
              <w:spacing w:after="0"/>
              <w:rPr>
                <w:sz w:val="24"/>
                <w:szCs w:val="24"/>
                <w:color w:val="auto"/>
              </w:rPr>
            </w:pPr>
          </w:p>
        </w:tc>
        <w:tc>
          <w:tcPr>
            <w:tcW w:w="4740" w:type="dxa"/>
            <w:vAlign w:val="bottom"/>
          </w:tcPr>
          <w:p>
            <w:pPr>
              <w:jc w:val="center"/>
              <w:ind w:left="2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81"/>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Other NEOs</w:t>
            </w:r>
          </w:p>
        </w:tc>
        <w:tc>
          <w:tcPr>
            <w:tcW w:w="1440" w:type="dxa"/>
            <w:vAlign w:val="bottom"/>
            <w:shd w:val="clear" w:color="auto" w:fill="E5E5E5"/>
          </w:tcPr>
          <w:p>
            <w:pPr>
              <w:jc w:val="right"/>
              <w:spacing w:after="0" w:line="162" w:lineRule="exact"/>
              <w:rPr>
                <w:sz w:val="20"/>
                <w:szCs w:val="20"/>
                <w:color w:val="auto"/>
              </w:rPr>
            </w:pPr>
            <w:r>
              <w:rPr>
                <w:rFonts w:ascii="Arial" w:cs="Arial" w:eastAsia="Arial" w:hAnsi="Arial"/>
                <w:sz w:val="15"/>
                <w:szCs w:val="15"/>
                <w:b w:val="1"/>
                <w:bCs w:val="1"/>
                <w:color w:val="auto"/>
              </w:rPr>
              <w:t>27%</w:t>
            </w:r>
          </w:p>
        </w:tc>
        <w:tc>
          <w:tcPr>
            <w:tcW w:w="36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2100" w:type="dxa"/>
            <w:vAlign w:val="bottom"/>
            <w:gridSpan w:val="2"/>
            <w:shd w:val="clear" w:color="auto" w:fill="CCCCCC"/>
          </w:tcPr>
          <w:p>
            <w:pPr>
              <w:jc w:val="right"/>
              <w:ind w:right="460"/>
              <w:spacing w:after="0" w:line="162" w:lineRule="exact"/>
              <w:rPr>
                <w:sz w:val="20"/>
                <w:szCs w:val="20"/>
                <w:color w:val="auto"/>
              </w:rPr>
            </w:pPr>
            <w:r>
              <w:rPr>
                <w:rFonts w:ascii="Arial" w:cs="Arial" w:eastAsia="Arial" w:hAnsi="Arial"/>
                <w:sz w:val="15"/>
                <w:szCs w:val="15"/>
                <w:b w:val="1"/>
                <w:bCs w:val="1"/>
                <w:color w:val="auto"/>
              </w:rPr>
              <w:t>27%</w:t>
            </w:r>
          </w:p>
        </w:tc>
        <w:tc>
          <w:tcPr>
            <w:tcW w:w="760" w:type="dxa"/>
            <w:vAlign w:val="bottom"/>
            <w:shd w:val="clear" w:color="auto" w:fill="CCCCCC"/>
          </w:tcPr>
          <w:p>
            <w:pPr>
              <w:spacing w:after="0"/>
              <w:rPr>
                <w:sz w:val="15"/>
                <w:szCs w:val="15"/>
                <w:color w:val="auto"/>
              </w:rPr>
            </w:pPr>
          </w:p>
        </w:tc>
        <w:tc>
          <w:tcPr>
            <w:tcW w:w="4740" w:type="dxa"/>
            <w:vAlign w:val="bottom"/>
            <w:shd w:val="clear" w:color="auto" w:fill="FF160F"/>
          </w:tcPr>
          <w:p>
            <w:pPr>
              <w:jc w:val="right"/>
              <w:ind w:right="2084"/>
              <w:spacing w:after="0" w:line="162" w:lineRule="exact"/>
              <w:rPr>
                <w:sz w:val="20"/>
                <w:szCs w:val="20"/>
                <w:color w:val="auto"/>
              </w:rPr>
            </w:pPr>
            <w:r>
              <w:rPr>
                <w:rFonts w:ascii="Arial" w:cs="Arial" w:eastAsia="Arial" w:hAnsi="Arial"/>
                <w:sz w:val="15"/>
                <w:szCs w:val="15"/>
                <w:b w:val="1"/>
                <w:bCs w:val="1"/>
                <w:color w:val="FFFFFF"/>
              </w:rPr>
              <w:t>46%</w:t>
            </w:r>
          </w:p>
        </w:tc>
        <w:tc>
          <w:tcPr>
            <w:tcW w:w="0" w:type="dxa"/>
            <w:vAlign w:val="bottom"/>
          </w:tcPr>
          <w:p>
            <w:pPr>
              <w:spacing w:after="0"/>
              <w:rPr>
                <w:sz w:val="1"/>
                <w:szCs w:val="1"/>
                <w:color w:val="auto"/>
              </w:rPr>
            </w:pPr>
          </w:p>
        </w:tc>
      </w:tr>
      <w:tr>
        <w:trPr>
          <w:trHeight w:val="162"/>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Pay Mix</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5500" w:type="dxa"/>
            <w:vAlign w:val="bottom"/>
            <w:gridSpan w:val="2"/>
            <w:shd w:val="clear" w:color="auto" w:fill="000000"/>
          </w:tcPr>
          <w:p>
            <w:pPr>
              <w:ind w:left="580"/>
              <w:spacing w:after="0" w:line="162" w:lineRule="exact"/>
              <w:rPr>
                <w:sz w:val="20"/>
                <w:szCs w:val="20"/>
                <w:color w:val="auto"/>
              </w:rPr>
            </w:pPr>
            <w:r>
              <w:rPr>
                <w:rFonts w:ascii="Arial" w:cs="Arial" w:eastAsia="Arial" w:hAnsi="Arial"/>
                <w:sz w:val="15"/>
                <w:szCs w:val="15"/>
                <w:b w:val="1"/>
                <w:bCs w:val="1"/>
                <w:color w:val="FFFFFF"/>
              </w:rPr>
              <w:t>73% Performance-Based At Risk</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5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INDIVIDUAL ELEMENTS OF 2022 PAY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Pay</w:t>
      </w:r>
    </w:p>
    <w:p>
      <w:pPr>
        <w:spacing w:after="0" w:line="21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base pay levels established for each of our NEOs represent a modest portion of each individual’s total compensation package and the Compensation Committee believes them to be competitive and appropriate based on the market data provided by SBCG. Each NEO received a base pay increase in 2022 with this being the first increase for Mr. Wood since 2016 and the first increase for each of Mr. Guglielmone and Ms. Becker since 2019. The base pay increase for Mr. Berkes was part of the continued adjustment of his overall compensation package to market levels for his position which he was promoted into in 2021.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 Program</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bonus plan is an annual cash incentive program designed to reward achievement for the current year based on achieving a level of FFO per share that the Committee has determined is necessary for the Company to achieve its business objectives for the year. The Compensation Committee has determined that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FFO per share at the beginning of each year with levels reflecting performance that ranges from acceptable at the threshold level to exceptional at the stretch level based on budgets reviewed by the entire Board. Approximately 95% of our employees participate in this annual bonus plan.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40" w:type="dxa"/>
            <w:vAlign w:val="bottom"/>
            <w:shd w:val="clear" w:color="auto" w:fill="FF160F"/>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3"/>
            <w:shd w:val="clear" w:color="auto" w:fill="FF160F"/>
          </w:tcPr>
          <w:p>
            <w:pPr>
              <w:ind w:left="900"/>
              <w:spacing w:after="0"/>
              <w:rPr>
                <w:sz w:val="20"/>
                <w:szCs w:val="20"/>
                <w:color w:val="auto"/>
              </w:rPr>
            </w:pPr>
            <w:r>
              <w:rPr>
                <w:rFonts w:ascii="Arial" w:cs="Arial" w:eastAsia="Arial" w:hAnsi="Arial"/>
                <w:sz w:val="16"/>
                <w:szCs w:val="16"/>
                <w:b w:val="1"/>
                <w:bCs w:val="1"/>
                <w:color w:val="FFFFFF"/>
              </w:rPr>
              <w:t>Performance Levels</w:t>
            </w:r>
          </w:p>
        </w:tc>
        <w:tc>
          <w:tcPr>
            <w:tcW w:w="280" w:type="dxa"/>
            <w:vAlign w:val="bottom"/>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300" w:type="dxa"/>
            <w:vAlign w:val="bottom"/>
          </w:tcPr>
          <w:p>
            <w:pPr>
              <w:spacing w:after="0"/>
              <w:rPr>
                <w:sz w:val="17"/>
                <w:szCs w:val="17"/>
                <w:color w:val="auto"/>
              </w:rPr>
            </w:pPr>
          </w:p>
        </w:tc>
        <w:tc>
          <w:tcPr>
            <w:tcW w:w="1100" w:type="dxa"/>
            <w:vAlign w:val="bottom"/>
            <w:shd w:val="clear" w:color="auto" w:fill="FF160F"/>
          </w:tcPr>
          <w:p>
            <w:pPr>
              <w:ind w:left="140"/>
              <w:spacing w:after="0"/>
              <w:rPr>
                <w:sz w:val="20"/>
                <w:szCs w:val="20"/>
                <w:color w:val="auto"/>
              </w:rPr>
            </w:pPr>
            <w:r>
              <w:rPr>
                <w:rFonts w:ascii="Arial" w:cs="Arial" w:eastAsia="Arial" w:hAnsi="Arial"/>
                <w:sz w:val="16"/>
                <w:szCs w:val="16"/>
                <w:b w:val="1"/>
                <w:bCs w:val="1"/>
                <w:color w:val="FFFFFF"/>
              </w:rPr>
              <w:t>Threshold</w:t>
            </w:r>
          </w:p>
        </w:tc>
        <w:tc>
          <w:tcPr>
            <w:tcW w:w="880" w:type="dxa"/>
            <w:vAlign w:val="bottom"/>
            <w:tcBorders>
              <w:right w:val="single" w:sz="8" w:color="FF160F"/>
            </w:tcBorders>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Target</w:t>
            </w:r>
          </w:p>
        </w:tc>
        <w:tc>
          <w:tcPr>
            <w:tcW w:w="1280" w:type="dxa"/>
            <w:vAlign w:val="bottom"/>
            <w:shd w:val="clear" w:color="auto" w:fill="FF160F"/>
          </w:tcPr>
          <w:p>
            <w:pPr>
              <w:jc w:val="center"/>
              <w:ind w:left="79"/>
              <w:spacing w:after="0"/>
              <w:rPr>
                <w:sz w:val="20"/>
                <w:szCs w:val="20"/>
                <w:color w:val="auto"/>
              </w:rPr>
            </w:pPr>
            <w:r>
              <w:rPr>
                <w:rFonts w:ascii="Arial" w:cs="Arial" w:eastAsia="Arial" w:hAnsi="Arial"/>
                <w:sz w:val="16"/>
                <w:szCs w:val="16"/>
                <w:b w:val="1"/>
                <w:bCs w:val="1"/>
                <w:color w:val="FFFFFF"/>
              </w:rPr>
              <w:t>Stretch</w:t>
            </w:r>
          </w:p>
        </w:tc>
        <w:tc>
          <w:tcPr>
            <w:tcW w:w="280" w:type="dxa"/>
            <w:vAlign w:val="bottom"/>
          </w:tcPr>
          <w:p>
            <w:pPr>
              <w:spacing w:after="0"/>
              <w:rPr>
                <w:sz w:val="17"/>
                <w:szCs w:val="17"/>
                <w:color w:val="auto"/>
              </w:rPr>
            </w:pPr>
          </w:p>
        </w:tc>
        <w:tc>
          <w:tcPr>
            <w:tcW w:w="720" w:type="dxa"/>
            <w:vAlign w:val="bottom"/>
            <w:shd w:val="clear" w:color="auto" w:fill="FF160F"/>
          </w:tcPr>
          <w:p>
            <w:pPr>
              <w:ind w:left="160"/>
              <w:spacing w:after="0"/>
              <w:rPr>
                <w:sz w:val="20"/>
                <w:szCs w:val="20"/>
                <w:color w:val="auto"/>
              </w:rPr>
            </w:pPr>
            <w:r>
              <w:rPr>
                <w:rFonts w:ascii="Arial" w:cs="Arial" w:eastAsia="Arial" w:hAnsi="Arial"/>
                <w:sz w:val="16"/>
                <w:szCs w:val="16"/>
                <w:b w:val="1"/>
                <w:bCs w:val="1"/>
                <w:color w:val="FFFFFF"/>
              </w:rPr>
              <w:t>Actual</w:t>
            </w:r>
          </w:p>
        </w:tc>
        <w:tc>
          <w:tcPr>
            <w:tcW w:w="20" w:type="dxa"/>
            <w:vAlign w:val="bottom"/>
          </w:tcPr>
          <w:p>
            <w:pPr>
              <w:spacing w:after="0"/>
              <w:rPr>
                <w:sz w:val="17"/>
                <w:szCs w:val="17"/>
                <w:color w:val="auto"/>
              </w:rPr>
            </w:pPr>
          </w:p>
        </w:tc>
      </w:tr>
      <w:tr>
        <w:trPr>
          <w:trHeight w:val="189"/>
        </w:trPr>
        <w:tc>
          <w:tcPr>
            <w:tcW w:w="53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300" w:type="dxa"/>
            <w:vAlign w:val="bottom"/>
          </w:tcPr>
          <w:p>
            <w:pPr>
              <w:spacing w:after="0"/>
              <w:rPr>
                <w:sz w:val="16"/>
                <w:szCs w:val="16"/>
                <w:color w:val="auto"/>
              </w:rPr>
            </w:pPr>
          </w:p>
        </w:tc>
        <w:tc>
          <w:tcPr>
            <w:tcW w:w="11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75%</w:t>
            </w:r>
          </w:p>
        </w:tc>
        <w:tc>
          <w:tcPr>
            <w:tcW w:w="880" w:type="dxa"/>
            <w:vAlign w:val="bottom"/>
            <w:tcBorders>
              <w:right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i w:val="1"/>
                <w:iCs w:val="1"/>
                <w:color w:val="auto"/>
              </w:rPr>
              <w:t>100%</w:t>
            </w:r>
          </w:p>
        </w:tc>
        <w:tc>
          <w:tcPr>
            <w:tcW w:w="1280" w:type="dxa"/>
            <w:vAlign w:val="bottom"/>
            <w:shd w:val="clear" w:color="auto" w:fill="E5E5E5"/>
          </w:tcPr>
          <w:p>
            <w:pPr>
              <w:jc w:val="center"/>
              <w:ind w:left="99"/>
              <w:spacing w:after="0"/>
              <w:rPr>
                <w:sz w:val="20"/>
                <w:szCs w:val="20"/>
                <w:color w:val="auto"/>
              </w:rPr>
            </w:pPr>
            <w:r>
              <w:rPr>
                <w:rFonts w:ascii="Arial" w:cs="Arial" w:eastAsia="Arial" w:hAnsi="Arial"/>
                <w:sz w:val="16"/>
                <w:szCs w:val="16"/>
                <w:i w:val="1"/>
                <w:iCs w:val="1"/>
                <w:color w:val="auto"/>
              </w:rPr>
              <w:t>125%</w:t>
            </w:r>
          </w:p>
        </w:tc>
        <w:tc>
          <w:tcPr>
            <w:tcW w:w="280" w:type="dxa"/>
            <w:vAlign w:val="bottom"/>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FFO per share</w:t>
            </w:r>
          </w:p>
        </w:tc>
        <w:tc>
          <w:tcPr>
            <w:tcW w:w="3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$5.80</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$5.92</w:t>
            </w:r>
          </w:p>
        </w:tc>
        <w:tc>
          <w:tcPr>
            <w:tcW w:w="12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$6.06</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c>
          <w:tcPr>
            <w:tcW w:w="20" w:type="dxa"/>
            <w:vAlign w:val="bottom"/>
            <w:tcBorders>
              <w:bottom w:val="single" w:sz="8" w:color="auto"/>
            </w:tcBorders>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Final Payout</w:t>
            </w: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125.0%</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-505460</wp:posOffset>
            </wp:positionV>
            <wp:extent cx="2065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77"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When set in February 2022, the achievement levels of FFO per share represented approximately 4%, 6.25% and nearly 9% year-over-year growth at the threshold, target and stretch levels, respectively, with threshold performance exceeding prior year actual results. These growth levels were consistent with pre-pandemic expectations and reflected all known and anticipated operating conditions at the time. The significant outperformance from expectations was driven primarily by our team’s achievement of a record level of top line revenue. This record revenue was largely attributable to better than expected increases in occupancy and rental rates, fewer tenant failures, lower levels of bad debt and higher supplemental rent payments made by tenants based on the strength of their sales.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Company within that NEO’s area of responsibility. Based on a review of each individual’s performance and the considerations outlined in detail on pages 26-27, the Compensation Committee elected to award each of our NEOs the full amount of the individual performance portion of his/her bonus potential.</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94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shd w:val="clear" w:color="auto" w:fill="FF160F"/>
          </w:tcPr>
          <w:p>
            <w:pPr>
              <w:spacing w:after="0"/>
              <w:rPr>
                <w:sz w:val="16"/>
                <w:szCs w:val="16"/>
                <w:color w:val="auto"/>
              </w:rPr>
            </w:pPr>
          </w:p>
        </w:tc>
        <w:tc>
          <w:tcPr>
            <w:tcW w:w="26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40" w:type="dxa"/>
            <w:vAlign w:val="bottom"/>
            <w:shd w:val="clear" w:color="auto" w:fill="FF160F"/>
          </w:tcPr>
          <w:p>
            <w:pPr>
              <w:jc w:val="center"/>
              <w:ind w:right="79"/>
              <w:spacing w:after="0"/>
              <w:rPr>
                <w:sz w:val="20"/>
                <w:szCs w:val="20"/>
                <w:color w:val="auto"/>
              </w:rPr>
            </w:pPr>
            <w:r>
              <w:rPr>
                <w:rFonts w:ascii="Arial" w:cs="Arial" w:eastAsia="Arial" w:hAnsi="Arial"/>
                <w:sz w:val="16"/>
                <w:szCs w:val="16"/>
                <w:b w:val="1"/>
                <w:bCs w:val="1"/>
                <w:color w:val="FFFFFF"/>
              </w:rPr>
              <w:t>Actual</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60" w:type="dxa"/>
            <w:vAlign w:val="bottom"/>
            <w:shd w:val="clear" w:color="auto" w:fill="FF160F"/>
          </w:tcPr>
          <w:p>
            <w:pPr>
              <w:spacing w:after="0"/>
              <w:rPr>
                <w:sz w:val="16"/>
                <w:szCs w:val="16"/>
                <w:color w:val="auto"/>
              </w:rPr>
            </w:pPr>
          </w:p>
        </w:tc>
        <w:tc>
          <w:tcPr>
            <w:tcW w:w="1260" w:type="dxa"/>
            <w:vAlign w:val="bottom"/>
            <w:gridSpan w:val="2"/>
            <w:shd w:val="clear" w:color="auto" w:fill="FF160F"/>
          </w:tcPr>
          <w:p>
            <w:pPr>
              <w:ind w:left="80"/>
              <w:spacing w:after="0"/>
              <w:rPr>
                <w:sz w:val="20"/>
                <w:szCs w:val="20"/>
                <w:color w:val="auto"/>
              </w:rPr>
            </w:pPr>
            <w:r>
              <w:rPr>
                <w:rFonts w:ascii="Arial" w:cs="Arial" w:eastAsia="Arial" w:hAnsi="Arial"/>
                <w:sz w:val="16"/>
                <w:szCs w:val="16"/>
                <w:b w:val="1"/>
                <w:bCs w:val="1"/>
                <w:color w:val="FFFFFF"/>
              </w:rPr>
              <w:t>Actual Earned</w:t>
            </w:r>
          </w:p>
        </w:tc>
        <w:tc>
          <w:tcPr>
            <w:tcW w:w="260" w:type="dxa"/>
            <w:vAlign w:val="bottom"/>
            <w:shd w:val="clear" w:color="auto" w:fill="FF160F"/>
          </w:tcPr>
          <w:p>
            <w:pPr>
              <w:spacing w:after="0"/>
              <w:rPr>
                <w:sz w:val="16"/>
                <w:szCs w:val="16"/>
                <w:color w:val="auto"/>
              </w:rPr>
            </w:pPr>
          </w:p>
        </w:tc>
        <w:tc>
          <w:tcPr>
            <w:tcW w:w="860" w:type="dxa"/>
            <w:vAlign w:val="bottom"/>
            <w:shd w:val="clear" w:color="auto" w:fill="FF160F"/>
          </w:tcPr>
          <w:p>
            <w:pPr>
              <w:spacing w:after="0"/>
              <w:rPr>
                <w:sz w:val="16"/>
                <w:szCs w:val="16"/>
                <w:color w:val="auto"/>
              </w:rPr>
            </w:pPr>
          </w:p>
        </w:tc>
      </w:tr>
      <w:tr>
        <w:trPr>
          <w:trHeight w:val="188"/>
        </w:trPr>
        <w:tc>
          <w:tcPr>
            <w:tcW w:w="194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shd w:val="clear" w:color="auto" w:fill="FF160F"/>
          </w:tcPr>
          <w:p>
            <w:pPr>
              <w:jc w:val="right"/>
              <w:ind w:right="439"/>
              <w:spacing w:after="0"/>
              <w:rPr>
                <w:sz w:val="20"/>
                <w:szCs w:val="20"/>
                <w:color w:val="auto"/>
              </w:rPr>
            </w:pPr>
            <w:r>
              <w:rPr>
                <w:rFonts w:ascii="Arial" w:cs="Arial" w:eastAsia="Arial" w:hAnsi="Arial"/>
                <w:sz w:val="16"/>
                <w:szCs w:val="16"/>
                <w:b w:val="1"/>
                <w:bCs w:val="1"/>
                <w:color w:val="FFFFFF"/>
              </w:rPr>
              <w:t>Target</w:t>
            </w:r>
          </w:p>
        </w:tc>
        <w:tc>
          <w:tcPr>
            <w:tcW w:w="260" w:type="dxa"/>
            <w:vAlign w:val="bottom"/>
            <w:shd w:val="clear" w:color="auto" w:fill="FF160F"/>
          </w:tcPr>
          <w:p>
            <w:pPr>
              <w:spacing w:after="0"/>
              <w:rPr>
                <w:sz w:val="16"/>
                <w:szCs w:val="16"/>
                <w:color w:val="auto"/>
              </w:rPr>
            </w:pPr>
          </w:p>
        </w:tc>
        <w:tc>
          <w:tcPr>
            <w:tcW w:w="880" w:type="dxa"/>
            <w:vAlign w:val="bottom"/>
            <w:shd w:val="clear" w:color="auto" w:fill="FF160F"/>
          </w:tcPr>
          <w:p>
            <w:pPr>
              <w:jc w:val="right"/>
              <w:ind w:right="239"/>
              <w:spacing w:after="0"/>
              <w:rPr>
                <w:sz w:val="20"/>
                <w:szCs w:val="20"/>
                <w:color w:val="auto"/>
              </w:rPr>
            </w:pPr>
            <w:r>
              <w:rPr>
                <w:rFonts w:ascii="Arial" w:cs="Arial" w:eastAsia="Arial" w:hAnsi="Arial"/>
                <w:sz w:val="16"/>
                <w:szCs w:val="16"/>
                <w:b w:val="1"/>
                <w:bCs w:val="1"/>
                <w:color w:val="FFFFFF"/>
              </w:rPr>
              <w:t>Target</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40" w:type="dxa"/>
            <w:vAlign w:val="bottom"/>
            <w:shd w:val="clear" w:color="auto" w:fill="FF160F"/>
          </w:tcPr>
          <w:p>
            <w:pPr>
              <w:jc w:val="center"/>
              <w:ind w:right="79"/>
              <w:spacing w:after="0"/>
              <w:rPr>
                <w:sz w:val="20"/>
                <w:szCs w:val="20"/>
                <w:color w:val="auto"/>
              </w:rPr>
            </w:pPr>
            <w:r>
              <w:rPr>
                <w:rFonts w:ascii="Arial" w:cs="Arial" w:eastAsia="Arial" w:hAnsi="Arial"/>
                <w:sz w:val="16"/>
                <w:szCs w:val="16"/>
                <w:b w:val="1"/>
                <w:bCs w:val="1"/>
                <w:color w:val="FFFFFF"/>
              </w:rPr>
              <w:t>Maximum</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60" w:type="dxa"/>
            <w:vAlign w:val="bottom"/>
            <w:shd w:val="clear" w:color="auto" w:fill="FF160F"/>
          </w:tcPr>
          <w:p>
            <w:pPr>
              <w:jc w:val="right"/>
              <w:ind w:right="119"/>
              <w:spacing w:after="0"/>
              <w:rPr>
                <w:sz w:val="20"/>
                <w:szCs w:val="20"/>
                <w:color w:val="auto"/>
              </w:rPr>
            </w:pPr>
            <w:r>
              <w:rPr>
                <w:rFonts w:ascii="Arial" w:cs="Arial" w:eastAsia="Arial" w:hAnsi="Arial"/>
                <w:sz w:val="16"/>
                <w:szCs w:val="16"/>
                <w:b w:val="1"/>
                <w:bCs w:val="1"/>
                <w:color w:val="FFFFFF"/>
              </w:rPr>
              <w:t>Company</w:t>
            </w:r>
          </w:p>
        </w:tc>
        <w:tc>
          <w:tcPr>
            <w:tcW w:w="240" w:type="dxa"/>
            <w:vAlign w:val="bottom"/>
            <w:shd w:val="clear" w:color="auto" w:fill="FF160F"/>
          </w:tcPr>
          <w:p>
            <w:pPr>
              <w:spacing w:after="0"/>
              <w:rPr>
                <w:sz w:val="16"/>
                <w:szCs w:val="16"/>
                <w:color w:val="auto"/>
              </w:rPr>
            </w:pPr>
          </w:p>
        </w:tc>
        <w:tc>
          <w:tcPr>
            <w:tcW w:w="1020" w:type="dxa"/>
            <w:vAlign w:val="bottom"/>
            <w:shd w:val="clear" w:color="auto" w:fill="FF160F"/>
          </w:tcPr>
          <w:p>
            <w:pPr>
              <w:jc w:val="right"/>
              <w:ind w:right="179"/>
              <w:spacing w:after="0"/>
              <w:rPr>
                <w:sz w:val="20"/>
                <w:szCs w:val="20"/>
                <w:color w:val="auto"/>
              </w:rPr>
            </w:pPr>
            <w:r>
              <w:rPr>
                <w:rFonts w:ascii="Arial" w:cs="Arial" w:eastAsia="Arial" w:hAnsi="Arial"/>
                <w:sz w:val="16"/>
                <w:szCs w:val="16"/>
                <w:b w:val="1"/>
                <w:bCs w:val="1"/>
                <w:color w:val="FFFFFF"/>
                <w:w w:val="99"/>
              </w:rPr>
              <w:t>Individual</w:t>
            </w:r>
          </w:p>
        </w:tc>
        <w:tc>
          <w:tcPr>
            <w:tcW w:w="260" w:type="dxa"/>
            <w:vAlign w:val="bottom"/>
            <w:shd w:val="clear" w:color="auto" w:fill="FF160F"/>
          </w:tcPr>
          <w:p>
            <w:pPr>
              <w:spacing w:after="0"/>
              <w:rPr>
                <w:sz w:val="16"/>
                <w:szCs w:val="16"/>
                <w:color w:val="auto"/>
              </w:rPr>
            </w:pPr>
          </w:p>
        </w:tc>
        <w:tc>
          <w:tcPr>
            <w:tcW w:w="86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217"/>
        </w:trPr>
        <w:tc>
          <w:tcPr>
            <w:tcW w:w="19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NEO</w:t>
            </w:r>
          </w:p>
        </w:tc>
        <w:tc>
          <w:tcPr>
            <w:tcW w:w="220" w:type="dxa"/>
            <w:vAlign w:val="bottom"/>
          </w:tcPr>
          <w:p>
            <w:pPr>
              <w:spacing w:after="0"/>
              <w:rPr>
                <w:sz w:val="18"/>
                <w:szCs w:val="18"/>
                <w:color w:val="auto"/>
              </w:rPr>
            </w:pPr>
          </w:p>
        </w:tc>
        <w:tc>
          <w:tcPr>
            <w:tcW w:w="140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 Base Pay)</w:t>
            </w:r>
          </w:p>
        </w:tc>
        <w:tc>
          <w:tcPr>
            <w:tcW w:w="260" w:type="dxa"/>
            <w:vAlign w:val="bottom"/>
            <w:shd w:val="clear" w:color="auto" w:fill="FF160F"/>
          </w:tcPr>
          <w:p>
            <w:pPr>
              <w:spacing w:after="0"/>
              <w:rPr>
                <w:sz w:val="18"/>
                <w:szCs w:val="18"/>
                <w:color w:val="auto"/>
              </w:rPr>
            </w:pPr>
          </w:p>
        </w:tc>
        <w:tc>
          <w:tcPr>
            <w:tcW w:w="880" w:type="dxa"/>
            <w:vAlign w:val="bottom"/>
            <w:shd w:val="clear" w:color="auto" w:fill="FF160F"/>
          </w:tcPr>
          <w:p>
            <w:pPr>
              <w:jc w:val="right"/>
              <w:ind w:right="379"/>
              <w:spacing w:after="0"/>
              <w:rPr>
                <w:sz w:val="20"/>
                <w:szCs w:val="20"/>
                <w:color w:val="auto"/>
              </w:rPr>
            </w:pPr>
            <w:r>
              <w:rPr>
                <w:rFonts w:ascii="Arial" w:cs="Arial" w:eastAsia="Arial" w:hAnsi="Arial"/>
                <w:sz w:val="16"/>
                <w:szCs w:val="16"/>
                <w:b w:val="1"/>
                <w:bCs w:val="1"/>
                <w:color w:val="FFFFFF"/>
              </w:rPr>
              <w:t>($)</w:t>
            </w:r>
          </w:p>
        </w:tc>
        <w:tc>
          <w:tcPr>
            <w:tcW w:w="220" w:type="dxa"/>
            <w:vAlign w:val="bottom"/>
          </w:tcPr>
          <w:p>
            <w:pPr>
              <w:spacing w:after="0"/>
              <w:rPr>
                <w:sz w:val="18"/>
                <w:szCs w:val="18"/>
                <w:color w:val="auto"/>
              </w:rPr>
            </w:pPr>
          </w:p>
        </w:tc>
        <w:tc>
          <w:tcPr>
            <w:tcW w:w="240" w:type="dxa"/>
            <w:vAlign w:val="bottom"/>
            <w:shd w:val="clear" w:color="auto" w:fill="FF160F"/>
          </w:tcPr>
          <w:p>
            <w:pPr>
              <w:spacing w:after="0"/>
              <w:rPr>
                <w:sz w:val="18"/>
                <w:szCs w:val="18"/>
                <w:color w:val="auto"/>
              </w:rPr>
            </w:pPr>
          </w:p>
        </w:tc>
        <w:tc>
          <w:tcPr>
            <w:tcW w:w="940" w:type="dxa"/>
            <w:vAlign w:val="bottom"/>
            <w:shd w:val="clear" w:color="auto" w:fill="FF160F"/>
          </w:tcPr>
          <w:p>
            <w:pPr>
              <w:jc w:val="center"/>
              <w:ind w:right="79"/>
              <w:spacing w:after="0"/>
              <w:rPr>
                <w:sz w:val="20"/>
                <w:szCs w:val="20"/>
                <w:color w:val="auto"/>
              </w:rPr>
            </w:pPr>
            <w:r>
              <w:rPr>
                <w:rFonts w:ascii="Arial" w:cs="Arial" w:eastAsia="Arial" w:hAnsi="Arial"/>
                <w:sz w:val="16"/>
                <w:szCs w:val="16"/>
                <w:b w:val="1"/>
                <w:bCs w:val="1"/>
                <w:color w:val="FFFFFF"/>
              </w:rPr>
              <w:t>Payout</w:t>
            </w:r>
          </w:p>
        </w:tc>
        <w:tc>
          <w:tcPr>
            <w:tcW w:w="220" w:type="dxa"/>
            <w:vAlign w:val="bottom"/>
          </w:tcPr>
          <w:p>
            <w:pPr>
              <w:spacing w:after="0"/>
              <w:rPr>
                <w:sz w:val="18"/>
                <w:szCs w:val="18"/>
                <w:color w:val="auto"/>
              </w:rPr>
            </w:pPr>
          </w:p>
        </w:tc>
        <w:tc>
          <w:tcPr>
            <w:tcW w:w="1200" w:type="dxa"/>
            <w:vAlign w:val="bottom"/>
            <w:gridSpan w:val="2"/>
            <w:shd w:val="clear" w:color="auto" w:fill="FF160F"/>
          </w:tcPr>
          <w:p>
            <w:pPr>
              <w:ind w:left="140"/>
              <w:spacing w:after="0"/>
              <w:rPr>
                <w:sz w:val="20"/>
                <w:szCs w:val="20"/>
                <w:color w:val="auto"/>
              </w:rPr>
            </w:pPr>
            <w:r>
              <w:rPr>
                <w:rFonts w:ascii="Arial" w:cs="Arial" w:eastAsia="Arial" w:hAnsi="Arial"/>
                <w:sz w:val="16"/>
                <w:szCs w:val="16"/>
                <w:b w:val="1"/>
                <w:bCs w:val="1"/>
                <w:color w:val="FFFFFF"/>
              </w:rPr>
              <w:t>Performance</w:t>
            </w:r>
          </w:p>
        </w:tc>
        <w:tc>
          <w:tcPr>
            <w:tcW w:w="1260" w:type="dxa"/>
            <w:vAlign w:val="bottom"/>
            <w:gridSpan w:val="2"/>
            <w:shd w:val="clear" w:color="auto" w:fill="FF160F"/>
          </w:tcPr>
          <w:p>
            <w:pPr>
              <w:ind w:left="140"/>
              <w:spacing w:after="0"/>
              <w:rPr>
                <w:sz w:val="20"/>
                <w:szCs w:val="20"/>
                <w:color w:val="auto"/>
              </w:rPr>
            </w:pPr>
            <w:r>
              <w:rPr>
                <w:rFonts w:ascii="Arial" w:cs="Arial" w:eastAsia="Arial" w:hAnsi="Arial"/>
                <w:sz w:val="16"/>
                <w:szCs w:val="16"/>
                <w:b w:val="1"/>
                <w:bCs w:val="1"/>
                <w:color w:val="FFFFFF"/>
              </w:rPr>
              <w:t>Performance</w:t>
            </w:r>
          </w:p>
        </w:tc>
        <w:tc>
          <w:tcPr>
            <w:tcW w:w="260" w:type="dxa"/>
            <w:vAlign w:val="bottom"/>
            <w:shd w:val="clear" w:color="auto" w:fill="FF160F"/>
          </w:tcPr>
          <w:p>
            <w:pPr>
              <w:spacing w:after="0"/>
              <w:rPr>
                <w:sz w:val="18"/>
                <w:szCs w:val="18"/>
                <w:color w:val="auto"/>
              </w:rPr>
            </w:pPr>
          </w:p>
        </w:tc>
        <w:tc>
          <w:tcPr>
            <w:tcW w:w="86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Paid</w:t>
            </w: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Mr. Wood</w:t>
            </w:r>
          </w:p>
        </w:tc>
        <w:tc>
          <w:tcPr>
            <w:tcW w:w="220" w:type="dxa"/>
            <w:vAlign w:val="bottom"/>
          </w:tcPr>
          <w:p>
            <w:pPr>
              <w:spacing w:after="0"/>
              <w:rPr>
                <w:sz w:val="15"/>
                <w:szCs w:val="15"/>
                <w:color w:val="auto"/>
              </w:rPr>
            </w:pPr>
          </w:p>
        </w:tc>
        <w:tc>
          <w:tcPr>
            <w:tcW w:w="14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150%</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220" w:type="dxa"/>
            <w:vAlign w:val="bottom"/>
          </w:tcPr>
          <w:p>
            <w:pPr>
              <w:spacing w:after="0"/>
              <w:rPr>
                <w:sz w:val="15"/>
                <w:szCs w:val="15"/>
                <w:color w:val="auto"/>
              </w:rPr>
            </w:pP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1,875,000</w:t>
            </w:r>
          </w:p>
        </w:tc>
        <w:tc>
          <w:tcPr>
            <w:tcW w:w="220" w:type="dxa"/>
            <w:vAlign w:val="bottom"/>
          </w:tcPr>
          <w:p>
            <w:pPr>
              <w:spacing w:after="0"/>
              <w:rPr>
                <w:sz w:val="15"/>
                <w:szCs w:val="15"/>
                <w:color w:val="auto"/>
              </w:rPr>
            </w:pPr>
          </w:p>
        </w:tc>
        <w:tc>
          <w:tcPr>
            <w:tcW w:w="24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468,750</w:t>
            </w:r>
          </w:p>
        </w:tc>
        <w:tc>
          <w:tcPr>
            <w:tcW w:w="240" w:type="dxa"/>
            <w:vAlign w:val="bottom"/>
          </w:tcPr>
          <w:p>
            <w:pPr>
              <w:ind w:left="140"/>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line="175" w:lineRule="exact"/>
              <w:rPr>
                <w:sz w:val="20"/>
                <w:szCs w:val="20"/>
                <w:color w:val="auto"/>
              </w:rPr>
            </w:pPr>
            <w:r>
              <w:rPr>
                <w:rFonts w:ascii="Arial" w:cs="Arial" w:eastAsia="Arial" w:hAnsi="Arial"/>
                <w:sz w:val="16"/>
                <w:szCs w:val="16"/>
                <w:color w:val="auto"/>
              </w:rPr>
              <w:t>1,406,250</w:t>
            </w:r>
          </w:p>
        </w:tc>
        <w:tc>
          <w:tcPr>
            <w:tcW w:w="2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1,875,000</w:t>
            </w:r>
          </w:p>
        </w:tc>
      </w:tr>
      <w:tr>
        <w:trPr>
          <w:trHeight w:val="189"/>
        </w:trPr>
        <w:tc>
          <w:tcPr>
            <w:tcW w:w="2160" w:type="dxa"/>
            <w:vAlign w:val="bottom"/>
            <w:gridSpan w:val="2"/>
          </w:tcPr>
          <w:p>
            <w:pPr>
              <w:spacing w:after="0"/>
              <w:rPr>
                <w:sz w:val="20"/>
                <w:szCs w:val="20"/>
                <w:color w:val="auto"/>
              </w:rPr>
            </w:pPr>
            <w:r>
              <w:rPr>
                <w:rFonts w:ascii="Arial" w:cs="Arial" w:eastAsia="Arial" w:hAnsi="Arial"/>
                <w:sz w:val="16"/>
                <w:szCs w:val="16"/>
                <w:color w:val="auto"/>
              </w:rPr>
              <w:t>Mr. Berkes</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650,000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812,500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203,125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609,375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812,500</w:t>
            </w:r>
          </w:p>
        </w:tc>
      </w:tr>
      <w:tr>
        <w:trPr>
          <w:trHeight w:val="189"/>
        </w:trPr>
        <w:tc>
          <w:tcPr>
            <w:tcW w:w="2160" w:type="dxa"/>
            <w:vAlign w:val="bottom"/>
            <w:gridSpan w:val="2"/>
          </w:tcPr>
          <w:p>
            <w:pPr>
              <w:spacing w:after="0"/>
              <w:rPr>
                <w:sz w:val="20"/>
                <w:szCs w:val="20"/>
                <w:color w:val="auto"/>
              </w:rPr>
            </w:pPr>
            <w:r>
              <w:rPr>
                <w:rFonts w:ascii="Arial" w:cs="Arial" w:eastAsia="Arial" w:hAnsi="Arial"/>
                <w:sz w:val="16"/>
                <w:szCs w:val="16"/>
                <w:color w:val="auto"/>
              </w:rPr>
              <w:t>Mr. Guglielmone</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718,750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179,688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539,063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718,750</w:t>
            </w:r>
          </w:p>
        </w:tc>
      </w:tr>
      <w:tr>
        <w:trPr>
          <w:trHeight w:val="215"/>
        </w:trPr>
        <w:tc>
          <w:tcPr>
            <w:tcW w:w="2160" w:type="dxa"/>
            <w:vAlign w:val="bottom"/>
            <w:gridSpan w:val="2"/>
          </w:tcPr>
          <w:p>
            <w:pPr>
              <w:spacing w:after="0"/>
              <w:rPr>
                <w:sz w:val="20"/>
                <w:szCs w:val="20"/>
                <w:color w:val="auto"/>
              </w:rPr>
            </w:pPr>
            <w:r>
              <w:rPr>
                <w:rFonts w:ascii="Arial" w:cs="Arial" w:eastAsia="Arial" w:hAnsi="Arial"/>
                <w:sz w:val="16"/>
                <w:szCs w:val="16"/>
                <w:color w:val="auto"/>
              </w:rPr>
              <w:t>Ms . Becker</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718,750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179,688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539,063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-744220</wp:posOffset>
            </wp:positionV>
            <wp:extent cx="2160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2022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Program</w:t>
      </w:r>
    </w:p>
    <w:p>
      <w:pPr>
        <w:spacing w:after="0" w:line="21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20" w:lineRule="exact"/>
        <w:rPr>
          <w:sz w:val="20"/>
          <w:szCs w:val="20"/>
          <w:color w:val="auto"/>
        </w:rPr>
      </w:pPr>
    </w:p>
    <w:tbl>
      <w:tblPr>
        <w:tblLayout w:type="fixed"/>
        <w:tblInd w:w="110" w:type="dxa"/>
        <w:tblCellMar>
          <w:top w:w="0" w:type="dxa"/>
          <w:left w:w="0" w:type="dxa"/>
          <w:bottom w:w="0" w:type="dxa"/>
          <w:right w:w="0" w:type="dxa"/>
        </w:tblCellMar>
      </w:tblPr>
      <w:tr>
        <w:trPr>
          <w:trHeight w:val="230"/>
        </w:trPr>
        <w:tc>
          <w:tcPr>
            <w:tcW w:w="1460" w:type="dxa"/>
            <w:vAlign w:val="bottom"/>
            <w:tcBorders>
              <w:left w:val="single" w:sz="8" w:color="FF160F"/>
            </w:tcBorders>
            <w:shd w:val="clear" w:color="auto" w:fill="FF160F"/>
          </w:tcPr>
          <w:p>
            <w:pPr>
              <w:ind w:left="20"/>
              <w:spacing w:after="0"/>
              <w:rPr>
                <w:sz w:val="20"/>
                <w:szCs w:val="20"/>
                <w:color w:val="auto"/>
              </w:rPr>
            </w:pPr>
            <w:r>
              <w:rPr>
                <w:rFonts w:ascii="Arial" w:cs="Arial" w:eastAsia="Arial" w:hAnsi="Arial"/>
                <w:sz w:val="18"/>
                <w:szCs w:val="18"/>
                <w:b w:val="1"/>
                <w:bCs w:val="1"/>
                <w:color w:val="FFFFFF"/>
              </w:rPr>
              <w:t>Plan Metric</w:t>
            </w:r>
          </w:p>
        </w:tc>
        <w:tc>
          <w:tcPr>
            <w:tcW w:w="1540" w:type="dxa"/>
            <w:vAlign w:val="bottom"/>
            <w:shd w:val="clear" w:color="auto" w:fill="FF160F"/>
          </w:tcPr>
          <w:p>
            <w:pPr>
              <w:spacing w:after="0"/>
              <w:rPr>
                <w:sz w:val="19"/>
                <w:szCs w:val="19"/>
                <w:color w:val="auto"/>
              </w:rPr>
            </w:pPr>
          </w:p>
        </w:tc>
        <w:tc>
          <w:tcPr>
            <w:tcW w:w="980" w:type="dxa"/>
            <w:vAlign w:val="bottom"/>
            <w:shd w:val="clear" w:color="auto" w:fill="FF160F"/>
          </w:tcPr>
          <w:p>
            <w:pPr>
              <w:spacing w:after="0"/>
              <w:rPr>
                <w:sz w:val="19"/>
                <w:szCs w:val="19"/>
                <w:color w:val="auto"/>
              </w:rPr>
            </w:pPr>
          </w:p>
        </w:tc>
        <w:tc>
          <w:tcPr>
            <w:tcW w:w="340" w:type="dxa"/>
            <w:vAlign w:val="bottom"/>
          </w:tcPr>
          <w:p>
            <w:pPr>
              <w:spacing w:after="0"/>
              <w:rPr>
                <w:sz w:val="19"/>
                <w:szCs w:val="19"/>
                <w:color w:val="auto"/>
              </w:rPr>
            </w:pPr>
          </w:p>
        </w:tc>
        <w:tc>
          <w:tcPr>
            <w:tcW w:w="6720" w:type="dxa"/>
            <w:vAlign w:val="bottom"/>
            <w:tcBorders>
              <w:right w:val="single" w:sz="8" w:color="FF160F"/>
            </w:tcBorders>
            <w:shd w:val="clear" w:color="auto" w:fill="FF160F"/>
          </w:tcPr>
          <w:p>
            <w:pPr>
              <w:ind w:left="12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tcPr>
          <w:p>
            <w:pPr>
              <w:spacing w:after="0"/>
              <w:rPr>
                <w:sz w:val="19"/>
                <w:szCs w:val="19"/>
                <w:color w:val="auto"/>
              </w:rPr>
            </w:pPr>
          </w:p>
        </w:tc>
      </w:tr>
      <w:tr>
        <w:trPr>
          <w:trHeight w:val="184"/>
        </w:trPr>
        <w:tc>
          <w:tcPr>
            <w:tcW w:w="3000" w:type="dxa"/>
            <w:vAlign w:val="bottom"/>
            <w:tcBorders>
              <w:left w:val="single" w:sz="8" w:color="E5E5E5"/>
            </w:tcBorders>
            <w:gridSpan w:val="2"/>
            <w:shd w:val="clear" w:color="auto" w:fill="E5E5E5"/>
          </w:tcPr>
          <w:p>
            <w:pPr>
              <w:ind w:left="120"/>
              <w:spacing w:after="0" w:line="183" w:lineRule="exact"/>
              <w:rPr>
                <w:sz w:val="20"/>
                <w:szCs w:val="20"/>
                <w:color w:val="auto"/>
              </w:rPr>
            </w:pPr>
            <w:r>
              <w:rPr>
                <w:rFonts w:ascii="Arial" w:cs="Arial" w:eastAsia="Arial" w:hAnsi="Arial"/>
                <w:sz w:val="18"/>
                <w:szCs w:val="18"/>
                <w:color w:val="auto"/>
              </w:rPr>
              <w:t>Relative Total Shareholder Return</w:t>
            </w:r>
          </w:p>
        </w:tc>
        <w:tc>
          <w:tcPr>
            <w:tcW w:w="980" w:type="dxa"/>
            <w:vAlign w:val="bottom"/>
            <w:shd w:val="clear" w:color="auto" w:fill="E5E5E5"/>
          </w:tcPr>
          <w:p>
            <w:pPr>
              <w:spacing w:after="0"/>
              <w:rPr>
                <w:sz w:val="15"/>
                <w:szCs w:val="15"/>
                <w:color w:val="auto"/>
              </w:rPr>
            </w:pPr>
          </w:p>
        </w:tc>
        <w:tc>
          <w:tcPr>
            <w:tcW w:w="340" w:type="dxa"/>
            <w:vAlign w:val="bottom"/>
          </w:tcPr>
          <w:p>
            <w:pPr>
              <w:spacing w:after="0"/>
              <w:rPr>
                <w:sz w:val="15"/>
                <w:szCs w:val="15"/>
                <w:color w:val="auto"/>
              </w:rPr>
            </w:pPr>
          </w:p>
        </w:tc>
        <w:tc>
          <w:tcPr>
            <w:tcW w:w="6720" w:type="dxa"/>
            <w:vAlign w:val="bottom"/>
          </w:tcPr>
          <w:p>
            <w:pPr>
              <w:ind w:left="120"/>
              <w:spacing w:after="0" w:line="183" w:lineRule="exact"/>
              <w:rPr>
                <w:sz w:val="20"/>
                <w:szCs w:val="20"/>
                <w:color w:val="auto"/>
              </w:rPr>
            </w:pPr>
            <w:r>
              <w:rPr>
                <w:rFonts w:ascii="Arial" w:cs="Arial" w:eastAsia="Arial" w:hAnsi="Arial"/>
                <w:sz w:val="18"/>
                <w:szCs w:val="18"/>
                <w:color w:val="auto"/>
              </w:rPr>
              <w:t>Compares  our  total  shareholder  return,  taking  into  account  share  price</w:t>
            </w:r>
          </w:p>
        </w:tc>
        <w:tc>
          <w:tcPr>
            <w:tcW w:w="20" w:type="dxa"/>
            <w:vAlign w:val="bottom"/>
          </w:tcPr>
          <w:p>
            <w:pPr>
              <w:spacing w:after="0"/>
              <w:rPr>
                <w:sz w:val="15"/>
                <w:szCs w:val="15"/>
                <w:color w:val="auto"/>
              </w:rPr>
            </w:pPr>
          </w:p>
        </w:tc>
      </w:tr>
      <w:tr>
        <w:trPr>
          <w:trHeight w:val="203"/>
        </w:trPr>
        <w:tc>
          <w:tcPr>
            <w:tcW w:w="1460" w:type="dxa"/>
            <w:vAlign w:val="bottom"/>
            <w:tcBorders>
              <w:left w:val="single" w:sz="8" w:color="E5E5E5"/>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(34% weighting)</w:t>
            </w: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appreciation and assuming reinvestment of dividends, against the total return</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achieved by the Bloomberg REIT Shopping Center Index (“BBRESHOP”) which is</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comprised of publicly traded companies that own and operate open air shopping</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centers. The Compensation Committee believes that the BBRESHOP provides an</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appropriate  basis  to  compare  our  performance  against  similarly  situated</w:t>
            </w:r>
          </w:p>
        </w:tc>
      </w:tr>
      <w:tr>
        <w:trPr>
          <w:trHeight w:val="221"/>
        </w:trPr>
        <w:tc>
          <w:tcPr>
            <w:tcW w:w="1460" w:type="dxa"/>
            <w:vAlign w:val="bottom"/>
            <w:tcBorders>
              <w:left w:val="single" w:sz="8" w:color="E5E5E5"/>
            </w:tcBorders>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companies.</w:t>
            </w:r>
          </w:p>
        </w:tc>
      </w:tr>
      <w:tr>
        <w:trPr>
          <w:trHeight w:val="177"/>
        </w:trPr>
        <w:tc>
          <w:tcPr>
            <w:tcW w:w="3000" w:type="dxa"/>
            <w:vAlign w:val="bottom"/>
            <w:tcBorders>
              <w:top w:val="single" w:sz="8" w:color="auto"/>
              <w:left w:val="single" w:sz="8" w:color="E5E5E5"/>
            </w:tcBorders>
            <w:gridSpan w:val="2"/>
            <w:shd w:val="clear" w:color="auto" w:fill="E5E5E5"/>
          </w:tcPr>
          <w:p>
            <w:pPr>
              <w:ind w:left="120"/>
              <w:spacing w:after="0" w:line="177" w:lineRule="exact"/>
              <w:rPr>
                <w:sz w:val="20"/>
                <w:szCs w:val="20"/>
                <w:color w:val="auto"/>
              </w:rPr>
            </w:pPr>
            <w:r>
              <w:rPr>
                <w:rFonts w:ascii="Arial" w:cs="Arial" w:eastAsia="Arial" w:hAnsi="Arial"/>
                <w:sz w:val="18"/>
                <w:szCs w:val="18"/>
                <w:color w:val="auto"/>
              </w:rPr>
              <w:t>FFO Multiple Premium</w:t>
            </w:r>
          </w:p>
        </w:tc>
        <w:tc>
          <w:tcPr>
            <w:tcW w:w="980" w:type="dxa"/>
            <w:vAlign w:val="bottom"/>
            <w:tcBorders>
              <w:top w:val="single" w:sz="8" w:color="auto"/>
            </w:tcBorders>
            <w:shd w:val="clear" w:color="auto" w:fill="E5E5E5"/>
          </w:tcPr>
          <w:p>
            <w:pPr>
              <w:spacing w:after="0"/>
              <w:rPr>
                <w:sz w:val="15"/>
                <w:szCs w:val="15"/>
                <w:color w:val="auto"/>
              </w:rPr>
            </w:pPr>
          </w:p>
        </w:tc>
        <w:tc>
          <w:tcPr>
            <w:tcW w:w="340" w:type="dxa"/>
            <w:vAlign w:val="bottom"/>
          </w:tcPr>
          <w:p>
            <w:pPr>
              <w:spacing w:after="0"/>
              <w:rPr>
                <w:sz w:val="15"/>
                <w:szCs w:val="15"/>
                <w:color w:val="auto"/>
              </w:rPr>
            </w:pPr>
          </w:p>
        </w:tc>
        <w:tc>
          <w:tcPr>
            <w:tcW w:w="672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8"/>
                <w:szCs w:val="18"/>
                <w:color w:val="auto"/>
              </w:rPr>
              <w:t>Compares the FFO multiple at which the Company is trading at the end of the</w:t>
            </w:r>
          </w:p>
        </w:tc>
        <w:tc>
          <w:tcPr>
            <w:tcW w:w="20" w:type="dxa"/>
            <w:vAlign w:val="bottom"/>
          </w:tcPr>
          <w:p>
            <w:pPr>
              <w:spacing w:after="0"/>
              <w:rPr>
                <w:sz w:val="15"/>
                <w:szCs w:val="15"/>
                <w:color w:val="auto"/>
              </w:rPr>
            </w:pPr>
          </w:p>
        </w:tc>
      </w:tr>
      <w:tr>
        <w:trPr>
          <w:trHeight w:val="203"/>
        </w:trPr>
        <w:tc>
          <w:tcPr>
            <w:tcW w:w="1460" w:type="dxa"/>
            <w:vAlign w:val="bottom"/>
            <w:tcBorders>
              <w:left w:val="single" w:sz="8" w:color="E5E5E5"/>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(33% weighting)</w:t>
            </w: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performance period against the average FFO multiple at which all other public</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shopping center companies (other than the Company) are trading at that time. The</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FFO multiples are provided by a third party investment bank and it serves as a</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measure of investor expectations of our long-term growth potential and confidence</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 our management team versus other publicly traded open air shopping center</w:t>
            </w:r>
          </w:p>
        </w:tc>
      </w:tr>
      <w:tr>
        <w:trPr>
          <w:trHeight w:val="221"/>
        </w:trPr>
        <w:tc>
          <w:tcPr>
            <w:tcW w:w="1460" w:type="dxa"/>
            <w:vAlign w:val="bottom"/>
            <w:tcBorders>
              <w:left w:val="single" w:sz="8" w:color="E5E5E5"/>
            </w:tcBorders>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companies.</w:t>
            </w:r>
          </w:p>
        </w:tc>
      </w:tr>
      <w:tr>
        <w:trPr>
          <w:trHeight w:val="177"/>
        </w:trPr>
        <w:tc>
          <w:tcPr>
            <w:tcW w:w="3000" w:type="dxa"/>
            <w:vAlign w:val="bottom"/>
            <w:tcBorders>
              <w:top w:val="single" w:sz="8" w:color="auto"/>
              <w:left w:val="single" w:sz="8" w:color="E5E5E5"/>
            </w:tcBorders>
            <w:gridSpan w:val="2"/>
            <w:shd w:val="clear" w:color="auto" w:fill="E5E5E5"/>
          </w:tcPr>
          <w:p>
            <w:pPr>
              <w:ind w:left="120"/>
              <w:spacing w:after="0" w:line="177" w:lineRule="exact"/>
              <w:rPr>
                <w:sz w:val="20"/>
                <w:szCs w:val="20"/>
                <w:color w:val="auto"/>
              </w:rPr>
            </w:pPr>
            <w:r>
              <w:rPr>
                <w:rFonts w:ascii="Arial" w:cs="Arial" w:eastAsia="Arial" w:hAnsi="Arial"/>
                <w:sz w:val="18"/>
                <w:szCs w:val="18"/>
                <w:color w:val="auto"/>
              </w:rPr>
              <w:t>Return on Invested Capital</w:t>
            </w:r>
          </w:p>
        </w:tc>
        <w:tc>
          <w:tcPr>
            <w:tcW w:w="980" w:type="dxa"/>
            <w:vAlign w:val="bottom"/>
            <w:tcBorders>
              <w:top w:val="single" w:sz="8" w:color="auto"/>
            </w:tcBorders>
            <w:shd w:val="clear" w:color="auto" w:fill="E5E5E5"/>
          </w:tcPr>
          <w:p>
            <w:pPr>
              <w:spacing w:after="0"/>
              <w:rPr>
                <w:sz w:val="15"/>
                <w:szCs w:val="15"/>
                <w:color w:val="auto"/>
              </w:rPr>
            </w:pPr>
          </w:p>
        </w:tc>
        <w:tc>
          <w:tcPr>
            <w:tcW w:w="340" w:type="dxa"/>
            <w:vAlign w:val="bottom"/>
          </w:tcPr>
          <w:p>
            <w:pPr>
              <w:spacing w:after="0"/>
              <w:rPr>
                <w:sz w:val="15"/>
                <w:szCs w:val="15"/>
                <w:color w:val="auto"/>
              </w:rPr>
            </w:pPr>
          </w:p>
        </w:tc>
        <w:tc>
          <w:tcPr>
            <w:tcW w:w="672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8"/>
                <w:szCs w:val="18"/>
                <w:color w:val="auto"/>
              </w:rPr>
              <w:t>Reflects how effectively we have allocated our shareholders’ capital during the</w:t>
            </w:r>
          </w:p>
        </w:tc>
        <w:tc>
          <w:tcPr>
            <w:tcW w:w="20" w:type="dxa"/>
            <w:vAlign w:val="bottom"/>
          </w:tcPr>
          <w:p>
            <w:pPr>
              <w:spacing w:after="0"/>
              <w:rPr>
                <w:sz w:val="15"/>
                <w:szCs w:val="15"/>
                <w:color w:val="auto"/>
              </w:rPr>
            </w:pPr>
          </w:p>
        </w:tc>
      </w:tr>
      <w:tr>
        <w:trPr>
          <w:trHeight w:val="202"/>
        </w:trPr>
        <w:tc>
          <w:tcPr>
            <w:tcW w:w="1460" w:type="dxa"/>
            <w:vAlign w:val="bottom"/>
            <w:tcBorders>
              <w:left w:val="single" w:sz="8" w:color="E5E5E5"/>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(33% weighting)</w:t>
            </w: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3-year performance period and incentivizes sound, long-term investment decisions</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focused on generating strong future shareholder returns. The metric encompasses</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all aspects of capital allocation decisions. Required performance levels are</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established to reflect changing market expectations as we acquire, sell and</w:t>
            </w:r>
          </w:p>
        </w:tc>
      </w:tr>
      <w:tr>
        <w:trPr>
          <w:trHeight w:val="221"/>
        </w:trPr>
        <w:tc>
          <w:tcPr>
            <w:tcW w:w="1460" w:type="dxa"/>
            <w:vAlign w:val="bottom"/>
            <w:tcBorders>
              <w:left w:val="single" w:sz="8" w:color="E5E5E5"/>
            </w:tcBorders>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develop assets.</w:t>
            </w:r>
          </w:p>
        </w:tc>
      </w:tr>
      <w:tr>
        <w:trPr>
          <w:trHeight w:val="155"/>
        </w:trPr>
        <w:tc>
          <w:tcPr>
            <w:tcW w:w="1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69"/>
        </w:trPr>
        <w:tc>
          <w:tcPr>
            <w:tcW w:w="1460" w:type="dxa"/>
            <w:vAlign w:val="bottom"/>
            <w:tcBorders>
              <w:left w:val="single" w:sz="8" w:color="auto"/>
              <w:bottom w:val="single" w:sz="8" w:color="auto"/>
            </w:tcBorders>
            <w:shd w:val="clear" w:color="auto" w:fill="EAEFED"/>
          </w:tcPr>
          <w:p>
            <w:pPr>
              <w:ind w:left="240"/>
              <w:spacing w:after="0"/>
              <w:rPr>
                <w:sz w:val="20"/>
                <w:szCs w:val="20"/>
                <w:color w:val="auto"/>
              </w:rPr>
            </w:pPr>
            <w:r>
              <w:rPr>
                <w:rFonts w:ascii="Arial" w:cs="Arial" w:eastAsia="Arial" w:hAnsi="Arial"/>
                <w:sz w:val="14"/>
                <w:szCs w:val="14"/>
                <w:color w:val="FF160F"/>
              </w:rPr>
              <w:t>Federal Realty</w:t>
            </w:r>
          </w:p>
        </w:tc>
        <w:tc>
          <w:tcPr>
            <w:tcW w:w="1540" w:type="dxa"/>
            <w:vAlign w:val="bottom"/>
            <w:tcBorders>
              <w:bottom w:val="single" w:sz="8" w:color="auto"/>
            </w:tcBorders>
            <w:shd w:val="clear" w:color="auto" w:fill="EAEFED"/>
          </w:tcPr>
          <w:p>
            <w:pPr>
              <w:ind w:left="40"/>
              <w:spacing w:after="0"/>
              <w:rPr>
                <w:sz w:val="20"/>
                <w:szCs w:val="20"/>
                <w:color w:val="auto"/>
              </w:rPr>
            </w:pPr>
            <w:r>
              <w:rPr>
                <w:rFonts w:ascii="Arial" w:cs="Arial" w:eastAsia="Arial" w:hAnsi="Arial"/>
                <w:sz w:val="14"/>
                <w:szCs w:val="14"/>
                <w:color w:val="auto"/>
              </w:rPr>
              <w:t>2023 Proxy Statement</w:t>
            </w:r>
          </w:p>
        </w:tc>
        <w:tc>
          <w:tcPr>
            <w:tcW w:w="980" w:type="dxa"/>
            <w:vAlign w:val="bottom"/>
            <w:tcBorders>
              <w:bottom w:val="single" w:sz="8" w:color="auto"/>
            </w:tcBorders>
            <w:shd w:val="clear" w:color="auto" w:fill="EAEFED"/>
          </w:tcPr>
          <w:p>
            <w:pPr>
              <w:jc w:val="right"/>
              <w:ind w:right="66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shd w:val="clear" w:color="auto" w:fill="EAEFED"/>
          </w:tcPr>
          <w:p>
            <w:pPr>
              <w:spacing w:after="0"/>
              <w:rPr>
                <w:sz w:val="14"/>
                <w:szCs w:val="14"/>
                <w:color w:val="auto"/>
              </w:rPr>
            </w:pPr>
          </w:p>
        </w:tc>
        <w:tc>
          <w:tcPr>
            <w:tcW w:w="6720" w:type="dxa"/>
            <w:vAlign w:val="bottom"/>
            <w:tcBorders>
              <w:bottom w:val="single" w:sz="8" w:color="auto"/>
              <w:right w:val="single" w:sz="8" w:color="auto"/>
            </w:tcBorders>
            <w:shd w:val="clear" w:color="auto" w:fill="EAEFED"/>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required performance levels for each of these metrics and the actual performance achieved for the 3-year performance period from 2020 through 2022 is set forth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40" w:type="dxa"/>
            <w:vAlign w:val="bottom"/>
            <w:shd w:val="clear" w:color="auto" w:fill="FF160F"/>
          </w:tcPr>
          <w:p>
            <w:pPr>
              <w:spacing w:after="0"/>
              <w:rPr>
                <w:sz w:val="16"/>
                <w:szCs w:val="16"/>
                <w:color w:val="auto"/>
              </w:rPr>
            </w:pPr>
          </w:p>
        </w:tc>
        <w:tc>
          <w:tcPr>
            <w:tcW w:w="104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gridSpan w:val="3"/>
            <w:shd w:val="clear" w:color="auto" w:fill="FF160F"/>
          </w:tcPr>
          <w:p>
            <w:pPr>
              <w:jc w:val="center"/>
              <w:spacing w:after="0"/>
              <w:rPr>
                <w:sz w:val="20"/>
                <w:szCs w:val="20"/>
                <w:color w:val="auto"/>
              </w:rPr>
            </w:pPr>
            <w:r>
              <w:rPr>
                <w:rFonts w:ascii="Arial" w:cs="Arial" w:eastAsia="Arial" w:hAnsi="Arial"/>
                <w:sz w:val="16"/>
                <w:szCs w:val="16"/>
                <w:b w:val="1"/>
                <w:bCs w:val="1"/>
                <w:color w:val="FFFFFF"/>
                <w:w w:val="99"/>
              </w:rPr>
              <w:t>Performance Targets</w:t>
            </w:r>
          </w:p>
        </w:tc>
        <w:tc>
          <w:tcPr>
            <w:tcW w:w="220" w:type="dxa"/>
            <w:vAlign w:val="bottom"/>
            <w:tcBorders>
              <w:right w:val="single" w:sz="8" w:color="FF160F"/>
            </w:tcBorders>
          </w:tcPr>
          <w:p>
            <w:pPr>
              <w:spacing w:after="0"/>
              <w:rPr>
                <w:sz w:val="16"/>
                <w:szCs w:val="16"/>
                <w:color w:val="auto"/>
              </w:rPr>
            </w:pPr>
          </w:p>
        </w:tc>
        <w:tc>
          <w:tcPr>
            <w:tcW w:w="186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Payout Factor</w:t>
            </w:r>
          </w:p>
        </w:tc>
        <w:tc>
          <w:tcPr>
            <w:tcW w:w="20" w:type="dxa"/>
            <w:vAlign w:val="bottom"/>
          </w:tcPr>
          <w:p>
            <w:pPr>
              <w:spacing w:after="0"/>
              <w:rPr>
                <w:sz w:val="16"/>
                <w:szCs w:val="16"/>
                <w:color w:val="auto"/>
              </w:rPr>
            </w:pPr>
          </w:p>
        </w:tc>
      </w:tr>
      <w:tr>
        <w:trPr>
          <w:trHeight w:val="203"/>
        </w:trPr>
        <w:tc>
          <w:tcPr>
            <w:tcW w:w="40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1040" w:type="dxa"/>
            <w:vAlign w:val="bottom"/>
            <w:shd w:val="clear" w:color="auto" w:fill="FF160F"/>
          </w:tcPr>
          <w:p>
            <w:pPr>
              <w:jc w:val="right"/>
              <w:ind w:right="59"/>
              <w:spacing w:after="0"/>
              <w:rPr>
                <w:sz w:val="20"/>
                <w:szCs w:val="20"/>
                <w:color w:val="auto"/>
              </w:rPr>
            </w:pPr>
            <w:r>
              <w:rPr>
                <w:rFonts w:ascii="Arial" w:cs="Arial" w:eastAsia="Arial" w:hAnsi="Arial"/>
                <w:sz w:val="16"/>
                <w:szCs w:val="16"/>
                <w:b w:val="1"/>
                <w:bCs w:val="1"/>
                <w:color w:val="FFFFFF"/>
                <w:shd w:val="clear" w:color="auto" w:fill="FF160F"/>
              </w:rPr>
              <w:t>Weighting</w:t>
            </w:r>
          </w:p>
        </w:tc>
        <w:tc>
          <w:tcPr>
            <w:tcW w:w="220" w:type="dxa"/>
            <w:vAlign w:val="bottom"/>
          </w:tcPr>
          <w:p>
            <w:pPr>
              <w:spacing w:after="0"/>
              <w:rPr>
                <w:sz w:val="17"/>
                <w:szCs w:val="17"/>
                <w:color w:val="auto"/>
              </w:rPr>
            </w:pPr>
          </w:p>
        </w:tc>
        <w:tc>
          <w:tcPr>
            <w:tcW w:w="120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Threshold</w:t>
            </w:r>
          </w:p>
        </w:tc>
        <w:tc>
          <w:tcPr>
            <w:tcW w:w="1240" w:type="dxa"/>
            <w:vAlign w:val="bottom"/>
            <w:shd w:val="clear" w:color="auto" w:fill="FF160F"/>
          </w:tcPr>
          <w:p>
            <w:pPr>
              <w:ind w:left="360"/>
              <w:spacing w:after="0"/>
              <w:rPr>
                <w:sz w:val="20"/>
                <w:szCs w:val="20"/>
                <w:color w:val="auto"/>
              </w:rPr>
            </w:pPr>
            <w:r>
              <w:rPr>
                <w:rFonts w:ascii="Arial" w:cs="Arial" w:eastAsia="Arial" w:hAnsi="Arial"/>
                <w:sz w:val="16"/>
                <w:szCs w:val="16"/>
                <w:b w:val="1"/>
                <w:bCs w:val="1"/>
                <w:color w:val="FFFFFF"/>
              </w:rPr>
              <w:t>Target</w:t>
            </w:r>
          </w:p>
        </w:tc>
        <w:tc>
          <w:tcPr>
            <w:tcW w:w="120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Stretch</w:t>
            </w:r>
          </w:p>
        </w:tc>
        <w:tc>
          <w:tcPr>
            <w:tcW w:w="220" w:type="dxa"/>
            <w:vAlign w:val="bottom"/>
            <w:tcBorders>
              <w:right w:val="single" w:sz="8" w:color="FF160F"/>
            </w:tcBorders>
          </w:tcPr>
          <w:p>
            <w:pPr>
              <w:spacing w:after="0"/>
              <w:rPr>
                <w:sz w:val="17"/>
                <w:szCs w:val="17"/>
                <w:color w:val="auto"/>
              </w:rPr>
            </w:pPr>
          </w:p>
        </w:tc>
        <w:tc>
          <w:tcPr>
            <w:tcW w:w="1860" w:type="dxa"/>
            <w:vAlign w:val="bottom"/>
            <w:gridSpan w:val="2"/>
            <w:shd w:val="clear" w:color="auto" w:fill="FF160F"/>
          </w:tcPr>
          <w:p>
            <w:pPr>
              <w:ind w:left="120"/>
              <w:spacing w:after="0"/>
              <w:rPr>
                <w:sz w:val="20"/>
                <w:szCs w:val="20"/>
                <w:color w:val="auto"/>
              </w:rPr>
            </w:pPr>
            <w:r>
              <w:rPr>
                <w:rFonts w:ascii="Arial" w:cs="Arial" w:eastAsia="Arial" w:hAnsi="Arial"/>
                <w:sz w:val="16"/>
                <w:szCs w:val="16"/>
                <w:b w:val="1"/>
                <w:bCs w:val="1"/>
                <w:color w:val="FFFFFF"/>
                <w:shd w:val="clear" w:color="auto" w:fill="FF160F"/>
              </w:rPr>
              <w:t>Unweighted Weighted</w:t>
            </w:r>
          </w:p>
        </w:tc>
        <w:tc>
          <w:tcPr>
            <w:tcW w:w="20" w:type="dxa"/>
            <w:vAlign w:val="bottom"/>
          </w:tcPr>
          <w:p>
            <w:pPr>
              <w:spacing w:after="0"/>
              <w:rPr>
                <w:sz w:val="17"/>
                <w:szCs w:val="17"/>
                <w:color w:val="auto"/>
              </w:rPr>
            </w:pPr>
          </w:p>
        </w:tc>
      </w:tr>
      <w:tr>
        <w:trPr>
          <w:trHeight w:val="189"/>
        </w:trPr>
        <w:tc>
          <w:tcPr>
            <w:tcW w:w="40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104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50%</w:t>
            </w:r>
          </w:p>
        </w:tc>
        <w:tc>
          <w:tcPr>
            <w:tcW w:w="124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100%</w:t>
            </w:r>
          </w:p>
        </w:tc>
        <w:tc>
          <w:tcPr>
            <w:tcW w:w="12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150%</w:t>
            </w:r>
          </w:p>
        </w:tc>
        <w:tc>
          <w:tcPr>
            <w:tcW w:w="220" w:type="dxa"/>
            <w:vAlign w:val="bottom"/>
            <w:tcBorders>
              <w:right w:val="single" w:sz="8" w:color="E5E5E5"/>
            </w:tcBorders>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40" w:type="dxa"/>
            <w:vAlign w:val="bottom"/>
          </w:tcPr>
          <w:p>
            <w:pPr>
              <w:spacing w:after="0" w:line="175" w:lineRule="exact"/>
              <w:rPr>
                <w:sz w:val="20"/>
                <w:szCs w:val="20"/>
                <w:color w:val="auto"/>
              </w:rPr>
            </w:pPr>
            <w:r>
              <w:rPr>
                <w:rFonts w:ascii="Arial" w:cs="Arial" w:eastAsia="Arial" w:hAnsi="Arial"/>
                <w:sz w:val="16"/>
                <w:szCs w:val="16"/>
                <w:color w:val="auto"/>
              </w:rPr>
              <w:t>Relative Total TSR</w:t>
            </w: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color w:val="auto"/>
              </w:rPr>
              <w:t>34%</w:t>
            </w:r>
          </w:p>
        </w:tc>
        <w:tc>
          <w:tcPr>
            <w:tcW w:w="22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color w:val="auto"/>
              </w:rPr>
              <w:t>5% &lt; Index</w:t>
            </w:r>
          </w:p>
        </w:tc>
        <w:tc>
          <w:tcPr>
            <w:tcW w:w="1240" w:type="dxa"/>
            <w:vAlign w:val="bottom"/>
          </w:tcPr>
          <w:p>
            <w:pPr>
              <w:jc w:val="center"/>
              <w:spacing w:after="0" w:line="175" w:lineRule="exact"/>
              <w:rPr>
                <w:sz w:val="20"/>
                <w:szCs w:val="20"/>
                <w:color w:val="auto"/>
              </w:rPr>
            </w:pPr>
            <w:r>
              <w:rPr>
                <w:rFonts w:ascii="Arial" w:cs="Arial" w:eastAsia="Arial" w:hAnsi="Arial"/>
                <w:sz w:val="16"/>
                <w:szCs w:val="16"/>
                <w:color w:val="auto"/>
              </w:rPr>
              <w:t>Index</w:t>
            </w:r>
          </w:p>
        </w:tc>
        <w:tc>
          <w:tcPr>
            <w:tcW w:w="1200" w:type="dxa"/>
            <w:vAlign w:val="bottom"/>
          </w:tcPr>
          <w:p>
            <w:pPr>
              <w:jc w:val="center"/>
              <w:spacing w:after="0" w:line="175" w:lineRule="exact"/>
              <w:rPr>
                <w:sz w:val="20"/>
                <w:szCs w:val="20"/>
                <w:color w:val="auto"/>
              </w:rPr>
            </w:pPr>
            <w:r>
              <w:rPr>
                <w:rFonts w:ascii="Arial" w:cs="Arial" w:eastAsia="Arial" w:hAnsi="Arial"/>
                <w:sz w:val="16"/>
                <w:szCs w:val="16"/>
                <w:color w:val="auto"/>
              </w:rPr>
              <w:t>5% &gt; Index</w:t>
            </w:r>
          </w:p>
        </w:tc>
        <w:tc>
          <w:tcPr>
            <w:tcW w:w="220" w:type="dxa"/>
            <w:vAlign w:val="bottom"/>
          </w:tcPr>
          <w:p>
            <w:pPr>
              <w:spacing w:after="0"/>
              <w:rPr>
                <w:sz w:val="15"/>
                <w:szCs w:val="15"/>
                <w:color w:val="auto"/>
              </w:rPr>
            </w:pP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0%</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rPr>
              <w:t>0.0%</w:t>
            </w:r>
          </w:p>
        </w:tc>
        <w:tc>
          <w:tcPr>
            <w:tcW w:w="20" w:type="dxa"/>
            <w:vAlign w:val="bottom"/>
          </w:tcPr>
          <w:p>
            <w:pPr>
              <w:spacing w:after="0"/>
              <w:rPr>
                <w:sz w:val="15"/>
                <w:szCs w:val="15"/>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FFO Multiple Premium</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5% Premium</w:t>
            </w:r>
          </w:p>
        </w:tc>
        <w:tc>
          <w:tcPr>
            <w:tcW w:w="1240" w:type="dxa"/>
            <w:vAlign w:val="bottom"/>
          </w:tcPr>
          <w:p>
            <w:pPr>
              <w:jc w:val="center"/>
              <w:spacing w:after="0"/>
              <w:rPr>
                <w:sz w:val="20"/>
                <w:szCs w:val="20"/>
                <w:color w:val="auto"/>
              </w:rPr>
            </w:pPr>
            <w:r>
              <w:rPr>
                <w:rFonts w:ascii="Arial" w:cs="Arial" w:eastAsia="Arial" w:hAnsi="Arial"/>
                <w:sz w:val="16"/>
                <w:szCs w:val="16"/>
                <w:color w:val="auto"/>
              </w:rPr>
              <w:t>15% Premium</w:t>
            </w:r>
          </w:p>
        </w:tc>
        <w:tc>
          <w:tcPr>
            <w:tcW w:w="1200" w:type="dxa"/>
            <w:vAlign w:val="bottom"/>
          </w:tcPr>
          <w:p>
            <w:pPr>
              <w:jc w:val="center"/>
              <w:spacing w:after="0"/>
              <w:rPr>
                <w:sz w:val="20"/>
                <w:szCs w:val="20"/>
                <w:color w:val="auto"/>
              </w:rPr>
            </w:pPr>
            <w:r>
              <w:rPr>
                <w:rFonts w:ascii="Arial" w:cs="Arial" w:eastAsia="Arial" w:hAnsi="Arial"/>
                <w:sz w:val="16"/>
                <w:szCs w:val="16"/>
                <w:color w:val="auto"/>
              </w:rPr>
              <w:t>20% Premium</w:t>
            </w:r>
          </w:p>
        </w:tc>
        <w:tc>
          <w:tcPr>
            <w:tcW w:w="1380" w:type="dxa"/>
            <w:vAlign w:val="bottom"/>
            <w:gridSpan w:val="2"/>
          </w:tcPr>
          <w:p>
            <w:pPr>
              <w:jc w:val="center"/>
              <w:ind w:left="159"/>
              <w:spacing w:after="0"/>
              <w:rPr>
                <w:sz w:val="20"/>
                <w:szCs w:val="20"/>
                <w:color w:val="auto"/>
              </w:rPr>
            </w:pPr>
            <w:r>
              <w:rPr>
                <w:rFonts w:ascii="Arial" w:cs="Arial" w:eastAsia="Arial" w:hAnsi="Arial"/>
                <w:sz w:val="16"/>
                <w:szCs w:val="16"/>
                <w:color w:val="auto"/>
              </w:rPr>
              <w:t>150%</w:t>
            </w:r>
          </w:p>
        </w:tc>
        <w:tc>
          <w:tcPr>
            <w:tcW w:w="700" w:type="dxa"/>
            <w:vAlign w:val="bottom"/>
          </w:tcPr>
          <w:p>
            <w:pPr>
              <w:jc w:val="center"/>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Return on Invested Capital</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420" w:type="dxa"/>
            <w:vAlign w:val="bottom"/>
            <w:gridSpan w:val="2"/>
          </w:tcPr>
          <w:p>
            <w:pPr>
              <w:jc w:val="right"/>
              <w:ind w:right="259"/>
              <w:spacing w:after="0"/>
              <w:rPr>
                <w:sz w:val="20"/>
                <w:szCs w:val="20"/>
                <w:color w:val="auto"/>
              </w:rPr>
            </w:pPr>
            <w:r>
              <w:rPr>
                <w:rFonts w:ascii="Arial" w:cs="Arial" w:eastAsia="Arial" w:hAnsi="Arial"/>
                <w:sz w:val="16"/>
                <w:szCs w:val="16"/>
                <w:color w:val="auto"/>
              </w:rPr>
              <w:t>6.00%</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6.25%</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6.50%</w:t>
            </w:r>
          </w:p>
        </w:tc>
        <w:tc>
          <w:tcPr>
            <w:tcW w:w="1380" w:type="dxa"/>
            <w:vAlign w:val="bottom"/>
            <w:gridSpan w:val="2"/>
          </w:tcPr>
          <w:p>
            <w:pPr>
              <w:jc w:val="center"/>
              <w:ind w:left="159"/>
              <w:spacing w:after="0"/>
              <w:rPr>
                <w:sz w:val="20"/>
                <w:szCs w:val="20"/>
                <w:color w:val="auto"/>
              </w:rPr>
            </w:pPr>
            <w:r>
              <w:rPr>
                <w:rFonts w:ascii="Arial" w:cs="Arial" w:eastAsia="Arial" w:hAnsi="Arial"/>
                <w:sz w:val="16"/>
                <w:szCs w:val="16"/>
                <w:color w:val="auto"/>
              </w:rPr>
              <w:t>150%</w:t>
            </w:r>
          </w:p>
        </w:tc>
        <w:tc>
          <w:tcPr>
            <w:tcW w:w="700" w:type="dxa"/>
            <w:vAlign w:val="bottom"/>
          </w:tcPr>
          <w:p>
            <w:pPr>
              <w:jc w:val="center"/>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17"/>
                <w:szCs w:val="17"/>
                <w:color w:val="auto"/>
              </w:rPr>
            </w:pPr>
          </w:p>
        </w:tc>
      </w:tr>
      <w:tr>
        <w:trPr>
          <w:trHeight w:val="183"/>
        </w:trPr>
        <w:tc>
          <w:tcPr>
            <w:tcW w:w="4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Final Payout</w:t>
            </w:r>
          </w:p>
        </w:tc>
        <w:tc>
          <w:tcPr>
            <w:tcW w:w="7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99.0%</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-745490</wp:posOffset>
            </wp:positionV>
            <wp:extent cx="35572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Compensation Committee has the right to increase or decrease each NEO’s award under our long-term incentive program by up to 20% to reflect individual performance and chose not to exercise that discretion for any of our NEOs in 2022. See the discussions on pages 26-27 for the factors considered by the Compensation Committee in determining the final long-term incentive awards payable to our NEOs for the 2020 through 2022 performance period.</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60" w:type="dxa"/>
            <w:vAlign w:val="bottom"/>
            <w:shd w:val="clear" w:color="auto" w:fill="FF160F"/>
          </w:tcPr>
          <w:p>
            <w:pPr>
              <w:ind w:left="1320"/>
              <w:spacing w:after="0"/>
              <w:rPr>
                <w:sz w:val="20"/>
                <w:szCs w:val="20"/>
                <w:color w:val="auto"/>
              </w:rPr>
            </w:pPr>
            <w:r>
              <w:rPr>
                <w:rFonts w:ascii="Arial" w:cs="Arial" w:eastAsia="Arial" w:hAnsi="Arial"/>
                <w:sz w:val="18"/>
                <w:szCs w:val="18"/>
                <w:b w:val="1"/>
                <w:bCs w:val="1"/>
                <w:color w:val="FFFFFF"/>
              </w:rPr>
              <w:t>Performance Period</w:t>
            </w:r>
          </w:p>
        </w:tc>
        <w:tc>
          <w:tcPr>
            <w:tcW w:w="3040" w:type="dxa"/>
            <w:vAlign w:val="bottom"/>
            <w:shd w:val="clear" w:color="auto" w:fill="FF160F"/>
          </w:tcPr>
          <w:p>
            <w:pPr>
              <w:ind w:left="760"/>
              <w:spacing w:after="0"/>
              <w:rPr>
                <w:sz w:val="20"/>
                <w:szCs w:val="20"/>
                <w:color w:val="auto"/>
              </w:rPr>
            </w:pPr>
            <w:r>
              <w:rPr>
                <w:rFonts w:ascii="Arial" w:cs="Arial" w:eastAsia="Arial" w:hAnsi="Arial"/>
                <w:sz w:val="18"/>
                <w:szCs w:val="18"/>
                <w:b w:val="1"/>
                <w:bCs w:val="1"/>
                <w:color w:val="FFFFFF"/>
              </w:rPr>
              <w:t>Award Earned</w:t>
            </w:r>
          </w:p>
        </w:tc>
        <w:tc>
          <w:tcPr>
            <w:tcW w:w="3620" w:type="dxa"/>
            <w:vAlign w:val="bottom"/>
            <w:shd w:val="clear" w:color="auto" w:fill="FF160F"/>
          </w:tcPr>
          <w:p>
            <w:pPr>
              <w:ind w:left="1100"/>
              <w:spacing w:after="0"/>
              <w:rPr>
                <w:sz w:val="20"/>
                <w:szCs w:val="20"/>
                <w:color w:val="auto"/>
              </w:rPr>
            </w:pPr>
            <w:r>
              <w:rPr>
                <w:rFonts w:ascii="Arial" w:cs="Arial" w:eastAsia="Arial" w:hAnsi="Arial"/>
                <w:sz w:val="18"/>
                <w:szCs w:val="18"/>
                <w:b w:val="1"/>
                <w:bCs w:val="1"/>
                <w:color w:val="FFFFFF"/>
              </w:rPr>
              <w:t>Shares Vest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0</wp:posOffset>
            </wp:positionV>
            <wp:extent cx="5186045" cy="334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number of shares awarded to each of our NEOs is determined by dividing the amount of the award by the closing price of our shares on the NYSE on the date the awards are made.</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There is no amount included in the Summary Compensation Table or Grants of Plan-Based Awards Table in this proxy statement for long-term incentive awards earned for the 2020-2022 performance period. Those amounts will be included in next year’s proxy statement. The long-term incentive awards included in the Summary Compensation Table and the Grants of Plan-Based Awards Table for our NEOs in this proxy statement relate to awards made in February 2022 for the 3-year performance period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2022 N</w:t>
      </w:r>
      <w:r>
        <w:rPr>
          <w:rFonts w:ascii="Arial" w:cs="Arial" w:eastAsia="Arial" w:hAnsi="Arial"/>
          <w:sz w:val="17"/>
          <w:szCs w:val="17"/>
          <w:b w:val="1"/>
          <w:bCs w:val="1"/>
          <w:color w:val="FF160F"/>
        </w:rPr>
        <w:t>EO</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ERFORMANCE</w:t>
      </w:r>
      <w:r>
        <w:rPr>
          <w:rFonts w:ascii="Arial" w:cs="Arial" w:eastAsia="Arial" w:hAnsi="Arial"/>
          <w:sz w:val="22"/>
          <w:szCs w:val="22"/>
          <w:b w:val="1"/>
          <w:bCs w:val="1"/>
          <w:color w:val="FF160F"/>
        </w:rPr>
        <w:t xml:space="preserve"> S</w:t>
      </w:r>
      <w:r>
        <w:rPr>
          <w:rFonts w:ascii="Arial" w:cs="Arial" w:eastAsia="Arial" w:hAnsi="Arial"/>
          <w:sz w:val="17"/>
          <w:szCs w:val="17"/>
          <w:b w:val="1"/>
          <w:bCs w:val="1"/>
          <w:color w:val="FF160F"/>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Listed below are the individual performance achievements for each of our NEOs that the Compensation Committee considered to be instrumental in its determination to award each of our NEO’s the full amount of compensation he or she was eligible to receive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872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287210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Donald C. Wood</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$1,875</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$5,940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$8,815</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w:t>
            </w:r>
          </w:p>
        </w:tc>
      </w:tr>
      <w:tr>
        <w:trPr>
          <w:trHeight w:val="1034"/>
        </w:trPr>
        <w:tc>
          <w:tcPr>
            <w:tcW w:w="252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2091690" cy="27863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91690" cy="2786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6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17745" cy="240030"/>
                    </a:xfrm>
                    <a:prstGeom prst="rect">
                      <a:avLst/>
                    </a:prstGeom>
                    <a:noFill/>
                  </pic:spPr>
                </pic:pic>
              </a:graphicData>
            </a:graphic>
          </wp:anchor>
        </w:drawing>
      </w:r>
    </w:p>
    <w:p>
      <w:pPr>
        <w:spacing w:after="0" w:line="123" w:lineRule="exact"/>
        <w:rPr>
          <w:sz w:val="20"/>
          <w:szCs w:val="20"/>
          <w:color w:val="auto"/>
        </w:rPr>
      </w:pPr>
    </w:p>
    <w:p>
      <w:pPr>
        <w:ind w:right="860"/>
        <w:spacing w:after="0" w:line="23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efforts to execute on our long-term strategy and objectives </w:t>
      </w:r>
      <w:r>
        <w:rPr>
          <w:rFonts w:ascii="MS PGothic" w:cs="MS PGothic" w:eastAsia="MS PGothic" w:hAnsi="MS PGothic"/>
          <w:sz w:val="18"/>
          <w:szCs w:val="18"/>
          <w:color w:val="auto"/>
        </w:rPr>
        <w:t>✓</w:t>
      </w:r>
      <w:r>
        <w:rPr>
          <w:rFonts w:ascii="Arial" w:cs="Arial" w:eastAsia="Arial" w:hAnsi="Arial"/>
          <w:sz w:val="18"/>
          <w:szCs w:val="18"/>
          <w:color w:val="auto"/>
        </w:rPr>
        <w:t xml:space="preserve">   Led our overall efforts that drove record level top line revenue</w:t>
      </w:r>
    </w:p>
    <w:p>
      <w:pPr>
        <w:spacing w:after="0" w:line="1" w:lineRule="exact"/>
        <w:rPr>
          <w:sz w:val="20"/>
          <w:szCs w:val="20"/>
          <w:color w:val="auto"/>
        </w:rPr>
      </w:pPr>
    </w:p>
    <w:p>
      <w:pPr>
        <w:ind w:right="100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our strong leasing activity and significant increase in portfolio occupancy </w:t>
      </w:r>
      <w:r>
        <w:rPr>
          <w:rFonts w:ascii="MS PGothic" w:cs="MS PGothic" w:eastAsia="MS PGothic" w:hAnsi="MS PGothic"/>
          <w:sz w:val="18"/>
          <w:szCs w:val="18"/>
          <w:color w:val="auto"/>
        </w:rPr>
        <w:t>✓</w:t>
      </w:r>
      <w:r>
        <w:rPr>
          <w:rFonts w:ascii="Arial" w:cs="Arial" w:eastAsia="Arial" w:hAnsi="Arial"/>
          <w:sz w:val="18"/>
          <w:szCs w:val="18"/>
          <w:color w:val="auto"/>
        </w:rPr>
        <w:t xml:space="preserve">   Led our diversity, equity and inclusion initiatives</w:t>
      </w:r>
    </w:p>
    <w:p>
      <w:pPr>
        <w:spacing w:after="0" w:line="1" w:lineRule="exact"/>
        <w:rPr>
          <w:sz w:val="20"/>
          <w:szCs w:val="20"/>
          <w:color w:val="auto"/>
        </w:rPr>
      </w:pPr>
    </w:p>
    <w:p>
      <w:pPr>
        <w:ind w:left="360" w:right="18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advancement of overall strategy and objectives on environmental, social and governance initiatives</w:t>
      </w:r>
    </w:p>
    <w:p>
      <w:pPr>
        <w:spacing w:after="0" w:line="1" w:lineRule="exact"/>
        <w:rPr>
          <w:sz w:val="20"/>
          <w:szCs w:val="20"/>
          <w:color w:val="auto"/>
        </w:rPr>
      </w:pPr>
    </w:p>
    <w:p>
      <w:pPr>
        <w:ind w:left="360" w:right="5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decisions on capital recycling intended to create significant future value for our shareholders</w:t>
      </w:r>
    </w:p>
    <w:p>
      <w:pPr>
        <w:spacing w:after="0" w:line="1" w:lineRule="exact"/>
        <w:rPr>
          <w:sz w:val="20"/>
          <w:szCs w:val="20"/>
          <w:color w:val="auto"/>
        </w:rPr>
      </w:pPr>
    </w:p>
    <w:p>
      <w:pPr>
        <w:ind w:left="360" w:right="48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establishment of ESG initiatives as high level corporate priorities to support our overall business objectives</w:t>
      </w:r>
    </w:p>
    <w:p>
      <w:pPr>
        <w:spacing w:after="0" w:line="548"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Jeffrey S. Berkes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813</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3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990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$2,453</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107%</w:t>
            </w:r>
          </w:p>
        </w:tc>
      </w:tr>
      <w:tr>
        <w:trPr>
          <w:trHeight w:val="629"/>
        </w:trPr>
        <w:tc>
          <w:tcPr>
            <w:tcW w:w="25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Berkes has overall responsibility for the performance of the Company’s operating assets, development and redevelopment projects as well as overall responsibility for property acquisitions and dispositions.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63" w:lineRule="exact"/>
        <w:rPr>
          <w:sz w:val="20"/>
          <w:szCs w:val="20"/>
          <w:color w:val="auto"/>
        </w:rPr>
      </w:pPr>
    </w:p>
    <w:p>
      <w:pPr>
        <w:ind w:right="360"/>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Company-wide efforts that led to delivery of record level of top line revenue </w:t>
      </w: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capital recycling efforts with the sale of non-core, slower growing</w:t>
      </w:r>
    </w:p>
    <w:p>
      <w:pPr>
        <w:ind w:left="360" w:right="100"/>
        <w:spacing w:after="0" w:line="232" w:lineRule="auto"/>
        <w:rPr>
          <w:sz w:val="20"/>
          <w:szCs w:val="20"/>
          <w:color w:val="auto"/>
        </w:rPr>
      </w:pPr>
      <w:r>
        <w:rPr>
          <w:rFonts w:ascii="Arial" w:cs="Arial" w:eastAsia="Arial" w:hAnsi="Arial"/>
          <w:sz w:val="18"/>
          <w:szCs w:val="18"/>
          <w:color w:val="auto"/>
        </w:rPr>
        <w:t>properties totaling $136 million and investment of $526 million into new operating assets with better growth and value creation prospects</w:t>
      </w:r>
    </w:p>
    <w:p>
      <w:pPr>
        <w:spacing w:after="0" w:line="1" w:lineRule="exact"/>
        <w:rPr>
          <w:sz w:val="20"/>
          <w:szCs w:val="20"/>
          <w:color w:val="auto"/>
        </w:rPr>
      </w:pPr>
    </w:p>
    <w:p>
      <w:pPr>
        <w:ind w:left="360" w:right="4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historically strong year of comparable space lease signings that will deliver $74 million of new revenue in the first year of the lease terms</w:t>
      </w:r>
    </w:p>
    <w:p>
      <w:pPr>
        <w:spacing w:after="0" w:line="1" w:lineRule="exact"/>
        <w:rPr>
          <w:sz w:val="20"/>
          <w:szCs w:val="20"/>
          <w:color w:val="auto"/>
        </w:rPr>
      </w:pPr>
    </w:p>
    <w:p>
      <w:pPr>
        <w:ind w:left="360" w:right="54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leasing and construction efforts that resulted in year over year gain of 1.1 million square feet of portfolio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649605</wp:posOffset>
            </wp:positionV>
            <wp:extent cx="701230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26</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2091690" cy="2880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916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Daniel Guglielmone</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719</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3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990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$2,284</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106%</w:t>
            </w:r>
          </w:p>
        </w:tc>
      </w:tr>
      <w:tr>
        <w:trPr>
          <w:trHeight w:val="832"/>
        </w:trPr>
        <w:tc>
          <w:tcPr>
            <w:tcW w:w="25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2091690" cy="31457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916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Dawn M. Becker</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719</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3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990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$2,284</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106%</w:t>
            </w:r>
          </w:p>
        </w:tc>
      </w:tr>
      <w:tr>
        <w:trPr>
          <w:trHeight w:val="1237"/>
        </w:trPr>
        <w:tc>
          <w:tcPr>
            <w:tcW w:w="25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-804545</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17745" cy="179705"/>
                    </a:xfrm>
                    <a:prstGeom prst="rect">
                      <a:avLst/>
                    </a:prstGeom>
                    <a:noFill/>
                  </pic:spPr>
                </pic:pic>
              </a:graphicData>
            </a:graphic>
          </wp:anchor>
        </w:drawing>
      </w:r>
    </w:p>
    <w:p>
      <w:pPr>
        <w:spacing w:after="0" w:line="28" w:lineRule="exact"/>
        <w:rPr>
          <w:sz w:val="20"/>
          <w:szCs w:val="20"/>
          <w:color w:val="auto"/>
        </w:rPr>
      </w:pPr>
    </w:p>
    <w:p>
      <w:pPr>
        <w:jc w:val="both"/>
        <w:ind w:left="360" w:right="60" w:hanging="359"/>
        <w:spacing w:after="0" w:line="22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Co-led the Company’s capital recycling efforts with the sale of non-core, slower growing properties totaling $136 million and investment of $526 million into new operating assets with better growth and value creation prospects</w:t>
      </w:r>
    </w:p>
    <w:p>
      <w:pPr>
        <w:spacing w:after="0" w:line="1" w:lineRule="exact"/>
        <w:rPr>
          <w:sz w:val="20"/>
          <w:szCs w:val="20"/>
          <w:color w:val="auto"/>
        </w:rPr>
      </w:pPr>
    </w:p>
    <w:p>
      <w:pPr>
        <w:jc w:val="both"/>
        <w:ind w:left="360" w:right="6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Improved our overall liquidity by increasing borrowing capacity by $550 million through a restructure of both our line of credit and bank term loan</w:t>
      </w:r>
    </w:p>
    <w:p>
      <w:pPr>
        <w:spacing w:after="0" w:line="1" w:lineRule="exact"/>
        <w:rPr>
          <w:sz w:val="20"/>
          <w:szCs w:val="20"/>
          <w:color w:val="auto"/>
        </w:rPr>
      </w:pPr>
    </w:p>
    <w:p>
      <w:pPr>
        <w:jc w:val="both"/>
        <w:ind w:left="360" w:right="60" w:hanging="359"/>
        <w:spacing w:after="0" w:line="209"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Strengthened our balance sheet with the issuance of $346 million of equity under our ATM program including through strategic use of forward contracts and other timely sales</w:t>
      </w:r>
    </w:p>
    <w:p>
      <w:pPr>
        <w:spacing w:after="0" w:line="1" w:lineRule="exact"/>
        <w:rPr>
          <w:sz w:val="20"/>
          <w:szCs w:val="20"/>
          <w:color w:val="auto"/>
        </w:rPr>
      </w:pPr>
    </w:p>
    <w:p>
      <w:pPr>
        <w:ind w:left="360" w:right="540" w:hanging="359"/>
        <w:spacing w:after="0" w:line="28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financial efforts enabling the Company to increase our annual dividend rate to common shareholders for the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Ms. Becker has overall responsibility for all legal functions within the Company and heads all of our ESG efforts in addition to overseeing our Human Resources, Information Technology and other administrative functions.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17745" cy="188595"/>
                    </a:xfrm>
                    <a:prstGeom prst="rect">
                      <a:avLst/>
                    </a:prstGeom>
                    <a:noFill/>
                  </pic:spPr>
                </pic:pic>
              </a:graphicData>
            </a:graphic>
          </wp:anchor>
        </w:drawing>
      </w:r>
    </w:p>
    <w:p>
      <w:pPr>
        <w:spacing w:after="0" w:line="42" w:lineRule="exact"/>
        <w:rPr>
          <w:sz w:val="20"/>
          <w:szCs w:val="20"/>
          <w:color w:val="auto"/>
        </w:rPr>
      </w:pPr>
    </w:p>
    <w:p>
      <w:pPr>
        <w:ind w:left="360" w:hanging="359"/>
        <w:spacing w:after="0" w:line="22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environmental, social and governance efforts, including achievement of our initial GHG reduction target, and establishment of more stringent, science-based targets for reduction of Scope 1 and 2 GHG emissions</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progress to date on reducing Scope 1 and 2 GHG emissions</w:t>
      </w:r>
    </w:p>
    <w:p>
      <w:pPr>
        <w:spacing w:after="0" w:line="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corporate sustainability reporting in line with the Global Reporting</w:t>
      </w:r>
    </w:p>
    <w:p>
      <w:pPr>
        <w:spacing w:after="0" w:line="13" w:lineRule="exact"/>
        <w:rPr>
          <w:sz w:val="20"/>
          <w:szCs w:val="20"/>
          <w:color w:val="auto"/>
        </w:rPr>
      </w:pPr>
    </w:p>
    <w:p>
      <w:pPr>
        <w:ind w:left="360" w:right="620"/>
        <w:spacing w:after="0" w:line="232" w:lineRule="auto"/>
        <w:rPr>
          <w:sz w:val="20"/>
          <w:szCs w:val="20"/>
          <w:color w:val="auto"/>
        </w:rPr>
      </w:pPr>
      <w:r>
        <w:rPr>
          <w:rFonts w:ascii="Arial" w:cs="Arial" w:eastAsia="Arial" w:hAnsi="Arial"/>
          <w:sz w:val="18"/>
          <w:szCs w:val="18"/>
          <w:color w:val="auto"/>
        </w:rPr>
        <w:t>Initiative, Task Force on Climate-Related Financial Disclosures and Sustainability Accounting Standards Board</w:t>
      </w:r>
    </w:p>
    <w:p>
      <w:pPr>
        <w:spacing w:after="0" w:line="1" w:lineRule="exact"/>
        <w:rPr>
          <w:sz w:val="20"/>
          <w:szCs w:val="20"/>
          <w:color w:val="auto"/>
        </w:rPr>
      </w:pPr>
    </w:p>
    <w:p>
      <w:pPr>
        <w:ind w:left="360" w:right="48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employee efforts that resulted in continued strong employee engagement results and advancement of DE&amp;I initiatives</w:t>
      </w:r>
    </w:p>
    <w:p>
      <w:pPr>
        <w:spacing w:after="0" w:line="1" w:lineRule="exact"/>
        <w:rPr>
          <w:sz w:val="20"/>
          <w:szCs w:val="20"/>
          <w:color w:val="auto"/>
        </w:rPr>
      </w:pPr>
    </w:p>
    <w:p>
      <w:pPr>
        <w:ind w:left="360" w:right="22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technology system improvements and reporting to drive Company-wide efficiency and data availability and improved cyber security readiness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692785</wp:posOffset>
            </wp:positionV>
            <wp:extent cx="701230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3280" w:space="380"/>
            <w:col w:w="7420"/>
          </w:cols>
          <w:pgMar w:left="320" w:top="482" w:right="499" w:bottom="1440" w:gutter="0" w:footer="0" w:header="0"/>
        </w:sect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27</w:t>
      </w:r>
    </w:p>
    <w:p>
      <w:pPr>
        <w:sectPr>
          <w:pgSz w:w="11900" w:h="16838" w:orient="portrait"/>
          <w:cols w:equalWidth="0" w:num="1">
            <w:col w:w="11080"/>
          </w:cols>
          <w:pgMar w:left="320" w:top="482" w:right="4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O</w:t>
      </w:r>
      <w:r>
        <w:rPr>
          <w:rFonts w:ascii="Arial" w:cs="Arial" w:eastAsia="Arial" w:hAnsi="Arial"/>
          <w:sz w:val="17"/>
          <w:szCs w:val="17"/>
          <w:b w:val="1"/>
          <w:bCs w:val="1"/>
          <w:color w:val="FF160F"/>
        </w:rPr>
        <w:t>THER</w:t>
      </w:r>
      <w:r>
        <w:rPr>
          <w:rFonts w:ascii="Arial" w:cs="Arial" w:eastAsia="Arial" w:hAnsi="Arial"/>
          <w:sz w:val="22"/>
          <w:szCs w:val="22"/>
          <w:b w:val="1"/>
          <w:bCs w:val="1"/>
          <w:color w:val="FF160F"/>
        </w:rPr>
        <w:t xml:space="preserve"> 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RACTICES AND</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1" w:lineRule="exact"/>
        <w:rPr>
          <w:sz w:val="20"/>
          <w:szCs w:val="20"/>
          <w:color w:val="auto"/>
        </w:rPr>
      </w:pPr>
    </w:p>
    <w:p>
      <w:pPr>
        <w:ind w:left="540" w:hanging="424"/>
        <w:spacing w:after="0"/>
        <w:tabs>
          <w:tab w:leader="none" w:pos="540" w:val="left"/>
        </w:tabs>
        <w:numPr>
          <w:ilvl w:val="0"/>
          <w:numId w:val="5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CONSIDERATION OF SAY ON PAY VOTE</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Company conducts an annual “say on pay” vote to approve executive compensation. At the 2022 annual meeting of shareholders, approximately 94% of the shares voted were in support of the compensation paid to our NEOs. Although the vote is advisory and non-binding on the Board, the Compensation Committee regularly considers the results of this vote in evaluating the Company’s compensation programs, including for 2022 compensation. In light of the feedback from our shareholders and the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2022.</w:t>
      </w:r>
    </w:p>
    <w:p>
      <w:pPr>
        <w:spacing w:after="0" w:line="212" w:lineRule="exact"/>
        <w:rPr>
          <w:sz w:val="20"/>
          <w:szCs w:val="20"/>
          <w:color w:val="auto"/>
        </w:rPr>
      </w:pPr>
    </w:p>
    <w:p>
      <w:pPr>
        <w:ind w:left="540" w:hanging="424"/>
        <w:spacing w:after="0"/>
        <w:tabs>
          <w:tab w:leader="none" w:pos="540" w:val="left"/>
        </w:tabs>
        <w:numPr>
          <w:ilvl w:val="0"/>
          <w:numId w:val="5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 HEDGING OR PLEDGING OF OUR SHARES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96" w:lineRule="exact"/>
        <w:rPr>
          <w:sz w:val="20"/>
          <w:szCs w:val="20"/>
          <w:color w:val="auto"/>
        </w:rPr>
      </w:pPr>
    </w:p>
    <w:p>
      <w:pPr>
        <w:ind w:left="540" w:hanging="424"/>
        <w:spacing w:after="0"/>
        <w:tabs>
          <w:tab w:leader="none" w:pos="540" w:val="left"/>
        </w:tabs>
        <w:numPr>
          <w:ilvl w:val="0"/>
          <w:numId w:val="5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SEVERANCE AND CHANGE-IN-CONTROL ARRANGEMENTS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 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12" w:lineRule="exact"/>
        <w:rPr>
          <w:sz w:val="20"/>
          <w:szCs w:val="20"/>
          <w:color w:val="auto"/>
        </w:rPr>
      </w:pPr>
    </w:p>
    <w:p>
      <w:pPr>
        <w:ind w:left="540" w:hanging="424"/>
        <w:spacing w:after="0"/>
        <w:tabs>
          <w:tab w:leader="none" w:pos="540" w:val="left"/>
        </w:tabs>
        <w:numPr>
          <w:ilvl w:val="0"/>
          <w:numId w:val="5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CLAWBACK POLICY</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have a clawback policy that provides for the return from an NEO of performance based compensation if that NEO has engaged in fraud or grossly negligent misconduct that results in us having to issue a restatement of financial results to correct material non-compliance with reporting requirements and the performance compensation paid to that NEO is more than it would have been based on the restated financial results. We will revise our clawback policy to comply with Rule 10D-1 under the Securities Exchange Act of 1934 adopted by the SEC in October 2022 once final rules are adopted by the NYSE.</w:t>
      </w:r>
    </w:p>
    <w:p>
      <w:pPr>
        <w:spacing w:after="0" w:line="203" w:lineRule="exact"/>
        <w:rPr>
          <w:sz w:val="20"/>
          <w:szCs w:val="20"/>
          <w:color w:val="auto"/>
        </w:rPr>
      </w:pPr>
    </w:p>
    <w:p>
      <w:pPr>
        <w:ind w:left="540" w:hanging="424"/>
        <w:spacing w:after="0"/>
        <w:tabs>
          <w:tab w:leader="none" w:pos="540" w:val="left"/>
        </w:tabs>
        <w:numPr>
          <w:ilvl w:val="0"/>
          <w:numId w:val="5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SHARE OWNERSHIP GUIDELINES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maintain guidelines requiring each of our NEOs as well as other executive vice presidents to maintain a specific level of ownership of our shares as shown below. These guidelines are intended to link the interests of our NEOs and other vice presidents with the interests of our shareholders. Each individual subject to these guidelines has five years to achieve the required level of ownership after becoming subject to the guidelines.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Compliance with our ownership guidelines gets measured and reviewed by the Board at the end of each fiscal year and the ownership level of each of our NEOs as of December 31, 2022 is shown below based on the closing price of our shares on 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77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Our NEOs were in compliance with our equity ownership requirements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5186045" cy="12084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424"/>
        <w:spacing w:after="0"/>
        <w:tabs>
          <w:tab w:leader="none" w:pos="540" w:val="left"/>
        </w:tabs>
        <w:numPr>
          <w:ilvl w:val="0"/>
          <w:numId w:val="6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RISK ASSESSMENT OF COMPENSATION PROGRAMS</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Compensation Committee completed its last annual review of our compensation programs and policies from a risk perspective in February 2023.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and have differing performance requirements. Further, we have in place policies to mitigate risk including robust stock ownership requirements and vesting periods on equity awards made as part of our compensation programs.</w:t>
      </w:r>
    </w:p>
    <w:p>
      <w:pPr>
        <w:spacing w:after="0" w:line="203" w:lineRule="exact"/>
        <w:rPr>
          <w:sz w:val="20"/>
          <w:szCs w:val="20"/>
          <w:color w:val="auto"/>
        </w:rPr>
      </w:pPr>
    </w:p>
    <w:p>
      <w:pPr>
        <w:ind w:left="540" w:hanging="424"/>
        <w:spacing w:after="0"/>
        <w:tabs>
          <w:tab w:leader="none" w:pos="540" w:val="left"/>
        </w:tabs>
        <w:numPr>
          <w:ilvl w:val="0"/>
          <w:numId w:val="6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EQUITY GRANT PRACTICES</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do not have a practice or policy of timing our equity grants relative to the release of material non-public information. All of our options have an exercise price equal to the closing price of our shares on the date of grant and our 2020 Performance Incentive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01" w:lineRule="exact"/>
        <w:rPr>
          <w:sz w:val="20"/>
          <w:szCs w:val="20"/>
          <w:color w:val="auto"/>
        </w:rPr>
      </w:pPr>
    </w:p>
    <w:p>
      <w:pPr>
        <w:ind w:left="540" w:hanging="424"/>
        <w:spacing w:after="0"/>
        <w:tabs>
          <w:tab w:leader="none" w:pos="540" w:val="left"/>
        </w:tabs>
        <w:numPr>
          <w:ilvl w:val="0"/>
          <w:numId w:val="6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TAX DEDUCTIBILITY OF EXECUTIVE COMPENSATION</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3" w:lineRule="exact"/>
        <w:rPr>
          <w:sz w:val="20"/>
          <w:szCs w:val="20"/>
          <w:color w:val="auto"/>
        </w:rPr>
      </w:pPr>
    </w:p>
    <w:p>
      <w:pPr>
        <w:ind w:left="540" w:hanging="424"/>
        <w:spacing w:after="0"/>
        <w:tabs>
          <w:tab w:leader="none" w:pos="540" w:val="left"/>
        </w:tabs>
        <w:numPr>
          <w:ilvl w:val="0"/>
          <w:numId w:val="6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HEALTH AND WELFARE BENEFITS</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01230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9"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C</w:t>
      </w:r>
      <w:r>
        <w:rPr>
          <w:rFonts w:ascii="Arial" w:cs="Arial" w:eastAsia="Arial" w:hAnsi="Arial"/>
          <w:sz w:val="17"/>
          <w:szCs w:val="17"/>
          <w:b w:val="1"/>
          <w:bCs w:val="1"/>
          <w:color w:val="FF160F"/>
        </w:rPr>
        <w:t>OMMITTEE</w:t>
      </w:r>
      <w:r>
        <w:rPr>
          <w:rFonts w:ascii="Arial" w:cs="Arial" w:eastAsia="Arial" w:hAnsi="Arial"/>
          <w:sz w:val="22"/>
          <w:szCs w:val="22"/>
          <w:b w:val="1"/>
          <w:bCs w:val="1"/>
          <w:color w:val="FF160F"/>
        </w:rPr>
        <w:t xml:space="preserve"> R</w:t>
      </w:r>
      <w:r>
        <w:rPr>
          <w:rFonts w:ascii="Arial" w:cs="Arial" w:eastAsia="Arial" w:hAnsi="Arial"/>
          <w:sz w:val="17"/>
          <w:szCs w:val="17"/>
          <w:b w:val="1"/>
          <w:bCs w:val="1"/>
          <w:color w:val="FF160F"/>
        </w:rPr>
        <w:t>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Elizabeth I. Holland,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Nicole Y. Lamb-Hale</w:t>
      </w:r>
    </w:p>
    <w:p>
      <w:pPr>
        <w:ind w:left="120"/>
        <w:spacing w:after="0" w:line="234" w:lineRule="auto"/>
        <w:rPr>
          <w:sz w:val="20"/>
          <w:szCs w:val="20"/>
          <w:color w:val="auto"/>
        </w:rPr>
      </w:pPr>
      <w:r>
        <w:rPr>
          <w:rFonts w:ascii="Arial" w:cs="Arial" w:eastAsia="Arial" w:hAnsi="Arial"/>
          <w:sz w:val="18"/>
          <w:szCs w:val="18"/>
          <w:color w:val="auto"/>
        </w:rPr>
        <w:t>Thomas A. McEachin (as of October 1, 2022)</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92075</wp:posOffset>
            </wp:positionV>
            <wp:extent cx="701230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4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Compensation Tables and Narratives</w:t>
      </w:r>
    </w:p>
    <w:p>
      <w:pPr>
        <w:spacing w:after="0" w:line="237" w:lineRule="exact"/>
        <w:rPr>
          <w:sz w:val="20"/>
          <w:szCs w:val="20"/>
          <w:color w:val="auto"/>
        </w:rPr>
      </w:pPr>
    </w:p>
    <w:p>
      <w:pPr>
        <w:ind w:left="460" w:hanging="344"/>
        <w:spacing w:after="0"/>
        <w:tabs>
          <w:tab w:leader="none" w:pos="460" w:val="left"/>
        </w:tabs>
        <w:numPr>
          <w:ilvl w:val="0"/>
          <w:numId w:val="64"/>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SUMMARY COMPENSATION TABLE</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table below summarizes the total compensation earned by or paid to the individuals who were NEOs for the fiscal years ended December 31, 2022, 2021 and 2020. All amounts are calculated in accordance with current SEC rules.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80" w:type="dxa"/>
            <w:vAlign w:val="bottom"/>
            <w:shd w:val="clear" w:color="auto" w:fill="FF160F"/>
          </w:tcPr>
          <w:p>
            <w:pPr>
              <w:spacing w:after="0"/>
              <w:rPr>
                <w:sz w:val="13"/>
                <w:szCs w:val="13"/>
                <w:color w:val="auto"/>
              </w:rPr>
            </w:pPr>
          </w:p>
        </w:tc>
        <w:tc>
          <w:tcPr>
            <w:tcW w:w="580" w:type="dxa"/>
            <w:vAlign w:val="bottom"/>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700" w:type="dxa"/>
            <w:vAlign w:val="bottom"/>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84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220" w:type="dxa"/>
            <w:vAlign w:val="bottom"/>
            <w:shd w:val="clear" w:color="auto" w:fill="FF160F"/>
          </w:tcPr>
          <w:p>
            <w:pPr>
              <w:jc w:val="right"/>
              <w:ind w:right="357"/>
              <w:spacing w:after="0"/>
              <w:rPr>
                <w:sz w:val="20"/>
                <w:szCs w:val="20"/>
                <w:color w:val="auto"/>
              </w:rPr>
            </w:pPr>
            <w:r>
              <w:rPr>
                <w:rFonts w:ascii="Arial" w:cs="Arial" w:eastAsia="Arial" w:hAnsi="Arial"/>
                <w:sz w:val="13"/>
                <w:szCs w:val="13"/>
                <w:b w:val="1"/>
                <w:bCs w:val="1"/>
                <w:color w:val="EAEFED"/>
              </w:rPr>
              <w:t>Non-Equity</w:t>
            </w:r>
          </w:p>
        </w:tc>
        <w:tc>
          <w:tcPr>
            <w:tcW w:w="380" w:type="dxa"/>
            <w:vAlign w:val="bottom"/>
            <w:shd w:val="clear" w:color="auto" w:fill="FF160F"/>
          </w:tcPr>
          <w:p>
            <w:pPr>
              <w:spacing w:after="0"/>
              <w:rPr>
                <w:sz w:val="13"/>
                <w:szCs w:val="13"/>
                <w:color w:val="auto"/>
              </w:rPr>
            </w:pPr>
          </w:p>
        </w:tc>
        <w:tc>
          <w:tcPr>
            <w:tcW w:w="840" w:type="dxa"/>
            <w:vAlign w:val="bottom"/>
            <w:vMerge w:val="restart"/>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All Other</w:t>
            </w:r>
          </w:p>
        </w:tc>
        <w:tc>
          <w:tcPr>
            <w:tcW w:w="340" w:type="dxa"/>
            <w:vAlign w:val="bottom"/>
            <w:shd w:val="clear" w:color="auto" w:fill="FF160F"/>
          </w:tcPr>
          <w:p>
            <w:pPr>
              <w:spacing w:after="0"/>
              <w:rPr>
                <w:sz w:val="13"/>
                <w:szCs w:val="13"/>
                <w:color w:val="auto"/>
              </w:rPr>
            </w:pPr>
          </w:p>
        </w:tc>
        <w:tc>
          <w:tcPr>
            <w:tcW w:w="7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FF160F"/>
          </w:tcPr>
          <w:p>
            <w:pPr>
              <w:spacing w:after="0"/>
              <w:rPr>
                <w:sz w:val="13"/>
                <w:szCs w:val="13"/>
                <w:color w:val="auto"/>
              </w:rPr>
            </w:pPr>
          </w:p>
        </w:tc>
        <w:tc>
          <w:tcPr>
            <w:tcW w:w="580" w:type="dxa"/>
            <w:vAlign w:val="bottom"/>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700" w:type="dxa"/>
            <w:vAlign w:val="bottom"/>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84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220" w:type="dxa"/>
            <w:vAlign w:val="bottom"/>
            <w:shd w:val="clear" w:color="auto" w:fill="FF160F"/>
          </w:tcPr>
          <w:p>
            <w:pPr>
              <w:jc w:val="right"/>
              <w:ind w:right="417"/>
              <w:spacing w:after="0"/>
              <w:rPr>
                <w:sz w:val="20"/>
                <w:szCs w:val="20"/>
                <w:color w:val="auto"/>
              </w:rPr>
            </w:pPr>
            <w:r>
              <w:rPr>
                <w:rFonts w:ascii="Arial" w:cs="Arial" w:eastAsia="Arial" w:hAnsi="Arial"/>
                <w:sz w:val="13"/>
                <w:szCs w:val="13"/>
                <w:b w:val="1"/>
                <w:bCs w:val="1"/>
                <w:color w:val="EAEFED"/>
              </w:rPr>
              <w:t>Incentive</w:t>
            </w:r>
          </w:p>
        </w:tc>
        <w:tc>
          <w:tcPr>
            <w:tcW w:w="380" w:type="dxa"/>
            <w:vAlign w:val="bottom"/>
            <w:shd w:val="clear" w:color="auto" w:fill="FF160F"/>
          </w:tcPr>
          <w:p>
            <w:pPr>
              <w:spacing w:after="0"/>
              <w:rPr>
                <w:sz w:val="13"/>
                <w:szCs w:val="13"/>
                <w:color w:val="auto"/>
              </w:rPr>
            </w:pPr>
          </w:p>
        </w:tc>
        <w:tc>
          <w:tcPr>
            <w:tcW w:w="840" w:type="dxa"/>
            <w:vAlign w:val="bottom"/>
            <w:vMerge w:val="continue"/>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7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3"/>
                <w:szCs w:val="13"/>
                <w:b w:val="1"/>
                <w:bCs w:val="1"/>
                <w:color w:val="EAEFED"/>
              </w:rPr>
              <w:t>Name and Principal Position</w:t>
            </w:r>
          </w:p>
        </w:tc>
        <w:tc>
          <w:tcPr>
            <w:tcW w:w="580" w:type="dxa"/>
            <w:vAlign w:val="bottom"/>
            <w:tcBorders>
              <w:bottom w:val="single" w:sz="8" w:color="auto"/>
            </w:tcBorders>
            <w:shd w:val="clear" w:color="auto" w:fill="FF160F"/>
          </w:tcPr>
          <w:p>
            <w:pPr>
              <w:ind w:left="240"/>
              <w:spacing w:after="0"/>
              <w:rPr>
                <w:sz w:val="20"/>
                <w:szCs w:val="20"/>
                <w:color w:val="auto"/>
              </w:rPr>
            </w:pPr>
            <w:r>
              <w:rPr>
                <w:rFonts w:ascii="Arial" w:cs="Arial" w:eastAsia="Arial" w:hAnsi="Arial"/>
                <w:sz w:val="13"/>
                <w:szCs w:val="13"/>
                <w:b w:val="1"/>
                <w:bCs w:val="1"/>
                <w:color w:val="EAEFED"/>
              </w:rPr>
              <w:t>Year</w:t>
            </w:r>
          </w:p>
        </w:tc>
        <w:tc>
          <w:tcPr>
            <w:tcW w:w="320" w:type="dxa"/>
            <w:vAlign w:val="bottom"/>
            <w:tcBorders>
              <w:bottom w:val="single" w:sz="8" w:color="auto"/>
            </w:tcBorders>
            <w:shd w:val="clear" w:color="auto" w:fill="FF160F"/>
          </w:tcPr>
          <w:p>
            <w:pPr>
              <w:spacing w:after="0"/>
              <w:rPr>
                <w:sz w:val="19"/>
                <w:szCs w:val="19"/>
                <w:color w:val="auto"/>
              </w:rPr>
            </w:pPr>
          </w:p>
        </w:tc>
        <w:tc>
          <w:tcPr>
            <w:tcW w:w="820" w:type="dxa"/>
            <w:vAlign w:val="bottom"/>
            <w:tcBorders>
              <w:bottom w:val="single" w:sz="8" w:color="auto"/>
            </w:tcBorders>
            <w:shd w:val="clear" w:color="auto" w:fill="FF160F"/>
          </w:tcPr>
          <w:p>
            <w:pPr>
              <w:jc w:val="right"/>
              <w:ind w:right="237"/>
              <w:spacing w:after="0"/>
              <w:rPr>
                <w:sz w:val="20"/>
                <w:szCs w:val="20"/>
                <w:color w:val="auto"/>
              </w:rPr>
            </w:pPr>
            <w:r>
              <w:rPr>
                <w:rFonts w:ascii="Arial" w:cs="Arial" w:eastAsia="Arial" w:hAnsi="Arial"/>
                <w:sz w:val="13"/>
                <w:szCs w:val="13"/>
                <w:b w:val="1"/>
                <w:bCs w:val="1"/>
                <w:color w:val="EAEFED"/>
                <w:w w:val="97"/>
              </w:rPr>
              <w:t>Salary</w:t>
            </w:r>
            <w:r>
              <w:rPr>
                <w:rFonts w:ascii="Arial" w:cs="Arial" w:eastAsia="Arial" w:hAnsi="Arial"/>
                <w:sz w:val="15"/>
                <w:szCs w:val="15"/>
                <w:b w:val="1"/>
                <w:bCs w:val="1"/>
                <w:color w:val="EAEFED"/>
                <w:w w:val="97"/>
                <w:vertAlign w:val="superscript"/>
              </w:rPr>
              <w:t>(1)</w:t>
            </w:r>
          </w:p>
        </w:tc>
        <w:tc>
          <w:tcPr>
            <w:tcW w:w="300" w:type="dxa"/>
            <w:vAlign w:val="bottom"/>
            <w:tcBorders>
              <w:bottom w:val="single" w:sz="8" w:color="auto"/>
            </w:tcBorders>
            <w:shd w:val="clear" w:color="auto" w:fill="FF160F"/>
          </w:tcPr>
          <w:p>
            <w:pPr>
              <w:spacing w:after="0"/>
              <w:rPr>
                <w:sz w:val="19"/>
                <w:szCs w:val="19"/>
                <w:color w:val="auto"/>
              </w:rPr>
            </w:pPr>
          </w:p>
        </w:tc>
        <w:tc>
          <w:tcPr>
            <w:tcW w:w="700" w:type="dxa"/>
            <w:vAlign w:val="bottom"/>
            <w:tcBorders>
              <w:bottom w:val="single" w:sz="8" w:color="auto"/>
            </w:tcBorders>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Bonus</w:t>
            </w:r>
            <w:r>
              <w:rPr>
                <w:rFonts w:ascii="Arial" w:cs="Arial" w:eastAsia="Arial" w:hAnsi="Arial"/>
                <w:sz w:val="15"/>
                <w:szCs w:val="15"/>
                <w:b w:val="1"/>
                <w:bCs w:val="1"/>
                <w:color w:val="EAEFED"/>
                <w:vertAlign w:val="superscript"/>
              </w:rPr>
              <w:t>(2)</w:t>
            </w:r>
          </w:p>
        </w:tc>
        <w:tc>
          <w:tcPr>
            <w:tcW w:w="1180" w:type="dxa"/>
            <w:vAlign w:val="bottom"/>
            <w:tcBorders>
              <w:bottom w:val="single" w:sz="8" w:color="auto"/>
            </w:tcBorders>
            <w:gridSpan w:val="2"/>
            <w:shd w:val="clear" w:color="auto" w:fill="FF160F"/>
          </w:tcPr>
          <w:p>
            <w:pPr>
              <w:ind w:left="140"/>
              <w:spacing w:after="0"/>
              <w:rPr>
                <w:sz w:val="20"/>
                <w:szCs w:val="20"/>
                <w:color w:val="auto"/>
              </w:rPr>
            </w:pPr>
            <w:r>
              <w:rPr>
                <w:rFonts w:ascii="Arial" w:cs="Arial" w:eastAsia="Arial" w:hAnsi="Arial"/>
                <w:sz w:val="13"/>
                <w:szCs w:val="13"/>
                <w:b w:val="1"/>
                <w:bCs w:val="1"/>
                <w:color w:val="EAEFED"/>
              </w:rPr>
              <w:t>Stock Awards</w:t>
            </w:r>
            <w:r>
              <w:rPr>
                <w:rFonts w:ascii="Arial" w:cs="Arial" w:eastAsia="Arial" w:hAnsi="Arial"/>
                <w:sz w:val="15"/>
                <w:szCs w:val="15"/>
                <w:b w:val="1"/>
                <w:bCs w:val="1"/>
                <w:color w:val="EAEFED"/>
                <w:vertAlign w:val="superscript"/>
              </w:rPr>
              <w:t>(3)</w:t>
            </w:r>
          </w:p>
        </w:tc>
        <w:tc>
          <w:tcPr>
            <w:tcW w:w="152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Plan Compensation</w:t>
            </w:r>
            <w:r>
              <w:rPr>
                <w:rFonts w:ascii="Arial" w:cs="Arial" w:eastAsia="Arial" w:hAnsi="Arial"/>
                <w:sz w:val="15"/>
                <w:szCs w:val="15"/>
                <w:b w:val="1"/>
                <w:bCs w:val="1"/>
                <w:color w:val="EAEFED"/>
                <w:vertAlign w:val="superscript"/>
              </w:rPr>
              <w:t>(4)</w:t>
            </w:r>
          </w:p>
        </w:tc>
        <w:tc>
          <w:tcPr>
            <w:tcW w:w="122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Compensation</w:t>
            </w:r>
            <w:r>
              <w:rPr>
                <w:rFonts w:ascii="Arial" w:cs="Arial" w:eastAsia="Arial" w:hAnsi="Arial"/>
                <w:sz w:val="15"/>
                <w:szCs w:val="15"/>
                <w:b w:val="1"/>
                <w:bCs w:val="1"/>
                <w:color w:val="EAEFED"/>
                <w:vertAlign w:val="superscript"/>
              </w:rPr>
              <w:t>(5)</w:t>
            </w:r>
          </w:p>
        </w:tc>
        <w:tc>
          <w:tcPr>
            <w:tcW w:w="340" w:type="dxa"/>
            <w:vAlign w:val="bottom"/>
            <w:tcBorders>
              <w:bottom w:val="single" w:sz="8" w:color="auto"/>
            </w:tcBorders>
            <w:shd w:val="clear" w:color="auto" w:fill="FF160F"/>
          </w:tcPr>
          <w:p>
            <w:pPr>
              <w:spacing w:after="0"/>
              <w:rPr>
                <w:sz w:val="19"/>
                <w:szCs w:val="19"/>
                <w:color w:val="auto"/>
              </w:rPr>
            </w:pPr>
          </w:p>
        </w:tc>
        <w:tc>
          <w:tcPr>
            <w:tcW w:w="760" w:type="dxa"/>
            <w:vAlign w:val="bottom"/>
            <w:tcBorders>
              <w:bottom w:val="single" w:sz="8" w:color="auto"/>
            </w:tcBorders>
            <w:shd w:val="clear" w:color="auto" w:fill="FF160F"/>
          </w:tcPr>
          <w:p>
            <w:pPr>
              <w:jc w:val="right"/>
              <w:spacing w:after="0"/>
              <w:rPr>
                <w:sz w:val="20"/>
                <w:szCs w:val="20"/>
                <w:color w:val="auto"/>
              </w:rPr>
            </w:pPr>
            <w:r>
              <w:rPr>
                <w:rFonts w:ascii="Arial" w:cs="Arial" w:eastAsia="Arial" w:hAnsi="Arial"/>
                <w:sz w:val="13"/>
                <w:szCs w:val="13"/>
                <w:b w:val="1"/>
                <w:bCs w:val="1"/>
                <w:color w:val="EAEFED"/>
              </w:rPr>
              <w:t>Total</w:t>
            </w:r>
          </w:p>
        </w:tc>
        <w:tc>
          <w:tcPr>
            <w:tcW w:w="0" w:type="dxa"/>
            <w:vAlign w:val="bottom"/>
          </w:tcPr>
          <w:p>
            <w:pPr>
              <w:spacing w:after="0"/>
              <w:rPr>
                <w:sz w:val="1"/>
                <w:szCs w:val="1"/>
                <w:color w:val="auto"/>
              </w:rPr>
            </w:pPr>
          </w:p>
        </w:tc>
      </w:tr>
      <w:tr>
        <w:trPr>
          <w:trHeight w:val="166"/>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Donald C. Wood (PEO)</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6,474,391</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35,391</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8,916,031</w:t>
            </w:r>
          </w:p>
        </w:tc>
        <w:tc>
          <w:tcPr>
            <w:tcW w:w="0" w:type="dxa"/>
            <w:vAlign w:val="bottom"/>
          </w:tcPr>
          <w:p>
            <w:pPr>
              <w:spacing w:after="0"/>
              <w:rPr>
                <w:sz w:val="1"/>
                <w:szCs w:val="1"/>
                <w:color w:val="auto"/>
              </w:rPr>
            </w:pPr>
          </w:p>
        </w:tc>
      </w:tr>
      <w:tr>
        <w:trPr>
          <w:trHeight w:val="19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Chief Executive Officer</w:t>
            </w:r>
          </w:p>
        </w:tc>
        <w:tc>
          <w:tcPr>
            <w:tcW w:w="580" w:type="dxa"/>
            <w:vAlign w:val="bottom"/>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950,000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5,213,719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1,335,938</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21,260</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7,520,917</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auto"/>
            </w:tcBorders>
            <w:shd w:val="clear" w:color="auto" w:fill="D8D8D8"/>
          </w:tcPr>
          <w:p>
            <w:pPr>
              <w:spacing w:after="0"/>
              <w:rPr>
                <w:sz w:val="17"/>
                <w:szCs w:val="17"/>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950,000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5,830,493</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534,375</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166,928</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7,481,796</w:t>
            </w:r>
          </w:p>
        </w:tc>
        <w:tc>
          <w:tcPr>
            <w:tcW w:w="0" w:type="dxa"/>
            <w:vAlign w:val="bottom"/>
          </w:tcPr>
          <w:p>
            <w:pPr>
              <w:spacing w:after="0"/>
              <w:rPr>
                <w:sz w:val="1"/>
                <w:szCs w:val="1"/>
                <w:color w:val="auto"/>
              </w:rPr>
            </w:pPr>
          </w:p>
        </w:tc>
      </w:tr>
      <w:tr>
        <w:trPr>
          <w:trHeight w:val="20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Jeffrey S. Berkes</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1,205,703</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609,375</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15,613</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2,480,691</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President &amp; Chief Operating Officer</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3,131,027</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539,063</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14,486</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4,334,576</w:t>
            </w:r>
          </w:p>
        </w:tc>
        <w:tc>
          <w:tcPr>
            <w:tcW w:w="0" w:type="dxa"/>
            <w:vAlign w:val="bottom"/>
          </w:tcPr>
          <w:p>
            <w:pPr>
              <w:spacing w:after="0"/>
              <w:rPr>
                <w:sz w:val="1"/>
                <w:szCs w:val="1"/>
                <w:color w:val="auto"/>
              </w:rPr>
            </w:pPr>
          </w:p>
        </w:tc>
      </w:tr>
      <w:tr>
        <w:trPr>
          <w:trHeight w:val="169"/>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Daniel Guglielmone (PFO)</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890,996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11,736</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2,196,482</w:t>
            </w:r>
          </w:p>
        </w:tc>
        <w:tc>
          <w:tcPr>
            <w:tcW w:w="0" w:type="dxa"/>
            <w:vAlign w:val="bottom"/>
          </w:tcPr>
          <w:p>
            <w:pPr>
              <w:spacing w:after="0"/>
              <w:rPr>
                <w:sz w:val="1"/>
                <w:szCs w:val="1"/>
                <w:color w:val="auto"/>
              </w:rPr>
            </w:pPr>
          </w:p>
        </w:tc>
      </w:tr>
      <w:tr>
        <w:trPr>
          <w:trHeight w:val="19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Executive Vice President-</w:t>
            </w:r>
          </w:p>
        </w:tc>
        <w:tc>
          <w:tcPr>
            <w:tcW w:w="580" w:type="dxa"/>
            <w:vAlign w:val="bottom"/>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500,000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1,900,046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468,750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11,427</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2,955,223</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Chief Financial Officer &amp; Treasurer</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500,000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968,270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281,250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236,818</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1,986,338</w:t>
            </w:r>
          </w:p>
        </w:tc>
        <w:tc>
          <w:tcPr>
            <w:tcW w:w="0" w:type="dxa"/>
            <w:vAlign w:val="bottom"/>
          </w:tcPr>
          <w:p>
            <w:pPr>
              <w:spacing w:after="0"/>
              <w:rPr>
                <w:sz w:val="1"/>
                <w:szCs w:val="1"/>
                <w:color w:val="auto"/>
              </w:rPr>
            </w:pPr>
          </w:p>
        </w:tc>
      </w:tr>
      <w:tr>
        <w:trPr>
          <w:trHeight w:val="169"/>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Dawn M. Becker</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727,570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14,521</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1,856,154</w:t>
            </w:r>
          </w:p>
        </w:tc>
        <w:tc>
          <w:tcPr>
            <w:tcW w:w="0" w:type="dxa"/>
            <w:vAlign w:val="bottom"/>
          </w:tcPr>
          <w:p>
            <w:pPr>
              <w:spacing w:after="0"/>
              <w:rPr>
                <w:sz w:val="1"/>
                <w:szCs w:val="1"/>
                <w:color w:val="auto"/>
              </w:rPr>
            </w:pPr>
          </w:p>
        </w:tc>
      </w:tr>
      <w:tr>
        <w:trPr>
          <w:trHeight w:val="19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Executive Vice President-</w:t>
            </w:r>
          </w:p>
        </w:tc>
        <w:tc>
          <w:tcPr>
            <w:tcW w:w="580" w:type="dxa"/>
            <w:vAlign w:val="bottom"/>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475,000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680,159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333,984</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13,638</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1,577,781</w:t>
            </w:r>
          </w:p>
        </w:tc>
        <w:tc>
          <w:tcPr>
            <w:tcW w:w="0" w:type="dxa"/>
            <w:vAlign w:val="bottom"/>
          </w:tcPr>
          <w:p>
            <w:pPr>
              <w:spacing w:after="0"/>
              <w:rPr>
                <w:sz w:val="1"/>
                <w:szCs w:val="1"/>
                <w:color w:val="auto"/>
              </w:rPr>
            </w:pPr>
          </w:p>
        </w:tc>
      </w:tr>
      <w:tr>
        <w:trPr>
          <w:trHeight w:val="206"/>
        </w:trPr>
        <w:tc>
          <w:tcPr>
            <w:tcW w:w="32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General Counsel &amp; Secretary</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475,000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758,275</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200,391</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86,359</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Amounts shown in the Salary column include all amounts deferred at the election of the NEOs into our non-qualified deferred compensation plan.</w:t>
      </w:r>
    </w:p>
    <w:p>
      <w:pPr>
        <w:ind w:left="540" w:hanging="424"/>
        <w:spacing w:after="0" w:line="197" w:lineRule="auto"/>
        <w:tabs>
          <w:tab w:leader="none" w:pos="54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Amounts represent a one-time cash bonus described for each of these NEOs in our 2022 proxy statement.</w:t>
      </w:r>
    </w:p>
    <w:p>
      <w:pPr>
        <w:jc w:val="both"/>
        <w:ind w:left="540" w:right="20" w:hanging="424"/>
        <w:spacing w:after="0" w:line="239" w:lineRule="auto"/>
        <w:tabs>
          <w:tab w:leader="none" w:pos="54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Amounts shown in this column reflect the aggregate grant date fair value of the awards calculated in accordance with FASB ASC Topic 718 that were issued in the year shown. With the exception of the performance based restricted share units issued to Mr. Berkes in 2021, all other awards in this column were valued based on the closing price of our shares on the grant date. The performance-based restricted share units issued to Mr. Berkes in February 2021 are tied to our total shareholder return versus the total shareholder return for the BBRESHOP over the performance period. These restricted share units were valued based on our data and that of the index using a Monte Carlo simulation method. The key assumptions used in the valuation were: (a) stock price volatility of 38.0% for the Company and 38.8% for the index; (b) risk-free interest rate of 0.31%; and (c) no dividend yield assumption given that the award includes dividend equivalent rights that are earned only if the underlying shares are earned. Based on the performance goals and these assumptions, the award was valued at $97.01 per share.</w:t>
      </w:r>
    </w:p>
    <w:p>
      <w:pPr>
        <w:ind w:left="540" w:right="20" w:hanging="424"/>
        <w:spacing w:after="0" w:line="219" w:lineRule="auto"/>
        <w:tabs>
          <w:tab w:leader="none" w:pos="54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Amounts shown in this column represent the cash amount paid under our annual bonus plan and include amounts deferred by our NEOs into our non-qualified deferred compensation plan.</w:t>
      </w:r>
    </w:p>
    <w:p>
      <w:pPr>
        <w:ind w:left="540" w:hanging="424"/>
        <w:spacing w:after="0" w:line="197" w:lineRule="auto"/>
        <w:tabs>
          <w:tab w:leader="none" w:pos="54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The amounts shown in this column for the most recent fiscal year include: (a) contributions to our 401(k) plan of $7,625 for each of our NEOs; and</w:t>
      </w:r>
    </w:p>
    <w:p>
      <w:pPr>
        <w:ind w:left="540" w:right="20"/>
        <w:spacing w:after="0" w:line="265" w:lineRule="auto"/>
        <w:rPr>
          <w:rFonts w:ascii="Arial" w:cs="Arial" w:eastAsia="Arial" w:hAnsi="Arial"/>
          <w:sz w:val="20"/>
          <w:szCs w:val="20"/>
          <w:color w:val="auto"/>
          <w:vertAlign w:val="superscript"/>
        </w:rPr>
      </w:pPr>
      <w:r>
        <w:rPr>
          <w:rFonts w:ascii="Arial" w:cs="Arial" w:eastAsia="Arial" w:hAnsi="Arial"/>
          <w:sz w:val="16"/>
          <w:szCs w:val="16"/>
          <w:color w:val="auto"/>
        </w:rPr>
        <w:t>(b) payments for various life, long-term disability and other medical related insurance of $27,766 for Mr. Wood, $7,988 for Mr. Berkes, $3,966 for Mr. Guglielmone and $6,896 for Ms.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74930</wp:posOffset>
            </wp:positionV>
            <wp:extent cx="701230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6"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66"/>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GRANTS OF PLAN BASED AWARDS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equity awards were made in 2022 to our NEOs.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340" w:type="dxa"/>
            <w:vAlign w:val="bottom"/>
            <w:shd w:val="clear" w:color="auto" w:fill="FF160F"/>
          </w:tcPr>
          <w:p>
            <w:pPr>
              <w:spacing w:after="0"/>
              <w:rPr>
                <w:sz w:val="19"/>
                <w:szCs w:val="19"/>
                <w:color w:val="auto"/>
              </w:rPr>
            </w:pPr>
          </w:p>
        </w:tc>
        <w:tc>
          <w:tcPr>
            <w:tcW w:w="1920" w:type="dxa"/>
            <w:vAlign w:val="bottom"/>
            <w:shd w:val="clear" w:color="auto" w:fill="FF160F"/>
          </w:tcPr>
          <w:p>
            <w:pPr>
              <w:spacing w:after="0"/>
              <w:rPr>
                <w:sz w:val="19"/>
                <w:szCs w:val="19"/>
                <w:color w:val="auto"/>
              </w:rPr>
            </w:pPr>
          </w:p>
        </w:tc>
        <w:tc>
          <w:tcPr>
            <w:tcW w:w="2460" w:type="dxa"/>
            <w:vAlign w:val="bottom"/>
            <w:shd w:val="clear" w:color="auto" w:fill="FF160F"/>
          </w:tcPr>
          <w:p>
            <w:pPr>
              <w:jc w:val="right"/>
              <w:ind w:right="328"/>
              <w:spacing w:after="0"/>
              <w:rPr>
                <w:sz w:val="20"/>
                <w:szCs w:val="20"/>
                <w:color w:val="auto"/>
              </w:rPr>
            </w:pPr>
            <w:r>
              <w:rPr>
                <w:rFonts w:ascii="Arial" w:cs="Arial" w:eastAsia="Arial" w:hAnsi="Arial"/>
                <w:sz w:val="14"/>
                <w:szCs w:val="14"/>
                <w:b w:val="1"/>
                <w:bCs w:val="1"/>
                <w:color w:val="EAEFED"/>
              </w:rPr>
              <w:t>All Other Stock Awards:</w:t>
            </w:r>
          </w:p>
        </w:tc>
        <w:tc>
          <w:tcPr>
            <w:tcW w:w="520" w:type="dxa"/>
            <w:vAlign w:val="bottom"/>
            <w:shd w:val="clear" w:color="auto" w:fill="FF160F"/>
          </w:tcPr>
          <w:p>
            <w:pPr>
              <w:spacing w:after="0"/>
              <w:rPr>
                <w:sz w:val="19"/>
                <w:szCs w:val="19"/>
                <w:color w:val="auto"/>
              </w:rPr>
            </w:pPr>
          </w:p>
        </w:tc>
        <w:tc>
          <w:tcPr>
            <w:tcW w:w="780" w:type="dxa"/>
            <w:vAlign w:val="bottom"/>
            <w:shd w:val="clear" w:color="auto" w:fill="FF160F"/>
          </w:tcPr>
          <w:p>
            <w:pPr>
              <w:spacing w:after="0"/>
              <w:rPr>
                <w:sz w:val="19"/>
                <w:szCs w:val="19"/>
                <w:color w:val="auto"/>
              </w:rPr>
            </w:pPr>
          </w:p>
        </w:tc>
      </w:tr>
      <w:tr>
        <w:trPr>
          <w:trHeight w:val="162"/>
        </w:trPr>
        <w:tc>
          <w:tcPr>
            <w:tcW w:w="5340" w:type="dxa"/>
            <w:vAlign w:val="bottom"/>
            <w:shd w:val="clear" w:color="auto" w:fill="FF160F"/>
          </w:tcPr>
          <w:p>
            <w:pPr>
              <w:spacing w:after="0"/>
              <w:rPr>
                <w:sz w:val="14"/>
                <w:szCs w:val="14"/>
                <w:color w:val="auto"/>
              </w:rPr>
            </w:pPr>
          </w:p>
        </w:tc>
        <w:tc>
          <w:tcPr>
            <w:tcW w:w="1920" w:type="dxa"/>
            <w:vAlign w:val="bottom"/>
            <w:shd w:val="clear" w:color="auto" w:fill="FF160F"/>
          </w:tcPr>
          <w:p>
            <w:pPr>
              <w:jc w:val="right"/>
              <w:ind w:right="568"/>
              <w:spacing w:after="0"/>
              <w:rPr>
                <w:sz w:val="20"/>
                <w:szCs w:val="20"/>
                <w:color w:val="auto"/>
              </w:rPr>
            </w:pPr>
            <w:r>
              <w:rPr>
                <w:rFonts w:ascii="Arial" w:cs="Arial" w:eastAsia="Arial" w:hAnsi="Arial"/>
                <w:sz w:val="14"/>
                <w:szCs w:val="14"/>
                <w:b w:val="1"/>
                <w:bCs w:val="1"/>
                <w:color w:val="EAEFED"/>
              </w:rPr>
              <w:t>Grant</w:t>
            </w:r>
          </w:p>
        </w:tc>
        <w:tc>
          <w:tcPr>
            <w:tcW w:w="2460" w:type="dxa"/>
            <w:vAlign w:val="bottom"/>
            <w:shd w:val="clear" w:color="auto" w:fill="FF160F"/>
          </w:tcPr>
          <w:p>
            <w:pPr>
              <w:jc w:val="right"/>
              <w:ind w:right="328"/>
              <w:spacing w:after="0"/>
              <w:rPr>
                <w:sz w:val="20"/>
                <w:szCs w:val="20"/>
                <w:color w:val="auto"/>
              </w:rPr>
            </w:pPr>
            <w:r>
              <w:rPr>
                <w:rFonts w:ascii="Arial" w:cs="Arial" w:eastAsia="Arial" w:hAnsi="Arial"/>
                <w:sz w:val="14"/>
                <w:szCs w:val="14"/>
                <w:b w:val="1"/>
                <w:bCs w:val="1"/>
                <w:color w:val="EAEFED"/>
              </w:rPr>
              <w:t>Number of Shares of</w:t>
            </w:r>
          </w:p>
        </w:tc>
        <w:tc>
          <w:tcPr>
            <w:tcW w:w="1300" w:type="dxa"/>
            <w:vAlign w:val="bottom"/>
            <w:gridSpan w:val="2"/>
            <w:shd w:val="clear" w:color="auto" w:fill="FF160F"/>
          </w:tcPr>
          <w:p>
            <w:pPr>
              <w:jc w:val="right"/>
              <w:ind w:right="8"/>
              <w:spacing w:after="0"/>
              <w:rPr>
                <w:sz w:val="20"/>
                <w:szCs w:val="20"/>
                <w:color w:val="auto"/>
              </w:rPr>
            </w:pPr>
            <w:r>
              <w:rPr>
                <w:rFonts w:ascii="Arial" w:cs="Arial" w:eastAsia="Arial" w:hAnsi="Arial"/>
                <w:sz w:val="14"/>
                <w:szCs w:val="14"/>
                <w:b w:val="1"/>
                <w:bCs w:val="1"/>
                <w:color w:val="EAEFED"/>
              </w:rPr>
              <w:t>Grant Date</w:t>
            </w:r>
          </w:p>
        </w:tc>
      </w:tr>
      <w:tr>
        <w:trPr>
          <w:trHeight w:val="185"/>
        </w:trPr>
        <w:tc>
          <w:tcPr>
            <w:tcW w:w="534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1920" w:type="dxa"/>
            <w:vAlign w:val="bottom"/>
            <w:tcBorders>
              <w:bottom w:val="single" w:sz="8" w:color="auto"/>
            </w:tcBorders>
            <w:shd w:val="clear" w:color="auto" w:fill="FF160F"/>
          </w:tcPr>
          <w:p>
            <w:pPr>
              <w:jc w:val="right"/>
              <w:ind w:right="608"/>
              <w:spacing w:after="0"/>
              <w:rPr>
                <w:sz w:val="20"/>
                <w:szCs w:val="20"/>
                <w:color w:val="auto"/>
              </w:rPr>
            </w:pPr>
            <w:r>
              <w:rPr>
                <w:rFonts w:ascii="Arial" w:cs="Arial" w:eastAsia="Arial" w:hAnsi="Arial"/>
                <w:sz w:val="14"/>
                <w:szCs w:val="14"/>
                <w:b w:val="1"/>
                <w:bCs w:val="1"/>
                <w:color w:val="EAEFED"/>
              </w:rPr>
              <w:t>Date</w:t>
            </w:r>
          </w:p>
        </w:tc>
        <w:tc>
          <w:tcPr>
            <w:tcW w:w="2460" w:type="dxa"/>
            <w:vAlign w:val="bottom"/>
            <w:tcBorders>
              <w:bottom w:val="single" w:sz="8" w:color="auto"/>
            </w:tcBorders>
            <w:shd w:val="clear" w:color="auto" w:fill="FF160F"/>
          </w:tcPr>
          <w:p>
            <w:pPr>
              <w:jc w:val="right"/>
              <w:ind w:right="328"/>
              <w:spacing w:after="0" w:line="185" w:lineRule="exact"/>
              <w:rPr>
                <w:sz w:val="20"/>
                <w:szCs w:val="20"/>
                <w:color w:val="auto"/>
              </w:rPr>
            </w:pPr>
            <w:r>
              <w:rPr>
                <w:rFonts w:ascii="Arial" w:cs="Arial" w:eastAsia="Arial" w:hAnsi="Arial"/>
                <w:sz w:val="14"/>
                <w:szCs w:val="14"/>
                <w:b w:val="1"/>
                <w:bCs w:val="1"/>
                <w:color w:val="EAEFED"/>
              </w:rPr>
              <w:t>Stock or Units</w:t>
            </w:r>
            <w:r>
              <w:rPr>
                <w:rFonts w:ascii="Arial" w:cs="Arial" w:eastAsia="Arial" w:hAnsi="Arial"/>
                <w:sz w:val="17"/>
                <w:szCs w:val="17"/>
                <w:b w:val="1"/>
                <w:bCs w:val="1"/>
                <w:color w:val="EAEFED"/>
                <w:vertAlign w:val="superscript"/>
              </w:rPr>
              <w:t>(1)</w:t>
            </w:r>
          </w:p>
        </w:tc>
        <w:tc>
          <w:tcPr>
            <w:tcW w:w="1300" w:type="dxa"/>
            <w:vAlign w:val="bottom"/>
            <w:tcBorders>
              <w:bottom w:val="single" w:sz="8" w:color="auto"/>
            </w:tcBorders>
            <w:gridSpan w:val="2"/>
            <w:shd w:val="clear" w:color="auto" w:fill="FF160F"/>
          </w:tcPr>
          <w:p>
            <w:pPr>
              <w:jc w:val="right"/>
              <w:ind w:right="8"/>
              <w:spacing w:after="0" w:line="185" w:lineRule="exact"/>
              <w:rPr>
                <w:sz w:val="20"/>
                <w:szCs w:val="20"/>
                <w:color w:val="auto"/>
              </w:rPr>
            </w:pPr>
            <w:r>
              <w:rPr>
                <w:rFonts w:ascii="Arial" w:cs="Arial" w:eastAsia="Arial" w:hAnsi="Arial"/>
                <w:sz w:val="14"/>
                <w:szCs w:val="14"/>
                <w:b w:val="1"/>
                <w:bCs w:val="1"/>
                <w:color w:val="EAEFED"/>
              </w:rPr>
              <w:t>Fair Value</w:t>
            </w:r>
            <w:r>
              <w:rPr>
                <w:rFonts w:ascii="Arial" w:cs="Arial" w:eastAsia="Arial" w:hAnsi="Arial"/>
                <w:sz w:val="17"/>
                <w:szCs w:val="17"/>
                <w:b w:val="1"/>
                <w:bCs w:val="1"/>
                <w:color w:val="EAEFED"/>
                <w:vertAlign w:val="superscript"/>
              </w:rPr>
              <w:t>(2)</w:t>
            </w:r>
          </w:p>
        </w:tc>
      </w:tr>
      <w:tr>
        <w:trPr>
          <w:trHeight w:val="187"/>
        </w:trPr>
        <w:tc>
          <w:tcPr>
            <w:tcW w:w="5340" w:type="dxa"/>
            <w:vAlign w:val="bottom"/>
            <w:shd w:val="clear" w:color="auto" w:fill="D8D8D8"/>
          </w:tcPr>
          <w:p>
            <w:pPr>
              <w:spacing w:after="0"/>
              <w:rPr>
                <w:sz w:val="20"/>
                <w:szCs w:val="20"/>
                <w:color w:val="auto"/>
              </w:rPr>
            </w:pPr>
            <w:r>
              <w:rPr>
                <w:rFonts w:ascii="Arial" w:cs="Arial" w:eastAsia="Arial" w:hAnsi="Arial"/>
                <w:sz w:val="14"/>
                <w:szCs w:val="14"/>
                <w:color w:val="auto"/>
              </w:rPr>
              <w:t>Donald C. Wood</w:t>
            </w:r>
          </w:p>
        </w:tc>
        <w:tc>
          <w:tcPr>
            <w:tcW w:w="1920" w:type="dxa"/>
            <w:vAlign w:val="bottom"/>
          </w:tcPr>
          <w:p>
            <w:pPr>
              <w:jc w:val="right"/>
              <w:ind w:right="328"/>
              <w:spacing w:after="0" w:line="187"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(3)</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4,225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534,420</w:t>
            </w:r>
          </w:p>
        </w:tc>
      </w:tr>
      <w:tr>
        <w:trPr>
          <w:trHeight w:val="171"/>
        </w:trPr>
        <w:tc>
          <w:tcPr>
            <w:tcW w:w="5340" w:type="dxa"/>
            <w:vAlign w:val="bottom"/>
            <w:tcBorders>
              <w:bottom w:val="single" w:sz="8" w:color="auto"/>
            </w:tcBorders>
            <w:shd w:val="clear" w:color="auto" w:fill="D8D8D8"/>
          </w:tcPr>
          <w:p>
            <w:pPr>
              <w:spacing w:after="0"/>
              <w:rPr>
                <w:sz w:val="14"/>
                <w:szCs w:val="14"/>
                <w:color w:val="auto"/>
              </w:rPr>
            </w:pPr>
          </w:p>
        </w:tc>
        <w:tc>
          <w:tcPr>
            <w:tcW w:w="1920" w:type="dxa"/>
            <w:vAlign w:val="bottom"/>
            <w:tcBorders>
              <w:bottom w:val="single" w:sz="8" w:color="auto"/>
            </w:tcBorders>
          </w:tcPr>
          <w:p>
            <w:pPr>
              <w:jc w:val="right"/>
              <w:ind w:right="328"/>
              <w:spacing w:after="0" w:line="172"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46,960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5,939,970</w:t>
            </w:r>
          </w:p>
        </w:tc>
      </w:tr>
      <w:tr>
        <w:trPr>
          <w:trHeight w:val="187"/>
        </w:trPr>
        <w:tc>
          <w:tcPr>
            <w:tcW w:w="5340" w:type="dxa"/>
            <w:vAlign w:val="bottom"/>
            <w:shd w:val="clear" w:color="auto" w:fill="D8D8D8"/>
          </w:tcPr>
          <w:p>
            <w:pPr>
              <w:spacing w:after="0"/>
              <w:rPr>
                <w:sz w:val="20"/>
                <w:szCs w:val="20"/>
                <w:color w:val="auto"/>
              </w:rPr>
            </w:pPr>
            <w:r>
              <w:rPr>
                <w:rFonts w:ascii="Arial" w:cs="Arial" w:eastAsia="Arial" w:hAnsi="Arial"/>
                <w:sz w:val="14"/>
                <w:szCs w:val="14"/>
                <w:color w:val="auto"/>
              </w:rPr>
              <w:t>Jeffrey S. Berkes</w:t>
            </w:r>
          </w:p>
        </w:tc>
        <w:tc>
          <w:tcPr>
            <w:tcW w:w="1920" w:type="dxa"/>
            <w:vAlign w:val="bottom"/>
          </w:tcPr>
          <w:p>
            <w:pPr>
              <w:jc w:val="right"/>
              <w:ind w:right="328"/>
              <w:spacing w:after="0" w:line="187"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(3)</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1,705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215,665</w:t>
            </w:r>
          </w:p>
        </w:tc>
      </w:tr>
      <w:tr>
        <w:trPr>
          <w:trHeight w:val="171"/>
        </w:trPr>
        <w:tc>
          <w:tcPr>
            <w:tcW w:w="5340" w:type="dxa"/>
            <w:vAlign w:val="bottom"/>
            <w:tcBorders>
              <w:bottom w:val="single" w:sz="8" w:color="auto"/>
            </w:tcBorders>
            <w:shd w:val="clear" w:color="auto" w:fill="D8D8D8"/>
          </w:tcPr>
          <w:p>
            <w:pPr>
              <w:spacing w:after="0"/>
              <w:rPr>
                <w:sz w:val="14"/>
                <w:szCs w:val="14"/>
                <w:color w:val="auto"/>
              </w:rPr>
            </w:pPr>
          </w:p>
        </w:tc>
        <w:tc>
          <w:tcPr>
            <w:tcW w:w="1920" w:type="dxa"/>
            <w:vAlign w:val="bottom"/>
            <w:tcBorders>
              <w:bottom w:val="single" w:sz="8" w:color="auto"/>
            </w:tcBorders>
          </w:tcPr>
          <w:p>
            <w:pPr>
              <w:jc w:val="right"/>
              <w:ind w:right="328"/>
              <w:spacing w:after="0" w:line="172"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7,827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990,037</w:t>
            </w:r>
          </w:p>
        </w:tc>
      </w:tr>
      <w:tr>
        <w:trPr>
          <w:trHeight w:val="169"/>
        </w:trPr>
        <w:tc>
          <w:tcPr>
            <w:tcW w:w="534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Daniel Guglielmone</w:t>
            </w:r>
          </w:p>
        </w:tc>
        <w:tc>
          <w:tcPr>
            <w:tcW w:w="1920" w:type="dxa"/>
            <w:vAlign w:val="bottom"/>
            <w:tcBorders>
              <w:bottom w:val="single" w:sz="8" w:color="auto"/>
            </w:tcBorders>
          </w:tcPr>
          <w:p>
            <w:pPr>
              <w:jc w:val="right"/>
              <w:ind w:right="328"/>
              <w:spacing w:after="0" w:line="169"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7,044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890,996</w:t>
            </w:r>
          </w:p>
        </w:tc>
      </w:tr>
      <w:tr>
        <w:trPr>
          <w:trHeight w:val="187"/>
        </w:trPr>
        <w:tc>
          <w:tcPr>
            <w:tcW w:w="5340" w:type="dxa"/>
            <w:vAlign w:val="bottom"/>
            <w:shd w:val="clear" w:color="auto" w:fill="D8D8D8"/>
          </w:tcPr>
          <w:p>
            <w:pPr>
              <w:spacing w:after="0"/>
              <w:rPr>
                <w:sz w:val="20"/>
                <w:szCs w:val="20"/>
                <w:color w:val="auto"/>
              </w:rPr>
            </w:pPr>
            <w:r>
              <w:rPr>
                <w:rFonts w:ascii="Arial" w:cs="Arial" w:eastAsia="Arial" w:hAnsi="Arial"/>
                <w:sz w:val="14"/>
                <w:szCs w:val="14"/>
                <w:color w:val="auto"/>
              </w:rPr>
              <w:t>Dawn M. Becker</w:t>
            </w:r>
          </w:p>
        </w:tc>
        <w:tc>
          <w:tcPr>
            <w:tcW w:w="1920" w:type="dxa"/>
            <w:vAlign w:val="bottom"/>
          </w:tcPr>
          <w:p>
            <w:pPr>
              <w:jc w:val="right"/>
              <w:ind w:right="328"/>
              <w:spacing w:after="0" w:line="187"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(3)</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1,056</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133,573</w:t>
            </w:r>
          </w:p>
        </w:tc>
      </w:tr>
      <w:tr>
        <w:trPr>
          <w:trHeight w:val="171"/>
        </w:trPr>
        <w:tc>
          <w:tcPr>
            <w:tcW w:w="5340" w:type="dxa"/>
            <w:vAlign w:val="bottom"/>
            <w:tcBorders>
              <w:bottom w:val="single" w:sz="8" w:color="auto"/>
            </w:tcBorders>
            <w:shd w:val="clear" w:color="auto" w:fill="D8D8D8"/>
          </w:tcPr>
          <w:p>
            <w:pPr>
              <w:spacing w:after="0"/>
              <w:rPr>
                <w:sz w:val="14"/>
                <w:szCs w:val="14"/>
                <w:color w:val="auto"/>
              </w:rPr>
            </w:pPr>
          </w:p>
        </w:tc>
        <w:tc>
          <w:tcPr>
            <w:tcW w:w="1920" w:type="dxa"/>
            <w:vAlign w:val="bottom"/>
            <w:tcBorders>
              <w:bottom w:val="single" w:sz="8" w:color="auto"/>
            </w:tcBorders>
          </w:tcPr>
          <w:p>
            <w:pPr>
              <w:jc w:val="right"/>
              <w:ind w:right="328"/>
              <w:spacing w:after="0" w:line="172"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4,696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28" w:lineRule="auto"/>
        <w:tabs>
          <w:tab w:leader="none" w:pos="540" w:val="left"/>
        </w:tabs>
        <w:numPr>
          <w:ilvl w:val="0"/>
          <w:numId w:val="67"/>
        </w:numPr>
        <w:rPr>
          <w:rFonts w:ascii="Arial" w:cs="Arial" w:eastAsia="Arial" w:hAnsi="Arial"/>
          <w:sz w:val="20"/>
          <w:szCs w:val="20"/>
          <w:color w:val="auto"/>
          <w:vertAlign w:val="superscript"/>
        </w:rPr>
      </w:pPr>
      <w:r>
        <w:rPr>
          <w:rFonts w:ascii="Arial" w:cs="Arial" w:eastAsia="Arial" w:hAnsi="Arial"/>
          <w:sz w:val="16"/>
          <w:szCs w:val="16"/>
          <w:color w:val="auto"/>
        </w:rPr>
        <w:t>Dividends are paid on these shares issued at the same rate and time as paid to all other holders of our shares as declared by our Board from time to time.</w:t>
      </w:r>
    </w:p>
    <w:p>
      <w:pPr>
        <w:ind w:left="540" w:hanging="424"/>
        <w:spacing w:after="0" w:line="197" w:lineRule="auto"/>
        <w:tabs>
          <w:tab w:leader="none" w:pos="540" w:val="left"/>
        </w:tabs>
        <w:numPr>
          <w:ilvl w:val="0"/>
          <w:numId w:val="67"/>
        </w:numPr>
        <w:rPr>
          <w:rFonts w:ascii="Arial" w:cs="Arial" w:eastAsia="Arial" w:hAnsi="Arial"/>
          <w:sz w:val="20"/>
          <w:szCs w:val="20"/>
          <w:color w:val="auto"/>
          <w:vertAlign w:val="superscript"/>
        </w:rPr>
      </w:pPr>
      <w:r>
        <w:rPr>
          <w:rFonts w:ascii="Arial" w:cs="Arial" w:eastAsia="Arial" w:hAnsi="Arial"/>
          <w:sz w:val="16"/>
          <w:szCs w:val="16"/>
          <w:color w:val="auto"/>
        </w:rPr>
        <w:t>Represents the grant date fair value of share awards as computed in accordance with FASB ASC Topic 718.</w:t>
      </w:r>
    </w:p>
    <w:p>
      <w:pPr>
        <w:ind w:left="540" w:hanging="424"/>
        <w:spacing w:after="0" w:line="197" w:lineRule="auto"/>
        <w:tabs>
          <w:tab w:leader="none" w:pos="540" w:val="left"/>
        </w:tabs>
        <w:numPr>
          <w:ilvl w:val="0"/>
          <w:numId w:val="67"/>
        </w:numPr>
        <w:rPr>
          <w:rFonts w:ascii="Arial" w:cs="Arial" w:eastAsia="Arial" w:hAnsi="Arial"/>
          <w:sz w:val="20"/>
          <w:szCs w:val="20"/>
          <w:color w:val="auto"/>
          <w:vertAlign w:val="superscript"/>
        </w:rPr>
      </w:pPr>
      <w:r>
        <w:rPr>
          <w:rFonts w:ascii="Arial" w:cs="Arial" w:eastAsia="Arial" w:hAnsi="Arial"/>
          <w:sz w:val="16"/>
          <w:szCs w:val="16"/>
          <w:color w:val="auto"/>
        </w:rPr>
        <w:t>Issued under our annual bonus plan for the 1-year performance period ending December 31, 2021. These shares vest equally over 3 years.</w:t>
      </w:r>
    </w:p>
    <w:p>
      <w:pPr>
        <w:ind w:left="540" w:right="20" w:hanging="424"/>
        <w:spacing w:after="0"/>
        <w:tabs>
          <w:tab w:leader="none" w:pos="540" w:val="left"/>
        </w:tabs>
        <w:numPr>
          <w:ilvl w:val="0"/>
          <w:numId w:val="67"/>
        </w:numPr>
        <w:rPr>
          <w:rFonts w:ascii="Arial" w:cs="Arial" w:eastAsia="Arial" w:hAnsi="Arial"/>
          <w:sz w:val="20"/>
          <w:szCs w:val="20"/>
          <w:color w:val="auto"/>
          <w:vertAlign w:val="superscript"/>
        </w:rPr>
      </w:pPr>
      <w:r>
        <w:rPr>
          <w:rFonts w:ascii="Arial" w:cs="Arial" w:eastAsia="Arial" w:hAnsi="Arial"/>
          <w:sz w:val="16"/>
          <w:szCs w:val="16"/>
          <w:color w:val="auto"/>
        </w:rPr>
        <w:t>Issued under our long-term incentive program for the 3-year performance period ending December 31, 2021. These shares vest equally over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187325</wp:posOffset>
            </wp:positionV>
            <wp:extent cx="701230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92"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32</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68"/>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OUTSTANDING EQUITY AWARDS AT FISCAL YEAR END TABLE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outstanding equity awards held by our NEOs as of December 31, 2022:</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220" w:type="dxa"/>
            <w:vAlign w:val="bottom"/>
            <w:shd w:val="clear" w:color="auto" w:fill="FF160F"/>
          </w:tcPr>
          <w:p>
            <w:pPr>
              <w:spacing w:after="0"/>
              <w:rPr>
                <w:sz w:val="22"/>
                <w:szCs w:val="22"/>
                <w:color w:val="auto"/>
              </w:rPr>
            </w:pPr>
          </w:p>
        </w:tc>
        <w:tc>
          <w:tcPr>
            <w:tcW w:w="1400" w:type="dxa"/>
            <w:vAlign w:val="bottom"/>
            <w:shd w:val="clear" w:color="auto" w:fill="FF160F"/>
          </w:tcPr>
          <w:p>
            <w:pPr>
              <w:spacing w:after="0"/>
              <w:rPr>
                <w:sz w:val="22"/>
                <w:szCs w:val="22"/>
                <w:color w:val="auto"/>
              </w:rPr>
            </w:pPr>
          </w:p>
        </w:tc>
        <w:tc>
          <w:tcPr>
            <w:tcW w:w="1580" w:type="dxa"/>
            <w:vAlign w:val="bottom"/>
            <w:shd w:val="clear" w:color="auto" w:fill="FF160F"/>
          </w:tcPr>
          <w:p>
            <w:pPr>
              <w:spacing w:after="0"/>
              <w:rPr>
                <w:sz w:val="22"/>
                <w:szCs w:val="22"/>
                <w:color w:val="auto"/>
              </w:rPr>
            </w:pPr>
          </w:p>
        </w:tc>
        <w:tc>
          <w:tcPr>
            <w:tcW w:w="340" w:type="dxa"/>
            <w:vAlign w:val="bottom"/>
            <w:shd w:val="clear" w:color="auto" w:fill="FF160F"/>
          </w:tcPr>
          <w:p>
            <w:pPr>
              <w:spacing w:after="0"/>
              <w:rPr>
                <w:sz w:val="22"/>
                <w:szCs w:val="22"/>
                <w:color w:val="auto"/>
              </w:rPr>
            </w:pPr>
          </w:p>
        </w:tc>
        <w:tc>
          <w:tcPr>
            <w:tcW w:w="320" w:type="dxa"/>
            <w:vAlign w:val="bottom"/>
            <w:shd w:val="clear" w:color="auto" w:fill="FF160F"/>
          </w:tcPr>
          <w:p>
            <w:pPr>
              <w:spacing w:after="0"/>
              <w:rPr>
                <w:sz w:val="22"/>
                <w:szCs w:val="22"/>
                <w:color w:val="auto"/>
              </w:rPr>
            </w:pPr>
          </w:p>
        </w:tc>
        <w:tc>
          <w:tcPr>
            <w:tcW w:w="1800" w:type="dxa"/>
            <w:vAlign w:val="bottom"/>
            <w:shd w:val="clear" w:color="auto" w:fill="FF160F"/>
          </w:tcPr>
          <w:p>
            <w:pPr>
              <w:jc w:val="right"/>
              <w:ind w:right="708"/>
              <w:spacing w:after="0"/>
              <w:rPr>
                <w:sz w:val="20"/>
                <w:szCs w:val="20"/>
                <w:color w:val="auto"/>
              </w:rPr>
            </w:pPr>
            <w:r>
              <w:rPr>
                <w:rFonts w:ascii="Arial" w:cs="Arial" w:eastAsia="Arial" w:hAnsi="Arial"/>
                <w:sz w:val="14"/>
                <w:szCs w:val="14"/>
                <w:b w:val="1"/>
                <w:bCs w:val="1"/>
                <w:color w:val="EAEFED"/>
              </w:rPr>
              <w:t>Stock Awards</w:t>
            </w:r>
          </w:p>
        </w:tc>
        <w:tc>
          <w:tcPr>
            <w:tcW w:w="2280" w:type="dxa"/>
            <w:vAlign w:val="bottom"/>
            <w:shd w:val="clear" w:color="auto" w:fill="FF160F"/>
          </w:tcPr>
          <w:p>
            <w:pPr>
              <w:spacing w:after="0"/>
              <w:rPr>
                <w:sz w:val="22"/>
                <w:szCs w:val="22"/>
                <w:color w:val="auto"/>
              </w:rPr>
            </w:pPr>
          </w:p>
        </w:tc>
        <w:tc>
          <w:tcPr>
            <w:tcW w:w="220" w:type="dxa"/>
            <w:vAlign w:val="bottom"/>
            <w:shd w:val="clear" w:color="auto" w:fill="FF160F"/>
          </w:tcPr>
          <w:p>
            <w:pPr>
              <w:spacing w:after="0"/>
              <w:rPr>
                <w:sz w:val="22"/>
                <w:szCs w:val="22"/>
                <w:color w:val="auto"/>
              </w:rPr>
            </w:pPr>
          </w:p>
        </w:tc>
        <w:tc>
          <w:tcPr>
            <w:tcW w:w="1860" w:type="dxa"/>
            <w:vAlign w:val="bottom"/>
            <w:shd w:val="clear" w:color="auto" w:fill="FF160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220" w:type="dxa"/>
            <w:vAlign w:val="bottom"/>
            <w:shd w:val="clear" w:color="auto" w:fill="FF160F"/>
          </w:tcPr>
          <w:p>
            <w:pPr>
              <w:spacing w:after="0"/>
              <w:rPr>
                <w:sz w:val="21"/>
                <w:szCs w:val="21"/>
                <w:color w:val="auto"/>
              </w:rPr>
            </w:pPr>
          </w:p>
        </w:tc>
        <w:tc>
          <w:tcPr>
            <w:tcW w:w="1400" w:type="dxa"/>
            <w:vAlign w:val="bottom"/>
            <w:shd w:val="clear" w:color="auto" w:fill="FF160F"/>
          </w:tcPr>
          <w:p>
            <w:pPr>
              <w:spacing w:after="0"/>
              <w:rPr>
                <w:sz w:val="21"/>
                <w:szCs w:val="21"/>
                <w:color w:val="auto"/>
              </w:rPr>
            </w:pPr>
          </w:p>
        </w:tc>
        <w:tc>
          <w:tcPr>
            <w:tcW w:w="1580" w:type="dxa"/>
            <w:vAlign w:val="bottom"/>
            <w:shd w:val="clear" w:color="auto" w:fill="FF160F"/>
          </w:tcPr>
          <w:p>
            <w:pPr>
              <w:spacing w:after="0"/>
              <w:rPr>
                <w:sz w:val="21"/>
                <w:szCs w:val="21"/>
                <w:color w:val="auto"/>
              </w:rPr>
            </w:pPr>
          </w:p>
        </w:tc>
        <w:tc>
          <w:tcPr>
            <w:tcW w:w="340" w:type="dxa"/>
            <w:vAlign w:val="bottom"/>
            <w:shd w:val="clear" w:color="auto" w:fill="FF160F"/>
          </w:tcPr>
          <w:p>
            <w:pPr>
              <w:spacing w:after="0"/>
              <w:rPr>
                <w:sz w:val="21"/>
                <w:szCs w:val="21"/>
                <w:color w:val="auto"/>
              </w:rPr>
            </w:pPr>
          </w:p>
        </w:tc>
        <w:tc>
          <w:tcPr>
            <w:tcW w:w="320" w:type="dxa"/>
            <w:vAlign w:val="bottom"/>
            <w:shd w:val="clear" w:color="auto" w:fill="FF160F"/>
          </w:tcPr>
          <w:p>
            <w:pPr>
              <w:spacing w:after="0"/>
              <w:rPr>
                <w:sz w:val="21"/>
                <w:szCs w:val="21"/>
                <w:color w:val="auto"/>
              </w:rPr>
            </w:pPr>
          </w:p>
        </w:tc>
        <w:tc>
          <w:tcPr>
            <w:tcW w:w="1800" w:type="dxa"/>
            <w:vAlign w:val="bottom"/>
            <w:shd w:val="clear" w:color="auto" w:fill="FF160F"/>
          </w:tcPr>
          <w:p>
            <w:pPr>
              <w:spacing w:after="0"/>
              <w:rPr>
                <w:sz w:val="21"/>
                <w:szCs w:val="21"/>
                <w:color w:val="auto"/>
              </w:rPr>
            </w:pPr>
          </w:p>
        </w:tc>
        <w:tc>
          <w:tcPr>
            <w:tcW w:w="2280" w:type="dxa"/>
            <w:vAlign w:val="bottom"/>
            <w:shd w:val="clear" w:color="auto" w:fill="FF160F"/>
          </w:tcPr>
          <w:p>
            <w:pPr>
              <w:spacing w:after="0"/>
              <w:rPr>
                <w:sz w:val="21"/>
                <w:szCs w:val="21"/>
                <w:color w:val="auto"/>
              </w:rPr>
            </w:pPr>
          </w:p>
        </w:tc>
        <w:tc>
          <w:tcPr>
            <w:tcW w:w="220" w:type="dxa"/>
            <w:vAlign w:val="bottom"/>
            <w:shd w:val="clear" w:color="auto" w:fill="FF160F"/>
          </w:tcPr>
          <w:p>
            <w:pPr>
              <w:spacing w:after="0"/>
              <w:rPr>
                <w:sz w:val="21"/>
                <w:szCs w:val="21"/>
                <w:color w:val="auto"/>
              </w:rPr>
            </w:pPr>
          </w:p>
        </w:tc>
        <w:tc>
          <w:tcPr>
            <w:tcW w:w="1860" w:type="dxa"/>
            <w:vAlign w:val="bottom"/>
            <w:shd w:val="clear" w:color="auto" w:fill="FF160F"/>
          </w:tcPr>
          <w:p>
            <w:pPr>
              <w:jc w:val="center"/>
              <w:ind w:right="268"/>
              <w:spacing w:after="0"/>
              <w:rPr>
                <w:sz w:val="20"/>
                <w:szCs w:val="20"/>
                <w:color w:val="auto"/>
              </w:rPr>
            </w:pPr>
            <w:r>
              <w:rPr>
                <w:rFonts w:ascii="Arial" w:cs="Arial" w:eastAsia="Arial" w:hAnsi="Arial"/>
                <w:sz w:val="14"/>
                <w:szCs w:val="14"/>
                <w:b w:val="1"/>
                <w:bCs w:val="1"/>
                <w:color w:val="EAEFED"/>
              </w:rPr>
              <w:t>Equity incentive plan</w:t>
            </w:r>
          </w:p>
        </w:tc>
        <w:tc>
          <w:tcPr>
            <w:tcW w:w="0" w:type="dxa"/>
            <w:vAlign w:val="bottom"/>
          </w:tcPr>
          <w:p>
            <w:pPr>
              <w:spacing w:after="0"/>
              <w:rPr>
                <w:sz w:val="1"/>
                <w:szCs w:val="1"/>
                <w:color w:val="auto"/>
              </w:rPr>
            </w:pPr>
          </w:p>
        </w:tc>
      </w:tr>
      <w:tr>
        <w:trPr>
          <w:trHeight w:val="162"/>
        </w:trPr>
        <w:tc>
          <w:tcPr>
            <w:tcW w:w="12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1580" w:type="dxa"/>
            <w:vAlign w:val="bottom"/>
            <w:shd w:val="clear" w:color="auto" w:fill="FF160F"/>
          </w:tcPr>
          <w:p>
            <w:pPr>
              <w:spacing w:after="0"/>
              <w:rPr>
                <w:sz w:val="14"/>
                <w:szCs w:val="14"/>
                <w:color w:val="auto"/>
              </w:rPr>
            </w:pPr>
          </w:p>
        </w:tc>
        <w:tc>
          <w:tcPr>
            <w:tcW w:w="340" w:type="dxa"/>
            <w:vAlign w:val="bottom"/>
            <w:shd w:val="clear" w:color="auto" w:fill="FF160F"/>
          </w:tcPr>
          <w:p>
            <w:pPr>
              <w:spacing w:after="0"/>
              <w:rPr>
                <w:sz w:val="14"/>
                <w:szCs w:val="14"/>
                <w:color w:val="auto"/>
              </w:rPr>
            </w:pPr>
          </w:p>
        </w:tc>
        <w:tc>
          <w:tcPr>
            <w:tcW w:w="320" w:type="dxa"/>
            <w:vAlign w:val="bottom"/>
            <w:shd w:val="clear" w:color="auto" w:fill="FF160F"/>
          </w:tcPr>
          <w:p>
            <w:pPr>
              <w:spacing w:after="0"/>
              <w:rPr>
                <w:sz w:val="14"/>
                <w:szCs w:val="14"/>
                <w:color w:val="auto"/>
              </w:rPr>
            </w:pPr>
          </w:p>
        </w:tc>
        <w:tc>
          <w:tcPr>
            <w:tcW w:w="1800" w:type="dxa"/>
            <w:vAlign w:val="bottom"/>
            <w:shd w:val="clear" w:color="auto" w:fill="FF160F"/>
          </w:tcPr>
          <w:p>
            <w:pPr>
              <w:spacing w:after="0"/>
              <w:rPr>
                <w:sz w:val="14"/>
                <w:szCs w:val="14"/>
                <w:color w:val="auto"/>
              </w:rPr>
            </w:pP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Equity incentive plan awards: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awards: market or payout</w:t>
            </w:r>
          </w:p>
        </w:tc>
        <w:tc>
          <w:tcPr>
            <w:tcW w:w="0" w:type="dxa"/>
            <w:vAlign w:val="bottom"/>
          </w:tcPr>
          <w:p>
            <w:pPr>
              <w:spacing w:after="0"/>
              <w:rPr>
                <w:sz w:val="1"/>
                <w:szCs w:val="1"/>
                <w:color w:val="auto"/>
              </w:rPr>
            </w:pPr>
          </w:p>
        </w:tc>
      </w:tr>
      <w:tr>
        <w:trPr>
          <w:trHeight w:val="162"/>
        </w:trPr>
        <w:tc>
          <w:tcPr>
            <w:tcW w:w="12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1920" w:type="dxa"/>
            <w:vAlign w:val="bottom"/>
            <w:gridSpan w:val="2"/>
            <w:shd w:val="clear" w:color="auto" w:fill="FF160F"/>
          </w:tcPr>
          <w:p>
            <w:pPr>
              <w:jc w:val="right"/>
              <w:ind w:right="135"/>
              <w:spacing w:after="0"/>
              <w:rPr>
                <w:sz w:val="20"/>
                <w:szCs w:val="20"/>
                <w:color w:val="auto"/>
              </w:rPr>
            </w:pPr>
            <w:r>
              <w:rPr>
                <w:rFonts w:ascii="Arial" w:cs="Arial" w:eastAsia="Arial" w:hAnsi="Arial"/>
                <w:sz w:val="14"/>
                <w:szCs w:val="14"/>
                <w:b w:val="1"/>
                <w:bCs w:val="1"/>
                <w:color w:val="EAEFED"/>
              </w:rPr>
              <w:t>Number of Shares or</w:t>
            </w:r>
          </w:p>
        </w:tc>
        <w:tc>
          <w:tcPr>
            <w:tcW w:w="2120" w:type="dxa"/>
            <w:vAlign w:val="bottom"/>
            <w:gridSpan w:val="2"/>
            <w:shd w:val="clear" w:color="auto" w:fill="FF160F"/>
          </w:tcPr>
          <w:p>
            <w:pPr>
              <w:ind w:left="180"/>
              <w:spacing w:after="0"/>
              <w:rPr>
                <w:sz w:val="20"/>
                <w:szCs w:val="20"/>
                <w:color w:val="auto"/>
              </w:rPr>
            </w:pPr>
            <w:r>
              <w:rPr>
                <w:rFonts w:ascii="Arial" w:cs="Arial" w:eastAsia="Arial" w:hAnsi="Arial"/>
                <w:sz w:val="14"/>
                <w:szCs w:val="14"/>
                <w:b w:val="1"/>
                <w:bCs w:val="1"/>
                <w:color w:val="EAEFED"/>
              </w:rPr>
              <w:t>Market Value of Shares or</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number of unearned shares,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value of unearned shares,</w:t>
            </w:r>
          </w:p>
        </w:tc>
        <w:tc>
          <w:tcPr>
            <w:tcW w:w="0" w:type="dxa"/>
            <w:vAlign w:val="bottom"/>
          </w:tcPr>
          <w:p>
            <w:pPr>
              <w:spacing w:after="0"/>
              <w:rPr>
                <w:sz w:val="1"/>
                <w:szCs w:val="1"/>
                <w:color w:val="auto"/>
              </w:rPr>
            </w:pPr>
          </w:p>
        </w:tc>
      </w:tr>
      <w:tr>
        <w:trPr>
          <w:trHeight w:val="162"/>
        </w:trPr>
        <w:tc>
          <w:tcPr>
            <w:tcW w:w="12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1920" w:type="dxa"/>
            <w:vAlign w:val="bottom"/>
            <w:gridSpan w:val="2"/>
            <w:shd w:val="clear" w:color="auto" w:fill="FF160F"/>
          </w:tcPr>
          <w:p>
            <w:pPr>
              <w:jc w:val="right"/>
              <w:ind w:right="135"/>
              <w:spacing w:after="0"/>
              <w:rPr>
                <w:sz w:val="20"/>
                <w:szCs w:val="20"/>
                <w:color w:val="auto"/>
              </w:rPr>
            </w:pPr>
            <w:r>
              <w:rPr>
                <w:rFonts w:ascii="Arial" w:cs="Arial" w:eastAsia="Arial" w:hAnsi="Arial"/>
                <w:sz w:val="14"/>
                <w:szCs w:val="14"/>
                <w:b w:val="1"/>
                <w:bCs w:val="1"/>
                <w:color w:val="EAEFED"/>
              </w:rPr>
              <w:t>Units of Stock That</w:t>
            </w:r>
          </w:p>
        </w:tc>
        <w:tc>
          <w:tcPr>
            <w:tcW w:w="2120" w:type="dxa"/>
            <w:vAlign w:val="bottom"/>
            <w:gridSpan w:val="2"/>
            <w:shd w:val="clear" w:color="auto" w:fill="FF160F"/>
          </w:tcPr>
          <w:p>
            <w:pPr>
              <w:jc w:val="right"/>
              <w:ind w:right="108"/>
              <w:spacing w:after="0"/>
              <w:rPr>
                <w:sz w:val="20"/>
                <w:szCs w:val="20"/>
                <w:color w:val="auto"/>
              </w:rPr>
            </w:pPr>
            <w:r>
              <w:rPr>
                <w:rFonts w:ascii="Arial" w:cs="Arial" w:eastAsia="Arial" w:hAnsi="Arial"/>
                <w:sz w:val="14"/>
                <w:szCs w:val="14"/>
                <w:b w:val="1"/>
                <w:bCs w:val="1"/>
                <w:color w:val="EAEFED"/>
              </w:rPr>
              <w:t>Units of Stock That Have</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units or other rights that</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units or other rights that</w:t>
            </w:r>
          </w:p>
        </w:tc>
        <w:tc>
          <w:tcPr>
            <w:tcW w:w="0" w:type="dxa"/>
            <w:vAlign w:val="bottom"/>
          </w:tcPr>
          <w:p>
            <w:pPr>
              <w:spacing w:after="0"/>
              <w:rPr>
                <w:sz w:val="1"/>
                <w:szCs w:val="1"/>
                <w:color w:val="auto"/>
              </w:rPr>
            </w:pPr>
          </w:p>
        </w:tc>
      </w:tr>
      <w:tr>
        <w:trPr>
          <w:trHeight w:val="252"/>
        </w:trPr>
        <w:tc>
          <w:tcPr>
            <w:tcW w:w="2620" w:type="dxa"/>
            <w:vAlign w:val="bottom"/>
            <w:gridSpan w:val="2"/>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1920" w:type="dxa"/>
            <w:vAlign w:val="bottom"/>
            <w:gridSpan w:val="2"/>
            <w:shd w:val="clear" w:color="auto" w:fill="FF160F"/>
          </w:tcPr>
          <w:p>
            <w:pPr>
              <w:jc w:val="right"/>
              <w:ind w:right="135"/>
              <w:spacing w:after="0"/>
              <w:rPr>
                <w:sz w:val="20"/>
                <w:szCs w:val="20"/>
                <w:color w:val="auto"/>
              </w:rPr>
            </w:pPr>
            <w:r>
              <w:rPr>
                <w:rFonts w:ascii="Arial" w:cs="Arial" w:eastAsia="Arial" w:hAnsi="Arial"/>
                <w:sz w:val="14"/>
                <w:szCs w:val="14"/>
                <w:b w:val="1"/>
                <w:bCs w:val="1"/>
                <w:color w:val="EAEFED"/>
              </w:rPr>
              <w:t>Have Not Vested</w:t>
            </w:r>
          </w:p>
        </w:tc>
        <w:tc>
          <w:tcPr>
            <w:tcW w:w="320" w:type="dxa"/>
            <w:vAlign w:val="bottom"/>
            <w:shd w:val="clear" w:color="auto" w:fill="FF160F"/>
          </w:tcPr>
          <w:p>
            <w:pPr>
              <w:spacing w:after="0"/>
              <w:rPr>
                <w:sz w:val="21"/>
                <w:szCs w:val="21"/>
                <w:color w:val="auto"/>
              </w:rPr>
            </w:pPr>
          </w:p>
        </w:tc>
        <w:tc>
          <w:tcPr>
            <w:tcW w:w="1800" w:type="dxa"/>
            <w:vAlign w:val="bottom"/>
            <w:shd w:val="clear" w:color="auto" w:fill="FF160F"/>
          </w:tcPr>
          <w:p>
            <w:pPr>
              <w:jc w:val="right"/>
              <w:ind w:right="108"/>
              <w:spacing w:after="0"/>
              <w:rPr>
                <w:sz w:val="20"/>
                <w:szCs w:val="20"/>
                <w:color w:val="auto"/>
              </w:rPr>
            </w:pPr>
            <w:r>
              <w:rPr>
                <w:rFonts w:ascii="Arial" w:cs="Arial" w:eastAsia="Arial" w:hAnsi="Arial"/>
                <w:sz w:val="14"/>
                <w:szCs w:val="14"/>
                <w:b w:val="1"/>
                <w:bCs w:val="1"/>
                <w:color w:val="EAEFED"/>
              </w:rPr>
              <w:t>Not Vested</w:t>
            </w:r>
            <w:r>
              <w:rPr>
                <w:rFonts w:ascii="Arial" w:cs="Arial" w:eastAsia="Arial" w:hAnsi="Arial"/>
                <w:sz w:val="17"/>
                <w:szCs w:val="17"/>
                <w:b w:val="1"/>
                <w:bCs w:val="1"/>
                <w:color w:val="EAEFED"/>
                <w:vertAlign w:val="superscript"/>
              </w:rPr>
              <w:t>(9)</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have not vested</w:t>
            </w:r>
          </w:p>
        </w:tc>
        <w:tc>
          <w:tcPr>
            <w:tcW w:w="220" w:type="dxa"/>
            <w:vAlign w:val="bottom"/>
            <w:shd w:val="clear" w:color="auto" w:fill="FF160F"/>
          </w:tcPr>
          <w:p>
            <w:pPr>
              <w:spacing w:after="0"/>
              <w:rPr>
                <w:sz w:val="21"/>
                <w:szCs w:val="21"/>
                <w:color w:val="auto"/>
              </w:rPr>
            </w:pPr>
          </w:p>
        </w:tc>
        <w:tc>
          <w:tcPr>
            <w:tcW w:w="1860" w:type="dxa"/>
            <w:vAlign w:val="bottom"/>
            <w:shd w:val="clear" w:color="auto" w:fill="FF160F"/>
          </w:tcPr>
          <w:p>
            <w:pPr>
              <w:jc w:val="center"/>
              <w:ind w:right="268"/>
              <w:spacing w:after="0"/>
              <w:rPr>
                <w:sz w:val="20"/>
                <w:szCs w:val="20"/>
                <w:color w:val="auto"/>
              </w:rPr>
            </w:pPr>
            <w:r>
              <w:rPr>
                <w:rFonts w:ascii="Arial" w:cs="Arial" w:eastAsia="Arial" w:hAnsi="Arial"/>
                <w:sz w:val="14"/>
                <w:szCs w:val="14"/>
                <w:b w:val="1"/>
                <w:bCs w:val="1"/>
                <w:color w:val="EAEFED"/>
              </w:rPr>
              <w:t>have not vested</w:t>
            </w:r>
            <w:r>
              <w:rPr>
                <w:rFonts w:ascii="Arial" w:cs="Arial" w:eastAsia="Arial" w:hAnsi="Arial"/>
                <w:sz w:val="17"/>
                <w:szCs w:val="17"/>
                <w:b w:val="1"/>
                <w:bCs w:val="1"/>
                <w:color w:val="EAEFED"/>
                <w:vertAlign w:val="superscript"/>
              </w:rPr>
              <w:t>(9)</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Donald C. Wood</w:t>
            </w:r>
          </w:p>
        </w:tc>
        <w:tc>
          <w:tcPr>
            <w:tcW w:w="1920" w:type="dxa"/>
            <w:vAlign w:val="bottom"/>
            <w:gridSpan w:val="2"/>
          </w:tcPr>
          <w:p>
            <w:pPr>
              <w:jc w:val="right"/>
              <w:ind w:right="135"/>
              <w:spacing w:after="0" w:line="180" w:lineRule="exact"/>
              <w:rPr>
                <w:sz w:val="20"/>
                <w:szCs w:val="20"/>
                <w:color w:val="auto"/>
              </w:rPr>
            </w:pPr>
            <w:r>
              <w:rPr>
                <w:rFonts w:ascii="Arial" w:cs="Arial" w:eastAsia="Arial" w:hAnsi="Arial"/>
                <w:sz w:val="14"/>
                <w:szCs w:val="14"/>
                <w:color w:val="auto"/>
              </w:rPr>
              <w:t xml:space="preserve">4,225 </w:t>
            </w:r>
            <w:r>
              <w:rPr>
                <w:rFonts w:ascii="Arial" w:cs="Arial" w:eastAsia="Arial" w:hAnsi="Arial"/>
                <w:sz w:val="17"/>
                <w:szCs w:val="17"/>
                <w:color w:val="auto"/>
                <w:vertAlign w:val="superscript"/>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426,894</w:t>
            </w: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46,960</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4,744,838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1,488</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150,348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34,805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3,516,697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1,182</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119,429</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D8D8D8"/>
            </w:tcBorders>
            <w:shd w:val="clear" w:color="auto" w:fill="D8D8D8"/>
          </w:tcPr>
          <w:p>
            <w:pPr>
              <w:spacing w:after="0"/>
              <w:rPr>
                <w:sz w:val="19"/>
                <w:szCs w:val="19"/>
                <w:color w:val="auto"/>
              </w:rPr>
            </w:pPr>
          </w:p>
        </w:tc>
        <w:tc>
          <w:tcPr>
            <w:tcW w:w="1400" w:type="dxa"/>
            <w:vAlign w:val="bottom"/>
            <w:tcBorders>
              <w:bottom w:val="single" w:sz="8" w:color="D8D8D8"/>
            </w:tcBorders>
            <w:shd w:val="clear" w:color="auto" w:fill="D8D8D8"/>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14,089</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1,423,553</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20" w:type="dxa"/>
            <w:vAlign w:val="bottom"/>
            <w:tcBorders>
              <w:top w:val="single" w:sz="8" w:color="auto"/>
            </w:tcBorders>
            <w:gridSpan w:val="2"/>
            <w:shd w:val="clear" w:color="auto" w:fill="D8D8D8"/>
          </w:tcPr>
          <w:p>
            <w:pPr>
              <w:spacing w:after="0" w:line="160" w:lineRule="exact"/>
              <w:rPr>
                <w:sz w:val="20"/>
                <w:szCs w:val="20"/>
                <w:color w:val="auto"/>
              </w:rPr>
            </w:pPr>
            <w:r>
              <w:rPr>
                <w:rFonts w:ascii="Arial" w:cs="Arial" w:eastAsia="Arial" w:hAnsi="Arial"/>
                <w:sz w:val="14"/>
                <w:szCs w:val="14"/>
                <w:color w:val="auto"/>
              </w:rPr>
              <w:t>Jeffrey S. Berkes</w:t>
            </w:r>
          </w:p>
        </w:tc>
        <w:tc>
          <w:tcPr>
            <w:tcW w:w="15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1,705</w:t>
            </w: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ind w:right="108"/>
              <w:spacing w:after="0" w:line="160" w:lineRule="exact"/>
              <w:rPr>
                <w:sz w:val="20"/>
                <w:szCs w:val="20"/>
                <w:color w:val="auto"/>
              </w:rPr>
            </w:pPr>
            <w:r>
              <w:rPr>
                <w:rFonts w:ascii="Arial" w:cs="Arial" w:eastAsia="Arial" w:hAnsi="Arial"/>
                <w:sz w:val="14"/>
                <w:szCs w:val="14"/>
                <w:color w:val="auto"/>
              </w:rPr>
              <w:t>172,273</w:t>
            </w:r>
          </w:p>
        </w:tc>
        <w:tc>
          <w:tcPr>
            <w:tcW w:w="2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7,827</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790,840</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822</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83,055</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6,961</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703,339</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43,952</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2,818</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284,731</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7,450</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(4)</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752,748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2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8,354</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(5)</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844,088</w:t>
            </w:r>
          </w:p>
        </w:tc>
        <w:tc>
          <w:tcPr>
            <w:tcW w:w="2280" w:type="dxa"/>
            <w:vAlign w:val="bottom"/>
            <w:vMerge w:val="restart"/>
          </w:tcPr>
          <w:p>
            <w:pPr>
              <w:jc w:val="right"/>
              <w:ind w:right="8"/>
              <w:spacing w:after="0"/>
              <w:rPr>
                <w:sz w:val="20"/>
                <w:szCs w:val="20"/>
                <w:color w:val="auto"/>
              </w:rPr>
            </w:pPr>
            <w:r>
              <w:rPr>
                <w:rFonts w:ascii="Arial" w:cs="Arial" w:eastAsia="Arial" w:hAnsi="Arial"/>
                <w:sz w:val="14"/>
                <w:szCs w:val="14"/>
                <w:color w:val="auto"/>
              </w:rPr>
              <w:t xml:space="preserve">5,221 </w:t>
            </w:r>
            <w:r>
              <w:rPr>
                <w:rFonts w:ascii="Arial" w:cs="Arial" w:eastAsia="Arial" w:hAnsi="Arial"/>
                <w:sz w:val="17"/>
                <w:szCs w:val="17"/>
                <w:color w:val="auto"/>
                <w:vertAlign w:val="superscript"/>
              </w:rPr>
              <w:t>(6)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527,530</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auto"/>
            </w:tcBorders>
            <w:shd w:val="clear" w:color="auto" w:fill="D8D8D8"/>
          </w:tcPr>
          <w:p>
            <w:pPr>
              <w:spacing w:after="0"/>
              <w:rPr>
                <w:sz w:val="17"/>
                <w:szCs w:val="17"/>
                <w:color w:val="auto"/>
              </w:rPr>
            </w:pPr>
          </w:p>
        </w:tc>
        <w:tc>
          <w:tcPr>
            <w:tcW w:w="1400" w:type="dxa"/>
            <w:vAlign w:val="bottom"/>
            <w:tcBorders>
              <w:bottom w:val="single" w:sz="8" w:color="auto"/>
            </w:tcBorders>
            <w:shd w:val="clear" w:color="auto" w:fill="D8D8D8"/>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20" w:type="dxa"/>
            <w:vAlign w:val="bottom"/>
            <w:gridSpan w:val="2"/>
            <w:shd w:val="clear" w:color="auto" w:fill="D8D8D8"/>
          </w:tcPr>
          <w:p>
            <w:pPr>
              <w:spacing w:after="0" w:line="160" w:lineRule="exact"/>
              <w:rPr>
                <w:sz w:val="20"/>
                <w:szCs w:val="20"/>
                <w:color w:val="auto"/>
              </w:rPr>
            </w:pPr>
            <w:r>
              <w:rPr>
                <w:rFonts w:ascii="Arial" w:cs="Arial" w:eastAsia="Arial" w:hAnsi="Arial"/>
                <w:sz w:val="14"/>
                <w:szCs w:val="14"/>
                <w:color w:val="auto"/>
              </w:rPr>
              <w:t>Daniel Guglielmone</w:t>
            </w:r>
          </w:p>
        </w:tc>
        <w:tc>
          <w:tcPr>
            <w:tcW w:w="1580" w:type="dxa"/>
            <w:vAlign w:val="bottom"/>
          </w:tcPr>
          <w:p>
            <w:pPr>
              <w:jc w:val="right"/>
              <w:spacing w:after="0" w:line="160" w:lineRule="exact"/>
              <w:rPr>
                <w:sz w:val="20"/>
                <w:szCs w:val="20"/>
                <w:color w:val="auto"/>
              </w:rPr>
            </w:pPr>
            <w:r>
              <w:rPr>
                <w:rFonts w:ascii="Arial" w:cs="Arial" w:eastAsia="Arial" w:hAnsi="Arial"/>
                <w:sz w:val="14"/>
                <w:szCs w:val="14"/>
                <w:color w:val="auto"/>
              </w:rPr>
              <w:t>7,044</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line="160"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line="160" w:lineRule="exact"/>
              <w:rPr>
                <w:sz w:val="20"/>
                <w:szCs w:val="20"/>
                <w:color w:val="auto"/>
              </w:rPr>
            </w:pPr>
            <w:r>
              <w:rPr>
                <w:rFonts w:ascii="Arial" w:cs="Arial" w:eastAsia="Arial" w:hAnsi="Arial"/>
                <w:sz w:val="14"/>
                <w:szCs w:val="14"/>
                <w:color w:val="auto"/>
              </w:rPr>
              <w:t>711,726</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6,265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633,016</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2,536</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256,237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895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(7)</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90,431</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D8D8D8"/>
            </w:tcBorders>
            <w:shd w:val="clear" w:color="auto" w:fill="D8D8D8"/>
          </w:tcPr>
          <w:p>
            <w:pPr>
              <w:spacing w:after="0"/>
              <w:rPr>
                <w:sz w:val="19"/>
                <w:szCs w:val="19"/>
                <w:color w:val="auto"/>
              </w:rPr>
            </w:pPr>
          </w:p>
        </w:tc>
        <w:tc>
          <w:tcPr>
            <w:tcW w:w="1400" w:type="dxa"/>
            <w:vAlign w:val="bottom"/>
            <w:tcBorders>
              <w:bottom w:val="single" w:sz="8" w:color="D8D8D8"/>
            </w:tcBorders>
            <w:shd w:val="clear" w:color="auto" w:fill="D8D8D8"/>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6,855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(8)</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692,629</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20" w:type="dxa"/>
            <w:vAlign w:val="bottom"/>
            <w:tcBorders>
              <w:top w:val="single" w:sz="8" w:color="auto"/>
            </w:tcBorders>
            <w:gridSpan w:val="2"/>
            <w:shd w:val="clear" w:color="auto" w:fill="D8D8D8"/>
          </w:tcPr>
          <w:p>
            <w:pPr>
              <w:spacing w:after="0" w:line="160" w:lineRule="exact"/>
              <w:rPr>
                <w:sz w:val="20"/>
                <w:szCs w:val="20"/>
                <w:color w:val="auto"/>
              </w:rPr>
            </w:pPr>
            <w:r>
              <w:rPr>
                <w:rFonts w:ascii="Arial" w:cs="Arial" w:eastAsia="Arial" w:hAnsi="Arial"/>
                <w:sz w:val="14"/>
                <w:szCs w:val="14"/>
                <w:color w:val="auto"/>
              </w:rPr>
              <w:t>Dawn M. Becker</w:t>
            </w:r>
          </w:p>
        </w:tc>
        <w:tc>
          <w:tcPr>
            <w:tcW w:w="1920" w:type="dxa"/>
            <w:vAlign w:val="bottom"/>
            <w:tcBorders>
              <w:top w:val="single" w:sz="8" w:color="auto"/>
            </w:tcBorders>
            <w:gridSpan w:val="2"/>
          </w:tcPr>
          <w:p>
            <w:pPr>
              <w:jc w:val="right"/>
              <w:ind w:right="135"/>
              <w:spacing w:after="0" w:line="160" w:lineRule="exact"/>
              <w:rPr>
                <w:sz w:val="20"/>
                <w:szCs w:val="20"/>
                <w:color w:val="auto"/>
              </w:rPr>
            </w:pPr>
            <w:r>
              <w:rPr>
                <w:rFonts w:ascii="Arial" w:cs="Arial" w:eastAsia="Arial" w:hAnsi="Arial"/>
                <w:sz w:val="14"/>
                <w:szCs w:val="14"/>
                <w:color w:val="auto"/>
              </w:rPr>
              <w:t xml:space="preserve">1,056 </w:t>
            </w:r>
            <w:r>
              <w:rPr>
                <w:rFonts w:ascii="Arial" w:cs="Arial" w:eastAsia="Arial" w:hAnsi="Arial"/>
                <w:sz w:val="17"/>
                <w:szCs w:val="17"/>
                <w:color w:val="auto"/>
                <w:vertAlign w:val="superscript"/>
              </w:rPr>
              <w:t>(1)</w:t>
            </w:r>
          </w:p>
        </w:tc>
        <w:tc>
          <w:tcPr>
            <w:tcW w:w="32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ind w:right="108"/>
              <w:spacing w:after="0" w:line="160" w:lineRule="exact"/>
              <w:rPr>
                <w:sz w:val="20"/>
                <w:szCs w:val="20"/>
                <w:color w:val="auto"/>
              </w:rPr>
            </w:pPr>
            <w:r>
              <w:rPr>
                <w:rFonts w:ascii="Arial" w:cs="Arial" w:eastAsia="Arial" w:hAnsi="Arial"/>
                <w:sz w:val="14"/>
                <w:szCs w:val="14"/>
                <w:color w:val="auto"/>
              </w:rPr>
              <w:t>106,698</w:t>
            </w:r>
          </w:p>
        </w:tc>
        <w:tc>
          <w:tcPr>
            <w:tcW w:w="2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4,696</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474,484</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558</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56,380</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4,177</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422,044</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295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29,807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D8D8D8"/>
            </w:tcBorders>
            <w:shd w:val="clear" w:color="auto" w:fill="D8D8D8"/>
          </w:tcPr>
          <w:p>
            <w:pPr>
              <w:spacing w:after="0"/>
              <w:rPr>
                <w:sz w:val="19"/>
                <w:szCs w:val="19"/>
                <w:color w:val="auto"/>
              </w:rPr>
            </w:pPr>
          </w:p>
        </w:tc>
        <w:tc>
          <w:tcPr>
            <w:tcW w:w="1400" w:type="dxa"/>
            <w:vAlign w:val="bottom"/>
            <w:tcBorders>
              <w:bottom w:val="single" w:sz="8" w:color="D8D8D8"/>
            </w:tcBorders>
            <w:shd w:val="clear" w:color="auto" w:fill="D8D8D8"/>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1,691</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170,859</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One-third of these shares vested on February 12, 2023 and the remaining shares will vest equally on February 12 of each of 2024 and 2025.</w:t>
      </w:r>
    </w:p>
    <w:p>
      <w:pPr>
        <w:ind w:left="540" w:hanging="424"/>
        <w:spacing w:after="0" w:line="19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One-half of these shares vested on February 12, 2023 and the remaining shares will vest on February 12, 2024.</w:t>
      </w:r>
    </w:p>
    <w:p>
      <w:pPr>
        <w:ind w:left="540" w:hanging="424"/>
        <w:spacing w:after="0" w:line="19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These shares vested on February 12, 2023.</w:t>
      </w:r>
    </w:p>
    <w:p>
      <w:pPr>
        <w:ind w:left="540" w:hanging="424"/>
        <w:spacing w:after="0" w:line="19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One-half of these shares vested on February 12, 2023 and the remaining shares will vest on February 12, 2024.</w:t>
      </w:r>
    </w:p>
    <w:p>
      <w:pPr>
        <w:ind w:left="540" w:hanging="424"/>
        <w:spacing w:after="0" w:line="19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One-fourth of these shares vested on February 12, 2023. The remaining shares will vest equally on February 12 of each of 2024 through 2026.</w:t>
      </w:r>
    </w:p>
    <w:p>
      <w:pPr>
        <w:ind w:left="540" w:right="20" w:hanging="424"/>
        <w:spacing w:after="0" w:line="219"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The number of shares represent the threshold payout level. The final number of shares earned cannot be determined until after December 31, 2024, the end of the performance period.</w:t>
      </w:r>
    </w:p>
    <w:p>
      <w:pPr>
        <w:ind w:left="540" w:hanging="424"/>
        <w:spacing w:after="0" w:line="19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These shares will vest on August 15, 2023.</w:t>
      </w:r>
    </w:p>
    <w:p>
      <w:pPr>
        <w:ind w:left="540" w:hanging="424"/>
        <w:spacing w:after="0" w:line="19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These shares will vest equally on August 3 of each of 2023 through 2026.</w:t>
      </w:r>
    </w:p>
    <w:p>
      <w:pPr>
        <w:ind w:left="540" w:hanging="424"/>
        <w:spacing w:after="0" w:line="207"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The value of shares is calculated based on $101.04, the closing price of our shares on the NYSE on 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86995</wp:posOffset>
            </wp:positionV>
            <wp:extent cx="701230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5"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70"/>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OPTIONS EXERCISED AND STOCK VESTED IN 2022</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table includes information with respect to shares held by our NEOs that vested in 2022. None of our NEOs holds any options or exercised any options during 2022.</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3160" w:type="dxa"/>
            <w:vAlign w:val="bottom"/>
            <w:shd w:val="clear" w:color="auto" w:fill="FF160F"/>
          </w:tcPr>
          <w:p>
            <w:pPr>
              <w:spacing w:after="0"/>
              <w:rPr>
                <w:sz w:val="22"/>
                <w:szCs w:val="22"/>
                <w:color w:val="auto"/>
              </w:rPr>
            </w:pPr>
          </w:p>
        </w:tc>
        <w:tc>
          <w:tcPr>
            <w:tcW w:w="5140" w:type="dxa"/>
            <w:vAlign w:val="bottom"/>
            <w:shd w:val="clear" w:color="auto" w:fill="FF160F"/>
          </w:tcPr>
          <w:p>
            <w:pPr>
              <w:spacing w:after="0"/>
              <w:rPr>
                <w:sz w:val="22"/>
                <w:szCs w:val="22"/>
                <w:color w:val="auto"/>
              </w:rPr>
            </w:pPr>
          </w:p>
        </w:tc>
        <w:tc>
          <w:tcPr>
            <w:tcW w:w="1520" w:type="dxa"/>
            <w:vAlign w:val="bottom"/>
            <w:shd w:val="clear" w:color="auto" w:fill="FF160F"/>
          </w:tcPr>
          <w:p>
            <w:pPr>
              <w:ind w:left="20"/>
              <w:spacing w:after="0"/>
              <w:rPr>
                <w:sz w:val="20"/>
                <w:szCs w:val="20"/>
                <w:color w:val="auto"/>
              </w:rPr>
            </w:pPr>
            <w:r>
              <w:rPr>
                <w:rFonts w:ascii="Arial" w:cs="Arial" w:eastAsia="Arial" w:hAnsi="Arial"/>
                <w:sz w:val="14"/>
                <w:szCs w:val="14"/>
                <w:b w:val="1"/>
                <w:bCs w:val="1"/>
                <w:color w:val="EAEFED"/>
              </w:rPr>
              <w:t>Stock Awards</w:t>
            </w:r>
          </w:p>
        </w:tc>
        <w:tc>
          <w:tcPr>
            <w:tcW w:w="1200" w:type="dxa"/>
            <w:vAlign w:val="bottom"/>
            <w:shd w:val="clear" w:color="auto" w:fill="FF160F"/>
          </w:tcPr>
          <w:p>
            <w:pPr>
              <w:spacing w:after="0"/>
              <w:rPr>
                <w:sz w:val="22"/>
                <w:szCs w:val="22"/>
                <w:color w:val="auto"/>
              </w:rPr>
            </w:pPr>
          </w:p>
        </w:tc>
      </w:tr>
      <w:tr>
        <w:trPr>
          <w:trHeight w:val="249"/>
        </w:trPr>
        <w:tc>
          <w:tcPr>
            <w:tcW w:w="3160" w:type="dxa"/>
            <w:vAlign w:val="bottom"/>
            <w:shd w:val="clear" w:color="auto" w:fill="FF160F"/>
          </w:tcPr>
          <w:p>
            <w:pPr>
              <w:spacing w:after="0"/>
              <w:rPr>
                <w:sz w:val="21"/>
                <w:szCs w:val="21"/>
                <w:color w:val="auto"/>
              </w:rPr>
            </w:pPr>
          </w:p>
        </w:tc>
        <w:tc>
          <w:tcPr>
            <w:tcW w:w="51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EAEFED"/>
              </w:rPr>
              <w:t>Number of Shares</w:t>
            </w:r>
          </w:p>
        </w:tc>
        <w:tc>
          <w:tcPr>
            <w:tcW w:w="2720" w:type="dxa"/>
            <w:vAlign w:val="bottom"/>
            <w:gridSpan w:val="2"/>
            <w:shd w:val="clear" w:color="auto" w:fill="FF160F"/>
          </w:tcPr>
          <w:p>
            <w:pPr>
              <w:ind w:left="1400"/>
              <w:spacing w:after="0"/>
              <w:rPr>
                <w:sz w:val="20"/>
                <w:szCs w:val="20"/>
                <w:color w:val="auto"/>
              </w:rPr>
            </w:pPr>
            <w:r>
              <w:rPr>
                <w:rFonts w:ascii="Arial" w:cs="Arial" w:eastAsia="Arial" w:hAnsi="Arial"/>
                <w:sz w:val="14"/>
                <w:szCs w:val="14"/>
                <w:b w:val="1"/>
                <w:bCs w:val="1"/>
                <w:color w:val="EAEFED"/>
              </w:rPr>
              <w:t>Value Realized</w:t>
            </w:r>
          </w:p>
        </w:tc>
      </w:tr>
      <w:tr>
        <w:trPr>
          <w:trHeight w:val="225"/>
        </w:trPr>
        <w:tc>
          <w:tcPr>
            <w:tcW w:w="3160" w:type="dxa"/>
            <w:vAlign w:val="bottom"/>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51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EAEFED"/>
              </w:rPr>
              <w:t>Acquired on Vesting</w:t>
            </w:r>
          </w:p>
        </w:tc>
        <w:tc>
          <w:tcPr>
            <w:tcW w:w="1520" w:type="dxa"/>
            <w:vAlign w:val="bottom"/>
            <w:shd w:val="clear" w:color="auto" w:fill="FF160F"/>
          </w:tcPr>
          <w:p>
            <w:pPr>
              <w:spacing w:after="0"/>
              <w:rPr>
                <w:sz w:val="19"/>
                <w:szCs w:val="19"/>
                <w:color w:val="auto"/>
              </w:rPr>
            </w:pPr>
          </w:p>
        </w:tc>
        <w:tc>
          <w:tcPr>
            <w:tcW w:w="1200" w:type="dxa"/>
            <w:vAlign w:val="bottom"/>
            <w:shd w:val="clear" w:color="auto" w:fill="FF160F"/>
          </w:tcPr>
          <w:p>
            <w:pPr>
              <w:jc w:val="right"/>
              <w:ind w:right="248"/>
              <w:spacing w:after="0"/>
              <w:rPr>
                <w:sz w:val="20"/>
                <w:szCs w:val="20"/>
                <w:color w:val="auto"/>
              </w:rPr>
            </w:pPr>
            <w:r>
              <w:rPr>
                <w:rFonts w:ascii="Arial" w:cs="Arial" w:eastAsia="Arial" w:hAnsi="Arial"/>
                <w:sz w:val="14"/>
                <w:szCs w:val="14"/>
                <w:b w:val="1"/>
                <w:bCs w:val="1"/>
                <w:color w:val="EAEFED"/>
              </w:rPr>
              <w:t>on Vesting</w:t>
            </w:r>
            <w:r>
              <w:rPr>
                <w:rFonts w:ascii="Arial" w:cs="Arial" w:eastAsia="Arial" w:hAnsi="Arial"/>
                <w:sz w:val="17"/>
                <w:szCs w:val="17"/>
                <w:b w:val="1"/>
                <w:bCs w:val="1"/>
                <w:color w:val="EAEFED"/>
                <w:vertAlign w:val="superscript"/>
              </w:rPr>
              <w:t>(1)</w:t>
            </w:r>
          </w:p>
        </w:tc>
      </w:tr>
      <w:tr>
        <w:trPr>
          <w:trHeight w:val="153"/>
        </w:trPr>
        <w:tc>
          <w:tcPr>
            <w:tcW w:w="3160" w:type="dxa"/>
            <w:vAlign w:val="bottom"/>
            <w:shd w:val="clear" w:color="auto" w:fill="D8D8D8"/>
          </w:tcPr>
          <w:p>
            <w:pPr>
              <w:spacing w:after="0" w:line="153" w:lineRule="exact"/>
              <w:rPr>
                <w:sz w:val="20"/>
                <w:szCs w:val="20"/>
                <w:color w:val="auto"/>
              </w:rPr>
            </w:pPr>
            <w:r>
              <w:rPr>
                <w:rFonts w:ascii="Arial" w:cs="Arial" w:eastAsia="Arial" w:hAnsi="Arial"/>
                <w:sz w:val="14"/>
                <w:szCs w:val="14"/>
                <w:color w:val="auto"/>
              </w:rPr>
              <w:t>Donald C. Wood</w:t>
            </w:r>
          </w:p>
        </w:tc>
        <w:tc>
          <w:tcPr>
            <w:tcW w:w="5140" w:type="dxa"/>
            <w:vAlign w:val="bottom"/>
          </w:tcPr>
          <w:p>
            <w:pPr>
              <w:jc w:val="right"/>
              <w:spacing w:after="0" w:line="153" w:lineRule="exact"/>
              <w:rPr>
                <w:sz w:val="20"/>
                <w:szCs w:val="20"/>
                <w:color w:val="auto"/>
              </w:rPr>
            </w:pPr>
            <w:r>
              <w:rPr>
                <w:rFonts w:ascii="Arial" w:cs="Arial" w:eastAsia="Arial" w:hAnsi="Arial"/>
                <w:sz w:val="14"/>
                <w:szCs w:val="14"/>
                <w:color w:val="auto"/>
              </w:rPr>
              <w:t>47,161</w:t>
            </w:r>
          </w:p>
        </w:tc>
        <w:tc>
          <w:tcPr>
            <w:tcW w:w="1520" w:type="dxa"/>
            <w:vAlign w:val="bottom"/>
          </w:tcPr>
          <w:p>
            <w:pPr>
              <w:ind w:left="1380"/>
              <w:spacing w:after="0" w:line="153"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5,670,167</w:t>
            </w:r>
          </w:p>
        </w:tc>
      </w:tr>
      <w:tr>
        <w:trPr>
          <w:trHeight w:val="162"/>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Jeffrey S. Berkes</w:t>
            </w:r>
          </w:p>
        </w:tc>
        <w:tc>
          <w:tcPr>
            <w:tcW w:w="5140" w:type="dxa"/>
            <w:vAlign w:val="bottom"/>
          </w:tcPr>
          <w:p>
            <w:pPr>
              <w:jc w:val="right"/>
              <w:spacing w:after="0"/>
              <w:rPr>
                <w:sz w:val="20"/>
                <w:szCs w:val="20"/>
                <w:color w:val="auto"/>
              </w:rPr>
            </w:pPr>
            <w:r>
              <w:rPr>
                <w:rFonts w:ascii="Arial" w:cs="Arial" w:eastAsia="Arial" w:hAnsi="Arial"/>
                <w:sz w:val="14"/>
                <w:szCs w:val="14"/>
                <w:color w:val="auto"/>
              </w:rPr>
              <w:t>15,277</w:t>
            </w:r>
          </w:p>
        </w:tc>
        <w:tc>
          <w:tcPr>
            <w:tcW w:w="1520" w:type="dxa"/>
            <w:vAlign w:val="bottom"/>
          </w:tcPr>
          <w:p>
            <w:pPr>
              <w:ind w:left="13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1,836,754</w:t>
            </w:r>
          </w:p>
        </w:tc>
      </w:tr>
      <w:tr>
        <w:trPr>
          <w:trHeight w:val="162"/>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Daniel Guglielmone</w:t>
            </w:r>
          </w:p>
        </w:tc>
        <w:tc>
          <w:tcPr>
            <w:tcW w:w="5140" w:type="dxa"/>
            <w:vAlign w:val="bottom"/>
          </w:tcPr>
          <w:p>
            <w:pPr>
              <w:jc w:val="right"/>
              <w:spacing w:after="0"/>
              <w:rPr>
                <w:sz w:val="20"/>
                <w:szCs w:val="20"/>
                <w:color w:val="auto"/>
              </w:rPr>
            </w:pPr>
            <w:r>
              <w:rPr>
                <w:rFonts w:ascii="Arial" w:cs="Arial" w:eastAsia="Arial" w:hAnsi="Arial"/>
                <w:sz w:val="14"/>
                <w:szCs w:val="14"/>
                <w:color w:val="auto"/>
              </w:rPr>
              <w:t>10,513</w:t>
            </w:r>
          </w:p>
        </w:tc>
        <w:tc>
          <w:tcPr>
            <w:tcW w:w="1520" w:type="dxa"/>
            <w:vAlign w:val="bottom"/>
          </w:tcPr>
          <w:p>
            <w:pPr>
              <w:ind w:left="13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1,228,897</w:t>
            </w:r>
          </w:p>
        </w:tc>
      </w:tr>
      <w:tr>
        <w:trPr>
          <w:trHeight w:val="190"/>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Dawn M. Becker</w:t>
            </w:r>
          </w:p>
        </w:tc>
        <w:tc>
          <w:tcPr>
            <w:tcW w:w="5140" w:type="dxa"/>
            <w:vAlign w:val="bottom"/>
          </w:tcPr>
          <w:p>
            <w:pPr>
              <w:jc w:val="right"/>
              <w:spacing w:after="0"/>
              <w:rPr>
                <w:sz w:val="20"/>
                <w:szCs w:val="20"/>
                <w:color w:val="auto"/>
              </w:rPr>
            </w:pPr>
            <w:r>
              <w:rPr>
                <w:rFonts w:ascii="Arial" w:cs="Arial" w:eastAsia="Arial" w:hAnsi="Arial"/>
                <w:sz w:val="14"/>
                <w:szCs w:val="14"/>
                <w:color w:val="auto"/>
              </w:rPr>
              <w:t>6,157</w:t>
            </w:r>
          </w:p>
        </w:tc>
        <w:tc>
          <w:tcPr>
            <w:tcW w:w="1520" w:type="dxa"/>
            <w:vAlign w:val="bottom"/>
          </w:tcPr>
          <w:p>
            <w:pPr>
              <w:ind w:left="13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740,256</w:t>
            </w:r>
          </w:p>
        </w:tc>
      </w:tr>
      <w:tr>
        <w:trPr>
          <w:trHeight w:val="35"/>
        </w:trPr>
        <w:tc>
          <w:tcPr>
            <w:tcW w:w="3160" w:type="dxa"/>
            <w:vAlign w:val="bottom"/>
            <w:shd w:val="clear" w:color="auto" w:fill="D8D8D8"/>
          </w:tcPr>
          <w:p>
            <w:pPr>
              <w:spacing w:after="0"/>
              <w:rPr>
                <w:sz w:val="3"/>
                <w:szCs w:val="3"/>
                <w:color w:val="auto"/>
              </w:rPr>
            </w:pPr>
          </w:p>
        </w:tc>
        <w:tc>
          <w:tcPr>
            <w:tcW w:w="5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3"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The amounts in this column were calculated using the closing price of a share on the date the shares vested.</w:t>
      </w:r>
    </w:p>
    <w:p>
      <w:pPr>
        <w:spacing w:after="0" w:line="294" w:lineRule="exact"/>
        <w:rPr>
          <w:sz w:val="20"/>
          <w:szCs w:val="20"/>
          <w:color w:val="auto"/>
        </w:rPr>
      </w:pPr>
    </w:p>
    <w:p>
      <w:pPr>
        <w:ind w:left="460" w:hanging="344"/>
        <w:spacing w:after="0"/>
        <w:tabs>
          <w:tab w:leader="none" w:pos="460" w:val="left"/>
        </w:tabs>
        <w:numPr>
          <w:ilvl w:val="0"/>
          <w:numId w:val="72"/>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NON-QUALIFIED DEFERRED COMPENSATION</w:t>
      </w:r>
    </w:p>
    <w:p>
      <w:pPr>
        <w:spacing w:after="0" w:line="18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maintain a non-qualified deferred compensation plan that is open to participation by 48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2022 activity for the NEOs who participate in our plan is described below.</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shd w:val="clear" w:color="auto" w:fill="FF160F"/>
          </w:tcPr>
          <w:p>
            <w:pPr>
              <w:spacing w:after="0"/>
              <w:rPr>
                <w:sz w:val="18"/>
                <w:szCs w:val="18"/>
                <w:color w:val="auto"/>
              </w:rPr>
            </w:pPr>
          </w:p>
        </w:tc>
        <w:tc>
          <w:tcPr>
            <w:tcW w:w="300" w:type="dxa"/>
            <w:vAlign w:val="bottom"/>
            <w:shd w:val="clear" w:color="auto" w:fill="FF160F"/>
          </w:tcPr>
          <w:p>
            <w:pPr>
              <w:spacing w:after="0"/>
              <w:rPr>
                <w:sz w:val="18"/>
                <w:szCs w:val="18"/>
                <w:color w:val="auto"/>
              </w:rPr>
            </w:pPr>
          </w:p>
        </w:tc>
        <w:tc>
          <w:tcPr>
            <w:tcW w:w="160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Executive</w:t>
            </w:r>
          </w:p>
        </w:tc>
        <w:tc>
          <w:tcPr>
            <w:tcW w:w="700" w:type="dxa"/>
            <w:vAlign w:val="bottom"/>
            <w:shd w:val="clear" w:color="auto" w:fill="FF160F"/>
          </w:tcPr>
          <w:p>
            <w:pPr>
              <w:spacing w:after="0"/>
              <w:rPr>
                <w:sz w:val="18"/>
                <w:szCs w:val="18"/>
                <w:color w:val="auto"/>
              </w:rPr>
            </w:pPr>
          </w:p>
        </w:tc>
        <w:tc>
          <w:tcPr>
            <w:tcW w:w="15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Registrant</w:t>
            </w:r>
          </w:p>
        </w:tc>
        <w:tc>
          <w:tcPr>
            <w:tcW w:w="460" w:type="dxa"/>
            <w:vAlign w:val="bottom"/>
            <w:shd w:val="clear" w:color="auto" w:fill="FF160F"/>
          </w:tcPr>
          <w:p>
            <w:pPr>
              <w:spacing w:after="0"/>
              <w:rPr>
                <w:sz w:val="18"/>
                <w:szCs w:val="18"/>
                <w:color w:val="auto"/>
              </w:rPr>
            </w:pPr>
          </w:p>
        </w:tc>
        <w:tc>
          <w:tcPr>
            <w:tcW w:w="140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Aggregate</w:t>
            </w:r>
          </w:p>
        </w:tc>
        <w:tc>
          <w:tcPr>
            <w:tcW w:w="380" w:type="dxa"/>
            <w:vAlign w:val="bottom"/>
            <w:shd w:val="clear" w:color="auto" w:fill="FF160F"/>
          </w:tcPr>
          <w:p>
            <w:pPr>
              <w:spacing w:after="0"/>
              <w:rPr>
                <w:sz w:val="18"/>
                <w:szCs w:val="18"/>
                <w:color w:val="auto"/>
              </w:rPr>
            </w:pPr>
          </w:p>
        </w:tc>
        <w:tc>
          <w:tcPr>
            <w:tcW w:w="118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Aggregate</w:t>
            </w:r>
          </w:p>
        </w:tc>
        <w:tc>
          <w:tcPr>
            <w:tcW w:w="500" w:type="dxa"/>
            <w:vAlign w:val="bottom"/>
            <w:shd w:val="clear" w:color="auto" w:fill="FF160F"/>
          </w:tcPr>
          <w:p>
            <w:pPr>
              <w:spacing w:after="0"/>
              <w:rPr>
                <w:sz w:val="18"/>
                <w:szCs w:val="18"/>
                <w:color w:val="auto"/>
              </w:rPr>
            </w:pPr>
          </w:p>
        </w:tc>
        <w:tc>
          <w:tcPr>
            <w:tcW w:w="1320" w:type="dxa"/>
            <w:vAlign w:val="bottom"/>
            <w:shd w:val="clear" w:color="auto" w:fill="FF160F"/>
          </w:tcPr>
          <w:p>
            <w:pPr>
              <w:jc w:val="right"/>
              <w:ind w:right="170"/>
              <w:spacing w:after="0"/>
              <w:rPr>
                <w:sz w:val="20"/>
                <w:szCs w:val="20"/>
                <w:color w:val="auto"/>
              </w:rPr>
            </w:pPr>
            <w:r>
              <w:rPr>
                <w:rFonts w:ascii="Arial" w:cs="Arial" w:eastAsia="Arial" w:hAnsi="Arial"/>
                <w:sz w:val="18"/>
                <w:szCs w:val="18"/>
                <w:b w:val="1"/>
                <w:bCs w:val="1"/>
                <w:color w:val="FFFFFF"/>
              </w:rPr>
              <w:t>Aggregate</w:t>
            </w:r>
          </w:p>
        </w:tc>
      </w:tr>
      <w:tr>
        <w:trPr>
          <w:trHeight w:val="203"/>
        </w:trPr>
        <w:tc>
          <w:tcPr>
            <w:tcW w:w="1640" w:type="dxa"/>
            <w:vAlign w:val="bottom"/>
            <w:shd w:val="clear" w:color="auto" w:fill="FF160F"/>
          </w:tcPr>
          <w:p>
            <w:pPr>
              <w:spacing w:after="0"/>
              <w:rPr>
                <w:sz w:val="17"/>
                <w:szCs w:val="17"/>
                <w:color w:val="auto"/>
              </w:rPr>
            </w:pPr>
          </w:p>
        </w:tc>
        <w:tc>
          <w:tcPr>
            <w:tcW w:w="300" w:type="dxa"/>
            <w:vAlign w:val="bottom"/>
            <w:shd w:val="clear" w:color="auto" w:fill="FF160F"/>
          </w:tcPr>
          <w:p>
            <w:pPr>
              <w:spacing w:after="0"/>
              <w:rPr>
                <w:sz w:val="17"/>
                <w:szCs w:val="17"/>
                <w:color w:val="auto"/>
              </w:rPr>
            </w:pPr>
          </w:p>
        </w:tc>
        <w:tc>
          <w:tcPr>
            <w:tcW w:w="160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w w:val="99"/>
              </w:rPr>
              <w:t>Contributions in</w:t>
            </w:r>
          </w:p>
        </w:tc>
        <w:tc>
          <w:tcPr>
            <w:tcW w:w="224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Contributions in Last</w:t>
            </w:r>
          </w:p>
        </w:tc>
        <w:tc>
          <w:tcPr>
            <w:tcW w:w="460" w:type="dxa"/>
            <w:vAlign w:val="bottom"/>
            <w:shd w:val="clear" w:color="auto" w:fill="FF160F"/>
          </w:tcPr>
          <w:p>
            <w:pPr>
              <w:spacing w:after="0"/>
              <w:rPr>
                <w:sz w:val="17"/>
                <w:szCs w:val="17"/>
                <w:color w:val="auto"/>
              </w:rPr>
            </w:pPr>
          </w:p>
        </w:tc>
        <w:tc>
          <w:tcPr>
            <w:tcW w:w="140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Earnings in</w:t>
            </w:r>
          </w:p>
        </w:tc>
        <w:tc>
          <w:tcPr>
            <w:tcW w:w="156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Withdrawals/</w:t>
            </w:r>
          </w:p>
        </w:tc>
        <w:tc>
          <w:tcPr>
            <w:tcW w:w="1820" w:type="dxa"/>
            <w:vAlign w:val="bottom"/>
            <w:gridSpan w:val="2"/>
            <w:shd w:val="clear" w:color="auto" w:fill="FF160F"/>
          </w:tcPr>
          <w:p>
            <w:pPr>
              <w:jc w:val="right"/>
              <w:ind w:right="170"/>
              <w:spacing w:after="0" w:line="202" w:lineRule="exact"/>
              <w:rPr>
                <w:sz w:val="20"/>
                <w:szCs w:val="20"/>
                <w:color w:val="auto"/>
              </w:rPr>
            </w:pPr>
            <w:r>
              <w:rPr>
                <w:rFonts w:ascii="Arial" w:cs="Arial" w:eastAsia="Arial" w:hAnsi="Arial"/>
                <w:sz w:val="18"/>
                <w:szCs w:val="18"/>
                <w:b w:val="1"/>
                <w:bCs w:val="1"/>
                <w:color w:val="FFFFFF"/>
              </w:rPr>
              <w:t>Balance at Last</w:t>
            </w:r>
          </w:p>
        </w:tc>
      </w:tr>
      <w:tr>
        <w:trPr>
          <w:trHeight w:val="235"/>
        </w:trPr>
        <w:tc>
          <w:tcPr>
            <w:tcW w:w="1640" w:type="dxa"/>
            <w:vAlign w:val="bottom"/>
            <w:shd w:val="clear" w:color="auto" w:fill="FF160F"/>
          </w:tcPr>
          <w:p>
            <w:pPr>
              <w:spacing w:after="0"/>
              <w:rPr>
                <w:sz w:val="20"/>
                <w:szCs w:val="20"/>
                <w:color w:val="auto"/>
              </w:rPr>
            </w:pPr>
            <w:r>
              <w:rPr>
                <w:rFonts w:ascii="Arial" w:cs="Arial" w:eastAsia="Arial" w:hAnsi="Arial"/>
                <w:sz w:val="18"/>
                <w:szCs w:val="18"/>
                <w:b w:val="1"/>
                <w:bCs w:val="1"/>
                <w:color w:val="EAEFED"/>
              </w:rPr>
              <w:t>Name</w:t>
            </w:r>
          </w:p>
        </w:tc>
        <w:tc>
          <w:tcPr>
            <w:tcW w:w="1900" w:type="dxa"/>
            <w:vAlign w:val="bottom"/>
            <w:gridSpan w:val="2"/>
            <w:shd w:val="clear" w:color="auto" w:fill="FF160F"/>
          </w:tcPr>
          <w:p>
            <w:pPr>
              <w:ind w:left="200"/>
              <w:spacing w:after="0"/>
              <w:rPr>
                <w:sz w:val="20"/>
                <w:szCs w:val="20"/>
                <w:color w:val="auto"/>
              </w:rPr>
            </w:pPr>
            <w:r>
              <w:rPr>
                <w:rFonts w:ascii="Arial" w:cs="Arial" w:eastAsia="Arial" w:hAnsi="Arial"/>
                <w:sz w:val="18"/>
                <w:szCs w:val="18"/>
                <w:b w:val="1"/>
                <w:bCs w:val="1"/>
                <w:color w:val="FFFFFF"/>
              </w:rPr>
              <w:t>Last Fiscal Year</w:t>
            </w:r>
            <w:r>
              <w:rPr>
                <w:rFonts w:ascii="Arial" w:cs="Arial" w:eastAsia="Arial" w:hAnsi="Arial"/>
                <w:sz w:val="11"/>
                <w:szCs w:val="11"/>
                <w:b w:val="1"/>
                <w:bCs w:val="1"/>
                <w:color w:val="FFFFFF"/>
              </w:rPr>
              <w:t>(1)</w:t>
            </w:r>
          </w:p>
        </w:tc>
        <w:tc>
          <w:tcPr>
            <w:tcW w:w="700" w:type="dxa"/>
            <w:vAlign w:val="bottom"/>
            <w:shd w:val="clear" w:color="auto" w:fill="FF160F"/>
          </w:tcPr>
          <w:p>
            <w:pPr>
              <w:spacing w:after="0"/>
              <w:rPr>
                <w:sz w:val="20"/>
                <w:szCs w:val="20"/>
                <w:color w:val="auto"/>
              </w:rPr>
            </w:pPr>
          </w:p>
        </w:tc>
        <w:tc>
          <w:tcPr>
            <w:tcW w:w="15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Fiscal Year</w:t>
            </w:r>
          </w:p>
        </w:tc>
        <w:tc>
          <w:tcPr>
            <w:tcW w:w="186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Last Fiscal Year</w:t>
            </w:r>
          </w:p>
        </w:tc>
        <w:tc>
          <w:tcPr>
            <w:tcW w:w="1560" w:type="dxa"/>
            <w:vAlign w:val="bottom"/>
            <w:gridSpan w:val="2"/>
            <w:shd w:val="clear" w:color="auto" w:fill="FF160F"/>
          </w:tcPr>
          <w:p>
            <w:pPr>
              <w:ind w:left="220"/>
              <w:spacing w:after="0"/>
              <w:rPr>
                <w:sz w:val="20"/>
                <w:szCs w:val="20"/>
                <w:color w:val="auto"/>
              </w:rPr>
            </w:pPr>
            <w:r>
              <w:rPr>
                <w:rFonts w:ascii="Arial" w:cs="Arial" w:eastAsia="Arial" w:hAnsi="Arial"/>
                <w:sz w:val="18"/>
                <w:szCs w:val="18"/>
                <w:b w:val="1"/>
                <w:bCs w:val="1"/>
                <w:color w:val="FFFFFF"/>
              </w:rPr>
              <w:t>Distributions</w:t>
            </w:r>
          </w:p>
        </w:tc>
        <w:tc>
          <w:tcPr>
            <w:tcW w:w="182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Fiscal Year-End</w:t>
            </w:r>
          </w:p>
        </w:tc>
      </w:tr>
      <w:tr>
        <w:trPr>
          <w:trHeight w:val="184"/>
        </w:trPr>
        <w:tc>
          <w:tcPr>
            <w:tcW w:w="164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Donald C. Wood</w:t>
            </w:r>
          </w:p>
        </w:tc>
        <w:tc>
          <w:tcPr>
            <w:tcW w:w="300" w:type="dxa"/>
            <w:vAlign w:val="bottom"/>
          </w:tcPr>
          <w:p>
            <w:pPr>
              <w:ind w:left="200"/>
              <w:spacing w:after="0" w:line="183"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250,000</w:t>
            </w:r>
          </w:p>
        </w:tc>
        <w:tc>
          <w:tcPr>
            <w:tcW w:w="700" w:type="dxa"/>
            <w:vAlign w:val="bottom"/>
          </w:tcPr>
          <w:p>
            <w:pPr>
              <w:ind w:left="200"/>
              <w:spacing w:after="0" w:line="183"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(2,126,341)</w:t>
            </w:r>
          </w:p>
        </w:tc>
        <w:tc>
          <w:tcPr>
            <w:tcW w:w="38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183" w:lineRule="exact"/>
              <w:rPr>
                <w:sz w:val="20"/>
                <w:szCs w:val="20"/>
                <w:color w:val="auto"/>
              </w:rPr>
            </w:pPr>
            <w:r>
              <w:rPr>
                <w:rFonts w:ascii="Arial" w:cs="Arial" w:eastAsia="Arial" w:hAnsi="Arial"/>
                <w:sz w:val="18"/>
                <w:szCs w:val="18"/>
                <w:color w:val="auto"/>
              </w:rPr>
              <w:t>8,949,810</w:t>
            </w:r>
          </w:p>
        </w:tc>
      </w:tr>
      <w:tr>
        <w:trPr>
          <w:trHeight w:val="203"/>
        </w:trPr>
        <w:tc>
          <w:tcPr>
            <w:tcW w:w="164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Jeffrey S. Berkes</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269,531</w:t>
            </w:r>
          </w:p>
        </w:tc>
        <w:tc>
          <w:tcPr>
            <w:tcW w:w="7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(52,677)</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382,048</w:t>
            </w:r>
          </w:p>
        </w:tc>
      </w:tr>
      <w:tr>
        <w:trPr>
          <w:trHeight w:val="221"/>
        </w:trPr>
        <w:tc>
          <w:tcPr>
            <w:tcW w:w="1640" w:type="dxa"/>
            <w:vAlign w:val="bottom"/>
            <w:shd w:val="clear" w:color="auto" w:fill="D8D8D8"/>
          </w:tcPr>
          <w:p>
            <w:pPr>
              <w:spacing w:after="0"/>
              <w:rPr>
                <w:sz w:val="20"/>
                <w:szCs w:val="20"/>
                <w:color w:val="auto"/>
              </w:rPr>
            </w:pPr>
            <w:r>
              <w:rPr>
                <w:rFonts w:ascii="Arial" w:cs="Arial" w:eastAsia="Arial" w:hAnsi="Arial"/>
                <w:sz w:val="18"/>
                <w:szCs w:val="18"/>
                <w:color w:val="auto"/>
              </w:rPr>
              <w:t>Dawn M. Becker</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57,500</w:t>
            </w:r>
          </w:p>
        </w:tc>
        <w:tc>
          <w:tcPr>
            <w:tcW w:w="700" w:type="dxa"/>
            <w:vAlign w:val="bottom"/>
          </w:tcPr>
          <w:p>
            <w:pPr>
              <w:ind w:lef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(456,259)</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2,060,810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1226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55" w:lineRule="exact"/>
        <w:rPr>
          <w:sz w:val="20"/>
          <w:szCs w:val="20"/>
          <w:color w:val="auto"/>
        </w:rPr>
      </w:pPr>
    </w:p>
    <w:p>
      <w:pPr>
        <w:ind w:left="660" w:right="20" w:hanging="436"/>
        <w:spacing w:after="0" w:line="233" w:lineRule="auto"/>
        <w:tabs>
          <w:tab w:leader="none" w:pos="660" w:val="left"/>
        </w:tabs>
        <w:numPr>
          <w:ilvl w:val="1"/>
          <w:numId w:val="73"/>
        </w:numPr>
        <w:rPr>
          <w:rFonts w:ascii="Arial" w:cs="Arial" w:eastAsia="Arial" w:hAnsi="Arial"/>
          <w:sz w:val="20"/>
          <w:szCs w:val="20"/>
          <w:color w:val="auto"/>
          <w:vertAlign w:val="superscript"/>
        </w:rPr>
      </w:pPr>
      <w:r>
        <w:rPr>
          <w:rFonts w:ascii="Arial" w:cs="Arial" w:eastAsia="Arial" w:hAnsi="Arial"/>
          <w:sz w:val="16"/>
          <w:szCs w:val="16"/>
          <w:color w:val="auto"/>
        </w:rPr>
        <w:t>All amounts in this column are included in either the “Salary” or “Non-Equity Incentive Plan Compensation” column of the Summary Compensation Table for 2022.</w:t>
      </w:r>
    </w:p>
    <w:p>
      <w:pPr>
        <w:spacing w:after="0" w:line="187" w:lineRule="exact"/>
        <w:rPr>
          <w:rFonts w:ascii="Arial" w:cs="Arial" w:eastAsia="Arial" w:hAnsi="Arial"/>
          <w:sz w:val="20"/>
          <w:szCs w:val="20"/>
          <w:color w:val="auto"/>
          <w:vertAlign w:val="superscript"/>
        </w:rPr>
      </w:pPr>
    </w:p>
    <w:p>
      <w:pPr>
        <w:ind w:left="460" w:hanging="344"/>
        <w:spacing w:after="0"/>
        <w:tabs>
          <w:tab w:leader="none" w:pos="460" w:val="left"/>
        </w:tabs>
        <w:numPr>
          <w:ilvl w:val="0"/>
          <w:numId w:val="73"/>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POTENTIAL PAYMENTS ON TERMINATION OF EMPLOYMENT AND CHANGE-IN-CONTROL</w:t>
      </w:r>
    </w:p>
    <w:p>
      <w:pPr>
        <w:spacing w:after="0" w:line="22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or change in control of the Company.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partial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86360</wp:posOffset>
            </wp:positionV>
            <wp:extent cx="701230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4"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be made to an NEO on termination vary depending on the reason for termination and may be conditioned on the signing of a release in favor of the Company.</w:t>
      </w:r>
    </w:p>
    <w:p>
      <w:pPr>
        <w:spacing w:after="0" w:line="154" w:lineRule="exact"/>
        <w:rPr>
          <w:sz w:val="20"/>
          <w:szCs w:val="20"/>
          <w:color w:val="auto"/>
        </w:rPr>
      </w:pPr>
    </w:p>
    <w:p>
      <w:pPr>
        <w:ind w:left="120" w:right="20" w:hanging="4"/>
        <w:spacing w:after="0" w:line="271" w:lineRule="auto"/>
        <w:tabs>
          <w:tab w:leader="none" w:pos="3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2022.</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40" w:type="dxa"/>
            <w:vAlign w:val="bottom"/>
            <w:shd w:val="clear" w:color="auto" w:fill="FF160F"/>
          </w:tcPr>
          <w:p>
            <w:pPr>
              <w:spacing w:after="0"/>
              <w:rPr>
                <w:sz w:val="17"/>
                <w:szCs w:val="17"/>
                <w:color w:val="auto"/>
              </w:rPr>
            </w:pP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spacing w:after="0"/>
              <w:rPr>
                <w:sz w:val="17"/>
                <w:szCs w:val="17"/>
                <w:color w:val="auto"/>
              </w:rPr>
            </w:pPr>
          </w:p>
        </w:tc>
        <w:tc>
          <w:tcPr>
            <w:tcW w:w="112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34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240" w:type="dxa"/>
            <w:vAlign w:val="bottom"/>
            <w:shd w:val="clear" w:color="auto" w:fill="FF160F"/>
          </w:tcPr>
          <w:p>
            <w:pPr>
              <w:jc w:val="right"/>
              <w:ind w:right="170"/>
              <w:spacing w:after="0"/>
              <w:rPr>
                <w:sz w:val="20"/>
                <w:szCs w:val="20"/>
                <w:color w:val="auto"/>
              </w:rPr>
            </w:pPr>
            <w:r>
              <w:rPr>
                <w:rFonts w:ascii="Arial" w:cs="Arial" w:eastAsia="Arial" w:hAnsi="Arial"/>
                <w:sz w:val="18"/>
                <w:szCs w:val="18"/>
                <w:b w:val="1"/>
                <w:bCs w:val="1"/>
                <w:color w:val="FFFFFF"/>
              </w:rPr>
              <w:t>Change-in-</w:t>
            </w:r>
          </w:p>
        </w:tc>
        <w:tc>
          <w:tcPr>
            <w:tcW w:w="30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220" w:type="dxa"/>
            <w:vAlign w:val="bottom"/>
            <w:shd w:val="clear" w:color="auto" w:fill="FF160F"/>
          </w:tcPr>
          <w:p>
            <w:pPr>
              <w:spacing w:after="0"/>
              <w:rPr>
                <w:sz w:val="17"/>
                <w:szCs w:val="17"/>
                <w:color w:val="auto"/>
              </w:rPr>
            </w:pPr>
          </w:p>
        </w:tc>
      </w:tr>
      <w:tr>
        <w:trPr>
          <w:trHeight w:val="203"/>
        </w:trPr>
        <w:tc>
          <w:tcPr>
            <w:tcW w:w="1740" w:type="dxa"/>
            <w:vAlign w:val="bottom"/>
            <w:shd w:val="clear" w:color="auto" w:fill="FF160F"/>
          </w:tcPr>
          <w:p>
            <w:pPr>
              <w:spacing w:after="0"/>
              <w:rPr>
                <w:sz w:val="17"/>
                <w:szCs w:val="17"/>
                <w:color w:val="auto"/>
              </w:rPr>
            </w:pP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spacing w:after="0"/>
              <w:rPr>
                <w:sz w:val="17"/>
                <w:szCs w:val="17"/>
                <w:color w:val="auto"/>
              </w:rPr>
            </w:pPr>
          </w:p>
        </w:tc>
        <w:tc>
          <w:tcPr>
            <w:tcW w:w="1120" w:type="dxa"/>
            <w:vAlign w:val="bottom"/>
            <w:shd w:val="clear" w:color="auto" w:fill="FF160F"/>
          </w:tcPr>
          <w:p>
            <w:pPr>
              <w:jc w:val="right"/>
              <w:ind w:right="130"/>
              <w:spacing w:after="0" w:line="202" w:lineRule="exact"/>
              <w:rPr>
                <w:sz w:val="20"/>
                <w:szCs w:val="20"/>
                <w:color w:val="auto"/>
              </w:rPr>
            </w:pPr>
            <w:r>
              <w:rPr>
                <w:rFonts w:ascii="Arial" w:cs="Arial" w:eastAsia="Arial" w:hAnsi="Arial"/>
                <w:sz w:val="18"/>
                <w:szCs w:val="18"/>
                <w:b w:val="1"/>
                <w:bCs w:val="1"/>
                <w:color w:val="FFFFFF"/>
                <w:w w:val="99"/>
              </w:rPr>
              <w:t>For Cause</w:t>
            </w:r>
          </w:p>
        </w:tc>
        <w:tc>
          <w:tcPr>
            <w:tcW w:w="220" w:type="dxa"/>
            <w:vAlign w:val="bottom"/>
            <w:shd w:val="clear" w:color="auto" w:fill="FF160F"/>
          </w:tcPr>
          <w:p>
            <w:pPr>
              <w:spacing w:after="0"/>
              <w:rPr>
                <w:sz w:val="17"/>
                <w:szCs w:val="17"/>
                <w:color w:val="auto"/>
              </w:rPr>
            </w:pPr>
          </w:p>
        </w:tc>
        <w:tc>
          <w:tcPr>
            <w:tcW w:w="134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Termination</w:t>
            </w:r>
          </w:p>
        </w:tc>
        <w:tc>
          <w:tcPr>
            <w:tcW w:w="220" w:type="dxa"/>
            <w:vAlign w:val="bottom"/>
            <w:shd w:val="clear" w:color="auto" w:fill="FF160F"/>
          </w:tcPr>
          <w:p>
            <w:pPr>
              <w:spacing w:after="0"/>
              <w:rPr>
                <w:sz w:val="17"/>
                <w:szCs w:val="17"/>
                <w:color w:val="auto"/>
              </w:rPr>
            </w:pPr>
          </w:p>
        </w:tc>
        <w:tc>
          <w:tcPr>
            <w:tcW w:w="1240" w:type="dxa"/>
            <w:vAlign w:val="bottom"/>
            <w:shd w:val="clear" w:color="auto" w:fill="FF160F"/>
          </w:tcPr>
          <w:p>
            <w:pPr>
              <w:jc w:val="right"/>
              <w:ind w:right="330"/>
              <w:spacing w:after="0" w:line="202" w:lineRule="exact"/>
              <w:rPr>
                <w:sz w:val="20"/>
                <w:szCs w:val="20"/>
                <w:color w:val="auto"/>
              </w:rPr>
            </w:pPr>
            <w:r>
              <w:rPr>
                <w:rFonts w:ascii="Arial" w:cs="Arial" w:eastAsia="Arial" w:hAnsi="Arial"/>
                <w:sz w:val="18"/>
                <w:szCs w:val="18"/>
                <w:b w:val="1"/>
                <w:bCs w:val="1"/>
                <w:color w:val="FFFFFF"/>
              </w:rPr>
              <w:t>Control</w:t>
            </w:r>
          </w:p>
        </w:tc>
        <w:tc>
          <w:tcPr>
            <w:tcW w:w="144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 on</w:t>
            </w:r>
          </w:p>
        </w:tc>
        <w:tc>
          <w:tcPr>
            <w:tcW w:w="144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 on</w:t>
            </w:r>
          </w:p>
        </w:tc>
      </w:tr>
      <w:tr>
        <w:trPr>
          <w:trHeight w:val="221"/>
        </w:trPr>
        <w:tc>
          <w:tcPr>
            <w:tcW w:w="174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w:t>
            </w:r>
          </w:p>
        </w:tc>
        <w:tc>
          <w:tcPr>
            <w:tcW w:w="2080" w:type="dxa"/>
            <w:vAlign w:val="bottom"/>
            <w:shd w:val="clear" w:color="auto" w:fill="FF160F"/>
          </w:tcPr>
          <w:p>
            <w:pPr>
              <w:ind w:left="100"/>
              <w:spacing w:after="0"/>
              <w:rPr>
                <w:sz w:val="20"/>
                <w:szCs w:val="20"/>
                <w:color w:val="auto"/>
              </w:rPr>
            </w:pPr>
            <w:r>
              <w:rPr>
                <w:rFonts w:ascii="Arial" w:cs="Arial" w:eastAsia="Arial" w:hAnsi="Arial"/>
                <w:sz w:val="18"/>
                <w:szCs w:val="18"/>
                <w:b w:val="1"/>
                <w:bCs w:val="1"/>
                <w:color w:val="FFFFFF"/>
              </w:rPr>
              <w:t>Type of Compensation</w:t>
            </w:r>
          </w:p>
        </w:tc>
        <w:tc>
          <w:tcPr>
            <w:tcW w:w="1300" w:type="dxa"/>
            <w:vAlign w:val="bottom"/>
            <w:gridSpan w:val="2"/>
            <w:shd w:val="clear" w:color="auto" w:fill="FF160F"/>
          </w:tcPr>
          <w:p>
            <w:pPr>
              <w:ind w:left="60"/>
              <w:spacing w:after="0"/>
              <w:rPr>
                <w:sz w:val="20"/>
                <w:szCs w:val="20"/>
                <w:color w:val="auto"/>
              </w:rPr>
            </w:pPr>
            <w:r>
              <w:rPr>
                <w:rFonts w:ascii="Arial" w:cs="Arial" w:eastAsia="Arial" w:hAnsi="Arial"/>
                <w:sz w:val="18"/>
                <w:szCs w:val="18"/>
                <w:b w:val="1"/>
                <w:bCs w:val="1"/>
                <w:color w:val="FFFFFF"/>
              </w:rPr>
              <w:t>Termination</w:t>
            </w:r>
            <w:r>
              <w:rPr>
                <w:rFonts w:ascii="Arial" w:cs="Arial" w:eastAsia="Arial" w:hAnsi="Arial"/>
                <w:sz w:val="11"/>
                <w:szCs w:val="11"/>
                <w:b w:val="1"/>
                <w:bCs w:val="1"/>
                <w:color w:val="FFFFFF"/>
              </w:rPr>
              <w:t>(1)</w:t>
            </w:r>
          </w:p>
        </w:tc>
        <w:tc>
          <w:tcPr>
            <w:tcW w:w="1560" w:type="dxa"/>
            <w:vAlign w:val="bottom"/>
            <w:gridSpan w:val="2"/>
            <w:shd w:val="clear" w:color="auto" w:fill="FF160F"/>
          </w:tcPr>
          <w:p>
            <w:pPr>
              <w:ind w:left="80"/>
              <w:spacing w:after="0"/>
              <w:rPr>
                <w:sz w:val="20"/>
                <w:szCs w:val="20"/>
                <w:color w:val="auto"/>
              </w:rPr>
            </w:pPr>
            <w:r>
              <w:rPr>
                <w:rFonts w:ascii="Arial" w:cs="Arial" w:eastAsia="Arial" w:hAnsi="Arial"/>
                <w:sz w:val="18"/>
                <w:szCs w:val="18"/>
                <w:b w:val="1"/>
                <w:bCs w:val="1"/>
                <w:color w:val="FFFFFF"/>
              </w:rPr>
              <w:t>Without Cause</w:t>
            </w:r>
            <w:r>
              <w:rPr>
                <w:rFonts w:ascii="Arial" w:cs="Arial" w:eastAsia="Arial" w:hAnsi="Arial"/>
                <w:sz w:val="11"/>
                <w:szCs w:val="11"/>
                <w:b w:val="1"/>
                <w:bCs w:val="1"/>
                <w:color w:val="FFFFFF"/>
              </w:rPr>
              <w:t>(1)</w:t>
            </w:r>
          </w:p>
        </w:tc>
        <w:tc>
          <w:tcPr>
            <w:tcW w:w="1460" w:type="dxa"/>
            <w:vAlign w:val="bottom"/>
            <w:gridSpan w:val="2"/>
            <w:shd w:val="clear" w:color="auto" w:fill="FF160F"/>
          </w:tcPr>
          <w:p>
            <w:pPr>
              <w:ind w:left="60"/>
              <w:spacing w:after="0"/>
              <w:rPr>
                <w:sz w:val="20"/>
                <w:szCs w:val="20"/>
                <w:color w:val="auto"/>
              </w:rPr>
            </w:pPr>
            <w:r>
              <w:rPr>
                <w:rFonts w:ascii="Arial" w:cs="Arial" w:eastAsia="Arial" w:hAnsi="Arial"/>
                <w:sz w:val="18"/>
                <w:szCs w:val="18"/>
                <w:b w:val="1"/>
                <w:bCs w:val="1"/>
                <w:color w:val="FFFFFF"/>
              </w:rPr>
              <w:t>Termination</w:t>
            </w:r>
            <w:r>
              <w:rPr>
                <w:rFonts w:ascii="Arial" w:cs="Arial" w:eastAsia="Arial" w:hAnsi="Arial"/>
                <w:sz w:val="11"/>
                <w:szCs w:val="11"/>
                <w:b w:val="1"/>
                <w:bCs w:val="1"/>
                <w:color w:val="FFFFFF"/>
              </w:rPr>
              <w:t>(1) (5)</w:t>
            </w:r>
          </w:p>
        </w:tc>
        <w:tc>
          <w:tcPr>
            <w:tcW w:w="300" w:type="dxa"/>
            <w:vAlign w:val="bottom"/>
            <w:shd w:val="clear" w:color="auto" w:fill="FF160F"/>
          </w:tcPr>
          <w:p>
            <w:pPr>
              <w:spacing w:after="0"/>
              <w:rPr>
                <w:sz w:val="19"/>
                <w:szCs w:val="19"/>
                <w:color w:val="auto"/>
              </w:rPr>
            </w:pPr>
          </w:p>
        </w:tc>
        <w:tc>
          <w:tcPr>
            <w:tcW w:w="1140" w:type="dxa"/>
            <w:vAlign w:val="bottom"/>
            <w:shd w:val="clear" w:color="auto" w:fill="FF160F"/>
          </w:tcPr>
          <w:p>
            <w:pPr>
              <w:jc w:val="right"/>
              <w:ind w:right="310"/>
              <w:spacing w:after="0"/>
              <w:rPr>
                <w:sz w:val="20"/>
                <w:szCs w:val="20"/>
                <w:color w:val="auto"/>
              </w:rPr>
            </w:pPr>
            <w:r>
              <w:rPr>
                <w:rFonts w:ascii="Arial" w:cs="Arial" w:eastAsia="Arial" w:hAnsi="Arial"/>
                <w:sz w:val="18"/>
                <w:szCs w:val="18"/>
                <w:b w:val="1"/>
                <w:bCs w:val="1"/>
                <w:color w:val="FFFFFF"/>
              </w:rPr>
              <w:t>Death</w:t>
            </w:r>
            <w:r>
              <w:rPr>
                <w:rFonts w:ascii="Arial" w:cs="Arial" w:eastAsia="Arial" w:hAnsi="Arial"/>
                <w:sz w:val="11"/>
                <w:szCs w:val="11"/>
                <w:b w:val="1"/>
                <w:bCs w:val="1"/>
                <w:color w:val="FFFFFF"/>
              </w:rPr>
              <w:t>(1)</w:t>
            </w:r>
          </w:p>
        </w:tc>
        <w:tc>
          <w:tcPr>
            <w:tcW w:w="220" w:type="dxa"/>
            <w:vAlign w:val="bottom"/>
            <w:shd w:val="clear" w:color="auto" w:fill="FF160F"/>
          </w:tcPr>
          <w:p>
            <w:pPr>
              <w:spacing w:after="0"/>
              <w:rPr>
                <w:sz w:val="19"/>
                <w:szCs w:val="19"/>
                <w:color w:val="auto"/>
              </w:rPr>
            </w:pPr>
          </w:p>
        </w:tc>
        <w:tc>
          <w:tcPr>
            <w:tcW w:w="1220" w:type="dxa"/>
            <w:vAlign w:val="bottom"/>
            <w:shd w:val="clear" w:color="auto" w:fill="FF160F"/>
          </w:tcPr>
          <w:p>
            <w:pPr>
              <w:jc w:val="right"/>
              <w:ind w:right="150"/>
              <w:spacing w:after="0"/>
              <w:rPr>
                <w:sz w:val="20"/>
                <w:szCs w:val="20"/>
                <w:color w:val="auto"/>
              </w:rPr>
            </w:pPr>
            <w:r>
              <w:rPr>
                <w:rFonts w:ascii="Arial" w:cs="Arial" w:eastAsia="Arial" w:hAnsi="Arial"/>
                <w:sz w:val="18"/>
                <w:szCs w:val="18"/>
                <w:b w:val="1"/>
                <w:bCs w:val="1"/>
                <w:color w:val="FFFFFF"/>
              </w:rPr>
              <w:t>Disability</w:t>
            </w:r>
            <w:r>
              <w:rPr>
                <w:rFonts w:ascii="Arial" w:cs="Arial" w:eastAsia="Arial" w:hAnsi="Arial"/>
                <w:sz w:val="11"/>
                <w:szCs w:val="11"/>
                <w:b w:val="1"/>
                <w:bCs w:val="1"/>
                <w:color w:val="FFFFFF"/>
              </w:rPr>
              <w:t>(1)</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Donald C. Wood</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 months</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1.5x</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4,171,875</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8,343,750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1,375,745</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16,918</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1,617,377</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1,693,508</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1,345,000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1,633,836</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60,250</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167,165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516,918</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16,231,261</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20,586,182</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11,726,759</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13,391,340</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Jeffrey S. Berkes</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1.0x</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1,368,750</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2,737,500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718,750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718,750</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25,844</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51,687</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25,844</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5,069,621</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6,464,214</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4,393,777</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4,419,621</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Daniel Guglielmone</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 month</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47,917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2,087,500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549,169</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3,160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75,837</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37,919</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r>
      <w:tr>
        <w:trPr>
          <w:trHeight w:val="202"/>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90,375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51,077</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2,384,039</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4,637,751</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2,384,039</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2,971,127</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Dawn M. Becker</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 months</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1.0x</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287,500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1,020,313</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2,040,625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508,981</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8,159</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12,238</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32,635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16,318</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60,250</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90,375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295,659</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2,353,073</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3,423,907</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1,260,272</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1,785,570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38" w:lineRule="auto"/>
        <w:tabs>
          <w:tab w:leader="none" w:pos="540"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Bonus years used in the calculation for termination without cause and change-in-control are 2021, 2020 and 2019, the last three completed fiscal years. The cash payments on termination with cause are 1 month of base pay for every year of service above 5 years, capped at 6 months of base pay. The cash payment on death and disability for Mr. Berkes is a pro-rated bonus for the year in which the event occurs. The cash payments on disability for Mr. Wood, Mr. Guglielmone and Ms. Becker represent 1 year of base salary less amounts received from disability insurance maintained by the Company, grossed up for taxes on non-tax exempt payments.</w:t>
      </w:r>
    </w:p>
    <w:p>
      <w:pPr>
        <w:spacing w:after="0" w:line="3" w:lineRule="exact"/>
        <w:rPr>
          <w:rFonts w:ascii="Arial" w:cs="Arial" w:eastAsia="Arial" w:hAnsi="Arial"/>
          <w:sz w:val="20"/>
          <w:szCs w:val="20"/>
          <w:color w:val="auto"/>
          <w:vertAlign w:val="superscript"/>
        </w:rPr>
      </w:pPr>
    </w:p>
    <w:p>
      <w:pPr>
        <w:jc w:val="both"/>
        <w:ind w:left="540" w:right="20" w:hanging="424"/>
        <w:spacing w:after="0" w:line="231" w:lineRule="auto"/>
        <w:tabs>
          <w:tab w:leader="none" w:pos="540"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Amounts represent our estimate of the COBRA equivalent rates for health care benefits and current life and long-term disability premiums for Mr. Wood, Mr. Guglielmone and Ms. Becker. The period of time for which these benefits are provided varies as follows: (a) termination without cause – 9 months for Mr. Wood and Ms. Becker; 1 year for Mr. Berkes;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87630</wp:posOffset>
            </wp:positionV>
            <wp:extent cx="701230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6"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40" w:right="20"/>
        <w:spacing w:after="0" w:line="251" w:lineRule="auto"/>
        <w:rPr>
          <w:sz w:val="20"/>
          <w:szCs w:val="20"/>
          <w:color w:val="auto"/>
        </w:rPr>
      </w:pPr>
      <w:r>
        <w:rPr>
          <w:rFonts w:ascii="Arial" w:cs="Arial" w:eastAsia="Arial" w:hAnsi="Arial"/>
          <w:sz w:val="16"/>
          <w:szCs w:val="16"/>
          <w:color w:val="auto"/>
        </w:rPr>
        <w:t>(b) change-in-control – 3 years for Mr. Wood and 2 years for each other NEO; (c) termination for cause – 6 months; and (d) disability – 1 year. The amounts paid to Mr. Berkes are reduced by the amounts he pays for these benefits at the time of the event. All amounts shown in this column for Mr. Wood also include the estimated costs (calculated in accordance with GAAP) of satisfying the obligations under his Health Continuation Coverage Agreement.</w:t>
      </w:r>
    </w:p>
    <w:p>
      <w:pPr>
        <w:spacing w:after="0" w:line="2" w:lineRule="exact"/>
        <w:rPr>
          <w:sz w:val="20"/>
          <w:szCs w:val="20"/>
          <w:color w:val="auto"/>
        </w:rPr>
      </w:pPr>
    </w:p>
    <w:p>
      <w:pPr>
        <w:jc w:val="both"/>
        <w:ind w:left="540" w:hanging="424"/>
        <w:spacing w:after="0" w:line="232"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Values were calculated by multiplying the number of unvested shares that vest under each termination event using the closing price of the Company’s shares on December 31, 2022. For the performance-based restricted share units issued to Mr. Berkes, the amount includes the value of the number of units, if any, that would have been earned based on performance through the date of termination, prorated for the portion of the performance period that had lapsed, plus dividend equivalent rights on those units.</w:t>
      </w:r>
    </w:p>
    <w:p>
      <w:pPr>
        <w:jc w:val="both"/>
        <w:ind w:left="540" w:hanging="424"/>
        <w:spacing w:after="0" w:line="232"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Amounts are estimated costs for an administrative assistant and outplacement assistance for a period of 6 months in the event of a termination without cause and for a period of 12 months for Mr. Wood and 9 months for Mr. Guglielmone and Ms. Becker in the event of a change-in-control. The amount also includes the cost of providing a company vehicle to Mr. Wood for three years in the event of a change-in-control should he choose to use that benefit.</w:t>
      </w:r>
    </w:p>
    <w:p>
      <w:pPr>
        <w:jc w:val="both"/>
        <w:ind w:left="540" w:right="20" w:hanging="424"/>
        <w:spacing w:after="0" w:line="238"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(b) Mr. Wood or Ms. Becker voluntarily leaves employment within the 30-day window following the 1-year anniversary of the change-in-control; or (c) Mr. Berkes is terminated from employment by the Company (other than for cause) or he leaves the Company as a result of a constructive termination within the 6-month period prior to or within 2 years after the change-in-control.</w:t>
      </w:r>
    </w:p>
    <w:p>
      <w:pPr>
        <w:spacing w:after="0" w:line="189" w:lineRule="exact"/>
        <w:rPr>
          <w:sz w:val="20"/>
          <w:szCs w:val="20"/>
          <w:color w:val="auto"/>
        </w:rPr>
      </w:pPr>
    </w:p>
    <w:p>
      <w:pPr>
        <w:ind w:left="460" w:hanging="344"/>
        <w:spacing w:after="0"/>
        <w:tabs>
          <w:tab w:leader="none" w:pos="460" w:val="left"/>
        </w:tabs>
        <w:numPr>
          <w:ilvl w:val="0"/>
          <w:numId w:val="77"/>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CEO PAY RATIO</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2022, excluding our CEO, which included 318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64 employees who started with us in 2022. No other adjustments were made.</w:t>
      </w:r>
    </w:p>
    <w:p>
      <w:pPr>
        <w:spacing w:after="0" w:line="1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2022 was calculated in accordance with the requirements of the Summary Compensation Table included in this proxy statement. Based on this methodology, we have determined that the total annual compensation paid to our Chief Executive Officer in 2022 was $8,916,031 and the total annual compensation paid to our median paid employee in 2022 was $132,186 resulting in a ratio of 67:1.</w:t>
      </w:r>
    </w:p>
    <w:p>
      <w:pPr>
        <w:spacing w:after="0" w:line="17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81280</wp:posOffset>
            </wp:positionV>
            <wp:extent cx="701230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5"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78"/>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PAY VERSUS PERFORMANCE DISCLOSURE</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140" w:type="dxa"/>
            <w:vAlign w:val="bottom"/>
            <w:gridSpan w:val="4"/>
            <w:shd w:val="clear" w:color="auto" w:fill="FF160F"/>
          </w:tcPr>
          <w:p>
            <w:pPr>
              <w:ind w:left="200"/>
              <w:spacing w:after="0"/>
              <w:rPr>
                <w:sz w:val="20"/>
                <w:szCs w:val="20"/>
                <w:color w:val="auto"/>
              </w:rPr>
            </w:pPr>
            <w:r>
              <w:rPr>
                <w:rFonts w:ascii="Arial" w:cs="Arial" w:eastAsia="Arial" w:hAnsi="Arial"/>
                <w:sz w:val="14"/>
                <w:szCs w:val="14"/>
                <w:b w:val="1"/>
                <w:bCs w:val="1"/>
                <w:color w:val="FFFFFF"/>
              </w:rPr>
              <w:t>Value of Initial Fixed $100</w:t>
            </w:r>
          </w:p>
        </w:tc>
        <w:tc>
          <w:tcPr>
            <w:tcW w:w="90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vMerge w:val="restart"/>
            <w:shd w:val="clear" w:color="auto" w:fill="FF160F"/>
          </w:tcPr>
          <w:p>
            <w:pPr>
              <w:jc w:val="center"/>
              <w:ind w:right="104"/>
              <w:spacing w:after="0"/>
              <w:rPr>
                <w:sz w:val="20"/>
                <w:szCs w:val="20"/>
                <w:color w:val="auto"/>
              </w:rPr>
            </w:pPr>
            <w:r>
              <w:rPr>
                <w:rFonts w:ascii="Arial" w:cs="Arial" w:eastAsia="Arial" w:hAnsi="Arial"/>
                <w:sz w:val="14"/>
                <w:szCs w:val="14"/>
                <w:b w:val="1"/>
                <w:bCs w:val="1"/>
                <w:color w:val="FFFFFF"/>
              </w:rPr>
              <w:t>Average</w:t>
            </w: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40" w:type="dxa"/>
            <w:vAlign w:val="bottom"/>
            <w:shd w:val="clear" w:color="auto" w:fill="FF160F"/>
          </w:tcPr>
          <w:p>
            <w:pPr>
              <w:spacing w:after="0"/>
              <w:rPr>
                <w:sz w:val="14"/>
                <w:szCs w:val="14"/>
                <w:color w:val="auto"/>
              </w:rPr>
            </w:pPr>
          </w:p>
        </w:tc>
        <w:tc>
          <w:tcPr>
            <w:tcW w:w="1900" w:type="dxa"/>
            <w:vAlign w:val="bottom"/>
            <w:gridSpan w:val="3"/>
            <w:shd w:val="clear" w:color="auto" w:fill="FF160F"/>
          </w:tcPr>
          <w:p>
            <w:pPr>
              <w:ind w:left="60"/>
              <w:spacing w:after="0"/>
              <w:rPr>
                <w:sz w:val="20"/>
                <w:szCs w:val="20"/>
                <w:color w:val="auto"/>
              </w:rPr>
            </w:pPr>
            <w:r>
              <w:rPr>
                <w:rFonts w:ascii="Arial" w:cs="Arial" w:eastAsia="Arial" w:hAnsi="Arial"/>
                <w:sz w:val="14"/>
                <w:szCs w:val="14"/>
                <w:b w:val="1"/>
                <w:bCs w:val="1"/>
                <w:color w:val="FFFFFF"/>
              </w:rPr>
              <w:t>Investment Based On:</w:t>
            </w:r>
          </w:p>
        </w:tc>
        <w:tc>
          <w:tcPr>
            <w:tcW w:w="90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94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000" w:type="dxa"/>
            <w:vAlign w:val="bottom"/>
            <w:shd w:val="clear" w:color="auto" w:fill="FF160F"/>
          </w:tcPr>
          <w:p>
            <w:pPr>
              <w:spacing w:after="0"/>
              <w:rPr>
                <w:sz w:val="13"/>
                <w:szCs w:val="13"/>
                <w:color w:val="auto"/>
              </w:rPr>
            </w:pPr>
          </w:p>
        </w:tc>
        <w:tc>
          <w:tcPr>
            <w:tcW w:w="200" w:type="dxa"/>
            <w:vAlign w:val="bottom"/>
            <w:shd w:val="clear" w:color="auto" w:fill="FF160F"/>
          </w:tcPr>
          <w:p>
            <w:pPr>
              <w:spacing w:after="0"/>
              <w:rPr>
                <w:sz w:val="13"/>
                <w:szCs w:val="13"/>
                <w:color w:val="auto"/>
              </w:rPr>
            </w:pPr>
          </w:p>
        </w:tc>
        <w:tc>
          <w:tcPr>
            <w:tcW w:w="1180" w:type="dxa"/>
            <w:vAlign w:val="bottom"/>
            <w:vMerge w:val="continue"/>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080" w:type="dxa"/>
            <w:vAlign w:val="bottom"/>
            <w:shd w:val="clear" w:color="auto" w:fill="FF160F"/>
          </w:tcPr>
          <w:p>
            <w:pPr>
              <w:spacing w:after="0"/>
              <w:rPr>
                <w:sz w:val="13"/>
                <w:szCs w:val="13"/>
                <w:color w:val="auto"/>
              </w:rPr>
            </w:pPr>
          </w:p>
        </w:tc>
        <w:tc>
          <w:tcPr>
            <w:tcW w:w="24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220" w:type="dxa"/>
            <w:vAlign w:val="bottom"/>
            <w:shd w:val="clear" w:color="auto" w:fill="FF160F"/>
          </w:tcPr>
          <w:p>
            <w:pPr>
              <w:spacing w:after="0"/>
              <w:rPr>
                <w:sz w:val="13"/>
                <w:szCs w:val="13"/>
                <w:color w:val="auto"/>
              </w:rPr>
            </w:pPr>
          </w:p>
        </w:tc>
        <w:tc>
          <w:tcPr>
            <w:tcW w:w="860" w:type="dxa"/>
            <w:vAlign w:val="bottom"/>
            <w:shd w:val="clear" w:color="auto" w:fill="FF160F"/>
          </w:tcPr>
          <w:p>
            <w:pPr>
              <w:spacing w:after="0"/>
              <w:rPr>
                <w:sz w:val="13"/>
                <w:szCs w:val="13"/>
                <w:color w:val="auto"/>
              </w:rPr>
            </w:pPr>
          </w:p>
        </w:tc>
        <w:tc>
          <w:tcPr>
            <w:tcW w:w="900" w:type="dxa"/>
            <w:vAlign w:val="bottom"/>
            <w:shd w:val="clear" w:color="auto" w:fill="FF160F"/>
          </w:tcPr>
          <w:p>
            <w:pPr>
              <w:spacing w:after="0"/>
              <w:rPr>
                <w:sz w:val="13"/>
                <w:szCs w:val="13"/>
                <w:color w:val="auto"/>
              </w:rPr>
            </w:pPr>
          </w:p>
        </w:tc>
        <w:tc>
          <w:tcPr>
            <w:tcW w:w="260" w:type="dxa"/>
            <w:vAlign w:val="bottom"/>
            <w:shd w:val="clear" w:color="auto" w:fill="FF160F"/>
          </w:tcPr>
          <w:p>
            <w:pPr>
              <w:spacing w:after="0"/>
              <w:rPr>
                <w:sz w:val="13"/>
                <w:szCs w:val="13"/>
                <w:color w:val="auto"/>
              </w:rPr>
            </w:pPr>
          </w:p>
        </w:tc>
        <w:tc>
          <w:tcPr>
            <w:tcW w:w="4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jc w:val="center"/>
              <w:ind w:right="163"/>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4"/>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jc w:val="center"/>
              <w:ind w:right="221"/>
              <w:spacing w:after="0"/>
              <w:rPr>
                <w:sz w:val="20"/>
                <w:szCs w:val="20"/>
                <w:color w:val="auto"/>
              </w:rPr>
            </w:pPr>
            <w:r>
              <w:rPr>
                <w:rFonts w:ascii="Arial" w:cs="Arial" w:eastAsia="Arial" w:hAnsi="Arial"/>
                <w:sz w:val="14"/>
                <w:szCs w:val="14"/>
                <w:b w:val="1"/>
                <w:bCs w:val="1"/>
                <w:color w:val="FFFFFF"/>
              </w:rPr>
              <w:t>Average</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0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Peer Group</w:t>
            </w:r>
          </w:p>
        </w:tc>
        <w:tc>
          <w:tcPr>
            <w:tcW w:w="90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FF160F"/>
          </w:tcPr>
          <w:p>
            <w:pPr>
              <w:spacing w:after="0"/>
              <w:rPr>
                <w:sz w:val="14"/>
                <w:szCs w:val="14"/>
                <w:color w:val="auto"/>
              </w:rPr>
            </w:pPr>
          </w:p>
        </w:tc>
        <w:tc>
          <w:tcPr>
            <w:tcW w:w="1240" w:type="dxa"/>
            <w:vAlign w:val="bottom"/>
            <w:gridSpan w:val="2"/>
            <w:shd w:val="clear" w:color="auto" w:fill="FF160F"/>
          </w:tcPr>
          <w:p>
            <w:pPr>
              <w:jc w:val="center"/>
              <w:ind w:left="3"/>
              <w:spacing w:after="0"/>
              <w:rPr>
                <w:sz w:val="20"/>
                <w:szCs w:val="20"/>
                <w:color w:val="auto"/>
              </w:rPr>
            </w:pPr>
            <w:r>
              <w:rPr>
                <w:rFonts w:ascii="Arial" w:cs="Arial" w:eastAsia="Arial" w:hAnsi="Arial"/>
                <w:sz w:val="14"/>
                <w:szCs w:val="14"/>
                <w:b w:val="1"/>
                <w:bCs w:val="1"/>
                <w:color w:val="FFFFFF"/>
              </w:rPr>
              <w:t>Compenstion</w:t>
            </w:r>
          </w:p>
        </w:tc>
        <w:tc>
          <w:tcPr>
            <w:tcW w:w="130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04"/>
              <w:spacing w:after="0"/>
              <w:rPr>
                <w:sz w:val="20"/>
                <w:szCs w:val="20"/>
                <w:color w:val="auto"/>
              </w:rPr>
            </w:pPr>
            <w:r>
              <w:rPr>
                <w:rFonts w:ascii="Arial" w:cs="Arial" w:eastAsia="Arial" w:hAnsi="Arial"/>
                <w:sz w:val="14"/>
                <w:szCs w:val="14"/>
                <w:b w:val="1"/>
                <w:bCs w:val="1"/>
                <w:color w:val="FFFFFF"/>
              </w:rPr>
              <w:t>Compenstion</w:t>
            </w:r>
          </w:p>
        </w:tc>
        <w:tc>
          <w:tcPr>
            <w:tcW w:w="13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84"/>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43"/>
              <w:spacing w:after="0"/>
              <w:rPr>
                <w:sz w:val="20"/>
                <w:szCs w:val="20"/>
                <w:color w:val="auto"/>
              </w:rPr>
            </w:pPr>
            <w:r>
              <w:rPr>
                <w:rFonts w:ascii="Arial" w:cs="Arial" w:eastAsia="Arial" w:hAnsi="Arial"/>
                <w:sz w:val="14"/>
                <w:szCs w:val="14"/>
                <w:b w:val="1"/>
                <w:bCs w:val="1"/>
                <w:color w:val="FFFFFF"/>
                <w:w w:val="95"/>
              </w:rPr>
              <w:t>Total</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Net</w:t>
            </w:r>
          </w:p>
        </w:tc>
        <w:tc>
          <w:tcPr>
            <w:tcW w:w="72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FFFFFF"/>
              </w:rPr>
              <w:t>FFO per</w:t>
            </w:r>
          </w:p>
        </w:tc>
        <w:tc>
          <w:tcPr>
            <w:tcW w:w="0" w:type="dxa"/>
            <w:vAlign w:val="bottom"/>
          </w:tcPr>
          <w:p>
            <w:pPr>
              <w:spacing w:after="0"/>
              <w:rPr>
                <w:sz w:val="1"/>
                <w:szCs w:val="1"/>
                <w:color w:val="auto"/>
              </w:rPr>
            </w:pPr>
          </w:p>
        </w:tc>
      </w:tr>
      <w:tr>
        <w:trPr>
          <w:trHeight w:val="162"/>
        </w:trPr>
        <w:tc>
          <w:tcPr>
            <w:tcW w:w="1960" w:type="dxa"/>
            <w:vAlign w:val="bottom"/>
            <w:shd w:val="clear" w:color="auto" w:fill="FF160F"/>
          </w:tcPr>
          <w:p>
            <w:pPr>
              <w:spacing w:after="0"/>
              <w:rPr>
                <w:sz w:val="14"/>
                <w:szCs w:val="14"/>
                <w:color w:val="auto"/>
              </w:rPr>
            </w:pPr>
          </w:p>
        </w:tc>
        <w:tc>
          <w:tcPr>
            <w:tcW w:w="1240" w:type="dxa"/>
            <w:vAlign w:val="bottom"/>
            <w:gridSpan w:val="2"/>
            <w:shd w:val="clear" w:color="auto" w:fill="FF160F"/>
          </w:tcPr>
          <w:p>
            <w:pPr>
              <w:ind w:left="180"/>
              <w:spacing w:after="0"/>
              <w:rPr>
                <w:sz w:val="20"/>
                <w:szCs w:val="20"/>
                <w:color w:val="auto"/>
              </w:rPr>
            </w:pPr>
            <w:r>
              <w:rPr>
                <w:rFonts w:ascii="Arial" w:cs="Arial" w:eastAsia="Arial" w:hAnsi="Arial"/>
                <w:sz w:val="14"/>
                <w:szCs w:val="14"/>
                <w:b w:val="1"/>
                <w:bCs w:val="1"/>
                <w:color w:val="FFFFFF"/>
              </w:rPr>
              <w:t>Table Total for</w:t>
            </w:r>
          </w:p>
        </w:tc>
        <w:tc>
          <w:tcPr>
            <w:tcW w:w="130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Actually Paid to</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4"/>
              <w:spacing w:after="0"/>
              <w:rPr>
                <w:sz w:val="20"/>
                <w:szCs w:val="20"/>
                <w:color w:val="auto"/>
              </w:rPr>
            </w:pPr>
            <w:r>
              <w:rPr>
                <w:rFonts w:ascii="Arial" w:cs="Arial" w:eastAsia="Arial" w:hAnsi="Arial"/>
                <w:sz w:val="14"/>
                <w:szCs w:val="14"/>
                <w:b w:val="1"/>
                <w:bCs w:val="1"/>
                <w:color w:val="FFFFFF"/>
              </w:rPr>
              <w:t>Table Total for</w:t>
            </w:r>
          </w:p>
        </w:tc>
        <w:tc>
          <w:tcPr>
            <w:tcW w:w="13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106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108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Income</w:t>
            </w:r>
          </w:p>
        </w:tc>
        <w:tc>
          <w:tcPr>
            <w:tcW w:w="720" w:type="dxa"/>
            <w:vAlign w:val="bottom"/>
            <w:gridSpan w:val="2"/>
            <w:shd w:val="clear" w:color="auto" w:fill="FF160F"/>
          </w:tcPr>
          <w:p>
            <w:pPr>
              <w:ind w:left="140"/>
              <w:spacing w:after="0"/>
              <w:rPr>
                <w:sz w:val="20"/>
                <w:szCs w:val="20"/>
                <w:color w:val="auto"/>
              </w:rPr>
            </w:pPr>
            <w:r>
              <w:rPr>
                <w:rFonts w:ascii="Arial" w:cs="Arial" w:eastAsia="Arial" w:hAnsi="Arial"/>
                <w:sz w:val="14"/>
                <w:szCs w:val="14"/>
                <w:b w:val="1"/>
                <w:bCs w:val="1"/>
                <w:color w:val="FFFFFF"/>
              </w:rPr>
              <w:t>Diluted</w:t>
            </w:r>
          </w:p>
        </w:tc>
        <w:tc>
          <w:tcPr>
            <w:tcW w:w="0" w:type="dxa"/>
            <w:vAlign w:val="bottom"/>
          </w:tcPr>
          <w:p>
            <w:pPr>
              <w:spacing w:after="0"/>
              <w:rPr>
                <w:sz w:val="1"/>
                <w:szCs w:val="1"/>
                <w:color w:val="auto"/>
              </w:rPr>
            </w:pPr>
          </w:p>
        </w:tc>
      </w:tr>
      <w:tr>
        <w:trPr>
          <w:trHeight w:val="171"/>
        </w:trPr>
        <w:tc>
          <w:tcPr>
            <w:tcW w:w="19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Year</w:t>
            </w: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jc w:val="center"/>
              <w:ind w:right="163"/>
              <w:spacing w:after="0" w:line="172" w:lineRule="exact"/>
              <w:rPr>
                <w:sz w:val="20"/>
                <w:szCs w:val="20"/>
                <w:color w:val="auto"/>
              </w:rPr>
            </w:pPr>
            <w:r>
              <w:rPr>
                <w:rFonts w:ascii="Arial" w:cs="Arial" w:eastAsia="Arial" w:hAnsi="Arial"/>
                <w:sz w:val="14"/>
                <w:szCs w:val="14"/>
                <w:b w:val="1"/>
                <w:bCs w:val="1"/>
                <w:color w:val="FFFFFF"/>
                <w:w w:val="96"/>
              </w:rPr>
              <w:t>PEO</w:t>
            </w:r>
            <w:r>
              <w:rPr>
                <w:rFonts w:ascii="Arial" w:cs="Arial" w:eastAsia="Arial" w:hAnsi="Arial"/>
                <w:sz w:val="17"/>
                <w:szCs w:val="17"/>
                <w:b w:val="1"/>
                <w:bCs w:val="1"/>
                <w:color w:val="FFFFFF"/>
                <w:w w:val="96"/>
                <w:vertAlign w:val="superscript"/>
              </w:rPr>
              <w:t>(1)</w:t>
            </w: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jc w:val="right"/>
              <w:ind w:right="361"/>
              <w:spacing w:after="0" w:line="172" w:lineRule="exact"/>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38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138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ind w:left="60"/>
              <w:spacing w:after="0"/>
              <w:rPr>
                <w:sz w:val="20"/>
                <w:szCs w:val="20"/>
                <w:color w:val="auto"/>
              </w:rPr>
            </w:pPr>
            <w:r>
              <w:rPr>
                <w:rFonts w:ascii="Arial" w:cs="Arial" w:eastAsia="Arial" w:hAnsi="Arial"/>
                <w:sz w:val="14"/>
                <w:szCs w:val="14"/>
                <w:b w:val="1"/>
                <w:bCs w:val="1"/>
                <w:color w:val="FFFFFF"/>
              </w:rPr>
              <w:t>Return</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43"/>
              <w:spacing w:after="0" w:line="172" w:lineRule="exact"/>
              <w:rPr>
                <w:sz w:val="20"/>
                <w:szCs w:val="20"/>
                <w:color w:val="auto"/>
              </w:rPr>
            </w:pPr>
            <w:r>
              <w:rPr>
                <w:rFonts w:ascii="Arial" w:cs="Arial" w:eastAsia="Arial" w:hAnsi="Arial"/>
                <w:sz w:val="14"/>
                <w:szCs w:val="14"/>
                <w:b w:val="1"/>
                <w:bCs w:val="1"/>
                <w:color w:val="FFFFFF"/>
                <w:w w:val="94"/>
              </w:rPr>
              <w:t>Return</w:t>
            </w:r>
            <w:r>
              <w:rPr>
                <w:rFonts w:ascii="Arial" w:cs="Arial" w:eastAsia="Arial" w:hAnsi="Arial"/>
                <w:sz w:val="17"/>
                <w:szCs w:val="17"/>
                <w:b w:val="1"/>
                <w:bCs w:val="1"/>
                <w:color w:val="FFFFFF"/>
                <w:w w:val="94"/>
                <w:vertAlign w:val="superscript"/>
              </w:rPr>
              <w:t>(3)</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 000s)</w:t>
            </w:r>
          </w:p>
        </w:tc>
        <w:tc>
          <w:tcPr>
            <w:tcW w:w="72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Share</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1960" w:type="dxa"/>
            <w:vAlign w:val="bottom"/>
          </w:tcPr>
          <w:p>
            <w:pPr>
              <w:spacing w:after="0" w:line="175" w:lineRule="exact"/>
              <w:rPr>
                <w:sz w:val="20"/>
                <w:szCs w:val="20"/>
                <w:color w:val="auto"/>
              </w:rPr>
            </w:pPr>
            <w:r>
              <w:rPr>
                <w:rFonts w:ascii="Arial" w:cs="Arial" w:eastAsia="Arial" w:hAnsi="Arial"/>
                <w:sz w:val="16"/>
                <w:szCs w:val="16"/>
                <w:color w:val="auto"/>
              </w:rPr>
              <w:t>2022</w:t>
            </w:r>
          </w:p>
        </w:tc>
        <w:tc>
          <w:tcPr>
            <w:tcW w:w="300" w:type="dxa"/>
            <w:vAlign w:val="bottom"/>
          </w:tcPr>
          <w:p>
            <w:pPr>
              <w:ind w:left="16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line="175" w:lineRule="exact"/>
              <w:rPr>
                <w:sz w:val="20"/>
                <w:szCs w:val="20"/>
                <w:color w:val="auto"/>
              </w:rPr>
            </w:pPr>
            <w:r>
              <w:rPr>
                <w:rFonts w:ascii="Arial" w:cs="Arial" w:eastAsia="Arial" w:hAnsi="Arial"/>
                <w:sz w:val="16"/>
                <w:szCs w:val="16"/>
                <w:color w:val="auto"/>
              </w:rPr>
              <w:t>8,916,031</w:t>
            </w:r>
          </w:p>
        </w:tc>
        <w:tc>
          <w:tcPr>
            <w:tcW w:w="30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line="175" w:lineRule="exact"/>
              <w:rPr>
                <w:sz w:val="20"/>
                <w:szCs w:val="20"/>
                <w:color w:val="auto"/>
              </w:rPr>
            </w:pPr>
            <w:r>
              <w:rPr>
                <w:rFonts w:ascii="Arial" w:cs="Arial" w:eastAsia="Arial" w:hAnsi="Arial"/>
                <w:sz w:val="16"/>
                <w:szCs w:val="16"/>
                <w:color w:val="auto"/>
              </w:rPr>
              <w:t>6,570,796</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line="175" w:lineRule="exact"/>
              <w:rPr>
                <w:sz w:val="20"/>
                <w:szCs w:val="20"/>
                <w:color w:val="auto"/>
              </w:rPr>
            </w:pPr>
            <w:r>
              <w:rPr>
                <w:rFonts w:ascii="Arial" w:cs="Arial" w:eastAsia="Arial" w:hAnsi="Arial"/>
                <w:sz w:val="16"/>
                <w:szCs w:val="16"/>
                <w:color w:val="auto"/>
              </w:rPr>
              <w:t>2,177,775</w:t>
            </w:r>
          </w:p>
        </w:tc>
        <w:tc>
          <w:tcPr>
            <w:tcW w:w="30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line="175" w:lineRule="exact"/>
              <w:rPr>
                <w:sz w:val="20"/>
                <w:szCs w:val="20"/>
                <w:color w:val="auto"/>
              </w:rPr>
            </w:pPr>
            <w:r>
              <w:rPr>
                <w:rFonts w:ascii="Arial" w:cs="Arial" w:eastAsia="Arial" w:hAnsi="Arial"/>
                <w:sz w:val="16"/>
                <w:szCs w:val="16"/>
                <w:color w:val="auto"/>
              </w:rPr>
              <w:t>1,669,484</w:t>
            </w:r>
          </w:p>
        </w:tc>
        <w:tc>
          <w:tcPr>
            <w:tcW w:w="24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line="175" w:lineRule="exact"/>
              <w:rPr>
                <w:sz w:val="20"/>
                <w:szCs w:val="20"/>
                <w:color w:val="auto"/>
              </w:rPr>
            </w:pPr>
            <w:r>
              <w:rPr>
                <w:rFonts w:ascii="Arial" w:cs="Arial" w:eastAsia="Arial" w:hAnsi="Arial"/>
                <w:sz w:val="16"/>
                <w:szCs w:val="16"/>
                <w:color w:val="auto"/>
              </w:rPr>
              <w:t>89.10</w:t>
            </w:r>
          </w:p>
        </w:tc>
        <w:tc>
          <w:tcPr>
            <w:tcW w:w="220" w:type="dxa"/>
            <w:vAlign w:val="bottom"/>
          </w:tcPr>
          <w:p>
            <w:pPr>
              <w:ind w:left="120"/>
              <w:spacing w:after="0" w:line="175"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104.09</w:t>
            </w: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rPr>
              <w:t>$395,661</w:t>
            </w:r>
          </w:p>
        </w:tc>
        <w:tc>
          <w:tcPr>
            <w:tcW w:w="26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Arial" w:cs="Arial" w:eastAsia="Arial" w:hAnsi="Arial"/>
                <w:sz w:val="16"/>
                <w:szCs w:val="16"/>
                <w:color w:val="auto"/>
              </w:rPr>
              <w:t>2021</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7,520,917</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15,446,709</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2,955,860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3,999,185</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115.21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119.96</w:t>
            </w:r>
          </w:p>
        </w:tc>
        <w:tc>
          <w:tcPr>
            <w:tcW w:w="900" w:type="dxa"/>
            <w:vAlign w:val="bottom"/>
          </w:tcPr>
          <w:p>
            <w:pPr>
              <w:jc w:val="center"/>
              <w:spacing w:after="0"/>
              <w:rPr>
                <w:sz w:val="20"/>
                <w:szCs w:val="20"/>
                <w:color w:val="auto"/>
              </w:rPr>
            </w:pPr>
            <w:r>
              <w:rPr>
                <w:rFonts w:ascii="Arial" w:cs="Arial" w:eastAsia="Arial" w:hAnsi="Arial"/>
                <w:sz w:val="16"/>
                <w:szCs w:val="16"/>
                <w:color w:val="auto"/>
              </w:rPr>
              <w:t>$269,081</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auto"/>
              </w:rPr>
              <w:t>2020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7,481,796</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1,832,214</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1,753,182</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859,320</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69.44</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73.36</w:t>
            </w:r>
          </w:p>
        </w:tc>
        <w:tc>
          <w:tcPr>
            <w:tcW w:w="900" w:type="dxa"/>
            <w:vAlign w:val="bottom"/>
          </w:tcPr>
          <w:p>
            <w:pPr>
              <w:jc w:val="center"/>
              <w:spacing w:after="0"/>
              <w:rPr>
                <w:sz w:val="20"/>
                <w:szCs w:val="20"/>
                <w:color w:val="auto"/>
              </w:rPr>
            </w:pPr>
            <w:r>
              <w:rPr>
                <w:rFonts w:ascii="Arial" w:cs="Arial" w:eastAsia="Arial" w:hAnsi="Arial"/>
                <w:sz w:val="16"/>
                <w:szCs w:val="16"/>
                <w:color w:val="auto"/>
              </w:rPr>
              <w:t>$135,888</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-880745</wp:posOffset>
            </wp:positionV>
            <wp:extent cx="13544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7" w:lineRule="exact"/>
        <w:rPr>
          <w:sz w:val="20"/>
          <w:szCs w:val="20"/>
          <w:color w:val="auto"/>
        </w:rPr>
      </w:pPr>
    </w:p>
    <w:p>
      <w:pPr>
        <w:ind w:left="540" w:hanging="424"/>
        <w:spacing w:after="0" w:line="233" w:lineRule="auto"/>
        <w:tabs>
          <w:tab w:leader="none" w:pos="540" w:val="left"/>
        </w:tabs>
        <w:numPr>
          <w:ilvl w:val="0"/>
          <w:numId w:val="79"/>
        </w:numPr>
        <w:rPr>
          <w:rFonts w:ascii="Arial" w:cs="Arial" w:eastAsia="Arial" w:hAnsi="Arial"/>
          <w:sz w:val="20"/>
          <w:szCs w:val="20"/>
          <w:color w:val="auto"/>
          <w:vertAlign w:val="superscript"/>
        </w:rPr>
      </w:pPr>
      <w:r>
        <w:rPr>
          <w:rFonts w:ascii="Arial" w:cs="Arial" w:eastAsia="Arial" w:hAnsi="Arial"/>
          <w:sz w:val="16"/>
          <w:szCs w:val="16"/>
          <w:color w:val="auto"/>
        </w:rPr>
        <w:t>Mr. Wood was our principal executive officer for all years shown. Following are the adjustments made during each year to arrive at compensation actually paid to our principal executive officer during each year.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shd w:val="clear" w:color="auto" w:fill="FF160F"/>
          </w:tcPr>
          <w:p>
            <w:pPr>
              <w:spacing w:after="0"/>
              <w:rPr>
                <w:sz w:val="14"/>
                <w:szCs w:val="14"/>
                <w:color w:val="auto"/>
              </w:rPr>
            </w:pPr>
          </w:p>
        </w:tc>
        <w:tc>
          <w:tcPr>
            <w:tcW w:w="22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1060" w:type="dxa"/>
            <w:vAlign w:val="bottom"/>
            <w:shd w:val="clear" w:color="auto" w:fill="FF160F"/>
          </w:tcPr>
          <w:p>
            <w:pPr>
              <w:spacing w:after="0"/>
              <w:rPr>
                <w:sz w:val="14"/>
                <w:szCs w:val="14"/>
                <w:color w:val="auto"/>
              </w:rPr>
            </w:pPr>
          </w:p>
        </w:tc>
        <w:tc>
          <w:tcPr>
            <w:tcW w:w="400" w:type="dxa"/>
            <w:vAlign w:val="bottom"/>
            <w:shd w:val="clear" w:color="auto" w:fill="FF160F"/>
          </w:tcPr>
          <w:p>
            <w:pPr>
              <w:spacing w:after="0"/>
              <w:rPr>
                <w:sz w:val="14"/>
                <w:szCs w:val="14"/>
                <w:color w:val="auto"/>
              </w:rPr>
            </w:pPr>
          </w:p>
        </w:tc>
        <w:tc>
          <w:tcPr>
            <w:tcW w:w="1120" w:type="dxa"/>
            <w:vAlign w:val="bottom"/>
            <w:shd w:val="clear" w:color="auto" w:fill="FF160F"/>
          </w:tcPr>
          <w:p>
            <w:pPr>
              <w:jc w:val="right"/>
              <w:ind w:right="521"/>
              <w:spacing w:after="0"/>
              <w:rPr>
                <w:sz w:val="20"/>
                <w:szCs w:val="20"/>
                <w:color w:val="auto"/>
              </w:rPr>
            </w:pPr>
            <w:r>
              <w:rPr>
                <w:rFonts w:ascii="Arial" w:cs="Arial" w:eastAsia="Arial" w:hAnsi="Arial"/>
                <w:sz w:val="14"/>
                <w:szCs w:val="14"/>
                <w:b w:val="1"/>
                <w:bCs w:val="1"/>
                <w:color w:val="FFFFFF"/>
              </w:rPr>
              <w:t>PEO</w:t>
            </w:r>
          </w:p>
        </w:tc>
        <w:tc>
          <w:tcPr>
            <w:tcW w:w="380" w:type="dxa"/>
            <w:vAlign w:val="bottom"/>
            <w:shd w:val="clear" w:color="auto" w:fill="FF160F"/>
          </w:tcPr>
          <w:p>
            <w:pPr>
              <w:spacing w:after="0"/>
              <w:rPr>
                <w:sz w:val="14"/>
                <w:szCs w:val="14"/>
                <w:color w:val="auto"/>
              </w:rPr>
            </w:pPr>
          </w:p>
        </w:tc>
        <w:tc>
          <w:tcPr>
            <w:tcW w:w="94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162"/>
        </w:trPr>
        <w:tc>
          <w:tcPr>
            <w:tcW w:w="652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Adjustments</w:t>
            </w:r>
          </w:p>
        </w:tc>
        <w:tc>
          <w:tcPr>
            <w:tcW w:w="22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1060" w:type="dxa"/>
            <w:vAlign w:val="bottom"/>
            <w:shd w:val="clear" w:color="auto" w:fill="FF160F"/>
          </w:tcPr>
          <w:p>
            <w:pPr>
              <w:jc w:val="right"/>
              <w:ind w:right="520"/>
              <w:spacing w:after="0"/>
              <w:rPr>
                <w:sz w:val="20"/>
                <w:szCs w:val="20"/>
                <w:color w:val="auto"/>
              </w:rPr>
            </w:pPr>
            <w:r>
              <w:rPr>
                <w:rFonts w:ascii="Arial" w:cs="Arial" w:eastAsia="Arial" w:hAnsi="Arial"/>
                <w:sz w:val="14"/>
                <w:szCs w:val="14"/>
                <w:b w:val="1"/>
                <w:bCs w:val="1"/>
                <w:color w:val="FFFFFF"/>
              </w:rPr>
              <w:t>2022</w:t>
            </w:r>
          </w:p>
        </w:tc>
        <w:tc>
          <w:tcPr>
            <w:tcW w:w="400" w:type="dxa"/>
            <w:vAlign w:val="bottom"/>
            <w:shd w:val="clear" w:color="auto" w:fill="FF160F"/>
          </w:tcPr>
          <w:p>
            <w:pPr>
              <w:spacing w:after="0"/>
              <w:rPr>
                <w:sz w:val="14"/>
                <w:szCs w:val="14"/>
                <w:color w:val="auto"/>
              </w:rPr>
            </w:pPr>
          </w:p>
        </w:tc>
        <w:tc>
          <w:tcPr>
            <w:tcW w:w="1120" w:type="dxa"/>
            <w:vAlign w:val="bottom"/>
            <w:shd w:val="clear" w:color="auto" w:fill="FF160F"/>
          </w:tcPr>
          <w:p>
            <w:pPr>
              <w:jc w:val="right"/>
              <w:ind w:right="541"/>
              <w:spacing w:after="0"/>
              <w:rPr>
                <w:sz w:val="20"/>
                <w:szCs w:val="20"/>
                <w:color w:val="auto"/>
              </w:rPr>
            </w:pPr>
            <w:r>
              <w:rPr>
                <w:rFonts w:ascii="Arial" w:cs="Arial" w:eastAsia="Arial" w:hAnsi="Arial"/>
                <w:sz w:val="14"/>
                <w:szCs w:val="14"/>
                <w:b w:val="1"/>
                <w:bCs w:val="1"/>
                <w:color w:val="FFFFFF"/>
              </w:rPr>
              <w:t>2021</w:t>
            </w:r>
          </w:p>
        </w:tc>
        <w:tc>
          <w:tcPr>
            <w:tcW w:w="380" w:type="dxa"/>
            <w:vAlign w:val="bottom"/>
            <w:shd w:val="clear" w:color="auto" w:fill="FF160F"/>
          </w:tcPr>
          <w:p>
            <w:pPr>
              <w:spacing w:after="0"/>
              <w:rPr>
                <w:sz w:val="14"/>
                <w:szCs w:val="14"/>
                <w:color w:val="auto"/>
              </w:rPr>
            </w:pPr>
          </w:p>
        </w:tc>
        <w:tc>
          <w:tcPr>
            <w:tcW w:w="940" w:type="dxa"/>
            <w:vAlign w:val="bottom"/>
            <w:shd w:val="clear" w:color="auto" w:fill="FF160F"/>
          </w:tcPr>
          <w:p>
            <w:pPr>
              <w:jc w:val="right"/>
              <w:ind w:right="34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FF160F"/>
          </w:tcPr>
          <w:p>
            <w:pPr>
              <w:spacing w:after="0"/>
              <w:rPr>
                <w:sz w:val="14"/>
                <w:szCs w:val="14"/>
                <w:color w:val="auto"/>
              </w:rPr>
            </w:pP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Amounts reported under “Stock Awards” in SCT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(6,474,391)</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(5,213,719)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(5,830,493)</w:t>
            </w:r>
          </w:p>
        </w:tc>
      </w:tr>
      <w:tr>
        <w:trPr>
          <w:trHeight w:val="189"/>
        </w:trPr>
        <w:tc>
          <w:tcPr>
            <w:tcW w:w="6520" w:type="dxa"/>
            <w:vAlign w:val="bottom"/>
            <w:shd w:val="clear" w:color="auto" w:fill="D8D8D8"/>
          </w:tcPr>
          <w:p>
            <w:pPr>
              <w:spacing w:after="0"/>
              <w:rPr>
                <w:sz w:val="20"/>
                <w:szCs w:val="20"/>
                <w:color w:val="auto"/>
              </w:rPr>
            </w:pPr>
            <w:r>
              <w:rPr>
                <w:rFonts w:ascii="Arial" w:cs="Arial" w:eastAsia="Arial" w:hAnsi="Arial"/>
                <w:sz w:val="16"/>
                <w:szCs w:val="16"/>
                <w:color w:val="auto"/>
              </w:rPr>
              <w:t>Change Fair Value of Awards Granted in Year and Unvested as of Year-End</w:t>
            </w:r>
          </w:p>
        </w:tc>
        <w:tc>
          <w:tcPr>
            <w:tcW w:w="4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5,171,732</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101"/>
              <w:spacing w:after="0"/>
              <w:rPr>
                <w:sz w:val="20"/>
                <w:szCs w:val="20"/>
                <w:color w:val="auto"/>
              </w:rPr>
            </w:pPr>
            <w:r>
              <w:rPr>
                <w:rFonts w:ascii="Arial" w:cs="Arial" w:eastAsia="Arial" w:hAnsi="Arial"/>
                <w:sz w:val="16"/>
                <w:szCs w:val="16"/>
                <w:color w:val="auto"/>
              </w:rPr>
              <w:t>7,421,261</w:t>
            </w:r>
          </w:p>
        </w:tc>
        <w:tc>
          <w:tcPr>
            <w:tcW w:w="3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3,899,517</w:t>
            </w:r>
          </w:p>
        </w:tc>
      </w:tr>
      <w:tr>
        <w:trPr>
          <w:trHeight w:val="175"/>
        </w:trPr>
        <w:tc>
          <w:tcPr>
            <w:tcW w:w="6520" w:type="dxa"/>
            <w:vAlign w:val="bottom"/>
          </w:tcPr>
          <w:p>
            <w:pPr>
              <w:spacing w:after="0" w:line="175" w:lineRule="exact"/>
              <w:rPr>
                <w:sz w:val="20"/>
                <w:szCs w:val="20"/>
                <w:color w:val="auto"/>
              </w:rPr>
            </w:pPr>
            <w:r>
              <w:rPr>
                <w:rFonts w:ascii="Arial" w:cs="Arial" w:eastAsia="Arial" w:hAnsi="Arial"/>
                <w:sz w:val="16"/>
                <w:szCs w:val="16"/>
                <w:color w:val="auto"/>
              </w:rPr>
              <w:t>Change in Fair Value from Prior Year-End to Current Year-End of Awards Granted Prior to</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20" w:type="dxa"/>
            <w:vAlign w:val="bottom"/>
          </w:tcPr>
          <w:p>
            <w:pPr>
              <w:ind w:left="160"/>
              <w:spacing w:after="0"/>
              <w:rPr>
                <w:sz w:val="20"/>
                <w:szCs w:val="20"/>
                <w:color w:val="auto"/>
              </w:rPr>
            </w:pPr>
            <w:r>
              <w:rPr>
                <w:rFonts w:ascii="Arial" w:cs="Arial" w:eastAsia="Arial" w:hAnsi="Arial"/>
                <w:sz w:val="16"/>
                <w:szCs w:val="16"/>
                <w:color w:val="auto"/>
              </w:rPr>
              <w:t>Year that were Outstanding and Unvested as of Year-End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(1,546,034)</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4,544,000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(3,866,637)</w:t>
            </w:r>
          </w:p>
        </w:tc>
      </w:tr>
      <w:tr>
        <w:trPr>
          <w:trHeight w:val="175"/>
        </w:trPr>
        <w:tc>
          <w:tcPr>
            <w:tcW w:w="652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in Fair Value from Prior Year-End to Vesting Date of Awards Granted Prior to Year</w:t>
            </w:r>
          </w:p>
        </w:tc>
        <w:tc>
          <w:tcPr>
            <w:tcW w:w="2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120" w:type="dxa"/>
            <w:vAlign w:val="bottom"/>
            <w:shd w:val="clear" w:color="auto" w:fill="D8D8D8"/>
          </w:tcPr>
          <w:p>
            <w:pPr>
              <w:spacing w:after="0"/>
              <w:rPr>
                <w:sz w:val="15"/>
                <w:szCs w:val="15"/>
                <w:color w:val="auto"/>
              </w:rPr>
            </w:pPr>
          </w:p>
        </w:tc>
        <w:tc>
          <w:tcPr>
            <w:tcW w:w="38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6520" w:type="dxa"/>
            <w:vAlign w:val="bottom"/>
            <w:shd w:val="clear" w:color="auto" w:fill="D8D8D8"/>
          </w:tcPr>
          <w:p>
            <w:pPr>
              <w:ind w:left="160"/>
              <w:spacing w:after="0"/>
              <w:rPr>
                <w:sz w:val="20"/>
                <w:szCs w:val="20"/>
                <w:color w:val="auto"/>
              </w:rPr>
            </w:pPr>
            <w:r>
              <w:rPr>
                <w:rFonts w:ascii="Arial" w:cs="Arial" w:eastAsia="Arial" w:hAnsi="Arial"/>
                <w:sz w:val="16"/>
                <w:szCs w:val="16"/>
                <w:color w:val="auto"/>
              </w:rPr>
              <w:t>that Vested During Year</w:t>
            </w:r>
          </w:p>
        </w:tc>
        <w:tc>
          <w:tcPr>
            <w:tcW w:w="4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66,969</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101"/>
              <w:spacing w:after="0"/>
              <w:rPr>
                <w:sz w:val="20"/>
                <w:szCs w:val="20"/>
                <w:color w:val="auto"/>
              </w:rPr>
            </w:pPr>
            <w:r>
              <w:rPr>
                <w:rFonts w:ascii="Arial" w:cs="Arial" w:eastAsia="Arial" w:hAnsi="Arial"/>
                <w:sz w:val="16"/>
                <w:szCs w:val="16"/>
                <w:color w:val="auto"/>
              </w:rPr>
              <w:t>765,243</w:t>
            </w:r>
          </w:p>
        </w:tc>
        <w:tc>
          <w:tcPr>
            <w:tcW w:w="3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(223,600)</w:t>
            </w:r>
          </w:p>
        </w:tc>
      </w:tr>
      <w:tr>
        <w:trPr>
          <w:trHeight w:val="175"/>
        </w:trPr>
        <w:tc>
          <w:tcPr>
            <w:tcW w:w="6520" w:type="dxa"/>
            <w:vAlign w:val="bottom"/>
          </w:tcPr>
          <w:p>
            <w:pPr>
              <w:spacing w:after="0" w:line="175" w:lineRule="exact"/>
              <w:rPr>
                <w:sz w:val="20"/>
                <w:szCs w:val="20"/>
                <w:color w:val="auto"/>
              </w:rPr>
            </w:pPr>
            <w:r>
              <w:rPr>
                <w:rFonts w:ascii="Arial" w:cs="Arial" w:eastAsia="Arial" w:hAnsi="Arial"/>
                <w:sz w:val="16"/>
                <w:szCs w:val="16"/>
                <w:color w:val="auto"/>
              </w:rPr>
              <w:t>Increase based on Dividends or Other Earnings Paid During Year prior to Vesting Date of</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20" w:type="dxa"/>
            <w:vAlign w:val="bottom"/>
          </w:tcPr>
          <w:p>
            <w:pPr>
              <w:ind w:left="160"/>
              <w:spacing w:after="0"/>
              <w:rPr>
                <w:sz w:val="20"/>
                <w:szCs w:val="20"/>
                <w:color w:val="auto"/>
              </w:rPr>
            </w:pPr>
            <w:r>
              <w:rPr>
                <w:rFonts w:ascii="Arial" w:cs="Arial" w:eastAsia="Arial" w:hAnsi="Arial"/>
                <w:sz w:val="16"/>
                <w:szCs w:val="16"/>
                <w:color w:val="auto"/>
              </w:rPr>
              <w:t>Award</w:t>
            </w: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436,488</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409,008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371,631</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52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220" w:type="dxa"/>
            <w:vAlign w:val="bottom"/>
            <w:shd w:val="clear" w:color="auto" w:fill="D8D8D8"/>
          </w:tcPr>
          <w:p>
            <w:pPr>
              <w:spacing w:after="0"/>
              <w:rPr>
                <w:sz w:val="16"/>
                <w:szCs w:val="16"/>
                <w:color w:val="auto"/>
              </w:rPr>
            </w:pP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8D8D8"/>
          </w:tcPr>
          <w:p>
            <w:pPr>
              <w:jc w:val="right"/>
              <w:ind w:right="40"/>
              <w:spacing w:after="0"/>
              <w:rPr>
                <w:sz w:val="20"/>
                <w:szCs w:val="20"/>
                <w:color w:val="auto"/>
              </w:rPr>
            </w:pPr>
            <w:r>
              <w:rPr>
                <w:rFonts w:ascii="Arial" w:cs="Arial" w:eastAsia="Arial" w:hAnsi="Arial"/>
                <w:sz w:val="16"/>
                <w:szCs w:val="16"/>
                <w:b w:val="1"/>
                <w:bCs w:val="1"/>
                <w:color w:val="auto"/>
              </w:rPr>
              <w:t>(2,345,236)</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D8D8D8"/>
          </w:tcPr>
          <w:p>
            <w:pPr>
              <w:jc w:val="right"/>
              <w:ind w:right="101"/>
              <w:spacing w:after="0"/>
              <w:rPr>
                <w:sz w:val="20"/>
                <w:szCs w:val="20"/>
                <w:color w:val="auto"/>
              </w:rPr>
            </w:pPr>
            <w:r>
              <w:rPr>
                <w:rFonts w:ascii="Arial" w:cs="Arial" w:eastAsia="Arial" w:hAnsi="Arial"/>
                <w:sz w:val="16"/>
                <w:szCs w:val="16"/>
                <w:b w:val="1"/>
                <w:bCs w:val="1"/>
                <w:color w:val="auto"/>
              </w:rPr>
              <w:t>7,925,792</w:t>
            </w:r>
          </w:p>
        </w:tc>
        <w:tc>
          <w:tcPr>
            <w:tcW w:w="380" w:type="dxa"/>
            <w:vAlign w:val="bottom"/>
            <w:shd w:val="clear" w:color="auto" w:fill="D8D8D8"/>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b w:val="1"/>
                <w:bCs w:val="1"/>
                <w:color w:val="auto"/>
              </w:rPr>
              <w:t>(5,649,582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37" w:lineRule="auto"/>
        <w:tabs>
          <w:tab w:leader="none" w:pos="54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For 2020, our other NEOs included Mr. Guglielmone and Ms. Becker. For 2021 and 2022, our other NEOs included Mr. Berkes, Mr. Guglielmone and Ms. Becker. Following are the adjustments made during each year to arrive at the average compensation actually paid to our other NEOs during each year.</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shd w:val="clear" w:color="auto" w:fill="FF160F"/>
          </w:tcPr>
          <w:p>
            <w:pPr>
              <w:spacing w:after="0"/>
              <w:rPr>
                <w:sz w:val="14"/>
                <w:szCs w:val="14"/>
                <w:color w:val="auto"/>
              </w:rPr>
            </w:pPr>
          </w:p>
        </w:tc>
        <w:tc>
          <w:tcPr>
            <w:tcW w:w="22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1780" w:type="dxa"/>
            <w:vAlign w:val="bottom"/>
            <w:gridSpan w:val="2"/>
            <w:shd w:val="clear" w:color="auto" w:fill="FF160F"/>
          </w:tcPr>
          <w:p>
            <w:pPr>
              <w:jc w:val="right"/>
              <w:ind w:right="40"/>
              <w:spacing w:after="0"/>
              <w:rPr>
                <w:sz w:val="20"/>
                <w:szCs w:val="20"/>
                <w:color w:val="auto"/>
              </w:rPr>
            </w:pPr>
            <w:r>
              <w:rPr>
                <w:rFonts w:ascii="Arial" w:cs="Arial" w:eastAsia="Arial" w:hAnsi="Arial"/>
                <w:sz w:val="14"/>
                <w:szCs w:val="14"/>
                <w:b w:val="1"/>
                <w:bCs w:val="1"/>
                <w:color w:val="FFFFFF"/>
              </w:rPr>
              <w:t>Average of Other NEOs</w:t>
            </w:r>
          </w:p>
        </w:tc>
        <w:tc>
          <w:tcPr>
            <w:tcW w:w="36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162"/>
        </w:trPr>
        <w:tc>
          <w:tcPr>
            <w:tcW w:w="648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Adjustments</w:t>
            </w:r>
          </w:p>
        </w:tc>
        <w:tc>
          <w:tcPr>
            <w:tcW w:w="22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jc w:val="right"/>
              <w:ind w:right="440"/>
              <w:spacing w:after="0"/>
              <w:rPr>
                <w:sz w:val="20"/>
                <w:szCs w:val="20"/>
                <w:color w:val="auto"/>
              </w:rPr>
            </w:pPr>
            <w:r>
              <w:rPr>
                <w:rFonts w:ascii="Arial" w:cs="Arial" w:eastAsia="Arial" w:hAnsi="Arial"/>
                <w:sz w:val="14"/>
                <w:szCs w:val="14"/>
                <w:b w:val="1"/>
                <w:bCs w:val="1"/>
                <w:color w:val="FFFFFF"/>
              </w:rPr>
              <w:t>2022</w:t>
            </w:r>
          </w:p>
        </w:tc>
        <w:tc>
          <w:tcPr>
            <w:tcW w:w="520" w:type="dxa"/>
            <w:vAlign w:val="bottom"/>
            <w:shd w:val="clear" w:color="auto" w:fill="FF160F"/>
          </w:tcPr>
          <w:p>
            <w:pPr>
              <w:spacing w:after="0"/>
              <w:rPr>
                <w:sz w:val="14"/>
                <w:szCs w:val="14"/>
                <w:color w:val="auto"/>
              </w:rPr>
            </w:pPr>
          </w:p>
        </w:tc>
        <w:tc>
          <w:tcPr>
            <w:tcW w:w="1260" w:type="dxa"/>
            <w:vAlign w:val="bottom"/>
            <w:shd w:val="clear" w:color="auto" w:fill="FF160F"/>
          </w:tcPr>
          <w:p>
            <w:pPr>
              <w:jc w:val="right"/>
              <w:ind w:right="640"/>
              <w:spacing w:after="0"/>
              <w:rPr>
                <w:sz w:val="20"/>
                <w:szCs w:val="20"/>
                <w:color w:val="auto"/>
              </w:rPr>
            </w:pPr>
            <w:r>
              <w:rPr>
                <w:rFonts w:ascii="Arial" w:cs="Arial" w:eastAsia="Arial" w:hAnsi="Arial"/>
                <w:sz w:val="14"/>
                <w:szCs w:val="14"/>
                <w:b w:val="1"/>
                <w:bCs w:val="1"/>
                <w:color w:val="FFFFFF"/>
              </w:rPr>
              <w:t>2021</w:t>
            </w:r>
          </w:p>
        </w:tc>
        <w:tc>
          <w:tcPr>
            <w:tcW w:w="36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8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FF160F"/>
          </w:tcPr>
          <w:p>
            <w:pPr>
              <w:spacing w:after="0"/>
              <w:rPr>
                <w:sz w:val="14"/>
                <w:szCs w:val="14"/>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Amounts reported under “Stock Awards” in SCT</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(941,423)</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(1,903,744)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(863,272)</w:t>
            </w:r>
          </w:p>
        </w:tc>
      </w:tr>
      <w:tr>
        <w:trPr>
          <w:trHeight w:val="189"/>
        </w:trPr>
        <w:tc>
          <w:tcPr>
            <w:tcW w:w="6480" w:type="dxa"/>
            <w:vAlign w:val="bottom"/>
            <w:shd w:val="clear" w:color="auto" w:fill="D8D8D8"/>
          </w:tcPr>
          <w:p>
            <w:pPr>
              <w:spacing w:after="0"/>
              <w:rPr>
                <w:sz w:val="20"/>
                <w:szCs w:val="20"/>
                <w:color w:val="auto"/>
              </w:rPr>
            </w:pPr>
            <w:r>
              <w:rPr>
                <w:rFonts w:ascii="Arial" w:cs="Arial" w:eastAsia="Arial" w:hAnsi="Arial"/>
                <w:sz w:val="16"/>
                <w:szCs w:val="16"/>
                <w:color w:val="auto"/>
              </w:rPr>
              <w:t>Change Fair Value of Awards Granted in Year and Unvested as of Year-End</w:t>
            </w:r>
          </w:p>
        </w:tc>
        <w:tc>
          <w:tcPr>
            <w:tcW w:w="500" w:type="dxa"/>
            <w:vAlign w:val="bottom"/>
            <w:gridSpan w:val="2"/>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752,007</w:t>
            </w:r>
          </w:p>
        </w:tc>
        <w:tc>
          <w:tcPr>
            <w:tcW w:w="5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1,669,647</w:t>
            </w:r>
          </w:p>
        </w:tc>
        <w:tc>
          <w:tcPr>
            <w:tcW w:w="36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577,369</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Change in Fair Value from Prior Year-End to Current Year-End of Awards Granted Prior to</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480" w:type="dxa"/>
            <w:vAlign w:val="bottom"/>
          </w:tcPr>
          <w:p>
            <w:pPr>
              <w:ind w:left="160"/>
              <w:spacing w:after="0"/>
              <w:rPr>
                <w:sz w:val="20"/>
                <w:szCs w:val="20"/>
                <w:color w:val="auto"/>
              </w:rPr>
            </w:pPr>
            <w:r>
              <w:rPr>
                <w:rFonts w:ascii="Arial" w:cs="Arial" w:eastAsia="Arial" w:hAnsi="Arial"/>
                <w:sz w:val="16"/>
                <w:szCs w:val="16"/>
                <w:color w:val="auto"/>
              </w:rPr>
              <w:t>Year that were Outstanding and Unvested as of Year-End</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(433,020)</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1,024,717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(616,362)</w:t>
            </w:r>
          </w:p>
        </w:tc>
      </w:tr>
      <w:tr>
        <w:trPr>
          <w:trHeight w:val="175"/>
        </w:trPr>
        <w:tc>
          <w:tcPr>
            <w:tcW w:w="648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in Fair Value from Prior Year-End to Vesting Date of Awards Granted Prior to Year</w:t>
            </w:r>
          </w:p>
        </w:tc>
        <w:tc>
          <w:tcPr>
            <w:tcW w:w="22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520" w:type="dxa"/>
            <w:vAlign w:val="bottom"/>
            <w:shd w:val="clear" w:color="auto" w:fill="D8D8D8"/>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36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64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that Vested During Year</w:t>
            </w:r>
          </w:p>
        </w:tc>
        <w:tc>
          <w:tcPr>
            <w:tcW w:w="500" w:type="dxa"/>
            <w:vAlign w:val="bottom"/>
            <w:gridSpan w:val="2"/>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5,263</w:t>
            </w:r>
          </w:p>
        </w:tc>
        <w:tc>
          <w:tcPr>
            <w:tcW w:w="5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149,658</w:t>
            </w:r>
          </w:p>
        </w:tc>
        <w:tc>
          <w:tcPr>
            <w:tcW w:w="36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(51,710)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Increase based on Dividends or Other Earnings Paid During Year prior to Vesting Date of</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480" w:type="dxa"/>
            <w:vAlign w:val="bottom"/>
          </w:tcPr>
          <w:p>
            <w:pPr>
              <w:ind w:left="160"/>
              <w:spacing w:after="0"/>
              <w:rPr>
                <w:sz w:val="20"/>
                <w:szCs w:val="20"/>
                <w:color w:val="auto"/>
              </w:rPr>
            </w:pPr>
            <w:r>
              <w:rPr>
                <w:rFonts w:ascii="Arial" w:cs="Arial" w:eastAsia="Arial" w:hAnsi="Arial"/>
                <w:sz w:val="16"/>
                <w:szCs w:val="16"/>
                <w:color w:val="auto"/>
              </w:rPr>
              <w:t>Award</w:t>
            </w:r>
          </w:p>
        </w:tc>
        <w:tc>
          <w:tcPr>
            <w:tcW w:w="22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108,881</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103,048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60,114</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8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220" w:type="dxa"/>
            <w:vAlign w:val="bottom"/>
            <w:shd w:val="clear" w:color="auto" w:fill="D8D8D8"/>
          </w:tcPr>
          <w:p>
            <w:pPr>
              <w:spacing w:after="0"/>
              <w:rPr>
                <w:sz w:val="16"/>
                <w:szCs w:val="16"/>
                <w:color w:val="auto"/>
              </w:rPr>
            </w:pPr>
          </w:p>
        </w:tc>
        <w:tc>
          <w:tcPr>
            <w:tcW w:w="280" w:type="dxa"/>
            <w:vAlign w:val="bottom"/>
            <w:shd w:val="clear" w:color="auto" w:fill="D8D8D8"/>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(508,292)</w:t>
            </w:r>
          </w:p>
        </w:tc>
        <w:tc>
          <w:tcPr>
            <w:tcW w:w="520" w:type="dxa"/>
            <w:vAlign w:val="bottom"/>
            <w:shd w:val="clear" w:color="auto" w:fill="D8D8D8"/>
          </w:tcPr>
          <w:p>
            <w:pPr>
              <w:jc w:val="right"/>
              <w:ind w:right="12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8D8D8"/>
          </w:tcPr>
          <w:p>
            <w:pPr>
              <w:jc w:val="right"/>
              <w:ind w:right="120"/>
              <w:spacing w:after="0"/>
              <w:rPr>
                <w:sz w:val="20"/>
                <w:szCs w:val="20"/>
                <w:color w:val="auto"/>
              </w:rPr>
            </w:pPr>
            <w:r>
              <w:rPr>
                <w:rFonts w:ascii="Arial" w:cs="Arial" w:eastAsia="Arial" w:hAnsi="Arial"/>
                <w:sz w:val="16"/>
                <w:szCs w:val="16"/>
                <w:b w:val="1"/>
                <w:bCs w:val="1"/>
                <w:color w:val="auto"/>
              </w:rPr>
              <w:t>1,043,325</w:t>
            </w:r>
          </w:p>
        </w:tc>
        <w:tc>
          <w:tcPr>
            <w:tcW w:w="360" w:type="dxa"/>
            <w:vAlign w:val="bottom"/>
            <w:shd w:val="clear" w:color="auto" w:fill="D8D8D8"/>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(893,862)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0"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Peer group is the Bloomberg REIT Shopping Center Index (“BBRESHOP Index”).</w:t>
      </w:r>
    </w:p>
    <w:p>
      <w:pPr>
        <w:jc w:val="both"/>
        <w:ind w:left="540" w:right="20" w:hanging="424"/>
        <w:spacing w:after="0" w:line="239" w:lineRule="auto"/>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The Company has identified FFO per diluted share as the most important additional financial metric used to link pay and performance. Our annual bonus program pays out based on our absolute level of FFO per diluted share achieved for the year and one-third of our long-term incentive plan pays out based on a metric tied to FFO per diluted share. FFO per diluted share is a non-GAAP financial measure of a real estate company’s operating performance and is defined by the National Association of Real Estate Investment Trusts. We consider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FFO per diluted share to net income is included as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89535</wp:posOffset>
            </wp:positionV>
            <wp:extent cx="701230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9"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to Compensation Actually Paid</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to the total shareholder return for the Company and for the BBRESHOP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229225" cy="1560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2922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436"/>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Compensation actually paid is shown in thousands.</w:t>
      </w:r>
    </w:p>
    <w:p>
      <w:pPr>
        <w:spacing w:after="0" w:line="21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our GAAP reported net income and our FFO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297805" cy="1440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9780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436"/>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Net income is shown in ten thousands.</w:t>
      </w:r>
    </w:p>
    <w:p>
      <w:pPr>
        <w:spacing w:after="0" w:line="21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 our success in achieving that objective. This is a direct result of the high percentage of our NEO’s compensation that is paid in the form of Company shares and 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FFO per diluted share because FFO per diluted share metric is directly used only for our annual bonus plan which is a relatively modest portion of our NEO’s total compensation package and is a component of the calculation that determines only a third of our NEO’s awards under our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85725</wp:posOffset>
            </wp:positionV>
            <wp:extent cx="701230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38</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Important Financial Performance Measures for Executive Compensation</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Following is a list of the most important financial and non-financial measures used to link executive compensation and company performance.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 Return on invested capital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 Relative TSR compared to BBRESHOP</w:t>
      </w:r>
    </w:p>
    <w:p>
      <w:pPr>
        <w:ind w:left="560"/>
        <w:spacing w:after="0" w:line="234" w:lineRule="auto"/>
        <w:rPr>
          <w:sz w:val="20"/>
          <w:szCs w:val="20"/>
          <w:color w:val="auto"/>
        </w:rPr>
      </w:pPr>
      <w:r>
        <w:rPr>
          <w:rFonts w:ascii="Arial" w:cs="Arial" w:eastAsia="Arial" w:hAnsi="Arial"/>
          <w:sz w:val="18"/>
          <w:szCs w:val="18"/>
          <w:color w:val="auto"/>
        </w:rPr>
        <w:t>•    Relative FFO multiple premium</w:t>
      </w:r>
    </w:p>
    <w:p>
      <w:pPr>
        <w:spacing w:after="0" w:line="1" w:lineRule="exact"/>
        <w:rPr>
          <w:sz w:val="20"/>
          <w:szCs w:val="20"/>
          <w:color w:val="auto"/>
        </w:rPr>
      </w:pPr>
    </w:p>
    <w:p>
      <w:pPr>
        <w:ind w:left="840" w:hanging="269"/>
        <w:spacing w:after="0" w:line="250" w:lineRule="auto"/>
        <w:rPr>
          <w:sz w:val="20"/>
          <w:szCs w:val="20"/>
          <w:color w:val="auto"/>
        </w:rPr>
      </w:pPr>
      <w:r>
        <w:rPr>
          <w:rFonts w:ascii="Arial" w:cs="Arial" w:eastAsia="Arial" w:hAnsi="Arial"/>
          <w:sz w:val="18"/>
          <w:szCs w:val="18"/>
          <w:color w:val="auto"/>
        </w:rPr>
        <w:t>•   Individual performance including consideration of things such as leasing and occupancy activity, investment activity and advancement of ESG objectives</w:t>
      </w:r>
    </w:p>
    <w:p>
      <w:pPr>
        <w:spacing w:after="0" w:line="17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Please see the Compensation Discussion and Analysis on pages 19 to 29 for more information on these measures and how they are taken into account in determining compensation for each of our NEOs.</w:t>
      </w:r>
    </w:p>
    <w:p>
      <w:pPr>
        <w:spacing w:after="0" w:line="154" w:lineRule="exact"/>
        <w:rPr>
          <w:sz w:val="20"/>
          <w:szCs w:val="20"/>
          <w:color w:val="auto"/>
        </w:rPr>
      </w:pPr>
    </w:p>
    <w:p>
      <w:pPr>
        <w:ind w:left="460" w:hanging="344"/>
        <w:spacing w:after="0"/>
        <w:tabs>
          <w:tab w:leader="none" w:pos="460" w:val="left"/>
        </w:tabs>
        <w:numPr>
          <w:ilvl w:val="0"/>
          <w:numId w:val="84"/>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EQUITY COMPENSATION PLAN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on our only active equity compensation plan as of December 31, 2022.</w:t>
      </w:r>
    </w:p>
    <w:p>
      <w:pPr>
        <w:spacing w:after="0" w:line="249"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Number of securities</w:t>
            </w:r>
          </w:p>
        </w:tc>
        <w:tc>
          <w:tcPr>
            <w:tcW w:w="5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2040" w:type="dxa"/>
            <w:vAlign w:val="bottom"/>
            <w:tcBorders>
              <w:right w:val="single" w:sz="8" w:color="FF160F"/>
            </w:tcBorders>
            <w:shd w:val="clear" w:color="auto" w:fill="FF160F"/>
          </w:tcPr>
          <w:p>
            <w:pPr>
              <w:spacing w:after="0"/>
              <w:rPr>
                <w:sz w:val="14"/>
                <w:szCs w:val="14"/>
                <w:color w:val="auto"/>
              </w:rPr>
            </w:pP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to be issued upon</w:t>
            </w:r>
          </w:p>
        </w:tc>
        <w:tc>
          <w:tcPr>
            <w:tcW w:w="192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exercise of</w:t>
            </w:r>
          </w:p>
        </w:tc>
        <w:tc>
          <w:tcPr>
            <w:tcW w:w="192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outstanding options,</w:t>
            </w:r>
          </w:p>
        </w:tc>
        <w:tc>
          <w:tcPr>
            <w:tcW w:w="520" w:type="dxa"/>
            <w:vAlign w:val="bottom"/>
            <w:shd w:val="clear" w:color="auto" w:fill="FF160F"/>
          </w:tcPr>
          <w:p>
            <w:pPr>
              <w:spacing w:after="0"/>
              <w:rPr>
                <w:sz w:val="14"/>
                <w:szCs w:val="14"/>
                <w:color w:val="auto"/>
              </w:rPr>
            </w:pPr>
          </w:p>
        </w:tc>
        <w:tc>
          <w:tcPr>
            <w:tcW w:w="1400" w:type="dxa"/>
            <w:vAlign w:val="bottom"/>
            <w:shd w:val="clear" w:color="auto" w:fill="FF160F"/>
          </w:tcPr>
          <w:p>
            <w:pPr>
              <w:jc w:val="center"/>
              <w:ind w:right="384"/>
              <w:spacing w:after="0"/>
              <w:rPr>
                <w:sz w:val="20"/>
                <w:szCs w:val="20"/>
                <w:color w:val="auto"/>
              </w:rPr>
            </w:pPr>
            <w:r>
              <w:rPr>
                <w:rFonts w:ascii="Arial" w:cs="Arial" w:eastAsia="Arial" w:hAnsi="Arial"/>
                <w:sz w:val="14"/>
                <w:szCs w:val="14"/>
                <w:b w:val="1"/>
                <w:bCs w:val="1"/>
                <w:color w:val="FFFFFF"/>
              </w:rPr>
              <w:t>outstanding</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warrants and rights</w:t>
            </w:r>
          </w:p>
        </w:tc>
        <w:tc>
          <w:tcPr>
            <w:tcW w:w="1920" w:type="dxa"/>
            <w:vAlign w:val="bottom"/>
            <w:gridSpan w:val="2"/>
            <w:shd w:val="clear" w:color="auto" w:fill="FF160F"/>
          </w:tcPr>
          <w:p>
            <w:pPr>
              <w:jc w:val="center"/>
              <w:ind w:left="4"/>
              <w:spacing w:after="0"/>
              <w:rPr>
                <w:sz w:val="20"/>
                <w:szCs w:val="20"/>
                <w:color w:val="auto"/>
              </w:rPr>
            </w:pPr>
            <w:r>
              <w:rPr>
                <w:rFonts w:ascii="Arial" w:cs="Arial" w:eastAsia="Arial" w:hAnsi="Arial"/>
                <w:sz w:val="14"/>
                <w:szCs w:val="14"/>
                <w:b w:val="1"/>
                <w:bCs w:val="1"/>
                <w:color w:val="FFFFFF"/>
              </w:rPr>
              <w:t>options, warrants</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(excluding securities</w:t>
            </w:r>
          </w:p>
        </w:tc>
      </w:tr>
      <w:tr>
        <w:trPr>
          <w:trHeight w:val="171"/>
        </w:trPr>
        <w:tc>
          <w:tcPr>
            <w:tcW w:w="4580" w:type="dxa"/>
            <w:vAlign w:val="bottom"/>
            <w:tcBorders>
              <w:left w:val="single" w:sz="8" w:color="FF160F"/>
            </w:tcBorders>
            <w:shd w:val="clear" w:color="auto" w:fill="FF160F"/>
          </w:tcPr>
          <w:p>
            <w:pPr>
              <w:ind w:left="20"/>
              <w:spacing w:after="0"/>
              <w:rPr>
                <w:sz w:val="20"/>
                <w:szCs w:val="20"/>
                <w:color w:val="auto"/>
              </w:rPr>
            </w:pPr>
            <w:r>
              <w:rPr>
                <w:rFonts w:ascii="Arial" w:cs="Arial" w:eastAsia="Arial" w:hAnsi="Arial"/>
                <w:sz w:val="14"/>
                <w:szCs w:val="14"/>
                <w:b w:val="1"/>
                <w:bCs w:val="1"/>
                <w:color w:val="FFFFFF"/>
              </w:rPr>
              <w:t>Plan Category</w:t>
            </w: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(Column A)</w:t>
            </w:r>
          </w:p>
        </w:tc>
        <w:tc>
          <w:tcPr>
            <w:tcW w:w="520" w:type="dxa"/>
            <w:vAlign w:val="bottom"/>
            <w:shd w:val="clear" w:color="auto" w:fill="FF160F"/>
          </w:tcPr>
          <w:p>
            <w:pPr>
              <w:spacing w:after="0"/>
              <w:rPr>
                <w:sz w:val="14"/>
                <w:szCs w:val="14"/>
                <w:color w:val="auto"/>
              </w:rPr>
            </w:pPr>
          </w:p>
        </w:tc>
        <w:tc>
          <w:tcPr>
            <w:tcW w:w="1400" w:type="dxa"/>
            <w:vAlign w:val="bottom"/>
            <w:shd w:val="clear" w:color="auto" w:fill="FF160F"/>
          </w:tcPr>
          <w:p>
            <w:pPr>
              <w:jc w:val="center"/>
              <w:ind w:right="384"/>
              <w:spacing w:after="0"/>
              <w:rPr>
                <w:sz w:val="20"/>
                <w:szCs w:val="20"/>
                <w:color w:val="auto"/>
              </w:rPr>
            </w:pPr>
            <w:r>
              <w:rPr>
                <w:rFonts w:ascii="Arial" w:cs="Arial" w:eastAsia="Arial" w:hAnsi="Arial"/>
                <w:sz w:val="14"/>
                <w:szCs w:val="14"/>
                <w:b w:val="1"/>
                <w:bCs w:val="1"/>
                <w:color w:val="FFFFFF"/>
              </w:rPr>
              <w:t>and rights</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reflected in Column A)</w:t>
            </w:r>
          </w:p>
        </w:tc>
      </w:tr>
      <w:tr>
        <w:trPr>
          <w:trHeight w:val="175"/>
        </w:trPr>
        <w:tc>
          <w:tcPr>
            <w:tcW w:w="4580" w:type="dxa"/>
            <w:vAlign w:val="bottom"/>
            <w:tcBorders>
              <w:left w:val="single" w:sz="8" w:color="D8D8D8"/>
            </w:tcBorders>
            <w:shd w:val="clear" w:color="auto" w:fill="D8D8D8"/>
          </w:tcPr>
          <w:p>
            <w:pPr>
              <w:ind w:left="20"/>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500" w:type="dxa"/>
            <w:vAlign w:val="bottom"/>
          </w:tcPr>
          <w:p>
            <w:pPr>
              <w:jc w:val="right"/>
              <w:ind w:right="285"/>
              <w:spacing w:after="0" w:line="175" w:lineRule="exact"/>
              <w:rPr>
                <w:sz w:val="20"/>
                <w:szCs w:val="20"/>
                <w:color w:val="auto"/>
              </w:rPr>
            </w:pPr>
            <w:r>
              <w:rPr>
                <w:rFonts w:ascii="Arial" w:cs="Arial" w:eastAsia="Arial" w:hAnsi="Arial"/>
                <w:sz w:val="16"/>
                <w:szCs w:val="16"/>
                <w:color w:val="auto"/>
              </w:rPr>
              <w:t>1,829</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224"/>
              <w:spacing w:after="0" w:line="175" w:lineRule="exact"/>
              <w:rPr>
                <w:sz w:val="20"/>
                <w:szCs w:val="20"/>
                <w:color w:val="auto"/>
              </w:rPr>
            </w:pPr>
            <w:r>
              <w:rPr>
                <w:rFonts w:ascii="Arial" w:cs="Arial" w:eastAsia="Arial" w:hAnsi="Arial"/>
                <w:sz w:val="16"/>
                <w:szCs w:val="16"/>
                <w:color w:val="auto"/>
              </w:rPr>
              <w:t>95.77</w:t>
            </w:r>
          </w:p>
        </w:tc>
        <w:tc>
          <w:tcPr>
            <w:tcW w:w="2040" w:type="dxa"/>
            <w:vAlign w:val="bottom"/>
          </w:tcPr>
          <w:p>
            <w:pPr>
              <w:jc w:val="right"/>
              <w:spacing w:after="0" w:line="175" w:lineRule="exact"/>
              <w:rPr>
                <w:sz w:val="20"/>
                <w:szCs w:val="20"/>
                <w:color w:val="auto"/>
              </w:rPr>
            </w:pPr>
            <w:r>
              <w:rPr>
                <w:rFonts w:ascii="Arial" w:cs="Arial" w:eastAsia="Arial" w:hAnsi="Arial"/>
                <w:sz w:val="16"/>
                <w:szCs w:val="16"/>
                <w:color w:val="auto"/>
              </w:rPr>
              <w:t>1,455,029</w:t>
            </w:r>
          </w:p>
        </w:tc>
      </w:tr>
      <w:tr>
        <w:trPr>
          <w:trHeight w:val="203"/>
        </w:trPr>
        <w:tc>
          <w:tcPr>
            <w:tcW w:w="4580" w:type="dxa"/>
            <w:vAlign w:val="bottom"/>
            <w:tcBorders>
              <w:left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25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580" w:type="dxa"/>
            <w:vAlign w:val="bottom"/>
            <w:tcBorders>
              <w:left w:val="single" w:sz="8" w:color="D8D8D8"/>
            </w:tcBorders>
            <w:shd w:val="clear" w:color="auto" w:fill="D8D8D8"/>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500" w:type="dxa"/>
            <w:vAlign w:val="bottom"/>
          </w:tcPr>
          <w:p>
            <w:pPr>
              <w:jc w:val="right"/>
              <w:ind w:right="285"/>
              <w:spacing w:after="0" w:line="183" w:lineRule="exact"/>
              <w:rPr>
                <w:sz w:val="20"/>
                <w:szCs w:val="20"/>
                <w:color w:val="auto"/>
              </w:rPr>
            </w:pPr>
            <w:r>
              <w:rPr>
                <w:rFonts w:ascii="Arial" w:cs="Arial" w:eastAsia="Arial" w:hAnsi="Arial"/>
                <w:sz w:val="16"/>
                <w:szCs w:val="16"/>
                <w:b w:val="1"/>
                <w:bCs w:val="1"/>
                <w:color w:val="auto"/>
              </w:rPr>
              <w:t>1,829</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224"/>
              <w:spacing w:after="0" w:line="183" w:lineRule="exact"/>
              <w:rPr>
                <w:sz w:val="20"/>
                <w:szCs w:val="20"/>
                <w:color w:val="auto"/>
              </w:rPr>
            </w:pPr>
            <w:r>
              <w:rPr>
                <w:rFonts w:ascii="Arial" w:cs="Arial" w:eastAsia="Arial" w:hAnsi="Arial"/>
                <w:sz w:val="16"/>
                <w:szCs w:val="16"/>
                <w:b w:val="1"/>
                <w:bCs w:val="1"/>
                <w:color w:val="auto"/>
              </w:rPr>
              <w:t>95.77</w:t>
            </w:r>
          </w:p>
        </w:tc>
        <w:tc>
          <w:tcPr>
            <w:tcW w:w="2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1,455,029</w:t>
            </w:r>
          </w:p>
        </w:tc>
      </w:tr>
      <w:tr>
        <w:trPr>
          <w:trHeight w:val="155"/>
        </w:trPr>
        <w:tc>
          <w:tcPr>
            <w:tcW w:w="45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r>
      <w:tr>
        <w:trPr>
          <w:trHeight w:val="169"/>
        </w:trPr>
        <w:tc>
          <w:tcPr>
            <w:tcW w:w="4580" w:type="dxa"/>
            <w:vAlign w:val="bottom"/>
            <w:tcBorders>
              <w:left w:val="single" w:sz="8" w:color="auto"/>
              <w:bottom w:val="single" w:sz="8" w:color="auto"/>
            </w:tcBorders>
            <w:shd w:val="clear" w:color="auto" w:fill="EAEFED"/>
          </w:tcPr>
          <w:p>
            <w:pPr>
              <w:spacing w:after="0"/>
              <w:rPr>
                <w:sz w:val="14"/>
                <w:szCs w:val="14"/>
                <w:color w:val="auto"/>
              </w:rPr>
            </w:pPr>
          </w:p>
        </w:tc>
        <w:tc>
          <w:tcPr>
            <w:tcW w:w="2500" w:type="dxa"/>
            <w:vAlign w:val="bottom"/>
            <w:tcBorders>
              <w:bottom w:val="single" w:sz="8" w:color="auto"/>
            </w:tcBorders>
            <w:shd w:val="clear" w:color="auto" w:fill="EAEFED"/>
          </w:tcPr>
          <w:p>
            <w:pPr>
              <w:spacing w:after="0"/>
              <w:rPr>
                <w:sz w:val="14"/>
                <w:szCs w:val="14"/>
                <w:color w:val="auto"/>
              </w:rPr>
            </w:pPr>
          </w:p>
        </w:tc>
        <w:tc>
          <w:tcPr>
            <w:tcW w:w="520" w:type="dxa"/>
            <w:vAlign w:val="bottom"/>
            <w:tcBorders>
              <w:bottom w:val="single" w:sz="8" w:color="auto"/>
            </w:tcBorders>
            <w:shd w:val="clear" w:color="auto" w:fill="EAEFED"/>
          </w:tcPr>
          <w:p>
            <w:pPr>
              <w:spacing w:after="0"/>
              <w:rPr>
                <w:sz w:val="14"/>
                <w:szCs w:val="14"/>
                <w:color w:val="auto"/>
              </w:rPr>
            </w:pPr>
          </w:p>
        </w:tc>
        <w:tc>
          <w:tcPr>
            <w:tcW w:w="1400" w:type="dxa"/>
            <w:vAlign w:val="bottom"/>
            <w:tcBorders>
              <w:bottom w:val="single" w:sz="8" w:color="auto"/>
            </w:tcBorders>
            <w:shd w:val="clear" w:color="auto" w:fill="EAEFED"/>
          </w:tcPr>
          <w:p>
            <w:pPr>
              <w:jc w:val="right"/>
              <w:ind w:right="84"/>
              <w:spacing w:after="0"/>
              <w:rPr>
                <w:sz w:val="20"/>
                <w:szCs w:val="20"/>
                <w:color w:val="auto"/>
              </w:rPr>
            </w:pPr>
            <w:r>
              <w:rPr>
                <w:rFonts w:ascii="Arial" w:cs="Arial" w:eastAsia="Arial" w:hAnsi="Arial"/>
                <w:sz w:val="14"/>
                <w:szCs w:val="14"/>
                <w:color w:val="FF160F"/>
              </w:rPr>
              <w:t>Federal Realty</w:t>
            </w:r>
          </w:p>
        </w:tc>
        <w:tc>
          <w:tcPr>
            <w:tcW w:w="2040" w:type="dxa"/>
            <w:vAlign w:val="bottom"/>
            <w:tcBorders>
              <w:bottom w:val="single" w:sz="8" w:color="auto"/>
              <w:right w:val="single" w:sz="8" w:color="auto"/>
            </w:tcBorders>
            <w:shd w:val="clear" w:color="auto" w:fill="EAEFED"/>
          </w:tcPr>
          <w:p>
            <w:pPr>
              <w:jc w:val="right"/>
              <w:ind w:right="45"/>
              <w:spacing w:after="0"/>
              <w:rPr>
                <w:sz w:val="20"/>
                <w:szCs w:val="20"/>
                <w:color w:val="auto"/>
              </w:rPr>
            </w:pPr>
            <w:r>
              <w:rPr>
                <w:rFonts w:ascii="Arial" w:cs="Arial" w:eastAsia="Arial" w:hAnsi="Arial"/>
                <w:sz w:val="14"/>
                <w:szCs w:val="14"/>
                <w:color w:val="auto"/>
              </w:rPr>
              <w:t>2023 Proxy Statement  39</w:t>
            </w:r>
          </w:p>
        </w:tc>
      </w:tr>
    </w:tbl>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Proposal 3: Approving Frequency of Say on Pay Vote</w:t>
      </w:r>
    </w:p>
    <w:p>
      <w:pPr>
        <w:spacing w:after="0" w:line="23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You are being asked to vote, on an advisory, non-binding basis, how frequently we should conduct a non-binding shareholder advisory vote on the compensation of our NEOs. You can choose to hold that vote every one, two or three years or you can abstain from voting on this proposal. At our 2017 annual meeting, approximately 85% of the votes cast voted in favor of holding the say on pay vote annually. The Board recommends that shareholders again vote in favor of holding the say on pay vote annually. An “abstention” or broker “non-vote” will have no effect on the outcome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858000" cy="6261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00" cy="6261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an annual say on pay vote</w:t>
      </w:r>
    </w:p>
    <w:p>
      <w:pPr>
        <w:spacing w:after="0" w:line="200" w:lineRule="exact"/>
        <w:rPr>
          <w:sz w:val="20"/>
          <w:szCs w:val="20"/>
          <w:color w:val="auto"/>
        </w:rPr>
      </w:pPr>
    </w:p>
    <w:p>
      <w:pPr>
        <w:spacing w:after="0" w:line="36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frequency for holding an advisory vote on the compensation of our NEOs requires the affirmative vote of a majority of votes cast at the Annual Meeting, in person or by proxy. If no frequency option receives the foregoing vote, then we will consider the option that receives the highest number of votes cast to be the frequency recommended by shareholders. Please note that when casting a vote on this proposal, you will not be voting to approve or disapprove the Board of Trustees’ recommendation and even though this vote is not binding on the Compensation Committee, the Board and the Compensation Committee value the opinions of our shareholders and will review the results of this vote and take them into consideration in determining how often to conduct the shareholder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6" w:lineRule="exact"/>
        <w:rPr>
          <w:sz w:val="20"/>
          <w:szCs w:val="20"/>
          <w:color w:val="auto"/>
        </w:rPr>
      </w:pPr>
    </w:p>
    <w:p>
      <w:pPr>
        <w:ind w:left="220" w:right="20"/>
        <w:spacing w:after="0" w:line="298" w:lineRule="auto"/>
        <w:rPr>
          <w:sz w:val="20"/>
          <w:szCs w:val="20"/>
          <w:color w:val="auto"/>
        </w:rPr>
      </w:pPr>
      <w:r>
        <w:rPr>
          <w:rFonts w:ascii="Arial" w:cs="Arial" w:eastAsia="Arial" w:hAnsi="Arial"/>
          <w:sz w:val="32"/>
          <w:szCs w:val="32"/>
          <w:b w:val="1"/>
          <w:bCs w:val="1"/>
          <w:color w:val="auto"/>
        </w:rPr>
        <w:t>Proposal 4: Declaration of Trust Amendment to Increase Authorized Common Shares</w:t>
      </w:r>
    </w:p>
    <w:p>
      <w:pPr>
        <w:spacing w:after="0" w:line="70"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You are being asked to vote, on an advisory, non-binding basis, on amending our Declaration of Trust to increase the Company’s number of authorized Common Shares from 100 million to 200 million. As permitted under Maryland law, Section 6.1 of our Declaration of Trust allows our Board, without any action by our shareholders, to amend the Declaration of Trust to increase the aggregate number of Common Shares the Company has the authority to issue. Given the importance of the Company’s capital structure to the value of our shareholders’ investment, the Board believes it is appropriate to solicit feedback from our shareholders in connection with such an amendment.</w:t>
      </w:r>
    </w:p>
    <w:p>
      <w:pPr>
        <w:spacing w:after="0" w:line="16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As of March 13, 2023, XXXX of our Common Shares were issued and outstanding. In addition, an aggregate of approximately $2.85 million Common Shares are: (a) subject to outstanding equity awards, which include restricted shares, restricted share units, performance shares and options; and (b) reserved for future issuance in connection with the 2020 Performance Incentive Plan, the 2007 Employee Share Purchase Plan, the Dividend Reinvestment and Share Purchase Plan, conversion of our 5.417% Series 1 Cumulative Convertible Preferred Shares of Beneficial Interest, redemptions of downREIT units and our current at-the-market offering program.</w:t>
      </w:r>
    </w:p>
    <w:p>
      <w:pPr>
        <w:spacing w:after="0" w:line="17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Board has determined that it is advisable and in the best interests of the Company and our shareholders to amend our Declaration of Trust in order to have available on a timely basis additional authorized but unissued Common Shares in an amount adequate to provide for our future needs, which may include possible equity financings, opportunities for expanding our business through acquisitions, development or other investments, management incentives and employee benefit plans, stock dividends or stock splits, and for other general corporate purposes. The increase in our authorized Common Shares will become effective upon the filing of the Articles of Amendment to our Declaration of Trust with, and acceptance for record by, the Maryland State Department of Assessments and Taxation. To maintain our status as a real estate investment trust, we are required to distribute annually at least 90% of our taxable income as dividends to our shareholders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01230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historically, our policy has been to distribute 100% of our taxable income. Without the ability to retain a significant amount of working capital generated by our operations, we have to access both the debt and equity capital markets on a regular basis to fund the investment activities that are critical to increasing the value of the Company over time. If we do not increase the number of authorized common shares, we may limit our ability to make the investments needed to create long-term value. The authorized number of Common Shares under our Declaration of Trust has not been changed since 1999.</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Company’s issuance of Common Shares may dilute the equity ownership position of current holders of Common Shares and may be made without shareholder approval, unless otherwise required by applicable law or the NYSE.</w:t>
      </w:r>
    </w:p>
    <w:p>
      <w:pPr>
        <w:spacing w:after="0" w:line="15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issuance of additional Common Shares could have a takeover defense effect, although this is not the intent of our Board in proposing the amendment. For instance, shares of our authorized but unissued Common Shares could be issued in one or more transactions that could have the effect of delaying, deferring or preventing a change in control of our Company. As of the date of this Proxy Statement, we are not aware of any attempt or plan to obtain control of us.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holders of Common Shares of beneficial interest have no preemptive rights, and our Board has no plans to grant such rights with respect to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858000" cy="6261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00" cy="626110"/>
                    </a:xfrm>
                    <a:prstGeom prst="rect">
                      <a:avLst/>
                    </a:prstGeom>
                    <a:noFill/>
                  </pic:spPr>
                </pic:pic>
              </a:graphicData>
            </a:graphic>
          </wp:anchor>
        </w:drawing>
      </w:r>
    </w:p>
    <w:p>
      <w:pPr>
        <w:spacing w:after="0" w:line="357" w:lineRule="exact"/>
        <w:rPr>
          <w:sz w:val="20"/>
          <w:szCs w:val="20"/>
          <w:color w:val="auto"/>
        </w:rPr>
      </w:pPr>
    </w:p>
    <w:p>
      <w:pPr>
        <w:ind w:left="1180" w:right="380"/>
        <w:spacing w:after="0" w:line="286" w:lineRule="auto"/>
        <w:rPr>
          <w:sz w:val="20"/>
          <w:szCs w:val="20"/>
          <w:color w:val="auto"/>
        </w:rPr>
      </w:pPr>
      <w:r>
        <w:rPr>
          <w:rFonts w:ascii="Arial" w:cs="Arial" w:eastAsia="Arial" w:hAnsi="Arial"/>
          <w:sz w:val="25"/>
          <w:szCs w:val="25"/>
          <w:color w:val="auto"/>
        </w:rPr>
        <w:t xml:space="preserve">Our Board unanimously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non-binding, advisory approval of an amendment to increase the number of authorized Common Shares</w:t>
      </w:r>
    </w:p>
    <w:p>
      <w:pPr>
        <w:spacing w:after="0" w:line="31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Although this vote is not binding on the Board, the Board values the opinions of our shareholders and will consider the results of this vote. In the event our shareholders do not approve this amendment to increase our authorized Common Shares, the Board may delay effecting the amendment, effect a different amendment, or, in its discretion, proceed with the amendment as proposed if it determines that it is necessary or appropriate to do so.</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25" w:lineRule="exact"/>
        <w:rPr>
          <w:sz w:val="20"/>
          <w:szCs w:val="20"/>
          <w:color w:val="auto"/>
        </w:rPr>
      </w:pPr>
    </w:p>
    <w:p>
      <w:pPr>
        <w:ind w:left="220"/>
        <w:spacing w:after="0" w:line="298" w:lineRule="auto"/>
        <w:rPr>
          <w:sz w:val="20"/>
          <w:szCs w:val="20"/>
          <w:color w:val="auto"/>
        </w:rPr>
      </w:pPr>
      <w:r>
        <w:rPr>
          <w:rFonts w:ascii="Arial" w:cs="Arial" w:eastAsia="Arial" w:hAnsi="Arial"/>
          <w:sz w:val="32"/>
          <w:szCs w:val="32"/>
          <w:b w:val="1"/>
          <w:bCs w:val="1"/>
          <w:color w:val="auto"/>
        </w:rPr>
        <w:t>Proposal 5: Ratification of Independent Registered Public Accounting Firm</w:t>
      </w:r>
    </w:p>
    <w:p>
      <w:pPr>
        <w:spacing w:after="0" w:line="7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2023.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2022 and 2021:</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520" w:type="dxa"/>
            <w:vAlign w:val="bottom"/>
            <w:shd w:val="clear" w:color="auto" w:fill="FF160F"/>
          </w:tcPr>
          <w:p>
            <w:pPr>
              <w:spacing w:after="0"/>
              <w:rPr>
                <w:sz w:val="17"/>
                <w:szCs w:val="17"/>
                <w:color w:val="auto"/>
              </w:rPr>
            </w:pPr>
          </w:p>
        </w:tc>
        <w:tc>
          <w:tcPr>
            <w:tcW w:w="500" w:type="dxa"/>
            <w:vAlign w:val="bottom"/>
            <w:shd w:val="clear" w:color="auto" w:fill="FF160F"/>
          </w:tcPr>
          <w:p>
            <w:pPr>
              <w:spacing w:after="0"/>
              <w:rPr>
                <w:sz w:val="17"/>
                <w:szCs w:val="17"/>
                <w:color w:val="auto"/>
              </w:rPr>
            </w:pPr>
          </w:p>
        </w:tc>
        <w:tc>
          <w:tcPr>
            <w:tcW w:w="1020" w:type="dxa"/>
            <w:vAlign w:val="bottom"/>
            <w:shd w:val="clear" w:color="auto" w:fill="FF160F"/>
          </w:tcPr>
          <w:p>
            <w:pPr>
              <w:jc w:val="right"/>
              <w:ind w:right="30"/>
              <w:spacing w:after="0"/>
              <w:rPr>
                <w:sz w:val="20"/>
                <w:szCs w:val="20"/>
                <w:color w:val="auto"/>
              </w:rPr>
            </w:pPr>
            <w:r>
              <w:rPr>
                <w:rFonts w:ascii="Arial" w:cs="Arial" w:eastAsia="Arial" w:hAnsi="Arial"/>
                <w:sz w:val="18"/>
                <w:szCs w:val="18"/>
                <w:b w:val="1"/>
                <w:bCs w:val="1"/>
                <w:color w:val="FFFFFF"/>
              </w:rPr>
              <w:t>2022</w:t>
            </w:r>
          </w:p>
        </w:tc>
        <w:tc>
          <w:tcPr>
            <w:tcW w:w="320" w:type="dxa"/>
            <w:vAlign w:val="bottom"/>
            <w:shd w:val="clear" w:color="auto" w:fill="FF160F"/>
          </w:tcPr>
          <w:p>
            <w:pPr>
              <w:spacing w:after="0"/>
              <w:rPr>
                <w:sz w:val="17"/>
                <w:szCs w:val="17"/>
                <w:color w:val="auto"/>
              </w:rPr>
            </w:pPr>
          </w:p>
        </w:tc>
        <w:tc>
          <w:tcPr>
            <w:tcW w:w="100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2021</w:t>
            </w:r>
          </w:p>
        </w:tc>
      </w:tr>
      <w:tr>
        <w:trPr>
          <w:trHeight w:val="184"/>
        </w:trPr>
        <w:tc>
          <w:tcPr>
            <w:tcW w:w="652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Audit Fees</w:t>
            </w:r>
            <w:r>
              <w:rPr>
                <w:rFonts w:ascii="Arial" w:cs="Arial" w:eastAsia="Arial" w:hAnsi="Arial"/>
                <w:sz w:val="21"/>
                <w:szCs w:val="21"/>
                <w:color w:val="auto"/>
                <w:vertAlign w:val="superscript"/>
              </w:rPr>
              <w:t>(1)</w:t>
            </w:r>
          </w:p>
        </w:tc>
        <w:tc>
          <w:tcPr>
            <w:tcW w:w="5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930,131</w:t>
            </w:r>
          </w:p>
        </w:tc>
        <w:tc>
          <w:tcPr>
            <w:tcW w:w="3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974,141</w:t>
            </w:r>
          </w:p>
        </w:tc>
      </w:tr>
      <w:tr>
        <w:trPr>
          <w:trHeight w:val="203"/>
        </w:trPr>
        <w:tc>
          <w:tcPr>
            <w:tcW w:w="652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tc>
        <w:tc>
          <w:tcPr>
            <w:tcW w:w="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70,925</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64,050</w:t>
            </w:r>
          </w:p>
        </w:tc>
      </w:tr>
      <w:tr>
        <w:trPr>
          <w:trHeight w:val="203"/>
        </w:trPr>
        <w:tc>
          <w:tcPr>
            <w:tcW w:w="652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Tax Fees</w:t>
            </w:r>
            <w:r>
              <w:rPr>
                <w:rFonts w:ascii="Arial" w:cs="Arial" w:eastAsia="Arial" w:hAnsi="Arial"/>
                <w:sz w:val="23"/>
                <w:szCs w:val="23"/>
                <w:color w:val="auto"/>
                <w:vertAlign w:val="superscript"/>
              </w:rPr>
              <w:t>(3)</w:t>
            </w:r>
          </w:p>
        </w:tc>
        <w:tc>
          <w:tcPr>
            <w:tcW w:w="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248,005</w:t>
            </w:r>
          </w:p>
        </w:tc>
      </w:tr>
      <w:tr>
        <w:trPr>
          <w:trHeight w:val="221"/>
        </w:trPr>
        <w:tc>
          <w:tcPr>
            <w:tcW w:w="65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All Other Fees</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4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1,001,056</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1,286,196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1226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1" w:lineRule="exact"/>
        <w:rPr>
          <w:sz w:val="20"/>
          <w:szCs w:val="20"/>
          <w:color w:val="auto"/>
        </w:rPr>
      </w:pPr>
    </w:p>
    <w:p>
      <w:pPr>
        <w:jc w:val="both"/>
        <w:ind w:left="660" w:right="20" w:hanging="436"/>
        <w:spacing w:after="0" w:line="217" w:lineRule="auto"/>
        <w:tabs>
          <w:tab w:leader="none" w:pos="660"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ind w:left="660" w:hanging="436"/>
        <w:spacing w:after="0" w:line="197" w:lineRule="auto"/>
        <w:tabs>
          <w:tab w:leader="none" w:pos="660"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Audit-related fees primarily include the audit of our employee benefit plan, which are paid by the plan and not the Company, and certain property level audits.</w:t>
      </w:r>
    </w:p>
    <w:p>
      <w:pPr>
        <w:ind w:left="660" w:right="20" w:hanging="436"/>
        <w:spacing w:after="0" w:line="202" w:lineRule="auto"/>
        <w:tabs>
          <w:tab w:leader="none" w:pos="660"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The amount shown for 2021 relates solely to tax compliance and preparation, including the preparation of original and amended tax returns and refund claims and tax payment planning.</w:t>
      </w:r>
    </w:p>
    <w:p>
      <w:pPr>
        <w:spacing w:after="0" w:line="18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625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03415" cy="625475"/>
                    </a:xfrm>
                    <a:prstGeom prst="rect">
                      <a:avLst/>
                    </a:prstGeom>
                    <a:noFill/>
                  </pic:spPr>
                </pic:pic>
              </a:graphicData>
            </a:graphic>
          </wp:anchor>
        </w:drawing>
      </w:r>
    </w:p>
    <w:p>
      <w:pPr>
        <w:spacing w:after="0" w:line="357" w:lineRule="exact"/>
        <w:rPr>
          <w:sz w:val="20"/>
          <w:szCs w:val="20"/>
          <w:color w:val="auto"/>
        </w:rPr>
      </w:pPr>
    </w:p>
    <w:p>
      <w:pPr>
        <w:ind w:left="1200" w:right="140"/>
        <w:spacing w:after="0" w:line="286" w:lineRule="auto"/>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ratification of the appointment of GT as our independent registered public accounting firm for fiscal year 2023</w:t>
      </w:r>
    </w:p>
    <w:p>
      <w:pPr>
        <w:spacing w:after="0" w:line="346" w:lineRule="exact"/>
        <w:rPr>
          <w:sz w:val="20"/>
          <w:szCs w:val="20"/>
          <w:color w:val="auto"/>
        </w:rPr>
      </w:pPr>
    </w:p>
    <w:p>
      <w:pPr>
        <w:ind w:left="540" w:hanging="424"/>
        <w:spacing w:after="0"/>
        <w:tabs>
          <w:tab w:leader="none" w:pos="540" w:val="left"/>
        </w:tabs>
        <w:numPr>
          <w:ilvl w:val="0"/>
          <w:numId w:val="8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AUDIT COMMITTEE REPORT</w:t>
      </w:r>
    </w:p>
    <w:p>
      <w:pPr>
        <w:spacing w:after="0" w:line="106" w:lineRule="exact"/>
        <w:rPr>
          <w:sz w:val="20"/>
          <w:szCs w:val="20"/>
          <w:color w:val="auto"/>
        </w:rPr>
      </w:pPr>
    </w:p>
    <w:p>
      <w:pPr>
        <w:jc w:val="both"/>
        <w:ind w:left="120"/>
        <w:spacing w:after="0" w:line="252"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6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In 2022, the Audit Committee met four times and each meeting included an executive session with our independent registered public accounting firm and no members of management present.</w:t>
      </w:r>
    </w:p>
    <w:p>
      <w:pPr>
        <w:spacing w:after="0" w:line="17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2022 and one meeting included an executive session with PwC with no members of GT or management present. GT is responsible for auditing the consolidated financial statements of the Company and expressing an opinion on the financial statements and the effectiveness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85725</wp:posOffset>
            </wp:positionV>
            <wp:extent cx="701230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2022, as part of its oversight function, the Audit Committee:</w:t>
      </w:r>
    </w:p>
    <w:p>
      <w:pPr>
        <w:spacing w:after="0" w:line="239" w:lineRule="exact"/>
        <w:rPr>
          <w:sz w:val="20"/>
          <w:szCs w:val="20"/>
          <w:color w:val="auto"/>
        </w:rPr>
      </w:pPr>
    </w:p>
    <w:p>
      <w:pPr>
        <w:ind w:left="1420" w:hanging="427"/>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Met with management and GT and discussed the Company’s December 31, 2022 audited financial statements;</w:t>
      </w:r>
    </w:p>
    <w:p>
      <w:pPr>
        <w:spacing w:after="0" w:line="238" w:lineRule="exact"/>
        <w:rPr>
          <w:rFonts w:ascii="Arial" w:cs="Arial" w:eastAsia="Arial" w:hAnsi="Arial"/>
          <w:sz w:val="18"/>
          <w:szCs w:val="18"/>
          <w:color w:val="auto"/>
        </w:rPr>
      </w:pPr>
    </w:p>
    <w:p>
      <w:pPr>
        <w:jc w:val="both"/>
        <w:ind w:left="1420" w:right="20" w:hanging="427"/>
        <w:spacing w:after="0" w:line="24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Selected a new partner at GT to oversee the audit of the Company’s financial statements beginning with fiscal year 2023, consistent with the legal requirement to change audit partners at least every 5 years. The new GT audit partner has extensive experience auditing real estate investment trusts and has never been part of the GT team auditing the Company;</w:t>
      </w:r>
    </w:p>
    <w:p>
      <w:pPr>
        <w:spacing w:after="0" w:line="20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Discussed with GT the matters required to be discussed by the applicable requirements of the Public Company Accounting Oversight Board (“PCAOB”) and the SEC;</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80" w:lineRule="exact"/>
        <w:rPr>
          <w:rFonts w:ascii="Arial" w:cs="Arial" w:eastAsia="Arial" w:hAnsi="Arial"/>
          <w:sz w:val="18"/>
          <w:szCs w:val="18"/>
          <w:color w:val="auto"/>
        </w:rPr>
      </w:pPr>
    </w:p>
    <w:p>
      <w:pPr>
        <w:jc w:val="both"/>
        <w:ind w:left="1420" w:right="20" w:hanging="427"/>
        <w:spacing w:after="0" w:line="25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GT required by applicable requirements of the PCAOB regarding GT’s communications with the audit committee concerning independence, and has discussed with GT regarding its independence;</w:t>
      </w:r>
    </w:p>
    <w:p>
      <w:pPr>
        <w:spacing w:after="0" w:line="195"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Approved management’s request to remove tax compliance and preparation from the scope of services provided by GT; and</w:t>
      </w:r>
    </w:p>
    <w:p>
      <w:pPr>
        <w:spacing w:after="0" w:line="180" w:lineRule="exact"/>
        <w:rPr>
          <w:rFonts w:ascii="Arial" w:cs="Arial" w:eastAsia="Arial" w:hAnsi="Arial"/>
          <w:sz w:val="18"/>
          <w:szCs w:val="18"/>
          <w:color w:val="auto"/>
        </w:rPr>
      </w:pPr>
    </w:p>
    <w:p>
      <w:pPr>
        <w:jc w:val="both"/>
        <w:ind w:left="1420" w:right="20" w:hanging="427"/>
        <w:spacing w:after="0" w:line="24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part of the Committee’s quarterly review of internal controls, the Committee discussed with management cybersecurity threats, cybersecurity training and ongoing areas of focus of management in protecting against cyber breaches. During those quarterly reviews in 2022, the Committee was advised that there were no breaches and that cybersecurity insurance had been procured.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2022 for filing with the SEC.</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ind w:left="120"/>
        <w:spacing w:after="0" w:line="234"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P. Nader,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92075</wp:posOffset>
            </wp:positionV>
            <wp:extent cx="701230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4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Beneficial Ownership</w:t>
      </w:r>
    </w:p>
    <w:p>
      <w:pPr>
        <w:spacing w:after="0" w:line="264" w:lineRule="exact"/>
        <w:rPr>
          <w:sz w:val="20"/>
          <w:szCs w:val="20"/>
          <w:color w:val="auto"/>
        </w:rPr>
      </w:pPr>
    </w:p>
    <w:p>
      <w:pPr>
        <w:ind w:left="540" w:hanging="424"/>
        <w:spacing w:after="0"/>
        <w:tabs>
          <w:tab w:leader="none" w:pos="540" w:val="left"/>
        </w:tabs>
        <w:numPr>
          <w:ilvl w:val="0"/>
          <w:numId w:val="8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OWNERSHIP OF PRINCIPAL SHAREHOLDERS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4420" w:type="dxa"/>
            <w:vAlign w:val="bottom"/>
            <w:shd w:val="clear" w:color="auto" w:fill="FF160F"/>
          </w:tcPr>
          <w:p>
            <w:pPr>
              <w:spacing w:after="0"/>
              <w:rPr>
                <w:sz w:val="18"/>
                <w:szCs w:val="18"/>
                <w:color w:val="auto"/>
              </w:rPr>
            </w:pPr>
          </w:p>
        </w:tc>
        <w:tc>
          <w:tcPr>
            <w:tcW w:w="3640" w:type="dxa"/>
            <w:vAlign w:val="bottom"/>
            <w:shd w:val="clear" w:color="auto" w:fill="FF160F"/>
          </w:tcPr>
          <w:p>
            <w:pPr>
              <w:jc w:val="right"/>
              <w:ind w:right="270"/>
              <w:spacing w:after="0"/>
              <w:rPr>
                <w:sz w:val="20"/>
                <w:szCs w:val="20"/>
                <w:color w:val="auto"/>
              </w:rPr>
            </w:pPr>
            <w:r>
              <w:rPr>
                <w:rFonts w:ascii="Arial" w:cs="Arial" w:eastAsia="Arial" w:hAnsi="Arial"/>
                <w:sz w:val="18"/>
                <w:szCs w:val="18"/>
                <w:b w:val="1"/>
                <w:bCs w:val="1"/>
                <w:color w:val="FFFFFF"/>
              </w:rPr>
              <w:t>Amount and Nature of</w:t>
            </w:r>
          </w:p>
        </w:tc>
        <w:tc>
          <w:tcPr>
            <w:tcW w:w="2960" w:type="dxa"/>
            <w:vAlign w:val="bottom"/>
            <w:shd w:val="clear" w:color="auto" w:fill="FF160F"/>
          </w:tcPr>
          <w:p>
            <w:pPr>
              <w:jc w:val="right"/>
              <w:ind w:right="770"/>
              <w:spacing w:after="0"/>
              <w:rPr>
                <w:sz w:val="20"/>
                <w:szCs w:val="20"/>
                <w:color w:val="auto"/>
              </w:rPr>
            </w:pPr>
            <w:r>
              <w:rPr>
                <w:rFonts w:ascii="Arial" w:cs="Arial" w:eastAsia="Arial" w:hAnsi="Arial"/>
                <w:sz w:val="18"/>
                <w:szCs w:val="18"/>
                <w:b w:val="1"/>
                <w:bCs w:val="1"/>
                <w:color w:val="FFFFFF"/>
              </w:rPr>
              <w:t>Percentage of Our</w:t>
            </w:r>
          </w:p>
        </w:tc>
      </w:tr>
      <w:tr>
        <w:trPr>
          <w:trHeight w:val="221"/>
        </w:trPr>
        <w:tc>
          <w:tcPr>
            <w:tcW w:w="442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 and Address of Beneficial Owner</w:t>
            </w:r>
          </w:p>
        </w:tc>
        <w:tc>
          <w:tcPr>
            <w:tcW w:w="3640" w:type="dxa"/>
            <w:vAlign w:val="bottom"/>
            <w:shd w:val="clear" w:color="auto" w:fill="FF160F"/>
          </w:tcPr>
          <w:p>
            <w:pPr>
              <w:jc w:val="right"/>
              <w:ind w:right="310"/>
              <w:spacing w:after="0"/>
              <w:rPr>
                <w:sz w:val="20"/>
                <w:szCs w:val="20"/>
                <w:color w:val="auto"/>
              </w:rPr>
            </w:pPr>
            <w:r>
              <w:rPr>
                <w:rFonts w:ascii="Arial" w:cs="Arial" w:eastAsia="Arial" w:hAnsi="Arial"/>
                <w:sz w:val="18"/>
                <w:szCs w:val="18"/>
                <w:b w:val="1"/>
                <w:bCs w:val="1"/>
                <w:color w:val="FFFFFF"/>
              </w:rPr>
              <w:t>Beneficial Ownership</w:t>
            </w:r>
          </w:p>
        </w:tc>
        <w:tc>
          <w:tcPr>
            <w:tcW w:w="2960" w:type="dxa"/>
            <w:vAlign w:val="bottom"/>
            <w:shd w:val="clear" w:color="auto" w:fill="FF160F"/>
          </w:tcPr>
          <w:p>
            <w:pPr>
              <w:jc w:val="right"/>
              <w:ind w:right="610"/>
              <w:spacing w:after="0" w:line="221" w:lineRule="exact"/>
              <w:rPr>
                <w:sz w:val="20"/>
                <w:szCs w:val="20"/>
                <w:color w:val="auto"/>
              </w:rPr>
            </w:pPr>
            <w:r>
              <w:rPr>
                <w:rFonts w:ascii="Arial" w:cs="Arial" w:eastAsia="Arial" w:hAnsi="Arial"/>
                <w:sz w:val="17"/>
                <w:szCs w:val="17"/>
                <w:b w:val="1"/>
                <w:bCs w:val="1"/>
                <w:color w:val="FFFFFF"/>
              </w:rPr>
              <w:t>Outstanding Shares</w:t>
            </w:r>
            <w:r>
              <w:rPr>
                <w:rFonts w:ascii="Arial" w:cs="Arial" w:eastAsia="Arial" w:hAnsi="Arial"/>
                <w:sz w:val="25"/>
                <w:szCs w:val="25"/>
                <w:b w:val="1"/>
                <w:bCs w:val="1"/>
                <w:color w:val="FFFFFF"/>
                <w:vertAlign w:val="superscript"/>
              </w:rPr>
              <w:t>(1)</w:t>
            </w:r>
          </w:p>
        </w:tc>
      </w:tr>
      <w:tr>
        <w:trPr>
          <w:trHeight w:val="184"/>
        </w:trPr>
        <w:tc>
          <w:tcPr>
            <w:tcW w:w="442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1"/>
                <w:szCs w:val="21"/>
                <w:color w:val="auto"/>
                <w:vertAlign w:val="superscript"/>
              </w:rPr>
              <w:t>.(2)</w:t>
            </w:r>
          </w:p>
        </w:tc>
        <w:tc>
          <w:tcPr>
            <w:tcW w:w="364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12,802,837</w:t>
            </w:r>
          </w:p>
        </w:tc>
        <w:tc>
          <w:tcPr>
            <w:tcW w:w="2960" w:type="dxa"/>
            <w:vAlign w:val="bottom"/>
          </w:tcPr>
          <w:p>
            <w:pPr>
              <w:jc w:val="right"/>
              <w:ind w:right="610"/>
              <w:spacing w:after="0" w:line="183"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100 Vanguard Blvd.</w:t>
            </w:r>
          </w:p>
        </w:tc>
        <w:tc>
          <w:tcPr>
            <w:tcW w:w="3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1"/>
        </w:trPr>
        <w:tc>
          <w:tcPr>
            <w:tcW w:w="44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Malvern, PA 19355</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177"/>
        </w:trPr>
        <w:tc>
          <w:tcPr>
            <w:tcW w:w="442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0"/>
                <w:szCs w:val="20"/>
                <w:color w:val="auto"/>
                <w:vertAlign w:val="superscript"/>
              </w:rPr>
              <w:t>(3)</w:t>
            </w:r>
          </w:p>
        </w:tc>
        <w:tc>
          <w:tcPr>
            <w:tcW w:w="3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10,198,880</w:t>
            </w:r>
          </w:p>
        </w:tc>
        <w:tc>
          <w:tcPr>
            <w:tcW w:w="2960" w:type="dxa"/>
            <w:vAlign w:val="bottom"/>
          </w:tcPr>
          <w:p>
            <w:pPr>
              <w:jc w:val="right"/>
              <w:ind w:right="610"/>
              <w:spacing w:after="0" w:line="177"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State Street Financial Center, One Lincoln Street</w:t>
            </w:r>
          </w:p>
        </w:tc>
        <w:tc>
          <w:tcPr>
            <w:tcW w:w="3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1"/>
        </w:trPr>
        <w:tc>
          <w:tcPr>
            <w:tcW w:w="44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Boston, MA 02111</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177"/>
        </w:trPr>
        <w:tc>
          <w:tcPr>
            <w:tcW w:w="442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BlackRock, Inc.</w:t>
            </w:r>
            <w:r>
              <w:rPr>
                <w:rFonts w:ascii="Arial" w:cs="Arial" w:eastAsia="Arial" w:hAnsi="Arial"/>
                <w:sz w:val="20"/>
                <w:szCs w:val="20"/>
                <w:color w:val="auto"/>
                <w:vertAlign w:val="superscript"/>
              </w:rPr>
              <w:t>(4)</w:t>
            </w:r>
          </w:p>
        </w:tc>
        <w:tc>
          <w:tcPr>
            <w:tcW w:w="3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7,606,970</w:t>
            </w:r>
          </w:p>
        </w:tc>
        <w:tc>
          <w:tcPr>
            <w:tcW w:w="2960" w:type="dxa"/>
            <w:vAlign w:val="bottom"/>
          </w:tcPr>
          <w:p>
            <w:pPr>
              <w:jc w:val="right"/>
              <w:ind w:right="610"/>
              <w:spacing w:after="0" w:line="177"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55 East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w:t>
            </w:r>
          </w:p>
        </w:tc>
        <w:tc>
          <w:tcPr>
            <w:tcW w:w="3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1"/>
        </w:trPr>
        <w:tc>
          <w:tcPr>
            <w:tcW w:w="44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10055</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177"/>
        </w:trPr>
        <w:tc>
          <w:tcPr>
            <w:tcW w:w="442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Norges Bank (The Central Bank of Norway)</w:t>
            </w:r>
            <w:r>
              <w:rPr>
                <w:rFonts w:ascii="Arial" w:cs="Arial" w:eastAsia="Arial" w:hAnsi="Arial"/>
                <w:sz w:val="20"/>
                <w:szCs w:val="20"/>
                <w:color w:val="auto"/>
                <w:vertAlign w:val="superscript"/>
              </w:rPr>
              <w:t>(5)</w:t>
            </w:r>
          </w:p>
        </w:tc>
        <w:tc>
          <w:tcPr>
            <w:tcW w:w="3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7,212,626</w:t>
            </w:r>
          </w:p>
        </w:tc>
        <w:tc>
          <w:tcPr>
            <w:tcW w:w="2960" w:type="dxa"/>
            <w:vAlign w:val="bottom"/>
          </w:tcPr>
          <w:p>
            <w:pPr>
              <w:jc w:val="right"/>
              <w:ind w:right="610"/>
              <w:spacing w:after="0" w:line="177"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Bankplassen 2, PO Box 1179 Sentrum</w:t>
            </w:r>
          </w:p>
        </w:tc>
        <w:tc>
          <w:tcPr>
            <w:tcW w:w="3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1"/>
        </w:trPr>
        <w:tc>
          <w:tcPr>
            <w:tcW w:w="44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NO 0107 Oslo Norway</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177"/>
        </w:trPr>
        <w:tc>
          <w:tcPr>
            <w:tcW w:w="442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Capital Research Global Investors</w:t>
            </w:r>
            <w:r>
              <w:rPr>
                <w:rFonts w:ascii="Arial" w:cs="Arial" w:eastAsia="Arial" w:hAnsi="Arial"/>
                <w:sz w:val="20"/>
                <w:szCs w:val="20"/>
                <w:color w:val="auto"/>
                <w:vertAlign w:val="superscript"/>
              </w:rPr>
              <w:t>(6)</w:t>
            </w:r>
          </w:p>
        </w:tc>
        <w:tc>
          <w:tcPr>
            <w:tcW w:w="3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5,956,420</w:t>
            </w:r>
          </w:p>
        </w:tc>
        <w:tc>
          <w:tcPr>
            <w:tcW w:w="2960" w:type="dxa"/>
            <w:vAlign w:val="bottom"/>
          </w:tcPr>
          <w:p>
            <w:pPr>
              <w:jc w:val="right"/>
              <w:ind w:right="610"/>
              <w:spacing w:after="0" w:line="177"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333 South Hope Street, 55th Floor</w:t>
            </w:r>
          </w:p>
        </w:tc>
        <w:tc>
          <w:tcPr>
            <w:tcW w:w="3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1"/>
        </w:trPr>
        <w:tc>
          <w:tcPr>
            <w:tcW w:w="44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Los Angeles, CA 90071</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177"/>
        </w:trPr>
        <w:tc>
          <w:tcPr>
            <w:tcW w:w="442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JPMorgan Chase &amp; Co.</w:t>
            </w:r>
            <w:r>
              <w:rPr>
                <w:rFonts w:ascii="Arial" w:cs="Arial" w:eastAsia="Arial" w:hAnsi="Arial"/>
                <w:sz w:val="20"/>
                <w:szCs w:val="20"/>
                <w:color w:val="auto"/>
                <w:vertAlign w:val="superscript"/>
              </w:rPr>
              <w:t>(7)</w:t>
            </w:r>
          </w:p>
        </w:tc>
        <w:tc>
          <w:tcPr>
            <w:tcW w:w="3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4,377,501</w:t>
            </w:r>
          </w:p>
        </w:tc>
        <w:tc>
          <w:tcPr>
            <w:tcW w:w="2960" w:type="dxa"/>
            <w:vAlign w:val="bottom"/>
          </w:tcPr>
          <w:p>
            <w:pPr>
              <w:jc w:val="right"/>
              <w:ind w:right="610"/>
              <w:spacing w:after="0" w:line="177"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383 Madison Avenue</w:t>
            </w:r>
          </w:p>
        </w:tc>
        <w:tc>
          <w:tcPr>
            <w:tcW w:w="3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1"/>
        </w:trPr>
        <w:tc>
          <w:tcPr>
            <w:tcW w:w="44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10179</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right="20" w:hanging="436"/>
        <w:spacing w:after="0" w:line="205"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is calculated by taking the number of shares stated in the Schedule 13G or 13G/A, as applicable, filed with the SEC divided by XXXXXXX, the total number of shares outstanding on March 13, 2023.</w:t>
      </w:r>
    </w:p>
    <w:p>
      <w:pPr>
        <w:spacing w:after="0" w:line="1" w:lineRule="exact"/>
        <w:rPr>
          <w:rFonts w:ascii="Arial" w:cs="Arial" w:eastAsia="Arial" w:hAnsi="Arial"/>
          <w:sz w:val="24"/>
          <w:szCs w:val="24"/>
          <w:color w:val="auto"/>
          <w:vertAlign w:val="superscript"/>
        </w:rPr>
      </w:pPr>
    </w:p>
    <w:p>
      <w:pPr>
        <w:jc w:val="both"/>
        <w:ind w:left="660" w:right="20" w:hanging="436"/>
        <w:spacing w:after="0" w:line="211"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9, 2023 by The Vanguard Group which states that The Vanguard Group, an investment advisor, has shared voting power over 159,514 shares, sole dispositive power over 12,419,458 shares and shared dispositive power over 383,379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9, 2023 by State Street Corporation which states that State Street Corporation, a parent holding company, has shared voting power over 8,985,419 shares and shared dispositive power over 10,198,486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 filed with the SEC on January 24, 2023 by BlackRock, Inc., which states that BlackRock, Inc., a parent holding company, has sole voting power over 7,004,857 shares and sole dispositive power over 7,606,970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14, 2023 by Norges Bank (The Central Bank of Norway) which states that Norges Bank (The Central Bank of Norway) has sole voting power and sole dispositive power over 7,212,626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13, 2023 by Capital Research Global Investors which states that Capital Research Global Investors, an investment advisor, has sole voting and sole dispositive power over 5,956,420 shares.</w:t>
      </w:r>
    </w:p>
    <w:p>
      <w:pPr>
        <w:jc w:val="both"/>
        <w:ind w:left="660" w:right="20" w:hanging="436"/>
        <w:spacing w:after="0" w:line="214"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January 20, 2023 by JPMorgan Chase &amp; Co. which states that JPMorgan Chase &amp; Co., a parent holding company, has sole voting power over 3,009,114, sole dispositive power over 4,375,184 shares and shared dispositive power over 716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88265</wp:posOffset>
            </wp:positionV>
            <wp:extent cx="701230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7"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9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OWNERSHIP OF TRUSTEES AND EXECUTIVE OFFICERS</w:t>
      </w:r>
    </w:p>
    <w:p>
      <w:pPr>
        <w:spacing w:after="0" w:line="10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reflects beneficial ownership of our Trustees and NEOs as of March 13, 2023 determined in accordance with Rule 13d-3 of the Securities Exchange Act of 1934, as amended. Unless noted in the footnotes following the table, each Trustee and NEO has sole voting and investment power as to all shares listed.</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8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1280" w:type="dxa"/>
            <w:vAlign w:val="bottom"/>
            <w:shd w:val="clear" w:color="auto" w:fill="FF160F"/>
          </w:tcPr>
          <w:p>
            <w:pPr>
              <w:spacing w:after="0"/>
              <w:rPr>
                <w:sz w:val="17"/>
                <w:szCs w:val="17"/>
                <w:color w:val="auto"/>
              </w:rPr>
            </w:pPr>
          </w:p>
        </w:tc>
        <w:tc>
          <w:tcPr>
            <w:tcW w:w="1440" w:type="dxa"/>
            <w:vAlign w:val="bottom"/>
            <w:shd w:val="clear" w:color="auto" w:fill="FF160F"/>
          </w:tcPr>
          <w:p>
            <w:pPr>
              <w:spacing w:after="0"/>
              <w:rPr>
                <w:sz w:val="17"/>
                <w:szCs w:val="17"/>
                <w:color w:val="auto"/>
              </w:rPr>
            </w:pPr>
          </w:p>
        </w:tc>
        <w:tc>
          <w:tcPr>
            <w:tcW w:w="1620" w:type="dxa"/>
            <w:vAlign w:val="bottom"/>
            <w:shd w:val="clear" w:color="auto" w:fill="FF160F"/>
          </w:tcPr>
          <w:p>
            <w:pPr>
              <w:jc w:val="center"/>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203"/>
        </w:trPr>
        <w:tc>
          <w:tcPr>
            <w:tcW w:w="508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Unvested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Total Shares</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w:t>
            </w:r>
          </w:p>
        </w:tc>
        <w:tc>
          <w:tcPr>
            <w:tcW w:w="0" w:type="dxa"/>
            <w:vAlign w:val="bottom"/>
          </w:tcPr>
          <w:p>
            <w:pPr>
              <w:spacing w:after="0"/>
              <w:rPr>
                <w:sz w:val="1"/>
                <w:szCs w:val="1"/>
                <w:color w:val="auto"/>
              </w:rPr>
            </w:pPr>
          </w:p>
        </w:tc>
      </w:tr>
      <w:tr>
        <w:trPr>
          <w:trHeight w:val="203"/>
        </w:trPr>
        <w:tc>
          <w:tcPr>
            <w:tcW w:w="508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Restricted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Beneficially</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Shares</w:t>
            </w:r>
          </w:p>
        </w:tc>
        <w:tc>
          <w:tcPr>
            <w:tcW w:w="0" w:type="dxa"/>
            <w:vAlign w:val="bottom"/>
          </w:tcPr>
          <w:p>
            <w:pPr>
              <w:spacing w:after="0"/>
              <w:rPr>
                <w:sz w:val="1"/>
                <w:szCs w:val="1"/>
                <w:color w:val="auto"/>
              </w:rPr>
            </w:pPr>
          </w:p>
        </w:tc>
      </w:tr>
      <w:tr>
        <w:trPr>
          <w:trHeight w:val="221"/>
        </w:trPr>
        <w:tc>
          <w:tcPr>
            <w:tcW w:w="5080" w:type="dxa"/>
            <w:vAlign w:val="bottom"/>
            <w:shd w:val="clear" w:color="auto" w:fill="FF160F"/>
          </w:tcPr>
          <w:p>
            <w:pPr>
              <w:spacing w:after="0" w:line="221" w:lineRule="exact"/>
              <w:rPr>
                <w:sz w:val="20"/>
                <w:szCs w:val="20"/>
                <w:color w:val="auto"/>
              </w:rPr>
            </w:pPr>
            <w:r>
              <w:rPr>
                <w:rFonts w:ascii="Arial" w:cs="Arial" w:eastAsia="Arial" w:hAnsi="Arial"/>
                <w:sz w:val="17"/>
                <w:szCs w:val="17"/>
                <w:b w:val="1"/>
                <w:bCs w:val="1"/>
                <w:color w:val="FFFFFF"/>
              </w:rPr>
              <w:t>Name and Address of Beneficial Owner</w:t>
            </w:r>
            <w:r>
              <w:rPr>
                <w:rFonts w:ascii="Arial" w:cs="Arial" w:eastAsia="Arial" w:hAnsi="Arial"/>
                <w:sz w:val="25"/>
                <w:szCs w:val="25"/>
                <w:b w:val="1"/>
                <w:bCs w:val="1"/>
                <w:color w:val="FFFFFF"/>
                <w:vertAlign w:val="superscript"/>
              </w:rPr>
              <w:t>(1)</w:t>
            </w:r>
          </w:p>
        </w:tc>
        <w:tc>
          <w:tcPr>
            <w:tcW w:w="460" w:type="dxa"/>
            <w:vAlign w:val="bottom"/>
            <w:shd w:val="clear" w:color="auto" w:fill="FF160F"/>
          </w:tcPr>
          <w:p>
            <w:pPr>
              <w:spacing w:after="0"/>
              <w:rPr>
                <w:sz w:val="19"/>
                <w:szCs w:val="19"/>
                <w:color w:val="auto"/>
              </w:rPr>
            </w:pPr>
          </w:p>
        </w:tc>
        <w:tc>
          <w:tcPr>
            <w:tcW w:w="11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Common</w:t>
            </w:r>
          </w:p>
        </w:tc>
        <w:tc>
          <w:tcPr>
            <w:tcW w:w="128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44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Owned</w:t>
            </w:r>
          </w:p>
        </w:tc>
        <w:tc>
          <w:tcPr>
            <w:tcW w:w="1620" w:type="dxa"/>
            <w:vAlign w:val="bottom"/>
            <w:shd w:val="clear" w:color="auto" w:fill="FF160F"/>
          </w:tcPr>
          <w:p>
            <w:pPr>
              <w:jc w:val="center"/>
              <w:spacing w:after="0" w:line="221" w:lineRule="exact"/>
              <w:rPr>
                <w:sz w:val="20"/>
                <w:szCs w:val="20"/>
                <w:color w:val="auto"/>
              </w:rPr>
            </w:pPr>
            <w:r>
              <w:rPr>
                <w:rFonts w:ascii="Arial" w:cs="Arial" w:eastAsia="Arial" w:hAnsi="Arial"/>
                <w:sz w:val="17"/>
                <w:szCs w:val="17"/>
                <w:b w:val="1"/>
                <w:bCs w:val="1"/>
                <w:color w:val="FFFFFF"/>
                <w:w w:val="98"/>
              </w:rPr>
              <w:t>Owned</w:t>
            </w:r>
            <w:r>
              <w:rPr>
                <w:rFonts w:ascii="Arial" w:cs="Arial" w:eastAsia="Arial" w:hAnsi="Arial"/>
                <w:sz w:val="25"/>
                <w:szCs w:val="25"/>
                <w:b w:val="1"/>
                <w:bCs w:val="1"/>
                <w:color w:val="FFFFFF"/>
                <w:w w:val="98"/>
                <w:vertAlign w:val="superscript"/>
              </w:rPr>
              <w:t>(2)</w:t>
            </w:r>
          </w:p>
        </w:tc>
        <w:tc>
          <w:tcPr>
            <w:tcW w:w="0" w:type="dxa"/>
            <w:vAlign w:val="bottom"/>
          </w:tcPr>
          <w:p>
            <w:pPr>
              <w:spacing w:after="0"/>
              <w:rPr>
                <w:sz w:val="1"/>
                <w:szCs w:val="1"/>
                <w:color w:val="auto"/>
              </w:rPr>
            </w:pPr>
          </w:p>
        </w:tc>
      </w:tr>
      <w:tr>
        <w:trPr>
          <w:trHeight w:val="184"/>
        </w:trPr>
        <w:tc>
          <w:tcPr>
            <w:tcW w:w="508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Dawn M. Becker</w:t>
            </w:r>
          </w:p>
        </w:tc>
        <w:tc>
          <w:tcPr>
            <w:tcW w:w="160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142,782</w:t>
            </w:r>
          </w:p>
        </w:tc>
        <w:tc>
          <w:tcPr>
            <w:tcW w:w="128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17,156</w:t>
            </w:r>
          </w:p>
        </w:tc>
        <w:tc>
          <w:tcPr>
            <w:tcW w:w="14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159,938</w:t>
            </w:r>
          </w:p>
        </w:tc>
        <w:tc>
          <w:tcPr>
            <w:tcW w:w="162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Jeffrey S. Berkes</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38,893</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31,447</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70,340</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David W. Faeder</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24,769</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24,769</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Daniel Guglielmone</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26,208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24,574</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50,782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Elizabeth I. Holland</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6,152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6,152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Nicole Y. Lamb-Hale</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2,538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2,538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Thomas A. McEachin</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299</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299</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Anthony P. Nader, III</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2,538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2,538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Gail P. Steinel</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14,442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14,442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D8D8D8"/>
            </w:tcBorders>
            <w:shd w:val="clear" w:color="auto" w:fill="D8D8D8"/>
          </w:tcPr>
          <w:p>
            <w:pPr>
              <w:spacing w:after="0" w:line="202" w:lineRule="exact"/>
              <w:rPr>
                <w:sz w:val="20"/>
                <w:szCs w:val="20"/>
                <w:color w:val="auto"/>
              </w:rPr>
            </w:pPr>
            <w:r>
              <w:rPr>
                <w:rFonts w:ascii="Arial" w:cs="Arial" w:eastAsia="Arial" w:hAnsi="Arial"/>
                <w:sz w:val="16"/>
                <w:szCs w:val="16"/>
                <w:color w:val="auto"/>
              </w:rPr>
              <w:t>Donald C. Wood</w:t>
            </w:r>
            <w:r>
              <w:rPr>
                <w:rFonts w:ascii="Arial" w:cs="Arial" w:eastAsia="Arial" w:hAnsi="Arial"/>
                <w:sz w:val="23"/>
                <w:szCs w:val="23"/>
                <w:color w:val="auto"/>
                <w:vertAlign w:val="superscript"/>
              </w:rPr>
              <w:t>(3)</w:t>
            </w:r>
          </w:p>
        </w:tc>
        <w:tc>
          <w:tcPr>
            <w:tcW w:w="460" w:type="dxa"/>
            <w:vAlign w:val="bottom"/>
          </w:tcPr>
          <w:p>
            <w:pPr>
              <w:spacing w:after="0"/>
              <w:rPr>
                <w:sz w:val="18"/>
                <w:szCs w:val="18"/>
                <w:color w:val="auto"/>
              </w:rPr>
            </w:pPr>
          </w:p>
        </w:tc>
        <w:tc>
          <w:tcPr>
            <w:tcW w:w="11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406,912</w:t>
            </w:r>
          </w:p>
        </w:tc>
        <w:tc>
          <w:tcPr>
            <w:tcW w:w="12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111,353</w:t>
            </w:r>
          </w:p>
        </w:tc>
        <w:tc>
          <w:tcPr>
            <w:tcW w:w="1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518,265</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5080" w:type="dxa"/>
            <w:vAlign w:val="bottom"/>
            <w:shd w:val="clear" w:color="auto" w:fill="D8D8D8"/>
          </w:tcPr>
          <w:p>
            <w:pPr>
              <w:spacing w:after="0" w:line="170" w:lineRule="exact"/>
              <w:rPr>
                <w:sz w:val="20"/>
                <w:szCs w:val="20"/>
                <w:color w:val="auto"/>
              </w:rPr>
            </w:pPr>
            <w:r>
              <w:rPr>
                <w:rFonts w:ascii="Arial" w:cs="Arial" w:eastAsia="Arial" w:hAnsi="Arial"/>
                <w:sz w:val="18"/>
                <w:szCs w:val="18"/>
                <w:color w:val="auto"/>
              </w:rPr>
              <w:t>Trustees, trustee nominees and executive officers as a group</w:t>
            </w:r>
          </w:p>
        </w:tc>
        <w:tc>
          <w:tcPr>
            <w:tcW w:w="16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665,533</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184,530</w:t>
            </w: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850,063</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2"/>
        </w:trPr>
        <w:tc>
          <w:tcPr>
            <w:tcW w:w="5080" w:type="dxa"/>
            <w:vAlign w:val="bottom"/>
            <w:vMerge w:val="restart"/>
            <w:shd w:val="clear" w:color="auto" w:fill="D8D8D8"/>
          </w:tcPr>
          <w:p>
            <w:pPr>
              <w:spacing w:after="0"/>
              <w:rPr>
                <w:sz w:val="20"/>
                <w:szCs w:val="20"/>
                <w:color w:val="auto"/>
              </w:rPr>
            </w:pPr>
            <w:r>
              <w:rPr>
                <w:rFonts w:ascii="Arial" w:cs="Arial" w:eastAsia="Arial" w:hAnsi="Arial"/>
                <w:sz w:val="18"/>
                <w:szCs w:val="18"/>
                <w:color w:val="auto"/>
              </w:rPr>
              <w:t>(10 individuals)</w:t>
            </w:r>
          </w:p>
        </w:tc>
        <w:tc>
          <w:tcPr>
            <w:tcW w:w="1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080" w:type="dxa"/>
            <w:vAlign w:val="bottom"/>
            <w:vMerge w:val="continue"/>
            <w:shd w:val="clear" w:color="auto" w:fill="D8D8D8"/>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11226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95" w:lineRule="exact"/>
        <w:rPr>
          <w:sz w:val="20"/>
          <w:szCs w:val="20"/>
          <w:color w:val="auto"/>
        </w:rPr>
      </w:pPr>
    </w:p>
    <w:p>
      <w:pPr>
        <w:ind w:left="660" w:hanging="43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Less than 1%</w:t>
      </w:r>
    </w:p>
    <w:p>
      <w:pPr>
        <w:ind w:left="660" w:hanging="436"/>
        <w:spacing w:after="0" w:line="182"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The address for each of the named individuals is 909 Rose Avenue, Suite 200, North Bethesda, Maryland 20852.</w:t>
      </w:r>
    </w:p>
    <w:p>
      <w:pPr>
        <w:ind w:left="660" w:right="20" w:hanging="436"/>
        <w:spacing w:after="0" w:line="197"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owned is calculated by taking the number of shares reflected in the column titled “Total Shares Beneficially Owned” divided by XXXXXXXXX, the total number of shares outstanding on March 13, 2023.</w:t>
      </w:r>
    </w:p>
    <w:p>
      <w:pPr>
        <w:ind w:left="660" w:right="20" w:hanging="436"/>
        <w:spacing w:after="0" w:line="202"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Includes 53,879 shares owned by Stacey Wood Revocable Trust, 198,819 shares owned by Donald C. Wood Revocable Trust, 20,000 shares owned by Great Falls Trust, 46,500 shares owned by Wood Descendants Trust and 60,000 shares owned by IJKR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Information about the Annual Meeting</w:t>
      </w:r>
    </w:p>
    <w:p>
      <w:pPr>
        <w:spacing w:after="0" w:line="264" w:lineRule="exact"/>
        <w:rPr>
          <w:sz w:val="20"/>
          <w:szCs w:val="20"/>
          <w:color w:val="auto"/>
        </w:rPr>
      </w:pPr>
    </w:p>
    <w:p>
      <w:pPr>
        <w:ind w:left="540" w:hanging="424"/>
        <w:spacing w:after="0"/>
        <w:tabs>
          <w:tab w:leader="none" w:pos="540" w:val="left"/>
        </w:tabs>
        <w:numPr>
          <w:ilvl w:val="0"/>
          <w:numId w:val="9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NOTICE OF ELECTRONIC AVAILABILITY OF PROXY MATERIALS</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We are furnishing proxy materials including this proxy statement and our 2022 Annual Report to Shareholders, including our Annual Report on Form 10-K for the year ended December 31, 2022 (“Annual Report”), to each shareholder by providing access to such documents on the Internet. On or about March 24, 2023,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10" w:lineRule="exact"/>
        <w:rPr>
          <w:sz w:val="20"/>
          <w:szCs w:val="20"/>
          <w:color w:val="auto"/>
        </w:rPr>
      </w:pPr>
    </w:p>
    <w:p>
      <w:pPr>
        <w:ind w:left="540" w:hanging="424"/>
        <w:spacing w:after="0"/>
        <w:tabs>
          <w:tab w:leader="none" w:pos="540" w:val="left"/>
        </w:tabs>
        <w:numPr>
          <w:ilvl w:val="0"/>
          <w:numId w:val="9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WHY YOU ARE RECEIVING THESE MATERIALS</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You are receiving these materials because you owned our shares as of March 13, 2023, the record date established by our Board of Trustees for our Annual Meeting. Everyone who owned our shares as of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whether directly as a registered shareholder or indirectly through a bank, broker or other nominee, is entitled to vote at the Annual Meeting. We had XXXXX shares outstanding on March 13, 2023. Each share outstanding on the record date is entitled to one vote. A majority of the shares entitled to vote at the Annual Meeting must be present in person or by proxy for us to proceed with the Annual Meeting.</w:t>
      </w:r>
    </w:p>
    <w:p>
      <w:pPr>
        <w:spacing w:after="0" w:line="174" w:lineRule="exact"/>
        <w:rPr>
          <w:sz w:val="20"/>
          <w:szCs w:val="20"/>
          <w:color w:val="auto"/>
        </w:rPr>
      </w:pPr>
    </w:p>
    <w:p>
      <w:pPr>
        <w:ind w:left="540" w:hanging="424"/>
        <w:spacing w:after="0"/>
        <w:tabs>
          <w:tab w:leader="none" w:pos="540" w:val="left"/>
        </w:tabs>
        <w:numPr>
          <w:ilvl w:val="0"/>
          <w:numId w:val="9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ACCESSING MATERIALS</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i w:val="1"/>
          <w:iCs w:val="1"/>
          <w:color w:val="auto"/>
        </w:rPr>
        <w:t>.</w:t>
      </w:r>
      <w:r>
        <w:rPr>
          <w:rFonts w:ascii="Arial" w:cs="Arial" w:eastAsia="Arial" w:hAnsi="Arial"/>
          <w:sz w:val="18"/>
          <w:szCs w:val="18"/>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3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American Stock Transfer &amp;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74" w:lineRule="exact"/>
        <w:rPr>
          <w:sz w:val="20"/>
          <w:szCs w:val="20"/>
          <w:color w:val="auto"/>
        </w:rPr>
      </w:pPr>
    </w:p>
    <w:p>
      <w:pPr>
        <w:ind w:left="540" w:hanging="424"/>
        <w:spacing w:after="0"/>
        <w:tabs>
          <w:tab w:leader="none" w:pos="540" w:val="left"/>
        </w:tabs>
        <w:numPr>
          <w:ilvl w:val="0"/>
          <w:numId w:val="9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HOW TO VOTE</w:t>
      </w:r>
    </w:p>
    <w:p>
      <w:pPr>
        <w:spacing w:after="0" w:line="171"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own your shares directly with our transfer agent, American Stock Transfer &amp; Trust, LLC,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122555</wp:posOffset>
            </wp:positionV>
            <wp:extent cx="4989195" cy="7372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891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2, 3 or 4, that organization will inform the inspector 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5, your bank, brokerage firm, broker-dealer or nominee will generally be able to vote on Proposal 5 as he, she or it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86995</wp:posOffset>
            </wp:positionV>
            <wp:extent cx="701230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5"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urged to vote either by telephone (1-800-PROXIES or 1-800-776-9437) or on the Internet (</w:t>
      </w:r>
      <w:r>
        <w:rPr>
          <w:rFonts w:ascii="Arial" w:cs="Arial" w:eastAsia="Arial" w:hAnsi="Arial"/>
          <w:sz w:val="18"/>
          <w:szCs w:val="18"/>
          <w:u w:val="single" w:color="auto"/>
          <w:color w:val="auto"/>
        </w:rPr>
        <w:t>www.voteproxy.com</w:t>
      </w:r>
      <w:r>
        <w:rPr>
          <w:rFonts w:ascii="Arial" w:cs="Arial" w:eastAsia="Arial" w:hAnsi="Arial"/>
          <w:sz w:val="18"/>
          <w:szCs w:val="18"/>
          <w:color w:val="auto"/>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14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9" w:lineRule="exact"/>
        <w:rPr>
          <w:sz w:val="20"/>
          <w:szCs w:val="20"/>
          <w:color w:val="auto"/>
        </w:rPr>
      </w:pPr>
    </w:p>
    <w:p>
      <w:pPr>
        <w:ind w:left="540" w:hanging="424"/>
        <w:spacing w:after="0"/>
        <w:tabs>
          <w:tab w:leader="none" w:pos="540" w:val="left"/>
        </w:tabs>
        <w:numPr>
          <w:ilvl w:val="0"/>
          <w:numId w:val="9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HOW TO PARTICIPATE IN THE ANNUAL MEETING</w:t>
      </w:r>
    </w:p>
    <w:p>
      <w:pPr>
        <w:spacing w:after="0" w:line="17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will be able to join our Annual Meeting as either a shareholder or a guest. All registered shareholders and shareholders that own in “street name” will be able to ask questions and vote their shares at the meeting by following the instructions below. Guests will be permitted to join the meeting but will not be permitted to ask questions.</w:t>
      </w:r>
    </w:p>
    <w:p>
      <w:pPr>
        <w:spacing w:after="0" w:line="128"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 xml:space="preserve">You can access the Annual Meeting by joining through this link: </w:t>
      </w:r>
      <w:r>
        <w:rPr>
          <w:rFonts w:ascii="Arial" w:cs="Arial" w:eastAsia="Arial" w:hAnsi="Arial"/>
          <w:sz w:val="18"/>
          <w:szCs w:val="18"/>
          <w:i w:val="1"/>
          <w:iCs w:val="1"/>
          <w:u w:val="single" w:color="auto"/>
          <w:color w:val="auto"/>
        </w:rPr>
        <w:t>https://web.lumiagm.com/202329683</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18"/>
          <w:szCs w:val="18"/>
          <w:i w:val="1"/>
          <w:iCs w:val="1"/>
          <w:color w:val="auto"/>
        </w:rPr>
        <w:t>federal2023</w:t>
      </w:r>
      <w:r>
        <w:rPr>
          <w:rFonts w:ascii="Arial" w:cs="Arial" w:eastAsia="Arial" w:hAnsi="Arial"/>
          <w:sz w:val="18"/>
          <w:szCs w:val="18"/>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American Stock Transfer &amp; Trust Company, LLC: (1) by email to proxy@astfinancial.com; (2) by facsimile to 718-765-8730; or (3) by mail to American Stock Transfer &amp; Trust Company, LLC, Attn: Proxy Tabulation Department, 6201 15th Avenue, Brooklyn, NY 11219. Requests for registration must be labeled as “Legal Proxy” and must be received by American Stock Transfer &amp; Trust Company, LLC no later than 5:00 p.m. local time on April 26, 2023. You will receive a confirmation of your registration by email from American Stock Transfer &amp; Trust Company, LLC after they receive your registration materials. The email will also include a control number so that you can ask a question or vote at the Annual Meeting by clicking on “I have a control number”. Shareholders who hold shares in “street name” will not be able to vote their shares or ask questions without first completing this registration process. Once you are in the meeting, you can vote your shares by clicking on the Proxy Voting Site link on the screen to submit your ballot. You may also continue to vote using the instructions provided in the Proxy Materials until the Annual Meeting concludes.</w:t>
      </w:r>
    </w:p>
    <w:p>
      <w:pPr>
        <w:spacing w:after="0" w:line="16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3, 2023,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18"/>
          <w:szCs w:val="18"/>
          <w:i w:val="1"/>
          <w:iCs w:val="1"/>
          <w:u w:val="single" w:color="auto"/>
          <w:color w:val="auto"/>
        </w:rPr>
        <w:t>https://go.lumiglobal.com/faq</w:t>
      </w:r>
      <w:r>
        <w:rPr>
          <w:rFonts w:ascii="Arial" w:cs="Arial" w:eastAsia="Arial" w:hAnsi="Arial"/>
          <w:sz w:val="18"/>
          <w:szCs w:val="18"/>
          <w:color w:val="auto"/>
        </w:rPr>
        <w:t xml:space="preserve"> or call 718-931-8300, ext. 6449.</w:t>
      </w:r>
    </w:p>
    <w:p>
      <w:pPr>
        <w:spacing w:after="0" w:line="179" w:lineRule="exact"/>
        <w:rPr>
          <w:sz w:val="20"/>
          <w:szCs w:val="20"/>
          <w:color w:val="auto"/>
        </w:rPr>
      </w:pPr>
    </w:p>
    <w:p>
      <w:pPr>
        <w:ind w:left="540" w:hanging="424"/>
        <w:spacing w:after="0"/>
        <w:tabs>
          <w:tab w:leader="none" w:pos="540" w:val="left"/>
        </w:tabs>
        <w:numPr>
          <w:ilvl w:val="0"/>
          <w:numId w:val="9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ELIMINATING DUPLICATIVE PROXY MATERIALS</w:t>
      </w:r>
    </w:p>
    <w:p>
      <w:pPr>
        <w:spacing w:after="0" w:line="17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82550</wp:posOffset>
            </wp:positionV>
            <wp:extent cx="701230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8"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9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SOLICITATION OF PROXIES</w:t>
      </w:r>
    </w:p>
    <w:p>
      <w:pPr>
        <w:spacing w:after="0" w:line="18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w:t>
      </w:r>
    </w:p>
    <w:p>
      <w:pPr>
        <w:spacing w:after="0" w:line="13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69" w:lineRule="exact"/>
        <w:rPr>
          <w:sz w:val="20"/>
          <w:szCs w:val="20"/>
          <w:color w:val="auto"/>
        </w:rPr>
      </w:pPr>
    </w:p>
    <w:p>
      <w:pPr>
        <w:ind w:left="540" w:hanging="424"/>
        <w:spacing w:after="0"/>
        <w:tabs>
          <w:tab w:leader="none" w:pos="540" w:val="left"/>
        </w:tabs>
        <w:numPr>
          <w:ilvl w:val="0"/>
          <w:numId w:val="10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SHAREHOLDER PROPOSALS FOR THE 2024 ANNUAL MEETING</w:t>
      </w:r>
    </w:p>
    <w:p>
      <w:pPr>
        <w:spacing w:after="0" w:line="17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solicitation is made by the Company on behalf of the Board. Proposals of shareholders intended to be presented at the 2024 Annual Meeting of Shareholders or nominations for persons for election to the Board of Trustees, must be delivered to us at 909 Rose Avenue, Suite 200, North Bethesda, Maryland 20852, Attention: Corporate Secretary and received by us no later than November 25, 2023 and no earlier than October 26, 2023, unless the date of the 2024 Annual Meeting of Shareholders is changed by more than 30 days from the date of the 2023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2024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15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4, 2024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20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52070</wp:posOffset>
            </wp:positionV>
            <wp:extent cx="968375" cy="282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68375" cy="2825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President—General</w:t>
      </w:r>
    </w:p>
    <w:p>
      <w:pPr>
        <w:ind w:left="6740"/>
        <w:spacing w:after="0"/>
        <w:rPr>
          <w:sz w:val="20"/>
          <w:szCs w:val="20"/>
          <w:color w:val="auto"/>
        </w:rPr>
      </w:pPr>
      <w:r>
        <w:rPr>
          <w:rFonts w:ascii="Arial" w:cs="Arial" w:eastAsia="Arial" w:hAnsi="Arial"/>
          <w:sz w:val="18"/>
          <w:szCs w:val="18"/>
          <w:i w:val="1"/>
          <w:iCs w:val="1"/>
          <w:color w:val="auto"/>
        </w:rPr>
        <w:t>Counsel and Secretary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909 Rose Avenue, Suite 200</w:t>
      </w:r>
    </w:p>
    <w:p>
      <w:pPr>
        <w:ind w:left="6740"/>
        <w:spacing w:after="0"/>
        <w:rPr>
          <w:sz w:val="20"/>
          <w:szCs w:val="20"/>
          <w:color w:val="auto"/>
        </w:rPr>
      </w:pPr>
      <w:r>
        <w:rPr>
          <w:rFonts w:ascii="Arial" w:cs="Arial" w:eastAsia="Arial" w:hAnsi="Arial"/>
          <w:sz w:val="18"/>
          <w:szCs w:val="18"/>
          <w:color w:val="auto"/>
        </w:rPr>
        <w:t>North Bethesda, Maryland 20852</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YOUR PROXY IS IMPORTANT REGARDLESS OF THE NUMBER OF SHARES YOU OWN. PLEASE SUBMIT IT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701230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61"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48</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A</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from Operations:</w:t>
      </w:r>
    </w:p>
    <w:p>
      <w:pPr>
        <w:spacing w:after="0" w:line="14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fund cash needs, including the payment of dividends.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9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reconciliation of net income to FFO available for common shareholders for the years ended December 31, 2022, 2021 and 2020 is as follows: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7"/>
          </w:tcPr>
          <w:p>
            <w:pPr>
              <w:ind w:left="160"/>
              <w:spacing w:after="0" w:line="162" w:lineRule="exact"/>
              <w:rPr>
                <w:sz w:val="20"/>
                <w:szCs w:val="20"/>
                <w:color w:val="auto"/>
              </w:rPr>
            </w:pPr>
            <w:r>
              <w:rPr>
                <w:rFonts w:ascii="Arial" w:cs="Arial" w:eastAsia="Arial" w:hAnsi="Arial"/>
                <w:sz w:val="15"/>
                <w:szCs w:val="15"/>
                <w:color w:val="auto"/>
              </w:rPr>
              <w:t>(in thousands, except per share data)</w:t>
            </w:r>
          </w:p>
        </w:tc>
        <w:tc>
          <w:tcPr>
            <w:tcW w:w="0" w:type="dxa"/>
            <w:vAlign w:val="bottom"/>
          </w:tcPr>
          <w:p>
            <w:pPr>
              <w:spacing w:after="0"/>
              <w:rPr>
                <w:sz w:val="1"/>
                <w:szCs w:val="1"/>
                <w:color w:val="auto"/>
              </w:rPr>
            </w:pPr>
          </w:p>
        </w:tc>
      </w:tr>
      <w:tr>
        <w:trPr>
          <w:trHeight w:val="189"/>
        </w:trPr>
        <w:tc>
          <w:tcPr>
            <w:tcW w:w="7900" w:type="dxa"/>
            <w:vAlign w:val="bottom"/>
            <w:shd w:val="clear" w:color="auto" w:fill="EAEFED"/>
          </w:tcPr>
          <w:p>
            <w:pPr>
              <w:spacing w:after="0"/>
              <w:rPr>
                <w:sz w:val="20"/>
                <w:szCs w:val="20"/>
                <w:color w:val="auto"/>
              </w:rPr>
            </w:pPr>
            <w:r>
              <w:rPr>
                <w:rFonts w:ascii="Arial" w:cs="Arial" w:eastAsia="Arial" w:hAnsi="Arial"/>
                <w:sz w:val="16"/>
                <w:szCs w:val="16"/>
                <w:color w:val="auto"/>
              </w:rPr>
              <w:t>Net income</w:t>
            </w:r>
          </w:p>
        </w:tc>
        <w:tc>
          <w:tcPr>
            <w:tcW w:w="400" w:type="dxa"/>
            <w:vAlign w:val="bottom"/>
            <w:gridSpan w:val="2"/>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395,661</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269,081</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135,888</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(10,170)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(7,583)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EAEFED"/>
          </w:tcPr>
          <w:p>
            <w:pPr>
              <w:spacing w:after="0"/>
              <w:rPr>
                <w:sz w:val="20"/>
                <w:szCs w:val="20"/>
                <w:color w:val="auto"/>
              </w:rPr>
            </w:pPr>
            <w:r>
              <w:rPr>
                <w:rFonts w:ascii="Arial" w:cs="Arial" w:eastAsia="Arial" w:hAnsi="Arial"/>
                <w:sz w:val="16"/>
                <w:szCs w:val="16"/>
                <w:color w:val="auto"/>
              </w:rPr>
              <w:t>Gain on deconsolidation of VIE</w:t>
            </w:r>
          </w:p>
        </w:tc>
        <w:tc>
          <w:tcPr>
            <w:tcW w:w="400" w:type="dxa"/>
            <w:vAlign w:val="bottom"/>
            <w:gridSpan w:val="2"/>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(70,374)</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EAEFED"/>
          </w:tcPr>
          <w:p>
            <w:pPr>
              <w:spacing w:after="0"/>
              <w:rPr>
                <w:sz w:val="20"/>
                <w:szCs w:val="20"/>
                <w:color w:val="auto"/>
              </w:rPr>
            </w:pPr>
            <w:r>
              <w:rPr>
                <w:rFonts w:ascii="Arial" w:cs="Arial" w:eastAsia="Arial" w:hAnsi="Arial"/>
                <w:sz w:val="16"/>
                <w:szCs w:val="16"/>
                <w:color w:val="auto"/>
              </w:rPr>
              <w:t>Gain on sale of real estate and change in control of interests, net</w:t>
            </w:r>
          </w:p>
        </w:tc>
        <w:tc>
          <w:tcPr>
            <w:tcW w:w="400" w:type="dxa"/>
            <w:vAlign w:val="bottom"/>
            <w:gridSpan w:val="2"/>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(93,483)</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(89,892)</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w w:val="97"/>
              </w:rPr>
              <w:t>(91,922)</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00" w:type="dxa"/>
            <w:vAlign w:val="bottom"/>
          </w:tcPr>
          <w:p>
            <w:pPr>
              <w:spacing w:after="0" w:line="175" w:lineRule="exact"/>
              <w:rPr>
                <w:sz w:val="20"/>
                <w:szCs w:val="20"/>
                <w:color w:val="auto"/>
              </w:rPr>
            </w:pPr>
            <w:r>
              <w:rPr>
                <w:rFonts w:ascii="Arial" w:cs="Arial" w:eastAsia="Arial" w:hAnsi="Arial"/>
                <w:sz w:val="16"/>
                <w:szCs w:val="16"/>
                <w:color w:val="auto"/>
              </w:rPr>
              <w:t>Impairment charge, net</w:t>
            </w:r>
          </w:p>
        </w:tc>
        <w:tc>
          <w:tcPr>
            <w:tcW w:w="4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50,728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20"/>
                <w:szCs w:val="20"/>
                <w:color w:val="auto"/>
              </w:rPr>
            </w:pPr>
            <w:r>
              <w:rPr>
                <w:rFonts w:ascii="Arial" w:cs="Arial" w:eastAsia="Arial" w:hAnsi="Arial"/>
                <w:sz w:val="16"/>
                <w:szCs w:val="16"/>
                <w:color w:val="auto"/>
              </w:rPr>
              <w:t>Depreciation and amortization of real estate assets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266,741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243,711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228,850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EAEFED"/>
          </w:tcPr>
          <w:p>
            <w:pPr>
              <w:spacing w:after="0"/>
              <w:rPr>
                <w:sz w:val="20"/>
                <w:szCs w:val="20"/>
                <w:color w:val="auto"/>
              </w:rPr>
            </w:pPr>
            <w:r>
              <w:rPr>
                <w:rFonts w:ascii="Arial" w:cs="Arial" w:eastAsia="Arial" w:hAnsi="Arial"/>
                <w:sz w:val="16"/>
                <w:szCs w:val="16"/>
                <w:color w:val="auto"/>
              </w:rPr>
              <w:t>Amortization of initial direct costs of leases</w:t>
            </w:r>
          </w:p>
        </w:tc>
        <w:tc>
          <w:tcPr>
            <w:tcW w:w="400" w:type="dxa"/>
            <w:vAlign w:val="bottom"/>
            <w:gridSpan w:val="2"/>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27,268</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26,051</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20,415</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00" w:type="dxa"/>
            <w:vAlign w:val="bottom"/>
          </w:tcPr>
          <w:p>
            <w:pPr>
              <w:ind w:left="160"/>
              <w:spacing w:after="0"/>
              <w:rPr>
                <w:sz w:val="20"/>
                <w:szCs w:val="20"/>
                <w:color w:val="auto"/>
              </w:rPr>
            </w:pPr>
            <w:r>
              <w:rPr>
                <w:rFonts w:ascii="Arial" w:cs="Arial" w:eastAsia="Arial" w:hAnsi="Arial"/>
                <w:sz w:val="16"/>
                <w:szCs w:val="16"/>
                <w:color w:val="auto"/>
              </w:rPr>
              <w:t>Funds from operations</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515,643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441,368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339,777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EAEFED"/>
          </w:tcPr>
          <w:p>
            <w:pPr>
              <w:spacing w:after="0" w:line="189" w:lineRule="exact"/>
              <w:rPr>
                <w:sz w:val="20"/>
                <w:szCs w:val="20"/>
                <w:color w:val="auto"/>
              </w:rPr>
            </w:pPr>
            <w:r>
              <w:rPr>
                <w:rFonts w:ascii="Arial" w:cs="Arial" w:eastAsia="Arial" w:hAnsi="Arial"/>
                <w:sz w:val="14"/>
                <w:szCs w:val="14"/>
                <w:color w:val="auto"/>
              </w:rPr>
              <w:t>Dividends on preferred shares</w:t>
            </w:r>
            <w:r>
              <w:rPr>
                <w:rFonts w:ascii="Arial" w:cs="Arial" w:eastAsia="Arial" w:hAnsi="Arial"/>
                <w:sz w:val="21"/>
                <w:szCs w:val="21"/>
                <w:color w:val="auto"/>
                <w:vertAlign w:val="superscript"/>
              </w:rPr>
              <w:t>(1)</w:t>
            </w:r>
          </w:p>
        </w:tc>
        <w:tc>
          <w:tcPr>
            <w:tcW w:w="400" w:type="dxa"/>
            <w:vAlign w:val="bottom"/>
            <w:gridSpan w:val="2"/>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(8,042)</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(8,042)</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Income attributable to operating partnership units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2,810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2,998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EAEFED"/>
          </w:tcPr>
          <w:p>
            <w:pPr>
              <w:spacing w:after="0"/>
              <w:rPr>
                <w:sz w:val="20"/>
                <w:szCs w:val="20"/>
                <w:color w:val="auto"/>
              </w:rPr>
            </w:pPr>
            <w:r>
              <w:rPr>
                <w:rFonts w:ascii="Arial" w:cs="Arial" w:eastAsia="Arial" w:hAnsi="Arial"/>
                <w:sz w:val="16"/>
                <w:szCs w:val="16"/>
                <w:color w:val="auto"/>
              </w:rPr>
              <w:t>Income attributable to unvested shares</w:t>
            </w:r>
          </w:p>
        </w:tc>
        <w:tc>
          <w:tcPr>
            <w:tcW w:w="400" w:type="dxa"/>
            <w:vAlign w:val="bottom"/>
            <w:gridSpan w:val="2"/>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(1,797)</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(1,581)</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(1,037)</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00" w:type="dxa"/>
            <w:vAlign w:val="bottom"/>
          </w:tcPr>
          <w:p>
            <w:pPr>
              <w:ind w:left="160"/>
              <w:spacing w:after="0" w:line="195" w:lineRule="exact"/>
              <w:rPr>
                <w:sz w:val="20"/>
                <w:szCs w:val="20"/>
                <w:color w:val="auto"/>
              </w:rPr>
            </w:pPr>
            <w:r>
              <w:rPr>
                <w:rFonts w:ascii="Arial" w:cs="Arial" w:eastAsia="Arial" w:hAnsi="Arial"/>
                <w:sz w:val="15"/>
                <w:szCs w:val="15"/>
                <w:color w:val="auto"/>
              </w:rPr>
              <w:t>Funds from operations available for common shareholders</w:t>
            </w:r>
            <w:r>
              <w:rPr>
                <w:rFonts w:ascii="Arial" w:cs="Arial" w:eastAsia="Arial" w:hAnsi="Arial"/>
                <w:sz w:val="22"/>
                <w:szCs w:val="22"/>
                <w:color w:val="auto"/>
                <w:vertAlign w:val="superscript"/>
              </w:rPr>
              <w:t>(2)</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509,156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434,743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333,849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EAEFED"/>
          </w:tcPr>
          <w:p>
            <w:pPr>
              <w:spacing w:after="0" w:line="183" w:lineRule="exact"/>
              <w:rPr>
                <w:sz w:val="20"/>
                <w:szCs w:val="20"/>
                <w:color w:val="auto"/>
              </w:rPr>
            </w:pPr>
            <w:r>
              <w:rPr>
                <w:rFonts w:ascii="Arial" w:cs="Arial" w:eastAsia="Arial" w:hAnsi="Arial"/>
                <w:sz w:val="14"/>
                <w:szCs w:val="14"/>
                <w:color w:val="auto"/>
              </w:rPr>
              <w:t>Weighted average number of common shares, diluted</w:t>
            </w:r>
            <w:r>
              <w:rPr>
                <w:rFonts w:ascii="Arial" w:cs="Arial" w:eastAsia="Arial" w:hAnsi="Arial"/>
                <w:sz w:val="21"/>
                <w:szCs w:val="21"/>
                <w:color w:val="auto"/>
                <w:vertAlign w:val="superscript"/>
              </w:rPr>
              <w:t>(1)(2)(3)</w:t>
            </w:r>
          </w:p>
        </w:tc>
        <w:tc>
          <w:tcPr>
            <w:tcW w:w="220" w:type="dxa"/>
            <w:vAlign w:val="bottom"/>
            <w:shd w:val="clear" w:color="auto" w:fill="EAEFED"/>
          </w:tcPr>
          <w:p>
            <w:pPr>
              <w:spacing w:after="0"/>
              <w:rPr>
                <w:sz w:val="15"/>
                <w:szCs w:val="15"/>
                <w:color w:val="auto"/>
              </w:rPr>
            </w:pPr>
          </w:p>
        </w:tc>
        <w:tc>
          <w:tcPr>
            <w:tcW w:w="180" w:type="dxa"/>
            <w:vAlign w:val="bottom"/>
            <w:tcBorders>
              <w:bottom w:val="single" w:sz="8" w:color="auto"/>
            </w:tcBorders>
            <w:shd w:val="clear" w:color="auto" w:fill="EAEFED"/>
          </w:tcPr>
          <w:p>
            <w:pPr>
              <w:spacing w:after="0"/>
              <w:rPr>
                <w:sz w:val="15"/>
                <w:szCs w:val="15"/>
                <w:color w:val="auto"/>
              </w:rPr>
            </w:pPr>
          </w:p>
        </w:tc>
        <w:tc>
          <w:tcPr>
            <w:tcW w:w="76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80,603</w:t>
            </w:r>
          </w:p>
        </w:tc>
        <w:tc>
          <w:tcPr>
            <w:tcW w:w="220" w:type="dxa"/>
            <w:vAlign w:val="bottom"/>
            <w:tcBorders>
              <w:bottom w:val="single" w:sz="8" w:color="auto"/>
            </w:tcBorders>
            <w:shd w:val="clear" w:color="auto" w:fill="EAEFED"/>
          </w:tcPr>
          <w:p>
            <w:pPr>
              <w:spacing w:after="0"/>
              <w:rPr>
                <w:sz w:val="15"/>
                <w:szCs w:val="15"/>
                <w:color w:val="auto"/>
              </w:rPr>
            </w:pPr>
          </w:p>
        </w:tc>
        <w:tc>
          <w:tcPr>
            <w:tcW w:w="740" w:type="dxa"/>
            <w:vAlign w:val="bottom"/>
            <w:tcBorders>
              <w:bottom w:val="single" w:sz="8" w:color="auto"/>
            </w:tcBorders>
            <w:shd w:val="clear" w:color="auto" w:fill="EAEFED"/>
          </w:tcPr>
          <w:p>
            <w:pPr>
              <w:jc w:val="right"/>
              <w:ind w:right="39"/>
              <w:spacing w:after="0"/>
              <w:rPr>
                <w:sz w:val="20"/>
                <w:szCs w:val="20"/>
                <w:color w:val="auto"/>
              </w:rPr>
            </w:pPr>
            <w:r>
              <w:rPr>
                <w:rFonts w:ascii="Arial" w:cs="Arial" w:eastAsia="Arial" w:hAnsi="Arial"/>
                <w:sz w:val="16"/>
                <w:szCs w:val="16"/>
                <w:color w:val="auto"/>
              </w:rPr>
              <w:t>78,072</w:t>
            </w:r>
          </w:p>
        </w:tc>
        <w:tc>
          <w:tcPr>
            <w:tcW w:w="240" w:type="dxa"/>
            <w:vAlign w:val="bottom"/>
            <w:tcBorders>
              <w:bottom w:val="single" w:sz="8" w:color="auto"/>
            </w:tcBorders>
            <w:shd w:val="clear" w:color="auto" w:fill="EAEFED"/>
          </w:tcPr>
          <w:p>
            <w:pPr>
              <w:spacing w:after="0"/>
              <w:rPr>
                <w:sz w:val="15"/>
                <w:szCs w:val="15"/>
                <w:color w:val="auto"/>
              </w:rPr>
            </w:pPr>
          </w:p>
        </w:tc>
        <w:tc>
          <w:tcPr>
            <w:tcW w:w="700" w:type="dxa"/>
            <w:vAlign w:val="bottom"/>
            <w:tcBorders>
              <w:bottom w:val="single" w:sz="8" w:color="auto"/>
            </w:tcBorders>
            <w:shd w:val="clear" w:color="auto" w:fill="EAEFED"/>
          </w:tcPr>
          <w:p>
            <w:pPr>
              <w:jc w:val="right"/>
              <w:ind w:right="19"/>
              <w:spacing w:after="0"/>
              <w:rPr>
                <w:sz w:val="20"/>
                <w:szCs w:val="20"/>
                <w:color w:val="auto"/>
              </w:rPr>
            </w:pPr>
            <w:r>
              <w:rPr>
                <w:rFonts w:ascii="Arial" w:cs="Arial" w:eastAsia="Arial" w:hAnsi="Arial"/>
                <w:sz w:val="16"/>
                <w:szCs w:val="16"/>
                <w:color w:val="auto"/>
              </w:rPr>
              <w:t>76,621</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Funds from operations available for common shareholders, per diluted share</w:t>
            </w:r>
            <w:r>
              <w:rPr>
                <w:rFonts w:ascii="Arial" w:cs="Arial" w:eastAsia="Arial" w:hAnsi="Arial"/>
                <w:sz w:val="24"/>
                <w:szCs w:val="24"/>
                <w:color w:val="auto"/>
                <w:vertAlign w:val="superscript"/>
              </w:rPr>
              <w:t>(2)</w:t>
            </w: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715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ind w:left="540" w:right="20" w:hanging="424"/>
        <w:spacing w:after="0" w:line="205"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For the year ended December 31, 2022, dividends on our Series 1 preferred stock were not deducted in the calculation of FFO available to common shareholders, as the related shares were dilutive and included in “weighted average common shares, diluted.”</w:t>
      </w:r>
    </w:p>
    <w:p>
      <w:pPr>
        <w:spacing w:after="0" w:line="1" w:lineRule="exact"/>
        <w:rPr>
          <w:rFonts w:ascii="Arial" w:cs="Arial" w:eastAsia="Arial" w:hAnsi="Arial"/>
          <w:sz w:val="24"/>
          <w:szCs w:val="24"/>
          <w:color w:val="auto"/>
          <w:vertAlign w:val="superscript"/>
        </w:rPr>
      </w:pPr>
    </w:p>
    <w:p>
      <w:pPr>
        <w:jc w:val="both"/>
        <w:ind w:left="540" w:right="20" w:hanging="424"/>
        <w:spacing w:after="0" w:line="211"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For the year ended December 31, 2020, FFO available for common shareholders includes a $11.2 million charge related to early extinguishment of debt. If this charge was excluded, our FFO available for common shareholders for 2020 would have been $345.0 million, and FFO available for common shareholders, per diluted share would have been $4.52.</w:t>
      </w:r>
    </w:p>
    <w:p>
      <w:pPr>
        <w:jc w:val="both"/>
        <w:ind w:left="540" w:right="20" w:hanging="424"/>
        <w:spacing w:after="0" w:line="214"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88265</wp:posOffset>
            </wp:positionV>
            <wp:extent cx="701230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7" w:lineRule="exact"/>
        <w:rPr>
          <w:sz w:val="20"/>
          <w:szCs w:val="20"/>
          <w:color w:val="auto"/>
        </w:rPr>
      </w:pPr>
    </w:p>
    <w:p>
      <w:pPr>
        <w:ind w:left="7960"/>
        <w:spacing w:after="0"/>
        <w:tabs>
          <w:tab w:leader="none" w:pos="9200" w:val="left"/>
          <w:tab w:leader="none" w:pos="107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A-1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Ø"/>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Ø"/>
      <w:numFmt w:val="bullet"/>
      <w:start w:val="1"/>
    </w:lvl>
  </w:abstractNum>
  <w:abstractNum w:abstractNumId="7">
    <w:nsid w:val="4F4EF005"/>
    <w:multiLevelType w:val="hybridMultilevel"/>
    <w:lvl w:ilvl="0">
      <w:lvlJc w:val="left"/>
      <w:lvlText w:val="Ø"/>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Ø"/>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Ø"/>
      <w:numFmt w:val="bullet"/>
      <w:start w:val="1"/>
    </w:lvl>
  </w:abstractNum>
  <w:abstractNum w:abstractNumId="15">
    <w:nsid w:val="47398C89"/>
    <w:multiLevelType w:val="hybridMultilevel"/>
    <w:lvl w:ilvl="0">
      <w:lvlJc w:val="left"/>
      <w:lvlText w:val=" "/>
      <w:numFmt w:val="bullet"/>
      <w:start w:val="1"/>
    </w:lvl>
  </w:abstractNum>
  <w:abstractNum w:abstractNumId="16">
    <w:nsid w:val="354FE9F9"/>
    <w:multiLevelType w:val="hybridMultilevel"/>
    <w:lvl w:ilvl="0">
      <w:lvlJc w:val="left"/>
      <w:lvlText w:val="Ø"/>
      <w:numFmt w:val="bullet"/>
      <w:start w:val="1"/>
    </w:lvl>
  </w:abstractNum>
  <w:abstractNum w:abstractNumId="17">
    <w:nsid w:val="15B5AF5C"/>
    <w:multiLevelType w:val="hybridMultilevel"/>
    <w:lvl w:ilvl="0">
      <w:lvlJc w:val="left"/>
      <w:lvlText w:val="Ø"/>
      <w:numFmt w:val="bullet"/>
      <w:start w:val="1"/>
    </w:lvl>
  </w:abstractNum>
  <w:abstractNum w:abstractNumId="18">
    <w:nsid w:val="741226BB"/>
    <w:multiLevelType w:val="hybridMultilevel"/>
    <w:lvl w:ilvl="0">
      <w:lvlJc w:val="left"/>
      <w:lvlText w:val="Ø"/>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Ø"/>
      <w:numFmt w:val="bullet"/>
      <w:start w:val="1"/>
    </w:lvl>
  </w:abstractNum>
  <w:abstractNum w:abstractNumId="27">
    <w:nsid w:val="5FF87E05"/>
    <w:multiLevelType w:val="hybridMultilevel"/>
    <w:lvl w:ilvl="0">
      <w:lvlJc w:val="left"/>
      <w:lvlText w:val="Ø"/>
      <w:numFmt w:val="bullet"/>
      <w:start w:val="1"/>
    </w:lvl>
  </w:abstractNum>
  <w:abstractNum w:abstractNumId="28">
    <w:nsid w:val="2F305DEF"/>
    <w:multiLevelType w:val="hybridMultilevel"/>
    <w:lvl w:ilvl="0">
      <w:lvlJc w:val="left"/>
      <w:lvlText w:val="∎"/>
      <w:numFmt w:val="bullet"/>
      <w:start w:val="1"/>
    </w:lvl>
    <w:lvl w:ilvl="1">
      <w:lvlJc w:val="left"/>
      <w:lvlText w:val="∎"/>
      <w:numFmt w:val="bullet"/>
      <w:start w:val="1"/>
    </w:lvl>
  </w:abstractNum>
  <w:abstractNum w:abstractNumId="29">
    <w:nsid w:val="25A70BF7"/>
    <w:multiLevelType w:val="hybridMultilevel"/>
    <w:lvl w:ilvl="0">
      <w:lvlJc w:val="left"/>
      <w:lvlText w:val="∎"/>
      <w:numFmt w:val="bullet"/>
      <w:start w:val="1"/>
    </w:lvl>
    <w:lvl w:ilvl="1">
      <w:lvlJc w:val="left"/>
      <w:lvlText w:val="∎"/>
      <w:numFmt w:val="bullet"/>
      <w:start w:val="1"/>
    </w:lvl>
  </w:abstractNum>
  <w:abstractNum w:abstractNumId="30">
    <w:nsid w:val="1DBABF00"/>
    <w:multiLevelType w:val="hybridMultilevel"/>
    <w:lvl w:ilvl="0">
      <w:lvlJc w:val="left"/>
      <w:lvlText w:val="Ø"/>
      <w:numFmt w:val="bullet"/>
      <w:start w:val="1"/>
    </w:lvl>
  </w:abstractNum>
  <w:abstractNum w:abstractNumId="31">
    <w:nsid w:val="4AD084E9"/>
    <w:multiLevelType w:val="hybridMultilevel"/>
    <w:lvl w:ilvl="0">
      <w:lvlJc w:val="left"/>
      <w:lvlText w:val="Ø"/>
      <w:numFmt w:val="bullet"/>
      <w:start w:val="1"/>
    </w:lvl>
  </w:abstractNum>
  <w:abstractNum w:abstractNumId="32">
    <w:nsid w:val="1F48EAA1"/>
    <w:multiLevelType w:val="hybridMultilevel"/>
    <w:lvl w:ilvl="0">
      <w:lvlJc w:val="left"/>
      <w:lvlText w:val="Ø"/>
      <w:numFmt w:val="bullet"/>
      <w:start w:val="1"/>
    </w:lvl>
  </w:abstractNum>
  <w:abstractNum w:abstractNumId="33">
    <w:nsid w:val="1381823A"/>
    <w:multiLevelType w:val="hybridMultilevel"/>
    <w:lvl w:ilvl="0">
      <w:lvlJc w:val="left"/>
      <w:lvlText w:val="Ø"/>
      <w:numFmt w:val="bullet"/>
      <w:start w:val="1"/>
    </w:lvl>
  </w:abstractNum>
  <w:abstractNum w:abstractNumId="34">
    <w:nsid w:val="5DB70AE5"/>
    <w:multiLevelType w:val="hybridMultilevel"/>
    <w:lvl w:ilvl="0">
      <w:lvlJc w:val="left"/>
      <w:lvlText w:val="Ø"/>
      <w:numFmt w:val="bullet"/>
      <w:start w:val="1"/>
    </w:lvl>
  </w:abstractNum>
  <w:abstractNum w:abstractNumId="35">
    <w:nsid w:val="100F8FCA"/>
    <w:multiLevelType w:val="hybridMultilevel"/>
    <w:lvl w:ilvl="0">
      <w:lvlJc w:val="left"/>
      <w:lvlText w:val="Ø"/>
      <w:numFmt w:val="bullet"/>
      <w:start w:val="1"/>
    </w:lvl>
  </w:abstractNum>
  <w:abstractNum w:abstractNumId="36">
    <w:nsid w:val="6590700B"/>
    <w:multiLevelType w:val="hybridMultilevel"/>
    <w:lvl w:ilvl="0">
      <w:lvlJc w:val="left"/>
      <w:lvlText w:val="Ø"/>
      <w:numFmt w:val="bullet"/>
      <w:start w:val="1"/>
    </w:lvl>
  </w:abstractNum>
  <w:abstractNum w:abstractNumId="37">
    <w:nsid w:val="15014ACB"/>
    <w:multiLevelType w:val="hybridMultilevel"/>
    <w:lvl w:ilvl="0">
      <w:lvlJc w:val="left"/>
      <w:lvlText w:val="Ø"/>
      <w:numFmt w:val="bullet"/>
      <w:start w:val="1"/>
    </w:lvl>
  </w:abstractNum>
  <w:abstractNum w:abstractNumId="38">
    <w:nsid w:val="5F5E7FD0"/>
    <w:multiLevelType w:val="hybridMultilevel"/>
    <w:lvl w:ilvl="0">
      <w:lvlJc w:val="left"/>
      <w:lvlText w:val="Ø"/>
      <w:numFmt w:val="bullet"/>
      <w:start w:val="1"/>
    </w:lvl>
  </w:abstractNum>
  <w:abstractNum w:abstractNumId="39">
    <w:nsid w:val="98A3148"/>
    <w:multiLevelType w:val="hybridMultilevel"/>
    <w:lvl w:ilvl="0">
      <w:lvlJc w:val="left"/>
      <w:lvlText w:val="Ø"/>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Ø"/>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Ø"/>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Ø"/>
      <w:numFmt w:val="bullet"/>
      <w:start w:val="1"/>
    </w:lvl>
  </w:abstractNum>
  <w:abstractNum w:abstractNumId="47">
    <w:nsid w:val="540A471C"/>
    <w:multiLevelType w:val="hybridMultilevel"/>
    <w:lvl w:ilvl="0">
      <w:lvlJc w:val="left"/>
      <w:lvlText w:val="Ø"/>
      <w:numFmt w:val="bullet"/>
      <w:start w:val="1"/>
    </w:lvl>
  </w:abstractNum>
  <w:abstractNum w:abstractNumId="48">
    <w:nsid w:val="7BD3EE7B"/>
    <w:multiLevelType w:val="hybridMultilevel"/>
    <w:lvl w:ilvl="0">
      <w:lvlJc w:val="left"/>
      <w:lvlText w:val="Ø"/>
      <w:numFmt w:val="bullet"/>
      <w:start w:val="1"/>
    </w:lvl>
  </w:abstractNum>
  <w:abstractNum w:abstractNumId="49">
    <w:nsid w:val="51D9C564"/>
    <w:multiLevelType w:val="hybridMultilevel"/>
    <w:lvl w:ilvl="0">
      <w:lvlJc w:val="left"/>
      <w:lvlText w:val="Ø"/>
      <w:numFmt w:val="bullet"/>
      <w:start w:val="1"/>
    </w:lvl>
  </w:abstractNum>
  <w:abstractNum w:abstractNumId="50">
    <w:nsid w:val="613EFDC5"/>
    <w:multiLevelType w:val="hybridMultilevel"/>
    <w:lvl w:ilvl="0">
      <w:lvlJc w:val="left"/>
      <w:lvlText w:val="Ø"/>
      <w:numFmt w:val="bullet"/>
      <w:start w:val="1"/>
    </w:lvl>
  </w:abstractNum>
  <w:abstractNum w:abstractNumId="51">
    <w:nsid w:val="BF72B14"/>
    <w:multiLevelType w:val="hybridMultilevel"/>
    <w:lvl w:ilvl="0">
      <w:lvlJc w:val="left"/>
      <w:lvlText w:val="Ø"/>
      <w:numFmt w:val="bullet"/>
      <w:start w:val="1"/>
    </w:lvl>
  </w:abstractNum>
  <w:abstractNum w:abstractNumId="52">
    <w:nsid w:val="11447B73"/>
    <w:multiLevelType w:val="hybridMultilevel"/>
    <w:lvl w:ilvl="0">
      <w:lvlJc w:val="left"/>
      <w:lvlText w:val="Ø"/>
      <w:numFmt w:val="bullet"/>
      <w:start w:val="1"/>
    </w:lvl>
  </w:abstractNum>
  <w:abstractNum w:abstractNumId="53">
    <w:nsid w:val="42963E5A"/>
    <w:multiLevelType w:val="hybridMultilevel"/>
    <w:lvl w:ilvl="0">
      <w:lvlJc w:val="left"/>
      <w:lvlText w:val="Ø"/>
      <w:numFmt w:val="bullet"/>
      <w:start w:val="1"/>
    </w:lvl>
  </w:abstractNum>
  <w:abstractNum w:abstractNumId="54">
    <w:nsid w:val="A0382C5"/>
    <w:multiLevelType w:val="hybridMultilevel"/>
    <w:lvl w:ilvl="0">
      <w:lvlJc w:val="left"/>
      <w:lvlText w:val="Ø"/>
      <w:numFmt w:val="bullet"/>
      <w:start w:val="1"/>
    </w:lvl>
  </w:abstractNum>
  <w:abstractNum w:abstractNumId="55">
    <w:nsid w:val="8F2B15E"/>
    <w:multiLevelType w:val="hybridMultilevel"/>
    <w:lvl w:ilvl="0">
      <w:lvlJc w:val="left"/>
      <w:lvlText w:val="Ø"/>
      <w:numFmt w:val="bullet"/>
      <w:start w:val="1"/>
    </w:lvl>
  </w:abstractNum>
  <w:abstractNum w:abstractNumId="56">
    <w:nsid w:val="1A32234B"/>
    <w:multiLevelType w:val="hybridMultilevel"/>
    <w:lvl w:ilvl="0">
      <w:lvlJc w:val="left"/>
      <w:lvlText w:val="Ø"/>
      <w:numFmt w:val="bullet"/>
      <w:start w:val="1"/>
    </w:lvl>
  </w:abstractNum>
  <w:abstractNum w:abstractNumId="57">
    <w:nsid w:val="3B0FD379"/>
    <w:multiLevelType w:val="hybridMultilevel"/>
    <w:lvl w:ilvl="0">
      <w:lvlJc w:val="left"/>
      <w:lvlText w:val="Ø"/>
      <w:numFmt w:val="bullet"/>
      <w:start w:val="1"/>
    </w:lvl>
  </w:abstractNum>
  <w:abstractNum w:abstractNumId="58">
    <w:nsid w:val="68EB2F63"/>
    <w:multiLevelType w:val="hybridMultilevel"/>
    <w:lvl w:ilvl="0">
      <w:lvlJc w:val="left"/>
      <w:lvlText w:val="Ø"/>
      <w:numFmt w:val="bullet"/>
      <w:start w:val="1"/>
    </w:lvl>
  </w:abstractNum>
  <w:abstractNum w:abstractNumId="59">
    <w:nsid w:val="4962813B"/>
    <w:multiLevelType w:val="hybridMultilevel"/>
    <w:lvl w:ilvl="0">
      <w:lvlJc w:val="left"/>
      <w:lvlText w:val="Ø"/>
      <w:numFmt w:val="bullet"/>
      <w:start w:val="1"/>
    </w:lvl>
  </w:abstractNum>
  <w:abstractNum w:abstractNumId="60">
    <w:nsid w:val="60B6DF70"/>
    <w:multiLevelType w:val="hybridMultilevel"/>
    <w:lvl w:ilvl="0">
      <w:lvlJc w:val="left"/>
      <w:lvlText w:val="Ø"/>
      <w:numFmt w:val="bullet"/>
      <w:start w:val="1"/>
    </w:lvl>
  </w:abstractNum>
  <w:abstractNum w:abstractNumId="61">
    <w:nsid w:val="6A5EE64"/>
    <w:multiLevelType w:val="hybridMultilevel"/>
    <w:lvl w:ilvl="0">
      <w:lvlJc w:val="left"/>
      <w:lvlText w:val="Ø"/>
      <w:numFmt w:val="bullet"/>
      <w:start w:val="1"/>
    </w:lvl>
  </w:abstractNum>
  <w:abstractNum w:abstractNumId="62">
    <w:nsid w:val="14330624"/>
    <w:multiLevelType w:val="hybridMultilevel"/>
    <w:lvl w:ilvl="0">
      <w:lvlJc w:val="left"/>
      <w:lvlText w:val="Ø"/>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lvl w:ilvl="1">
      <w:lvlJc w:val="left"/>
      <w:lvlText w:val="(%2)"/>
      <w:numFmt w:val="decimal"/>
      <w:start w:val="1"/>
    </w:lvl>
  </w:abstractNum>
  <w:abstractNum w:abstractNumId="73">
    <w:nsid w:val="4C04A8AF"/>
    <w:multiLevelType w:val="hybridMultilevel"/>
    <w:lvl w:ilvl="0">
      <w:lvlJc w:val="left"/>
      <w:lvlText w:val="%1)"/>
      <w:numFmt w:val="decimal"/>
      <w:start w:val="5"/>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3"/>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2"/>
    </w:lvl>
  </w:abstractNum>
  <w:abstractNum w:abstractNumId="80">
    <w:nsid w:val="46B7D447"/>
    <w:multiLevelType w:val="hybridMultilevel"/>
    <w:lvl w:ilvl="0">
      <w:lvlJc w:val="left"/>
      <w:lvlText w:val="(%1)"/>
      <w:numFmt w:val="decimal"/>
      <w:start w:val="3"/>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Ø"/>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Ø"/>
      <w:numFmt w:val="bullet"/>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Ø"/>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Ø"/>
      <w:numFmt w:val="bullet"/>
      <w:start w:val="1"/>
    </w:lvl>
  </w:abstractNum>
  <w:abstractNum w:abstractNumId="93">
    <w:nsid w:val="488AC1A"/>
    <w:multiLevelType w:val="hybridMultilevel"/>
    <w:lvl w:ilvl="0">
      <w:lvlJc w:val="left"/>
      <w:lvlText w:val="Ø"/>
      <w:numFmt w:val="bullet"/>
      <w:start w:val="1"/>
    </w:lvl>
  </w:abstractNum>
  <w:abstractNum w:abstractNumId="94">
    <w:nsid w:val="5FB8011C"/>
    <w:multiLevelType w:val="hybridMultilevel"/>
    <w:lvl w:ilvl="0">
      <w:lvlJc w:val="left"/>
      <w:lvlText w:val="Ø"/>
      <w:numFmt w:val="bullet"/>
      <w:start w:val="1"/>
    </w:lvl>
  </w:abstractNum>
  <w:abstractNum w:abstractNumId="95">
    <w:nsid w:val="6AA78F7F"/>
    <w:multiLevelType w:val="hybridMultilevel"/>
    <w:lvl w:ilvl="0">
      <w:lvlJc w:val="left"/>
      <w:lvlText w:val="Ø"/>
      <w:numFmt w:val="bullet"/>
      <w:start w:val="1"/>
    </w:lvl>
  </w:abstractNum>
  <w:abstractNum w:abstractNumId="96">
    <w:nsid w:val="7672BD23"/>
    <w:multiLevelType w:val="hybridMultilevel"/>
    <w:lvl w:ilvl="0">
      <w:lvlJc w:val="left"/>
      <w:lvlText w:val="Ø"/>
      <w:numFmt w:val="bullet"/>
      <w:start w:val="1"/>
    </w:lvl>
  </w:abstractNum>
  <w:abstractNum w:abstractNumId="97">
    <w:nsid w:val="6FC75AF8"/>
    <w:multiLevelType w:val="hybridMultilevel"/>
    <w:lvl w:ilvl="0">
      <w:lvlJc w:val="left"/>
      <w:lvlText w:val="Ø"/>
      <w:numFmt w:val="bullet"/>
      <w:start w:val="1"/>
    </w:lvl>
  </w:abstractNum>
  <w:abstractNum w:abstractNumId="98">
    <w:nsid w:val="6A5F7029"/>
    <w:multiLevelType w:val="hybridMultilevel"/>
    <w:lvl w:ilvl="0">
      <w:lvlJc w:val="left"/>
      <w:lvlText w:val="Ø"/>
      <w:numFmt w:val="bullet"/>
      <w:start w:val="1"/>
    </w:lvl>
  </w:abstractNum>
  <w:abstractNum w:abstractNumId="99">
    <w:nsid w:val="7D5E18F8"/>
    <w:multiLevelType w:val="hybridMultilevel"/>
    <w:lvl w:ilvl="0">
      <w:lvlJc w:val="left"/>
      <w:lvlText w:val="Ø"/>
      <w:numFmt w:val="bullet"/>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2023-02-24T07:24:28Z</dcterms:created>
  <dcterms:modified xsi:type="dcterms:W3CDTF">2023-02-24T07:24:28Z</dcterms:modified>
</cp:coreProperties>
</file>