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46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 ENDED MARCH 31, 2005</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93"/>
              </w:rPr>
              <w:t>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5380" w:type="dxa"/>
            <w:vAlign w:val="bottom"/>
          </w:tcPr>
          <w:p>
            <w:pPr>
              <w:jc w:val="center"/>
              <w:ind w:right="17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86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9"/>
              </w:rPr>
              <w:t>incorporation or organization)</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4980" w:type="dxa"/>
            <w:vAlign w:val="bottom"/>
            <w:gridSpan w:val="2"/>
          </w:tcPr>
          <w:p>
            <w:pPr>
              <w:jc w:val="center"/>
              <w:ind w:right="4520"/>
              <w:spacing w:after="0"/>
              <w:rPr>
                <w:sz w:val="20"/>
                <w:szCs w:val="20"/>
                <w:color w:val="auto"/>
              </w:rPr>
            </w:pPr>
            <w:r>
              <w:rPr>
                <w:rFonts w:ascii="Arial" w:cs="Arial" w:eastAsia="Arial" w:hAnsi="Arial"/>
                <w:sz w:val="14"/>
                <w:szCs w:val="14"/>
                <w:b w:val="1"/>
                <w:bCs w:val="1"/>
                <w:color w:val="auto"/>
                <w:w w:val="80"/>
              </w:rPr>
              <w:t>Class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May 2, 2005</w:t>
            </w:r>
          </w:p>
        </w:tc>
        <w:tc>
          <w:tcPr>
            <w:tcW w:w="148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r>
      <w:tr>
        <w:trPr>
          <w:trHeight w:val="316"/>
        </w:trPr>
        <w:tc>
          <w:tcPr>
            <w:tcW w:w="7560" w:type="dxa"/>
            <w:vAlign w:val="bottom"/>
            <w:gridSpan w:val="3"/>
          </w:tcPr>
          <w:p>
            <w:pPr>
              <w:jc w:val="center"/>
              <w:ind w:right="1940"/>
              <w:spacing w:after="0"/>
              <w:rPr>
                <w:sz w:val="20"/>
                <w:szCs w:val="20"/>
                <w:color w:val="auto"/>
              </w:rPr>
            </w:pPr>
            <w:r>
              <w:rPr>
                <w:rFonts w:ascii="Arial" w:cs="Arial" w:eastAsia="Arial" w:hAnsi="Arial"/>
                <w:sz w:val="18"/>
                <w:szCs w:val="18"/>
                <w:color w:val="auto"/>
                <w:w w:val="89"/>
              </w:rPr>
              <w:t>Common Shares of Beneficial Interest</w:t>
            </w:r>
          </w:p>
        </w:tc>
        <w:tc>
          <w:tcPr>
            <w:tcW w:w="2380" w:type="dxa"/>
            <w:vAlign w:val="bottom"/>
          </w:tcPr>
          <w:p>
            <w:pPr>
              <w:jc w:val="right"/>
              <w:ind w:right="722"/>
              <w:spacing w:after="0"/>
              <w:rPr>
                <w:sz w:val="20"/>
                <w:szCs w:val="20"/>
                <w:color w:val="auto"/>
              </w:rPr>
            </w:pPr>
            <w:r>
              <w:rPr>
                <w:rFonts w:ascii="Arial" w:cs="Arial" w:eastAsia="Arial" w:hAnsi="Arial"/>
                <w:sz w:val="18"/>
                <w:szCs w:val="18"/>
                <w:color w:val="auto"/>
              </w:rPr>
              <w:t>52,505,632</w:t>
            </w:r>
          </w:p>
        </w:tc>
        <w:tc>
          <w:tcPr>
            <w:tcW w:w="1480" w:type="dxa"/>
            <w:vAlign w:val="bottom"/>
          </w:tcPr>
          <w:p>
            <w:pPr>
              <w:spacing w:after="0"/>
              <w:rPr>
                <w:sz w:val="24"/>
                <w:szCs w:val="24"/>
                <w:color w:val="auto"/>
              </w:rPr>
            </w:pPr>
          </w:p>
        </w:tc>
      </w:tr>
      <w:tr>
        <w:trPr>
          <w:trHeight w:val="201"/>
        </w:trPr>
        <w:tc>
          <w:tcPr>
            <w:tcW w:w="2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95"/>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2200" w:type="dxa"/>
            <w:vAlign w:val="bottom"/>
            <w:gridSpan w:val="5"/>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460" w:type="dxa"/>
            <w:vAlign w:val="bottom"/>
            <w:gridSpan w:val="13"/>
            <w:vMerge w:val="restart"/>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20" w:type="dxa"/>
            <w:vAlign w:val="bottom"/>
            <w:gridSpan w:val="2"/>
            <w:vMerge w:val="continue"/>
          </w:tcPr>
          <w:p>
            <w:pPr>
              <w:spacing w:after="0"/>
              <w:rPr>
                <w:sz w:val="24"/>
                <w:szCs w:val="24"/>
                <w:color w:val="auto"/>
              </w:rPr>
            </w:pPr>
          </w:p>
        </w:tc>
        <w:tc>
          <w:tcPr>
            <w:tcW w:w="2200" w:type="dxa"/>
            <w:vAlign w:val="bottom"/>
            <w:tcBorders>
              <w:bottom w:val="single" w:sz="8" w:color="0000EE"/>
            </w:tcBorders>
            <w:gridSpan w:val="5"/>
            <w:vMerge w:val="continue"/>
          </w:tcPr>
          <w:p>
            <w:pPr>
              <w:spacing w:after="0"/>
              <w:rPr>
                <w:sz w:val="24"/>
                <w:szCs w:val="24"/>
                <w:color w:val="auto"/>
              </w:rPr>
            </w:pPr>
          </w:p>
        </w:tc>
        <w:tc>
          <w:tcPr>
            <w:tcW w:w="7460" w:type="dxa"/>
            <w:vAlign w:val="bottom"/>
            <w:gridSpan w:val="13"/>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300" w:type="dxa"/>
            <w:vAlign w:val="bottom"/>
            <w:gridSpan w:val="1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March 31, 2005 (unaudited) and December 31, 2004 (audited)</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three months ended March 31, 2005 and 2004</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Common Shareholders’ Equity (unaudited) three months ended March 31, 2005 and 2004</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(unaudited) three months ended March 31, 2005 and 2004</w:t>
              </w:r>
            </w:hyperlink>
          </w:p>
        </w:tc>
        <w:tc>
          <w:tcPr>
            <w:tcW w:w="1360" w:type="dxa"/>
            <w:vAlign w:val="bottom"/>
            <w:tcBorders>
              <w:top w:val="single" w:sz="8" w:color="0000EE"/>
            </w:tcBorders>
            <w:gridSpan w:val="2"/>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8-15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16-31</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48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32-33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4"/>
          </w:tcPr>
          <w:p>
            <w:pPr>
              <w:spacing w:after="0"/>
              <w:rPr>
                <w:sz w:val="24"/>
                <w:szCs w:val="24"/>
                <w:color w:val="auto"/>
              </w:rPr>
            </w:pPr>
          </w:p>
        </w:tc>
        <w:tc>
          <w:tcPr>
            <w:tcW w:w="4580" w:type="dxa"/>
            <w:vAlign w:val="bottom"/>
            <w:gridSpan w:val="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34-35</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OTHER INFORMATION</w:t>
              </w:r>
            </w:hyperlink>
          </w:p>
        </w:tc>
        <w:tc>
          <w:tcPr>
            <w:tcW w:w="7820" w:type="dxa"/>
            <w:vAlign w:val="bottom"/>
            <w:gridSpan w:val="1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78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454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Submission of Matters to a Vote to Security Holders</w:t>
              </w:r>
            </w:hyperlink>
          </w:p>
        </w:tc>
        <w:tc>
          <w:tcPr>
            <w:tcW w:w="5100" w:type="dxa"/>
            <w:vAlign w:val="bottom"/>
            <w:gridSpan w:val="8"/>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78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748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SIGNATURES</w:t>
              </w:r>
            </w:hyperlink>
          </w:p>
        </w:tc>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10"/>
          </w:tcPr>
          <w:p>
            <w:pPr>
              <w:ind w:left="3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three months ended March 31, 2005 are not necessarily indicative of the results that may be expected for the full year. These financial statements should be read in conjunction with our audited consolidated financial statements and footnotes thereto included in the Trust’s Annual Report on Form 10-K for the fiscal year ended December 31, 2004.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2,740,608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2,666,276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(612,605)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(595,338)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2,128,003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$6,060, and $5,549, respectively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2,327,325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Obligations under capital leases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158,748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568,263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28,418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Security deposits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39,239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1,506,983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8.5% Series B Cumulative Redeemable Preferred Shares, (stated at liquidation preference $25 per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5,400,000 shares issued in 2001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5"/>
              </w:rPr>
              <w:t>Common shares of beneficial interest, $.01 par, 100,000,000 shares authorized, 53,972,962 and 53,616,827 issued,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1,125,054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(421,404)</w:t>
            </w: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(416,026)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1,480,202 and 1,480,202 common shares in treasury—at cost, respectively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 on restricted shares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(10,927)</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employee stock plans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2,327,325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960"/>
              <w:spacing w:after="0"/>
              <w:rPr>
                <w:sz w:val="20"/>
                <w:szCs w:val="20"/>
                <w:color w:val="auto"/>
              </w:rPr>
            </w:pPr>
            <w:r>
              <w:rPr>
                <w:rFonts w:ascii="Arial" w:cs="Arial" w:eastAsia="Arial" w:hAnsi="Arial"/>
                <w:sz w:val="18"/>
                <w:szCs w:val="18"/>
                <w:color w:val="auto"/>
                <w:w w:val="98"/>
              </w:rPr>
              <w:t>The accompanying notes are an integral part of these consolidated statements.</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-5188585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-5188585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-5188585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-5188585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-5188585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-5188585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100,220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(22,063)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 income from discontinued operations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-2915920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-2915920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-2915920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-2915920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-2915920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-1920875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-1920875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-1920875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-1920875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-1920875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-1920875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-1621155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-1621155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-1621155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-1621155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-1621155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-1621155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-626110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-626110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-626110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-626110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-626110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801"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80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88"/>
              </w:rPr>
              <w:t>Three months ended March 31,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380" w:type="dxa"/>
            <w:vAlign w:val="bottom"/>
            <w:gridSpan w:val="2"/>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w:t>
            </w: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Paid-in Capital</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Paid-in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53,616,827</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2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1,108,213</w:t>
            </w:r>
          </w:p>
        </w:tc>
        <w:tc>
          <w:tcPr>
            <w:tcW w:w="8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50,670,851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28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980,227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73,513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8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18,715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16,815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822</w:t>
            </w:r>
          </w:p>
        </w:tc>
        <w:tc>
          <w:tcPr>
            <w:tcW w:w="8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16,495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shares granted, net of restricted shares retired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3,893</w:t>
            </w:r>
          </w:p>
        </w:tc>
        <w:tc>
          <w:tcPr>
            <w:tcW w:w="8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84,617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Shares issued to purchase operating partnership units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8,860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compensation associated with variable accounting</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53,972,962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1,125,054</w:t>
            </w:r>
          </w:p>
        </w:tc>
        <w:tc>
          <w:tcPr>
            <w:tcW w:w="8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50,790,678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987,212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dividends in excess of Trust net income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(416,026)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3"/>
              </w:rPr>
              <w:t>(386,738)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17,246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Dividends declared to common shareholders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(26,506)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(24,167)</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share dividends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(2,869)</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(2,869)</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(421,404)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(396,528)</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 in Treasury</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gridSpan w:val="2"/>
          </w:tcPr>
          <w:p>
            <w:pPr>
              <w:ind w:left="420"/>
              <w:spacing w:after="0"/>
              <w:rPr>
                <w:sz w:val="20"/>
                <w:szCs w:val="20"/>
                <w:color w:val="auto"/>
              </w:rPr>
            </w:pPr>
            <w:r>
              <w:rPr>
                <w:rFonts w:ascii="Arial" w:cs="Arial" w:eastAsia="Arial" w:hAnsi="Arial"/>
                <w:sz w:val="14"/>
                <w:szCs w:val="14"/>
                <w:color w:val="auto"/>
              </w:rPr>
              <w:t>Balance, beginning and end of period</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(1,480,202)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(28,786)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4"/>
                <w:szCs w:val="14"/>
                <w:color w:val="auto"/>
              </w:rPr>
              <w:t>(1,470,275)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(28,445)</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compensation on restricted shares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(8,641)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(220,666)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(5,474)</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issued, net of forfeitures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(3,324)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(75,522)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(4,955)</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gridSpan w:val="2"/>
          </w:tcPr>
          <w:p>
            <w:pPr>
              <w:ind w:left="420"/>
              <w:spacing w:after="0"/>
              <w:rPr>
                <w:sz w:val="20"/>
                <w:szCs w:val="20"/>
                <w:color w:val="auto"/>
              </w:rPr>
            </w:pPr>
            <w:r>
              <w:rPr>
                <w:rFonts w:ascii="Arial" w:cs="Arial" w:eastAsia="Arial" w:hAnsi="Arial"/>
                <w:sz w:val="14"/>
                <w:szCs w:val="14"/>
                <w:color w:val="auto"/>
              </w:rPr>
              <w:t>Vesting of performance and restricted shares</w:t>
            </w:r>
          </w:p>
        </w:tc>
        <w:tc>
          <w:tcPr>
            <w:tcW w:w="620" w:type="dxa"/>
            <w:vAlign w:val="bottom"/>
          </w:tcPr>
          <w:p>
            <w:pPr>
              <w:jc w:val="right"/>
              <w:spacing w:after="0"/>
              <w:rPr>
                <w:sz w:val="20"/>
                <w:szCs w:val="20"/>
                <w:color w:val="auto"/>
              </w:rPr>
            </w:pPr>
            <w:r>
              <w:rPr>
                <w:rFonts w:ascii="Arial" w:cs="Arial" w:eastAsia="Arial" w:hAnsi="Arial"/>
                <w:sz w:val="14"/>
                <w:szCs w:val="14"/>
                <w:color w:val="auto"/>
              </w:rPr>
              <w:t>78,370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45,012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1,113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(213,267)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(10,927)</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(251,176)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(9,316)</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Subscriptions receivable from employee stock plans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(81,373)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(156,274)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Subscription loans issued</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gridSpan w:val="2"/>
          </w:tcPr>
          <w:p>
            <w:pPr>
              <w:ind w:left="420"/>
              <w:spacing w:after="0"/>
              <w:rPr>
                <w:sz w:val="20"/>
                <w:szCs w:val="20"/>
                <w:color w:val="auto"/>
              </w:rPr>
            </w:pPr>
            <w:r>
              <w:rPr>
                <w:rFonts w:ascii="Arial" w:cs="Arial" w:eastAsia="Arial" w:hAnsi="Arial"/>
                <w:sz w:val="14"/>
                <w:szCs w:val="14"/>
                <w:color w:val="auto"/>
              </w:rPr>
              <w:t>Subscription loans paid</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(81,373)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(163,274)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(3,762)</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gain on securities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(1,004)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(1,029)</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23,997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17,246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on securities</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(1,004)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-4377055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-4377055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-4377055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-4377055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-4377055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-4377055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-4377055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-4377055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-4377055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-4377055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-4377055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-4377055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-4377055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-4377055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-4377055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-4377055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-3502660</wp:posOffset>
            </wp:positionV>
            <wp:extent cx="3816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-3502660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-3502660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-3502660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-3150870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-3150870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-3150870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-3150870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-3150870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-3150870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-3150870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-3150870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-3150870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-3150870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-2370455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-2370455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-2370455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-2370455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-2370455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-2370455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-2370455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-2370455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-2370455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-2370455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-1590040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-1590040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-1590040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-1590040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-1590040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-1590040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-1590040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-1590040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-1590040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-1590040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-809625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-809625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-809625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-809625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-809625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-809625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$ 23,997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Items not requiring cash outlays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22,595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and notes receivable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(6,189)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Decrease in prepaid expenses and other assets before 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payable, security deposits and prepaid rent</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(64,267)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(25,010)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Repayment (issuance) of mortgage notes receivable, net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(78,394)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(120,570)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borrowings under revolving credit facility</w:t>
            </w:r>
          </w:p>
        </w:tc>
        <w:tc>
          <w:tcPr>
            <w:tcW w:w="640" w:type="dxa"/>
            <w:vAlign w:val="bottom"/>
          </w:tcPr>
          <w:p>
            <w:pPr>
              <w:jc w:val="right"/>
              <w:spacing w:after="0"/>
              <w:rPr>
                <w:sz w:val="20"/>
                <w:szCs w:val="20"/>
                <w:color w:val="auto"/>
              </w:rPr>
            </w:pPr>
            <w:r>
              <w:rPr>
                <w:rFonts w:ascii="Arial" w:cs="Arial" w:eastAsia="Arial" w:hAnsi="Arial"/>
                <w:sz w:val="18"/>
                <w:szCs w:val="18"/>
                <w:color w:val="auto"/>
              </w:rPr>
              <w:t>65,000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senior debentures</w:t>
            </w: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Repayment of senior debentures</w:t>
            </w: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mortgages, capital leases and notes payable, net</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(9,714)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Issuance of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13,577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(28,613)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(decrease) of minority interests, net</w:t>
            </w: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beginning of period</w:t>
            </w:r>
          </w:p>
        </w:tc>
        <w:tc>
          <w:tcPr>
            <w:tcW w:w="640" w:type="dxa"/>
            <w:vAlign w:val="bottom"/>
          </w:tcPr>
          <w:p>
            <w:pPr>
              <w:jc w:val="right"/>
              <w:spacing w:after="0"/>
              <w:rPr>
                <w:sz w:val="20"/>
                <w:szCs w:val="20"/>
                <w:color w:val="auto"/>
              </w:rPr>
            </w:pPr>
            <w:r>
              <w:rPr>
                <w:rFonts w:ascii="Arial" w:cs="Arial" w:eastAsia="Arial" w:hAnsi="Arial"/>
                <w:sz w:val="18"/>
                <w:szCs w:val="18"/>
                <w:color w:val="auto"/>
              </w:rPr>
              <w:t>30,475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$ 27,645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jc w:val="center"/>
              <w:ind w:left="197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60" w:type="dxa"/>
            <w:vAlign w:val="bottom"/>
            <w:gridSpan w:val="2"/>
          </w:tcPr>
          <w:p>
            <w:pPr>
              <w:jc w:val="right"/>
              <w:ind w:right="3512"/>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-557530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A—ACCOUNTING POLICIES AND OTHER DATA</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retail and mixed-use properties. As of March 31, we owned or had a majority interest in 105 community and neighborhood shopping centers and retail mixed-use properties comprising approximately 17.4 million square feet, located primarily in densely populated and affluent communities throughout the Northeast and Mid-Atlantic United States, as well as California and one apartment complex in Maryland. In total, the 105 commercial properties were 95.1% leased at March 31, 2005. A joint venture in which we own a 30% interest owned four neighborhood shopping centers totaling approximately 0.5 million square feet as of March 31, 2005. We have paid quarterly dividends to our shareholders continuously since our founding in 1962, and have increased our dividend rate for 37 consecutive years.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accounting principles generally accepted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the Company’s Form 10-K for the year ended December 31, 2004.</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40" w:type="dxa"/>
            <w:vAlign w:val="bottom"/>
            <w:gridSpan w:val="2"/>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basic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20,059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(2,869)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322"/>
        </w:trPr>
        <w:tc>
          <w:tcPr>
            <w:tcW w:w="9780" w:type="dxa"/>
            <w:vAlign w:val="bottom"/>
            <w:gridSpan w:val="3"/>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17,190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17,190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for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21,286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78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 awards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Operating partnership units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53,179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-4291330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-4291330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-4291330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-4291330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-4291330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-4291330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-3227705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-3227705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-3227705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-3227705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-3227705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-3227705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-1950085</wp:posOffset>
            </wp:positionV>
            <wp:extent cx="39878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-1950085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-1950085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-1950085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-887095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-887095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-887095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-887095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-887095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-887095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components of rental income, other property income, rental expense, real estate tax expense, and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on the Consolidated Statements of Operations have been reclassified to Income From Discontinued Operations to assure comparability of all periods presented. In addition, certain December 31, 2004 Balance Sheet accounts, 2004 Statement of Operations accounts and components of the 2004 Consolidated Statement of Cash Flows have been reclassified to assure comparability of all periods presented including certain amounts reclassified from other property income to rental income.</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In accordance with SFAS No. 148, “Accounting for Stock Based Compensation-Transition and Disclosure,” we present stock-based employee compensation costs net of the related tax effects. We account for stock options using the intrinsic method in accordance with APB No. 25, “Accounting for Stock Issued to Employees,” as interpreted, whereby if options are priced at fair market value or above at the date of grant, no compensation expense is recognized.</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gridSpan w:val="2"/>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for earnings per share)</w:t>
            </w: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23,997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23,851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21,286</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Diluted,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-1845310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-1845310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-1845310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-1845310</wp:posOffset>
            </wp:positionV>
            <wp:extent cx="39878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-507365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-507365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-507365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-507365</wp:posOffset>
            </wp:positionV>
            <wp:extent cx="39878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w:t>
      </w:r>
      <w:r>
        <w:rPr>
          <w:rFonts w:ascii="Arial" w:cs="Arial" w:eastAsia="Arial" w:hAnsi="Arial"/>
          <w:sz w:val="16"/>
          <w:szCs w:val="16"/>
          <w:i w:val="1"/>
          <w:iCs w:val="1"/>
          <w:color w:val="auto"/>
        </w:rPr>
        <w:t xml:space="preserve"> </w:t>
      </w:r>
      <w:r>
        <w:rPr>
          <w:rFonts w:ascii="Arial" w:cs="Arial" w:eastAsia="Arial" w:hAnsi="Arial"/>
          <w:sz w:val="16"/>
          <w:szCs w:val="16"/>
          <w:color w:val="auto"/>
        </w:rPr>
        <w:t>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will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our joint venture with Clarion Lion Properties Fund and determined that these joint ventures do not meet the requirements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Accordingly, these loans will continue to be accounted for as mortgage notes receivable rather than equity investments. The adoption of FIN 46-R did not have a material impact on our financial position or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 ASSETS AND ENCUMBRANCES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15, 2005 we sold two properties located in Tempe, Arizona for $13.7 million, resulting in a gain of $4.0 million.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 2005, we acquired Assembly Square, an approximately 330,000 square foot enclosed mall that is currently being redeveloped into a power center, and an adjacent ten-acre 220,000 square foot retail/industrial complex for an aggregate investment of $66.4 million, which includes $2.5 million of cost for the ongoing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redevelopment. With respect to the values assigned to assumed leases, approximately $3.4 million of the net assets acquired was allocated to prepaid and other assets for “above-market leases,” while $5.1 million of the net assets acquired was allocated to other liabilities and deferred credits for “below-market leases.” Amounts associated with above and below market leases are amortized over the related lease terms. Amortization is included in rental income on the consolidated statement of operations. The properties are located in the City of Somerville, Massachusetts. The acquisition was financed through available cash and borrowings under our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through June 2006.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as described in “Note A. Summary of Significant Accounting Policies—Variable Interest Entities.” In total, at March 31, 2005, the partnership had $47.2 million of mortgage notes outstanding.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summarized financial results of the Partnership:</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5"/>
                <w:szCs w:val="15"/>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w w:val="89"/>
              </w:rPr>
              <w:t>Three months ended 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00" w:type="dxa"/>
            <w:vAlign w:val="bottom"/>
            <w:gridSpan w:val="3"/>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5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As of 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payable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-2687955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-2687955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-2687955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-1169670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-1169670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-1169670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loans secured by Plaza del Mercado, Campus Plaza and Pleasant Shops,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D—MORTGAGES, NOTES PAYABLE AND OTHER LONG TERM DEBT</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 $550 million unsecured credit facility consisting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93"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In January 2004, to hedge our exposure to interest rate fluctuations on the $150 million five-year term loan, we entered into an interest rate swap, which fixed the LIBOR portion of the interest rate on the term loan at 2.401% through October 2006. The interest rate on the term loan as of December 31, 2003 was</w:t>
      </w:r>
    </w:p>
    <w:p>
      <w:pPr>
        <w:ind w:right="100"/>
        <w:spacing w:after="0" w:line="261" w:lineRule="auto"/>
        <w:rPr>
          <w:sz w:val="20"/>
          <w:szCs w:val="20"/>
          <w:color w:val="auto"/>
        </w:rPr>
      </w:pPr>
      <w:r>
        <w:rPr>
          <w:rFonts w:ascii="Arial" w:cs="Arial" w:eastAsia="Arial" w:hAnsi="Arial"/>
          <w:sz w:val="18"/>
          <w:szCs w:val="18"/>
          <w:color w:val="auto"/>
        </w:rPr>
        <w:t>2.1%, based on LIBOR plus 95 basis points. The current interest rate, taking into account the swap, is 3.351% (2.401% plus 0.95%) on notional amounts totaling $150 million.</w:t>
      </w:r>
    </w:p>
    <w:p>
      <w:pPr>
        <w:spacing w:after="0" w:line="12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March 31, 2005, there was $120 million borrowed under our $300 million revolving credit facility. The maximum amount drawn during the first three months of 2005 was $120 million. The weighted average interest rate on borrowings under the revolving credit facility for the three months ended March 31, 2005, was 3.31%. The facility requires us to comply with various financial and other covenants, including the maintenance of a minimum shareholders’ equity and a maximum ratio of debt to net worth. At March 31, 2005, we were in compliance with all loan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more detailed description of our derivative instruments is contained below in “Item 3. Quantitative and Qualitative Disclosures about Market Risk.”</w:t>
      </w:r>
    </w:p>
    <w:p>
      <w:pPr>
        <w:spacing w:after="0" w:line="18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To adjust the hedged derivatives to their fair value, we recorded an unrealized gain to other comprehensive income of $1.2 million and an unrealized loss of $1.0 million during the three months ended March 31, 2005 and 2004, respectively. The estimated amount included in accumulated other comprehensive income as of March 31, 2005 which is expected to be reclassified into earnings within the next twelve months to offset the variability of cash flows during this period is not material.</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accounts payable and accrued expenses on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E—SHAREHOLDERS’ EQUITY</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order to facilitate the redemption of a minority partner’s interest in an affiliated limited partnership, in September 2004, we issued 190,000 common shares to one of our affiliated limited partnerships and, in February 2005, the shares were sold to a third party. In both cases, the shares were transferred in reliance on an exemption from the registration requirements of the Securities Act of 1933.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F—INTEREST EXPENSE</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incurred total interest costs of $23.0 million during the first three months of 2005 and $22.6 million during the first three months of 2004, of which $0.9 million and $1.3 million, respectively, were capitalized in connection with development and redevelopment projects. Interest paid was $18.6 million in the first three months of 2005 and $17.8 million in the first three months of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G—COMMITMENTS AND CONTINGENCIES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committed to invest approximately $11.0 million in restaurant joint ventures at Santana Row, of which $8.4 million has been invested as of March 31, 2005. These restaurant joint ventures are accounted for using the equity method as described in “Note A—Accounting Policies and Other Data—Variable Interest Entities.”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March 31, 2005, our estimated maximum commitment upon exercise of the put option would range from approximately $30 million to $34 million.</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terms of various other partnership agreements for entities which own shopping center properties with a cost of approximately $88.5 million, the partners have the right to exchange their operating units for cash or the same number of our common shares, at our option. In April 2005, we paid $298,000 to redeem 6,508 of these operating units and issued 2,026 shares to redeem 2,026 of these operating units.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2005, a total of 449,325 operating units remain outstanding.</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the terms of two other partnership agreements for entities which own street retail properties in southern California with a cost of approximately $29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The purchase price for the other partnership will paid using a limited number of our common shares or, subject to certain conditions, cash. In those partnerships, if the other partners do not redeem their interests, we may choose to purchase the limited partnership interests upon the same terms.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 (the “City”) related to the redevelopment of land and buildings that we own along Houston Street. Under the Agreement,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issue an annual letter of credit, commencing on October 1, 2002 and ending on September 30, 2014, that covers our designated portion of the debt service should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incremental tax revenue generated in the area specified in the Agreement, or the Zone not cover the debt service. We posted a letter of credit with the City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2002 for $795,000, and the letter of credit remains outstanding. Our obligation under the Agreement is estimated to range from $1.6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During the years ended December 31, 2004 and 2003 we funded approximately $434,000 and $360,000, respectively. In anticipation of a shortfall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incremental tax revenues to the City, we have accrued $700,000 as of March 31, 2005 to cover additional payments we may be obligated to make as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costs. Prior to the expiration of the Agreement on September 30, 2014, we could be required to provide funding beyond the $700,000 currently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do not anticipate, however, that our obligation would exceed $600,000 in any year or $3 million in total. If the Zone creates sufficient tax increment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repay the City’s debt prior to the expiration of the Agreement, we will be eligible to receive reimbursement of amounts paid for debt service shortfalls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interest thereon.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right"/>
        <w:ind w:right="7340"/>
        <w:spacing w:after="0"/>
        <w:rPr>
          <w:sz w:val="20"/>
          <w:szCs w:val="20"/>
          <w:color w:val="auto"/>
        </w:rPr>
      </w:pPr>
      <w:r>
        <w:rPr>
          <w:rFonts w:ascii="Arial" w:cs="Arial" w:eastAsia="Arial" w:hAnsi="Arial"/>
          <w:sz w:val="16"/>
          <w:szCs w:val="16"/>
          <w:b w:val="1"/>
          <w:bCs w:val="1"/>
          <w:color w:val="auto"/>
        </w:rPr>
        <w:t>NOTE H—COMPONENTS OF RENTAL INCOME</w:t>
      </w:r>
    </w:p>
    <w:p>
      <w:pPr>
        <w:spacing w:after="0" w:line="106" w:lineRule="exact"/>
        <w:rPr>
          <w:sz w:val="20"/>
          <w:szCs w:val="20"/>
          <w:color w:val="auto"/>
        </w:rPr>
      </w:pPr>
    </w:p>
    <w:p>
      <w:pPr>
        <w:jc w:val="right"/>
        <w:ind w:right="7400"/>
        <w:spacing w:after="0"/>
        <w:rPr>
          <w:sz w:val="20"/>
          <w:szCs w:val="20"/>
          <w:color w:val="auto"/>
        </w:rPr>
      </w:pPr>
      <w:r>
        <w:rPr>
          <w:rFonts w:ascii="Arial" w:cs="Arial" w:eastAsia="Arial" w:hAnsi="Arial"/>
          <w:sz w:val="18"/>
          <w:szCs w:val="18"/>
          <w:color w:val="auto"/>
        </w:rPr>
        <w:t>The components of rental income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4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3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73,656</w:t>
            </w:r>
          </w:p>
        </w:tc>
        <w:tc>
          <w:tcPr>
            <w:tcW w:w="5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$ 67,753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20,093</w:t>
            </w:r>
          </w:p>
        </w:tc>
        <w:tc>
          <w:tcPr>
            <w:tcW w:w="5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 rental income</w:t>
            </w: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1,465</w:t>
            </w:r>
          </w:p>
        </w:tc>
        <w:tc>
          <w:tcPr>
            <w:tcW w:w="5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100,220</w:t>
            </w: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$ 90,983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9878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Minimum rents include $2.1 million and $0.9 million for the three months ended March 31, 2005 and March 31, 2004, respectively, to recognize rent on a straight line basis. Minimum rents include $0.4 million and $0.2 million for the three months ended March 31, 2005 and March 31, 2004, respectively, to recognize income for market lease adjustments on acquired properties in accordance with SFAS 141. Residential minimum rents comprise the rents at Rollingwood Apartments, The Crest at Congressional Plaza Apartments and the residential units at Santana Row.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I—SEGMENT INFORMATION</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2"/>
              </w:rPr>
              <w:t>Three months ended March 31, 2005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East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78,237</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(16,788)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55,076</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(22,063)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(16,163)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(22,538)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39,283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(26,495)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1,336,868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900,481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89,976</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2,327,325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-463550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-463550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-463550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-463550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-463550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-463550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-463550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-463550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-463550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-463550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-463550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-463550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 2004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East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West</w:t>
            </w:r>
          </w:p>
        </w:tc>
        <w:tc>
          <w:tcPr>
            <w:tcW w:w="100" w:type="dxa"/>
            <w:vAlign w:val="bottom"/>
          </w:tcPr>
          <w:p>
            <w:pPr>
              <w:spacing w:after="0"/>
              <w:rPr>
                <w:sz w:val="22"/>
                <w:szCs w:val="22"/>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(15,768)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(21,319)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(14,799)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Income before minority interests and discontinued operations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(25,501)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1,310,836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861,322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76,898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2,249,056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80" w:type="dxa"/>
            <w:vAlign w:val="bottom"/>
            <w:gridSpan w:val="7"/>
          </w:tcPr>
          <w:p>
            <w:pPr>
              <w:jc w:val="center"/>
              <w:ind w:left="2172"/>
              <w:spacing w:after="0"/>
              <w:rPr>
                <w:sz w:val="20"/>
                <w:szCs w:val="20"/>
                <w:color w:val="auto"/>
              </w:rPr>
            </w:pPr>
            <w:r>
              <w:rPr>
                <w:rFonts w:ascii="Arial" w:cs="Arial" w:eastAsia="Arial" w:hAnsi="Arial"/>
                <w:sz w:val="18"/>
                <w:szCs w:val="18"/>
                <w:color w:val="auto"/>
                <w:w w:val="85"/>
              </w:rPr>
              <w:t>There are no transactions between geographic areas.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60" w:type="dxa"/>
            <w:vAlign w:val="bottom"/>
          </w:tcPr>
          <w:p>
            <w:pPr>
              <w:jc w:val="right"/>
              <w:ind w:right="129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-694690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-694690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-694690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-694690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-694690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-694690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-694690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-694690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-694690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-694690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-694690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-694690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Form 10-K for the year ended December 31, 2004.</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Also, documents that we “incorporate by reference” into this Form 10-Q,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Form 10-Q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risk factors described in our current report in Form 8-K filed on March 2, 2005, and include the following:</w:t>
      </w:r>
    </w:p>
    <w:p>
      <w:pPr>
        <w:spacing w:after="0" w:line="2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new acquisitions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events or otherwise. You should carefully review the risks and the risk factors incorporated herein by reference from our Annual Report on Form 10-K filed with the Securities and Exchange Commission on March 7, 2005 and our current report on Form 8-K filed with the Securities and Exchange Commission on March 2, 2005 before making any investments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retail and mixed-use properties. As of March 31, 2005, we owned or had a majority interest in 105 community and neighborhood shopping centers and retail mixed-use properties comprising approximately 17.4 million square feet, located primarily in densely populated and affluent communities throughout the Northeast and Mid-Atlantic United States, as well as in California, and one apartment complex in Maryland. In total, the 105 commercial properties were 95.1% leased at March 31, 2005. A joint venture in which we own a 30% interest, owned four neighborhood shopping centers totaling approximately 0.5 million square feet as of March 31, 2005. In total, the joint venture properties in which we own an interest were 98% leased at March 31, 2005. We have paid quarterly dividends to our shareholders continuously since our founding in 1962, and have increased our dividend rate for 37 consecutive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Property Acquisitions and Dispositions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February 15, 2005 we sold two properties located in Tempe, Arizona for $13.7 million, resulting in a gain of $4.0 million. The two properties, acquired in 1998, totaled approximately 40,000 square feet of leasable area.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 2005, we acquired Assembly Square, an approximately 330,000 square foot enclosed mall that is currently being redeveloped into a power center, and an adjacent ten-acre 220,000 square foot retail/industrial complex for an aggregate investment of $66.4 million, which includes $2.5 million of cost for the ongoing redevelopment. With respect to the values assigned to assumed leases, approximately $3.4 million of the net assets acquired was allocated to prepaid and other assets for “above-market leases,” while $5.1 million of the net assets acquired was allocated to other liabilities and deferred credits for “below-market leases.” Amounts associated with above and below market leases are amortized over the related lease terms. Amortization is included in rental income on the consolidated statement of operations. The properties are located in the City of Somerville, Massachusetts. The acquisition was financed through available cash and borrowings under our revolving credit facility.</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Trust expects to invest an additional approximately $38.0 million to complete the redevelopment of the mall, with stabilization anticipated within 12 months of completion. The acquisition of Assembly Square also includes zoning entitlements to add four mixed-use buildings on 3.5 acres, which could include approximately 41,000 square feet of retail space, 51,000 square feet of office and 239 residential units. Any future development of Assembly Square would be structured in a manner which mitigates our risk.</w:t>
      </w:r>
    </w:p>
    <w:p>
      <w:pPr>
        <w:spacing w:after="0" w:line="13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ten-acre parcel, which comprises approximately 220,000 square feet of improvements, is currently 100% leased to tenants engaged in a mix of quasi-retail and industrial uses. This parcel also includes an option to purchase adjacent land parcels, all of which are zoned for dense, mixed-use development.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in 2005 we will experience growth in earnings from operations when compared to 2004. We expect this growth in earnings to be generated by a combination of the following:</w:t>
      </w:r>
    </w:p>
    <w:p>
      <w:pPr>
        <w:spacing w:after="0" w:line="3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in our same center portfolio and from properties under redevelopment,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from our real estate partnership established in July 2004,</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as a result of improved occupancy and rental rates on retail space at Santana Row.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earnings in 2004 were positively impacted by the reimbursement to us of lost rents from an insurance settlement received in December 2003 related to a fire at Santana Row in 2002. Approximately $3.0 million of the reimbursement was recognized as income during 2004 and the amount to be recognized in 2005 is insignificant.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 and Redevelopments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Earnings in our same center portfolio (as defined below) are anticipated to grow as a recovering economy in each of our regions is expected to result in improved occupancy rates and increasing rents on lease rollovers. The economic environment in the Northern California retail market, while improving, continues to be weak, however, resulting in lower occupancy rates and limiting our ability to increase rents in properties in that area. We believe the economies of our other markets are generally improving. Our same center growth has also been slowed during the past two fiscal years by the increase in our redevelopment activity at certain centers, which will, by design, keep leasable space out of service until the redevelopments are complete.</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competitive retail environment has resulted in the loss of some of our anchor retailers, but we have been successful in replacing a number of those anchors and other weaker tenants with tenants that we believe are more credit worthy. In other cases, we have taken advantage of the opportunity to redevelop the space that became vacant when the anchor tenant vacated. While this redevelopment and retenanting activity has resulted in increased capital investment in those centers, it should also increase the rental income from new leases as these tenants commence operations, add to the economic life of the centers, and increase the appeal of the centers to retail customers. These factors should extend the number of years during which we can reasonably expect growth in earnings from those properties beyond the period we would have expected if we had not made the additional capital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Santana Row currently consists of approximately 558,000 square feet of retail space, 255 residential units and a 213 room hotel. The anticipated final cost for these portions of Santana Row is projected to be $480.0 million which is net of $129 million of insurance proceeds, $11 million of which was recognized as income in 2003 and 2004. An additional 256 residential units are currently under construction with the projected cost for those units to be approximately $62.0 million. Occupancy of the new units began in April 2005 with lease-up expected to continue into mid-2006. We are exploring the possibility of selling as many as 219 of the existing residential units at Santana as condominiums. In the event we determine it is financially feasible to sell residential units and we are able to obtain all necessary approvals, sales of units could begin in summer 2005. The sale of these units would reduce our operating income by the net income generated by these units and generate proceeds which would reduce the net cost.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for retail and residential space,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cost of operations and maintenance,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ongoing and future developments,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economy, particularly around Silicon Valley.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anticipate further growth in earnings from continuing investments in our primary markets in the East and West regions, partly offset by selective dispositions. We expect to continue growth through acquisition of neighborhood and community shopping centers in 2005 and beyond. This growth is contingent, however, on our ability to find properties that meet our qualitative hurdles at prices that meet our financial hurdles. Changes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rates also may affect our success in achieving growth through acquisitions by affecting both the price which must be paid to acquire a property, as well as our ability to economically finance the property acquisitions.</w:t>
      </w:r>
    </w:p>
    <w:p>
      <w:pPr>
        <w:spacing w:after="0" w:line="118"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As one method of enhancing our growth and strengthening our market share in the regions in which we operate, in July 2004, we entered into a joint venture arrangement by forming a limited partnership in which we own 30% of the equity. The venture plans to acquire up to $350 million of stabilized, supermarket-anchored shopping centers, in our East coast and West coast markets with the shopping centers to be financed through secured borrowings and equity contributions. We are the manager of the venture and its properties, earning fees for acquisitions, management, leasing and financing. Through our partnership interest, we also will have the opportunity to earn performance-based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for only those properties that we owned and operated for the entirety of both periods being compared and excludes properties for which redevelopment or expansion occurred during either of the periods being compared. Properties purchased or sold and properties under development or redevelopment at any time during the periods being compared are excluded.</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same center-basis results of operations for the three months ended March 31, 2005 compared to the three months ended March 31, 2004 exclude Assembly Square which we acquired in 2005 and the two properties acquired in 2004 (Westgate Mall and Shaw’s Plaza) as well as the dispositions that occurred in 2005 (two buildings in Tempe, Arizona) and 2004 (Magruder’s Center, Plaza del Mercado and four other buildings located in Connecticut and Illinois). Our definition of “same center” also excludes Santana Row, which is considered under development in 2005 and 2004.</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2005 Compared To First Quarter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100,220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$ 90,983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2,006</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103,507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23,513</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21,949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1,564</w:t>
            </w: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70,217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(22,063)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(21,319)</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(22,538)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(20,266)</w:t>
            </w:r>
          </w:p>
        </w:tc>
        <w:tc>
          <w:tcPr>
            <w:tcW w:w="1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(2,272)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(48,642)</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(3,236)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(1,516)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4,225</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23,997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revenues in the first quarter of 2005 were $103.5 million, which represents an increase of $9.3 million, or 9.8%, over total revenues of $94.2 million in the first quarter of 2004. The following were the primary drivers of this increase:</w:t>
      </w:r>
    </w:p>
    <w:p>
      <w:pPr>
        <w:spacing w:after="0" w:line="3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growth of minimum rent from same center revenues as a result of increased occupancy and increased rental rates on tenant rollovers,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acquisitions,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minimum rents at redevelopment properties and at Santana Row due to increased occupancy.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experienced increased cost recoveries from our tenants due mainly to higher snow removal costs at our properties.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percentage leased at our shopping centers increased to 95.1% at March 31, 2005 compared to 93.3% at March 31, 2004 due primarily to new leases signed at existing properties.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cost recoveries from tenants and percentage rent. Rental income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2005 was $100.2 million compared to $91.0 million in the first quarter of 2004, which represents an increase of $9.2 million, or 10.2% due largely to the following:</w:t>
      </w:r>
    </w:p>
    <w:p>
      <w:pPr>
        <w:spacing w:after="0" w:line="4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of approximately $5.3 million due to properties acquired in 2004 and 2005, primarily Westgate Mall, and to growth at Santana Row,</w:t>
      </w:r>
    </w:p>
    <w:p>
      <w:pPr>
        <w:spacing w:after="0" w:line="126"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same center basis, an increase of $3.3 million, or 4.7%, due mainly to increased occupancy and increased minimum rents associated with tenant rollovers and redevelopments,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160" w:firstLine="454"/>
        <w:spacing w:after="0" w:line="344" w:lineRule="auto"/>
        <w:tabs>
          <w:tab w:leader="none" w:pos="89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$1.6 million, or 14.6%, at redevelopment properties due primarily to increased occupancy, partially offset by</w:t>
      </w: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$1.1 million of income recognized on the Santana Row fire insurance settlement.</w:t>
      </w:r>
    </w:p>
    <w:p>
      <w:pPr>
        <w:spacing w:after="0" w:line="1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 the first quarter of 2005 was $2.0 million compared to $2.2 million in the first quarter of 2004.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income includes items which, although recurring, are not directly related to property rental or tend to fluctuate more than rental income from period to period, such as lease termination fees and management fee income.</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Interest on mortgage notes receivable in the first quarter of 2005 was $1.3 million compared to $1.1 million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2004. The increase of $0.2 million is due to higher principal balances on notes outstanding in the first quarter of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Total property operating expenses in the first quarter of 2005 were $33.3 million compared to $31.0 million in the first quarter of 2004, which represents an increase of $2.3 million, or 7.3%. The increase in total property expenses is due primarily to properties acquired in 2004 and 2005, higher snow removal costs due to higher the East as well as higher reserves for bad debt, partly offset by lower insurance premiums as detailed below.</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Rental Expense. </w:t>
      </w:r>
      <w:r>
        <w:rPr>
          <w:rFonts w:ascii="Arial" w:cs="Arial" w:eastAsia="Arial" w:hAnsi="Arial"/>
          <w:sz w:val="18"/>
          <w:szCs w:val="18"/>
          <w:color w:val="auto"/>
        </w:rPr>
        <w:t>Rental expenses increased $1.6 million, or 7.1%, to $23.5 million in the first quarter of 2005 from $21.9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2004. This increase was the result of:</w:t>
      </w:r>
    </w:p>
    <w:p>
      <w:pPr>
        <w:spacing w:after="0" w:line="3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rental expenses at centers acquired during 2004 and 2005 of $1.0 million,</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rental expenses at same center properties of $0.9 million, or 6.3%, due mainly to increases in snow removal costs and reserves for bad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expenses at development properties due mainly to a decrease in insurance costs.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these changes in rental expenses, as well as changes in rental income and other property income during the first quarter of 2005, compared to the first quarter of 2004, as discussed under “Item 2. Management Discussion and Analysis of Financial Condition and Results of Operation—Property Revenues” above, rental expense as a percentage of rental income plus other property income decreased from 23.6% in the first quarter of 2004 to 23.0% in the first quarter of 2005.</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rose $0.7 million, or 7.8%, to $9.8 million in the first quarter of 2005 compared to $9.1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2004. The increase in 2005 is due largely to increased taxes of $0.5 million related to acquired and developed properties, including Santana Row, and higher tax assessments for our same center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Property operating income was $70.2 million for the first quarter of 2005, an increase of $7.0 million, or 11.1%, compared to $63.2 million for the first quarter of 2004. Income recognized from fire insurance proceeds attributable to rental income lost at Santana Row due to the August 2002 fire amounted to $1.1 million in the first quarter of 2004 and was insignificant in the first quarter of 2005. Excluding these insurance proceeds, property operating income rose $8.1 million. This increase is due primarily to:</w:t>
      </w:r>
    </w:p>
    <w:p>
      <w:pPr>
        <w:spacing w:after="0" w:line="4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attributable to our 2004 and 2005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same center earnings,</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growth at Santana Row for the phases brought into service combined with higher occupancy and lower operating expenses at that property,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at redevelopment properties where vacancy has decreased.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Same center property operating income rose 4.7%, or approximately $2.4 million, in the first quarter of 2005 over the first quarter of 2004. This increase is primarily due to:</w:t>
      </w:r>
    </w:p>
    <w:p>
      <w:pPr>
        <w:spacing w:after="0" w:line="3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rental income associated with tenant rollovers,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percentage rent and cost recoveries,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maintenance expenses, mainly related to snow removal and higher reserves for bad debt.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rose $0.7 million, or 3.5%, to $22.0 million in the first quarter of 2005 compared to $21.3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2004. This increase is due to lower amounts of interest being capitalized as development projects are placed in service and higher outstanding balances on our line of credit, which we used to finance acquisitions. Gross interest costs in the first quarter of 2005 were $23.0 million versus $22.6 million in the first quarter of 2004. Capitalized interest amounted to $0.9 million and $1.3 million in the first quarter of 2005 and 2004, respectively.</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Administrative expenses increased by $0.3 million, or 7.7%, to $4.5 million in the first quarter of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in the first quarter of 2004. This increase resulted primarily from lower capitalization of leasing and development costs and increased costs of payroll and benefits.</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Expenses attributable to depreciation and amortization rose $2.3 million or 11.2%, to $22.6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2005 from $20.3 million in the first quarter of 2004. The increase is due primarily to depreciation of additional capital invested in redevelopment properties, depreciation attributable to new properties acquired and depreciation of new capital and tenant improvements at same center properties.</w:t>
      </w:r>
    </w:p>
    <w:p>
      <w:pPr>
        <w:spacing w:after="0" w:line="9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Income to minority partners increased $0.3 million to $1.5 million in the first quarter of 2005 from $1.2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2004. This is the result of increased earnings at properties owned in partnership, partly offset by a decrease in the interest held by minority owners in several partnerships.</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Operating income from discontinued operations represents the operating income of properties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disposition which, under SFAS No. 144, are required to be reported separately from results of ongoing operations. The reported operating loss of $0.3 million in the first quarter of 2005 and operating income of $0.6 million in the first quarter of 2004, represent the operating income for the period during which we owned the two properties sold in 2005 and the eight properties sold during the 2004 fiscal year.</w:t>
      </w:r>
    </w:p>
    <w:p>
      <w:pPr>
        <w:spacing w:after="0" w:line="9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was $4.3 million in the first quarter of 2005 and less than $0.1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2004. All ten of the properties sold in 2004 and the first quarter of 2005 resulted in a gain.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w:t>
      </w:r>
    </w:p>
    <w:p>
      <w:pPr>
        <w:spacing w:after="0" w:line="158"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We manage our portfolio as two operating regions: East and West. Property management teams consisting of regional directors, leasing agents, development staff and financial personnel, each of which has responsibility for a distinct portfolio.</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following selected key segment data presented is for the three months ended March 31, 2005 and 2004. The results of operations of properties that have been subsequently sold are excluded from property operating income data in the following table, in accordance with SFAS No. 144.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First 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32"/>
              <w:spacing w:after="0"/>
              <w:rPr>
                <w:sz w:val="20"/>
                <w:szCs w:val="20"/>
                <w:color w:val="auto"/>
              </w:rPr>
            </w:pPr>
            <w:r>
              <w:rPr>
                <w:rFonts w:ascii="Arial" w:cs="Arial" w:eastAsia="Arial" w:hAnsi="Arial"/>
                <w:sz w:val="18"/>
                <w:szCs w:val="18"/>
                <w:color w:val="auto"/>
              </w:rPr>
              <w:t>78,237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79,940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32"/>
              <w:spacing w:after="0"/>
              <w:rPr>
                <w:sz w:val="20"/>
                <w:szCs w:val="20"/>
                <w:color w:val="auto"/>
              </w:rPr>
            </w:pPr>
            <w:r>
              <w:rPr>
                <w:rFonts w:ascii="Arial" w:cs="Arial" w:eastAsia="Arial" w:hAnsi="Arial"/>
                <w:sz w:val="18"/>
                <w:szCs w:val="18"/>
                <w:color w:val="auto"/>
              </w:rPr>
              <w:t>55,076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32"/>
              <w:spacing w:after="0"/>
              <w:rPr>
                <w:sz w:val="20"/>
                <w:szCs w:val="20"/>
                <w:color w:val="auto"/>
              </w:rPr>
            </w:pPr>
            <w:r>
              <w:rPr>
                <w:rFonts w:ascii="Arial" w:cs="Arial" w:eastAsia="Arial" w:hAnsi="Arial"/>
                <w:sz w:val="18"/>
                <w:szCs w:val="18"/>
                <w:color w:val="auto"/>
                <w:w w:val="84"/>
              </w:rPr>
              <w:t>1,336,868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15,049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322"/>
        </w:trPr>
        <w:tc>
          <w:tcPr>
            <w:tcW w:w="9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21,983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32"/>
              <w:spacing w:after="0"/>
              <w:rPr>
                <w:sz w:val="20"/>
                <w:szCs w:val="20"/>
                <w:color w:val="auto"/>
              </w:rPr>
            </w:pPr>
            <w:r>
              <w:rPr>
                <w:rFonts w:ascii="Arial" w:cs="Arial" w:eastAsia="Arial" w:hAnsi="Arial"/>
                <w:sz w:val="18"/>
                <w:szCs w:val="18"/>
                <w:color w:val="auto"/>
              </w:rPr>
              <w:t>23,567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15,141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300" w:type="dxa"/>
            <w:vAlign w:val="bottom"/>
            <w:gridSpan w:val="2"/>
          </w:tcPr>
          <w:p>
            <w:pPr>
              <w:jc w:val="right"/>
              <w:ind w:right="392"/>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900,481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1300" w:type="dxa"/>
            <w:vAlign w:val="bottom"/>
            <w:gridSpan w:val="2"/>
          </w:tcPr>
          <w:p>
            <w:pPr>
              <w:jc w:val="right"/>
              <w:ind w:right="532"/>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region also includes several properties in Florida, Illinois, and Michigan. As of March 31, 2005, the East segment consisted of 73 properties.</w:t>
      </w:r>
    </w:p>
    <w:p>
      <w:pPr>
        <w:spacing w:after="0" w:line="17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Total revenue in the East increased $5.3 million to $79.9 million in the first quarter of 2005 compared to $74.6 million in the first quarter of 2004. The increase in total revenue of 7.1% is attributable mainly to improvements on redevelopment properties and higher revenues on lease turnover, partly offset by reduced revenues from property dispositions.</w:t>
      </w:r>
    </w:p>
    <w:p>
      <w:pPr>
        <w:spacing w:after="0" w:line="12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The percentage leased was 95.4% and 93.7% at March 31, 2005 and 2004, respectively. The percentage leased increased between March 31, 2004 and March 31, 2005 due partly to the leasing of centers under redevelopment.</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ratio of property operating income to total revenue during the first quarter ended March 31, 2005 remained at 69% when compared to the first quarter of 2004, as rental income and rental expenses both grew 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West region extends from Texas to the West Coast. As of March 31, 2005, 33 of our properties, including Santana Row, were located in the West region.</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revenue in the West in the first quarter of 2005 increased $4.0 million to $23.6 million compared to $19.6 million in the first quarter of 2004. The increase in total revenue of 20.3% is largely attributable to increased rental revenue of $4.0 million, primarily from Westgate Mall, which was acquired at the end of March 2004, and from Santana Row. The increase in rental revenue was partially offset by a decrease in insurance proceeds of $1.1 million. The insurance proceeds were reported as part of rental income as they relate largely to lost rents on the delayed opening of the residential and retail units and rental concessions to tenants due to the August 2002 fire at Santana Row.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For the West region, the percentage leased was 93.6% and 91.0% at March 31, 2005 and March 31, 2004, respectively. The improved leased rate as of March 31, 2005 compared March 31, 2004 is due largely to the leasing of additional space at Santana Row and to higher leased rates at Westgate Mall.</w:t>
      </w:r>
    </w:p>
    <w:p>
      <w:pPr>
        <w:spacing w:after="0" w:line="4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West region’s property operating income margin to total revenue improved in the first quarter of 2005 over the first quarter of 2004 due primarily to growth in revenue and reduced expenses at Santana Row and the acquisition of Westgate Mall. The success of Santana Row and Houston Street in San Antonio, Texas will depend on many factors which are not entirely within our control. We monitor current and long-term economic forecasts for these markets in order to evaluate the long-term financial returns of these projects. The overall return on investment in the West segment is significantly less than the overall return on investment in the East segment due to the generally lower basis in our East properties related to their acquisition at points in time when relative valuations were lower, the phasing into service of Santana Row, and the retail environment in San Antonio, Texas. We expect that the returns on investment in the West will continue to rise as these projects come into service, but that it will not necessarily rise to the same level of overall returns that are generated in the East segment.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each year, as defined in the Internal Revenue Code. Therefore, cash needed to execute our strategy and invest in new properties, as well as to pay our debt at maturity, must come from one or more of the following sources:</w:t>
      </w:r>
    </w:p>
    <w:p>
      <w:pPr>
        <w:spacing w:after="0" w:line="4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not distributed to shareholders,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of property dispositions,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derived from the issuance of new debt or equity securities.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In a manner consistent with our intention to operate with a conservative debt structure, we may, from time to time, seek to obtain funds by the following means:</w:t>
      </w:r>
    </w:p>
    <w:p>
      <w:pPr>
        <w:spacing w:after="0" w:line="4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were $27.6 million and $30.5 million at March 31, 2005 and December 31, 2004,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53"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1140"/>
        <w:spacing w:after="0"/>
        <w:tabs>
          <w:tab w:leader="none" w:pos="9160" w:val="left"/>
        </w:tabs>
        <w:rPr>
          <w:sz w:val="20"/>
          <w:szCs w:val="20"/>
          <w:color w:val="auto"/>
        </w:rPr>
      </w:pPr>
      <w:r>
        <w:rPr>
          <w:rFonts w:ascii="Arial" w:cs="Arial" w:eastAsia="Arial" w:hAnsi="Arial"/>
          <w:sz w:val="14"/>
          <w:szCs w:val="14"/>
          <w:b w:val="1"/>
          <w:bCs w:val="1"/>
          <w:i w:val="1"/>
          <w:iCs w:val="1"/>
          <w:color w:val="auto"/>
        </w:rPr>
        <w:t>(In thousands)</w:t>
      </w:r>
      <w:r>
        <w:rPr>
          <w:sz w:val="20"/>
          <w:szCs w:val="20"/>
          <w:color w:val="auto"/>
        </w:rPr>
        <w:tab/>
      </w:r>
      <w:r>
        <w:rPr>
          <w:rFonts w:ascii="Arial" w:cs="Arial" w:eastAsia="Arial" w:hAnsi="Arial"/>
          <w:sz w:val="12"/>
          <w:szCs w:val="12"/>
          <w:b w:val="1"/>
          <w:bCs w:val="1"/>
          <w:color w:val="auto"/>
        </w:rPr>
        <w:t>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7372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60325</wp:posOffset>
            </wp:positionV>
            <wp:extent cx="7543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700" w:hanging="697"/>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34,757</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(78,394)</w:t>
      </w:r>
    </w:p>
    <w:p>
      <w:pPr>
        <w:spacing w:after="0" w:line="4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40,807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90170</wp:posOffset>
            </wp:positionV>
            <wp:extent cx="7543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35"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(2,830)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30,475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90170</wp:posOffset>
            </wp:positionV>
            <wp:extent cx="7543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35" w:lineRule="exact"/>
        <w:rPr>
          <w:sz w:val="20"/>
          <w:szCs w:val="20"/>
          <w:color w:val="auto"/>
        </w:rPr>
      </w:pPr>
    </w:p>
    <w:p>
      <w:pPr>
        <w:ind w:left="700" w:hanging="697"/>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27,645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8422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422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300" w:space="720"/>
            <w:col w:w="2400"/>
          </w:cols>
          <w:pgMar w:left="240" w:top="459"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$78.4 million during the three months ended March 31, 2005 in investing activities, including the following:</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$64.3 million for our acquisition of Assembly Square and an adjacent ten-acre retail/industrial complex,</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of $25.0 million for development and redevelopment of properties including Santana Row,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maintenance capital expenditures of approximately $2.6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$13.5 million in net sale proceeds from the sale of properties.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2005, our financing activities provided $40.8 million of cash, which was composed of:</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$65.0 million of borrowings on our revolving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$13.6 million of proceeds from the issuance of common shares and upon the exercise of options,</w:t>
      </w:r>
    </w:p>
    <w:p>
      <w:pPr>
        <w:spacing w:after="0" w:line="103" w:lineRule="exact"/>
        <w:rPr>
          <w:rFonts w:ascii="Arial" w:cs="Arial" w:eastAsia="Arial" w:hAnsi="Arial"/>
          <w:sz w:val="18"/>
          <w:szCs w:val="18"/>
          <w:color w:val="auto"/>
        </w:rPr>
      </w:pPr>
    </w:p>
    <w:p>
      <w:pPr>
        <w:ind w:right="2100" w:firstLine="454"/>
        <w:spacing w:after="0" w:line="344" w:lineRule="auto"/>
        <w:tabs>
          <w:tab w:leader="none" w:pos="8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representing the change in minority interests, relating to the buyouts of various operating partnership units, partly offset by</w:t>
      </w: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$28.6 million used to pay dividends,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$9.7 million of net payments on mortgages, capital leases and notes payable.</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Other than the items disclosed in the Contractual Commitments Table below, we have no off-balance sheet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2005 that are reasonably likely to have a current or future material effect on our financial condition, changes in our financial condition, revenues or expenses, results of operations, liquidity, capital expenditures or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March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jc w:val="right"/>
              <w:ind w:right="556"/>
              <w:spacing w:after="0"/>
              <w:rPr>
                <w:sz w:val="20"/>
                <w:szCs w:val="20"/>
                <w:color w:val="auto"/>
              </w:rPr>
            </w:pPr>
            <w:r>
              <w:rPr>
                <w:rFonts w:ascii="Arial" w:cs="Arial" w:eastAsia="Arial" w:hAnsi="Arial"/>
                <w:sz w:val="14"/>
                <w:szCs w:val="14"/>
                <w:b w:val="1"/>
                <w:bCs w:val="1"/>
                <w:color w:val="auto"/>
              </w:rPr>
              <w:t>Commitments Due by Period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Remainder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From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4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of 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1-3 years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4-5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1,200,737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417,671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Capital lease obligations, principal only</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Real estate commitments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Restaurant joint ventures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1,841,016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980" w:type="dxa"/>
            <w:vAlign w:val="bottom"/>
            <w:vMerge w:val="restart"/>
          </w:tcPr>
          <w:p>
            <w:pPr>
              <w:jc w:val="right"/>
              <w:ind w:right="49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-325755</wp:posOffset>
            </wp:positionV>
            <wp:extent cx="320294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2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77" w:lineRule="exact"/>
        <w:rPr>
          <w:sz w:val="20"/>
          <w:szCs w:val="20"/>
          <w:color w:val="auto"/>
        </w:rPr>
      </w:pPr>
    </w:p>
    <w:p>
      <w:pPr>
        <w:ind w:left="460" w:right="2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50% and 100% of its 29.47% interest in Congressional Plaza at the interest’s then-current fair market value. Based on management’s current estimate of fair market value as of March 31, 2005, our estimated maximum commitment upon exercise of the put option would range from approximately $30.0 million to $34.0 million.</w:t>
      </w:r>
    </w:p>
    <w:p>
      <w:pPr>
        <w:spacing w:after="0" w:line="48"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a limited number of our common shares or, subject to certain conditions, cash. In those partnerships, if the other partners do not redeem their interests, we may choose to purchase the limited partnership interests upon the same terms.</w:t>
      </w:r>
    </w:p>
    <w:p>
      <w:pPr>
        <w:spacing w:after="0" w:line="21"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area specified in the Agreement, or the Zone, not cover the debt service. We posted a letter of credit with the City on September 25, 2002 for $795,000, and the letter of credit remains outstanding. Our obligation under the Agreement is estimated to range from $1.6 million to $3.0 million. During the years ended December 31, 2004 and 2003 we funded approximately $434,000 and $360,000, respectively. In anticipation of a shortfall of incremental tax revenues to the City, we have accrued $700,000 as of March 31, 2005 to cover additional payments we may be obligated to make as part of the project costs. Prior to the expiration of the Agreement on September 30, 2014, we could be required to provide funding beyond the $700,000 currently accrued. We do not anticipate, however, that our obligation would exceed $600,000 in any year or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2" w:lineRule="exact"/>
        <w:rPr>
          <w:rFonts w:ascii="Arial" w:cs="Arial" w:eastAsia="Arial" w:hAnsi="Arial"/>
          <w:sz w:val="16"/>
          <w:szCs w:val="16"/>
          <w:color w:val="auto"/>
        </w:rPr>
      </w:pPr>
    </w:p>
    <w:p>
      <w:pPr>
        <w:ind w:left="460" w:right="2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the terms of various other partnerships, which own shopping center properties with a cost of approximately $88.5 million, the partners have the right to exchange their operating units for cash or the same number of our common shares, at our option. In April, 2005 we paid $298,000 to redeem 6,508 of these operating units and issued 2,026 of our common shares in exchange for 2,026 of the operating units.</w:t>
      </w:r>
    </w:p>
    <w:p>
      <w:pPr>
        <w:spacing w:after="0" w:line="12" w:lineRule="exact"/>
        <w:rPr>
          <w:rFonts w:ascii="Arial" w:cs="Arial" w:eastAsia="Arial" w:hAnsi="Arial"/>
          <w:sz w:val="16"/>
          <w:szCs w:val="16"/>
          <w:color w:val="auto"/>
        </w:rPr>
      </w:pPr>
    </w:p>
    <w:p>
      <w:pPr>
        <w:ind w:left="460" w:right="100"/>
        <w:spacing w:after="0" w:line="259" w:lineRule="auto"/>
        <w:rPr>
          <w:rFonts w:ascii="Arial" w:cs="Arial" w:eastAsia="Arial" w:hAnsi="Arial"/>
          <w:sz w:val="16"/>
          <w:szCs w:val="16"/>
          <w:color w:val="auto"/>
        </w:rPr>
      </w:pPr>
      <w:r>
        <w:rPr>
          <w:rFonts w:ascii="Arial" w:cs="Arial" w:eastAsia="Arial" w:hAnsi="Arial"/>
          <w:sz w:val="18"/>
          <w:szCs w:val="18"/>
          <w:color w:val="auto"/>
        </w:rPr>
        <w:t>In order to facilitate the redemption of a minority partner’s interest in an affiliated limited partnership, in September 2004, we issued 190,000 common shares to one of our affiliated limited partnerships and, in February 2005, the shares were sold to a third party. In both cases, the shares were transferred in reliance on an exemption from the registration requirements of the Securities Act of 1933.</w:t>
      </w:r>
    </w:p>
    <w:p>
      <w:pPr>
        <w:spacing w:after="0" w:line="4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 of March 31, 2005, a total of 449,325 operating units are outstanding.</w:t>
      </w:r>
    </w:p>
    <w:p>
      <w:pPr>
        <w:spacing w:after="0" w:line="76" w:lineRule="exact"/>
        <w:rPr>
          <w:rFonts w:ascii="Arial" w:cs="Arial" w:eastAsia="Arial" w:hAnsi="Arial"/>
          <w:sz w:val="16"/>
          <w:szCs w:val="16"/>
          <w:color w:val="auto"/>
        </w:rPr>
      </w:pPr>
    </w:p>
    <w:p>
      <w:pPr>
        <w:ind w:left="460" w:right="80" w:hanging="452"/>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2005, we had total debt outstanding of $1.4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March 31,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 Balance</w:t>
            </w:r>
          </w:p>
        </w:tc>
        <w:tc>
          <w:tcPr>
            <w:tcW w:w="16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Interest Rate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740" w:type="dxa"/>
            <w:vAlign w:val="bottom"/>
          </w:tcPr>
          <w:p>
            <w:pPr>
              <w:spacing w:after="0"/>
              <w:rPr>
                <w:sz w:val="3"/>
                <w:szCs w:val="3"/>
                <w:color w:val="auto"/>
              </w:rPr>
            </w:pPr>
          </w:p>
        </w:tc>
        <w:tc>
          <w:tcPr>
            <w:tcW w:w="12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Original Debt</w:t>
            </w:r>
          </w:p>
        </w:tc>
        <w:tc>
          <w:tcPr>
            <w:tcW w:w="120" w:type="dxa"/>
            <w:vAlign w:val="bottom"/>
          </w:tcPr>
          <w:p>
            <w:pPr>
              <w:spacing w:after="0"/>
              <w:rPr>
                <w:sz w:val="3"/>
                <w:szCs w:val="3"/>
                <w:color w:val="auto"/>
              </w:rPr>
            </w:pPr>
          </w:p>
        </w:tc>
        <w:tc>
          <w:tcPr>
            <w:tcW w:w="1440" w:type="dxa"/>
            <w:vAlign w:val="bottom"/>
            <w:gridSpan w:val="2"/>
            <w:vMerge w:val="restart"/>
          </w:tcPr>
          <w:p>
            <w:pPr>
              <w:jc w:val="right"/>
              <w:ind w:right="900"/>
              <w:spacing w:after="0" w:line="149" w:lineRule="exact"/>
              <w:rPr>
                <w:sz w:val="20"/>
                <w:szCs w:val="20"/>
                <w:color w:val="auto"/>
              </w:rPr>
            </w:pPr>
            <w:r>
              <w:rPr>
                <w:rFonts w:ascii="Arial" w:cs="Arial" w:eastAsia="Arial" w:hAnsi="Arial"/>
                <w:sz w:val="14"/>
                <w:szCs w:val="14"/>
                <w:b w:val="1"/>
                <w:bCs w:val="1"/>
                <w:color w:val="auto"/>
              </w:rPr>
              <w:t>as of</w:t>
            </w:r>
          </w:p>
        </w:tc>
        <w:tc>
          <w:tcPr>
            <w:tcW w:w="164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as of</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3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Description of Debt</w:t>
            </w:r>
          </w:p>
        </w:tc>
        <w:tc>
          <w:tcPr>
            <w:tcW w:w="120" w:type="dxa"/>
            <w:vAlign w:val="bottom"/>
          </w:tcPr>
          <w:p>
            <w:pPr>
              <w:spacing w:after="0"/>
              <w:rPr>
                <w:sz w:val="15"/>
                <w:szCs w:val="15"/>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Issued</w:t>
            </w: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2005</w:t>
            </w: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March 31, 2005</w:t>
            </w:r>
          </w:p>
        </w:tc>
        <w:tc>
          <w:tcPr>
            <w:tcW w:w="1600" w:type="dxa"/>
            <w:vAlign w:val="bottom"/>
          </w:tcPr>
          <w:p>
            <w:pPr>
              <w:jc w:val="right"/>
              <w:ind w:right="29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164 E. Houston Street</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7.500%</w:t>
            </w:r>
          </w:p>
        </w:tc>
        <w:tc>
          <w:tcPr>
            <w:tcW w:w="160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Acquired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8.375%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Federal Plaza</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36,500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35,009</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6.750%</w:t>
            </w:r>
          </w:p>
        </w:tc>
        <w:tc>
          <w:tcPr>
            <w:tcW w:w="160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Barracks Road</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44,300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43,598</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7.950%</w:t>
            </w:r>
          </w:p>
        </w:tc>
        <w:tc>
          <w:tcPr>
            <w:tcW w:w="16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Lawrence Park</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31,400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30,902</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7.950%</w:t>
            </w:r>
          </w:p>
        </w:tc>
        <w:tc>
          <w:tcPr>
            <w:tcW w:w="16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Wynnewood</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31,493</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7.950%</w:t>
            </w:r>
          </w:p>
        </w:tc>
        <w:tc>
          <w:tcPr>
            <w:tcW w:w="16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Mount Vernon (2)</w:t>
            </w: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12,762</w:t>
            </w:r>
          </w:p>
        </w:tc>
        <w:tc>
          <w:tcPr>
            <w:tcW w:w="52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5.660%</w:t>
            </w:r>
          </w:p>
        </w:tc>
        <w:tc>
          <w:tcPr>
            <w:tcW w:w="160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Mortgage Loans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Various</w:t>
            </w:r>
          </w:p>
        </w:tc>
        <w:tc>
          <w:tcPr>
            <w:tcW w:w="160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Revolving credit facilities (3)</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120,000</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LIBOR + 0.75%</w:t>
            </w:r>
          </w:p>
        </w:tc>
        <w:tc>
          <w:tcPr>
            <w:tcW w:w="1600" w:type="dxa"/>
            <w:vAlign w:val="bottom"/>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LIBOR + 0.95%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Term note with banks (4)</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LIBOR + 0.95%</w:t>
            </w:r>
          </w:p>
        </w:tc>
        <w:tc>
          <w:tcPr>
            <w:tcW w:w="1600" w:type="dxa"/>
            <w:vAlign w:val="bottom"/>
          </w:tcPr>
          <w:p>
            <w:pPr>
              <w:jc w:val="right"/>
              <w:spacing w:after="0"/>
              <w:rPr>
                <w:sz w:val="20"/>
                <w:szCs w:val="20"/>
                <w:color w:val="auto"/>
              </w:rPr>
            </w:pPr>
            <w:r>
              <w:rPr>
                <w:rFonts w:ascii="Arial" w:cs="Arial" w:eastAsia="Arial" w:hAnsi="Arial"/>
                <w:sz w:val="18"/>
                <w:szCs w:val="18"/>
                <w:color w:val="auto"/>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Escondido (Municipal Bonds) (5)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Notes Payable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6.625% Notes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6.99% Medium Term Notes (6)</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40,500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40,500</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6.894%</w:t>
            </w:r>
          </w:p>
        </w:tc>
        <w:tc>
          <w:tcPr>
            <w:tcW w:w="1600" w:type="dxa"/>
            <w:vAlign w:val="bottom"/>
          </w:tcPr>
          <w:p>
            <w:pPr>
              <w:jc w:val="right"/>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6.125% Notes (7)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8.75% Notes</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8.750%</w:t>
            </w:r>
          </w:p>
        </w:tc>
        <w:tc>
          <w:tcPr>
            <w:tcW w:w="160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ind w:left="860"/>
              <w:spacing w:after="0"/>
              <w:rPr>
                <w:sz w:val="20"/>
                <w:szCs w:val="20"/>
                <w:color w:val="auto"/>
              </w:rPr>
            </w:pPr>
            <w:r>
              <w:rPr>
                <w:rFonts w:ascii="Arial" w:cs="Arial" w:eastAsia="Arial" w:hAnsi="Arial"/>
                <w:sz w:val="18"/>
                <w:szCs w:val="18"/>
                <w:color w:val="auto"/>
              </w:rPr>
              <w:t>7.48% Debentures (8)</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7.480%</w:t>
            </w:r>
          </w:p>
        </w:tc>
        <w:tc>
          <w:tcPr>
            <w:tcW w:w="160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6.82% Medium Term Notes (9)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6.820%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Unamortized Discount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(2,237)</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Senior Notes and Debentures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568,263</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Capital Lease Obligations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158,748</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Various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Various through 2077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1,359,485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-172720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-172720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40" w:hanging="332"/>
        <w:spacing w:after="0" w:line="25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ind w:left="340" w:right="26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amount drawn under the facility during the first three months of 2005 was $120 million. The weighted average interest rate on borrowings under the facility for the three months ended March 31, 2005 was 3.31%.</w:t>
      </w:r>
    </w:p>
    <w:p>
      <w:pPr>
        <w:ind w:left="340" w:right="8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to be the interest rate, which would enable the bonds to be remarketed at 100% of their principal amount. The weighted average interest rate for the three months ended March 31, 2005 was 2.71%. The property is not encumbered by a lien.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purchased interest rate swaps at issuance (in 1998), thereby reducing the effective interest rate from 6.99% to 6.894%.</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that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900" w:right="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2.23 to 1 as of March 31, 2005);</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0.44 to 1 as of March 31, 2005);</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0.30 to 1 (we maintained a ratio of 0.14 to 1 as of March 31, 2005);</w:t>
      </w:r>
    </w:p>
    <w:p>
      <w:pPr>
        <w:spacing w:after="0" w:line="126"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2.59 to 1 as of March 31, 2005); and</w:t>
      </w:r>
    </w:p>
    <w:p>
      <w:pPr>
        <w:spacing w:after="0" w:line="37"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March 31, 2005 represented 2.70% of gross asset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March 31, 2005, we were in compliance with all of the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Below are the aggregate principal payments required as of March 31, 2005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Secured</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420" w:type="dxa"/>
            <w:vAlign w:val="bottom"/>
          </w:tcPr>
          <w:p>
            <w:pPr>
              <w:spacing w:after="0"/>
              <w:rPr>
                <w:sz w:val="15"/>
                <w:szCs w:val="15"/>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Unsecured</w:t>
            </w: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260,685(1)</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265,537(1)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149,547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13,633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150,225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8,551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174,287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2010 and thereafter (2)</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219,216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151,990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174,774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545,980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251,092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158,748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949,645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1,359,485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-172720</wp:posOffset>
            </wp:positionV>
            <wp:extent cx="4330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-172720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-172720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-172720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$120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$13.1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Our organizational documents do not limit the level or amount of debt that we may incur.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March 31, 2005, the Company had three cash flow hedge agreements, which are accounted for in conformity with SFAS No. 133, “Accounting for Derivative Instruments and Hedging Activities,” as amended by SFAS No. 138, “Accounting for Certain Derivative Instruments and Certain Hedging Activities—an Amendment of FASB Statement No. 133.”</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and “A2” by Moody’s Investors Service as of March 31, 2005.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$150 million, 6.125% Senior Unsecured Note offering and are described in more detail below in “Item 3. Quantitative and Qualitative Disclosures about Market Risk—Interest Rate Hedging.”</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2005 and 2006 will depend upon acquisition opportunities, the level of improvements and redevelopments on existing properties and the timing and cost of development of future phases of existing properties. To the extent that we require additional funds to meet our capital requirements, and normal recurring operating costs, we expect to fund these amounts from one or more of the following sources:</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provided by operating activities,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borrowings under our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and replacement borrowings, both secured and unsecured, from other funding sources,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equity financing.</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long-term capital requirements consist primarily of maturities under our long-term debt, development and redevelopment costs and potential acquisition opportunities.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900" w:right="3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accordance with the NAREIT definition, and we have historically reported our FFO available for common shareholders in addition to our net income and net cash provided by operating activities. It should be noted that FFO:</w:t>
      </w:r>
    </w:p>
    <w:p>
      <w:pPr>
        <w:spacing w:after="0" w:line="37" w:lineRule="exact"/>
        <w:rPr>
          <w:sz w:val="20"/>
          <w:szCs w:val="20"/>
          <w:color w:val="auto"/>
        </w:rPr>
      </w:pPr>
    </w:p>
    <w:p>
      <w:pPr>
        <w:ind w:left="900" w:right="8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For the 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95"/>
        </w:trPr>
        <w:tc>
          <w:tcPr>
            <w:tcW w:w="2660" w:type="dxa"/>
            <w:vAlign w:val="bottom"/>
            <w:gridSpan w:val="2"/>
          </w:tcPr>
          <w:p>
            <w:pPr>
              <w:spacing w:after="0"/>
              <w:rPr>
                <w:sz w:val="8"/>
                <w:szCs w:val="8"/>
                <w:color w:val="auto"/>
              </w:rPr>
            </w:pPr>
          </w:p>
        </w:tc>
        <w:tc>
          <w:tcPr>
            <w:tcW w:w="28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23,997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(4,282)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20,519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42,016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(2,869)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39,305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53,179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0.74</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80" w:type="dxa"/>
            <w:vAlign w:val="bottom"/>
          </w:tcPr>
          <w:p>
            <w:pPr>
              <w:jc w:val="right"/>
              <w:ind w:right="38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-600710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-600710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-600710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-600710</wp:posOffset>
            </wp:positionV>
            <wp:extent cx="39878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variable rate debt and on the fair value of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Fixed Interest Rate Debt</w:t>
      </w:r>
      <w:r>
        <w:rPr>
          <w:rFonts w:ascii="Arial" w:cs="Arial" w:eastAsia="Arial" w:hAnsi="Arial"/>
          <w:sz w:val="18"/>
          <w:szCs w:val="18"/>
          <w:color w:val="auto"/>
        </w:rPr>
        <w:t>. The majority of our outstanding debt obligations (maturing at various times through 2028 or through 2077 including capital lease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have fixed interest rates which limit the risk of fluctuating interest rates. Interest rate fluctuations may affect the fair value of our fixed rate debt instruments, however. At March 31, 2005 we had $1.1 billion of fixed-rate debt outstanding. If interest rates on our fixed-rate debt instruments at March 31, 2005 had been 1.0% higher, the fair value of those debt instruments on that date would have decreased by approximately $11.3 million. If interest rates on our fixed-rate debt instruments at March 31, 2005 had been 1.0% lower, the fair value of those debt instruments on that date would have increased by approximately $11.3 million.</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Variable Interest Rate Debt</w:t>
      </w:r>
      <w:r>
        <w:rPr>
          <w:rFonts w:ascii="Arial" w:cs="Arial" w:eastAsia="Arial" w:hAnsi="Arial"/>
          <w:sz w:val="18"/>
          <w:szCs w:val="18"/>
          <w:color w:val="auto"/>
        </w:rPr>
        <w:t>. We believe that our primary interest rate risk is due to fluctuations in interest rates on our variable rate debt. At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we had $229.4 million of variable rate debt outstanding. Based upon this balance of variable rate debt, if interest rates increased 1.0%, our interest expense would increase by approximately $2.3 million, and our net income and cash flows for the year would decrease by approximately $2.3 million. If interest rates decreased 1.0%, our interest expense would decrease by approximately $2.3 million, and our net income and cash flows for the year would increase by approximately $2.3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Cash Flow Hedging</w:t>
      </w:r>
      <w:r>
        <w:rPr>
          <w:rFonts w:ascii="Arial" w:cs="Arial" w:eastAsia="Arial" w:hAnsi="Arial"/>
          <w:sz w:val="16"/>
          <w:szCs w:val="16"/>
          <w:color w:val="auto"/>
        </w:rPr>
        <w:t>. To accomplish this objective, the Company primarily uses interest rate swaps as part of its cash flow hedging strategy.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designated as cash flow hedges involve the payment of fixed rate amounts in exchange for variable rate payments over the life of the agreements without exchange of the underlying principal amount. During the quarter ended March 31, 2005, these derivatives were used to hedge the variable cash flows associated with existing variable rate debt. As of March 31, 2005, the Company had entered into three cash flow hedge agreements, which are accounted for in conformity with SFAS No. 133, “Accounting for Derivative Instruments and Hedging Activities,” as amended by SFAS No. 138, “Accounting for Certain Derivative Instruments and Hedging Activities—an Amendment of FASB Statement No. 133.”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i w:val="1"/>
          <w:iCs w:val="1"/>
          <w:color w:val="auto"/>
        </w:rPr>
        <w:t>Hedging of Unsecured Notes</w:t>
      </w:r>
      <w:r>
        <w:rPr>
          <w:rFonts w:ascii="Arial" w:cs="Arial" w:eastAsia="Arial" w:hAnsi="Arial"/>
          <w:sz w:val="16"/>
          <w:szCs w:val="16"/>
          <w:color w:val="auto"/>
        </w:rPr>
        <w:t>. The three cash flow hedge agreements referred to above served to hedge certain unsecured notes. In January 2004, to hedge</w:t>
      </w:r>
      <w:r>
        <w:rPr>
          <w:rFonts w:ascii="Arial" w:cs="Arial" w:eastAsia="Arial" w:hAnsi="Arial"/>
          <w:sz w:val="16"/>
          <w:szCs w:val="16"/>
          <w:i w:val="1"/>
          <w:iCs w:val="1"/>
          <w:color w:val="auto"/>
        </w:rPr>
        <w:t xml:space="preserve"> </w:t>
      </w:r>
      <w:r>
        <w:rPr>
          <w:rFonts w:ascii="Arial" w:cs="Arial" w:eastAsia="Arial" w:hAnsi="Arial"/>
          <w:sz w:val="16"/>
          <w:szCs w:val="16"/>
          <w:color w:val="auto"/>
        </w:rPr>
        <w:t>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 A more detailed description of this derivative financial instrument is contained in “Item 2. Management’s Discussion and Analysis of Financial Condition and Results of Operations — Liquidity and Capital Resources—Interest Rate Hedging.”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treasury rate at 3.472% through August 19, 2002. The rate lock was documented as a cash flow hedge of a forecasted transaction and designated as effective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inception of the contract. On August 16, 2002, we priced the Senior Unsecured Notes with a scheduled closing date of August 21, 2002 and closed 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rate lock. Five-year treasury rates declined between the pricing period and the settlement of the hedge purchase; therefore, to settle the rate lock,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$1.5 million. As a result of the August 19, 2002 fire at Santana Row, we did not proceed with the note offering at that time. However, we consummated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 million, 6.125% Senior Unsecured Note offering on November 15, 2002, and thus, the hedge loss is being amortized into interest expense over the life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Notes.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also purchased an interest rate swap that terminates March 2006, with a face amount of $40.5 million upon issuance of our 6.99% Medium Term Notes, which reduced the effective interest rate from 6.99% to 6.894%.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Quarterly Assessment. </w:t>
      </w:r>
      <w:r>
        <w:rPr>
          <w:rFonts w:ascii="Arial" w:cs="Arial" w:eastAsia="Arial" w:hAnsi="Arial"/>
          <w:sz w:val="15"/>
          <w:szCs w:val="15"/>
          <w:color w:val="auto"/>
        </w:rPr>
        <w:t>We carried out an assessment as of March 31, 2005 of the effectiveness of the design and operation of our disclosure controls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as of the end of the period covered by this quarterly report.</w:t>
      </w:r>
    </w:p>
    <w:p>
      <w:pPr>
        <w:spacing w:after="0" w:line="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Principal Executive Officer and Principal Financial Officer Certifications. </w:t>
      </w:r>
      <w:r>
        <w:rPr>
          <w:rFonts w:ascii="Arial" w:cs="Arial" w:eastAsia="Arial" w:hAnsi="Arial"/>
          <w:sz w:val="18"/>
          <w:szCs w:val="18"/>
          <w:color w:val="auto"/>
        </w:rPr>
        <w:t>Included as Exhibits 31.1 and 31.2 to this Quarterly Report on Form 10-Q are</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“Certification” of our principal executive officer and our principal financial officer. The forms of Certification are required in accordance with Section 302 of the Sarbanes-Oxley Act of 2002. This section of this Quarterly Report on Form 10-Q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maintain disclosure controls and procedures that are designed to ensure that information required to be disclosed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Exchange Act reports, such as this report on Form 10-Q, is recorded, processed, summarized and reported within the time periods specified in the SEC’s rules and forms, and that such information is accumulated and communicated to our management, including our President and Chief Executive Officer and Executive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quarterly report.</w:t>
      </w:r>
    </w:p>
    <w:p>
      <w:pPr>
        <w:spacing w:after="0" w:line="10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Establishing and maintaining internal control over financial reporting is a process designed by, 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of, our President and Chief Executive Officer and Executive Vice President and Chief Financial Officer, as appropriate, and effected by our employees, including management, with oversight by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4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6"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5"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Management, including our Chief Executive Officer and Chief Financial Officer, do not expect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Scope of the Evaluations. </w:t>
      </w:r>
      <w:r>
        <w:rPr>
          <w:rFonts w:ascii="Arial" w:cs="Arial" w:eastAsia="Arial" w:hAnsi="Arial"/>
          <w:sz w:val="16"/>
          <w:szCs w:val="16"/>
          <w:color w:val="auto"/>
        </w:rPr>
        <w:t>The evaluation by our Chief Executive Officer and our Chief Financial Officer of our disclosure controls and procedures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 review of procedures and our internal audit, as well as discussions with our Disclosure Committee, independent public accountants and others in our organization, as appropriate. In the course of the evaluation, we sought to identify data errors, control problems or acts of fraud and to confirm that appropriate corrective action, including process improvements, were being undertaken. The evaluation of our disclosure controls and procedures is done on a quarterly basis, so that the conclusions concerning the effectiveness of such controls can be reported in our Quarterly Reports on Form 10-Q and Annual Reports on Form 10-K. Our internal control over financial reporting is also assessed on an ongoing basis by personnel in our Accounting department and by our independent auditors in connection with their audit and review activities.</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overall goals of these various evaluation activities are to monitor our disclosure controls and procedures and to make modifications as necessary. Our intent in this regard is that the disclosure controls and procedures will be maintained and updated (including with improvements and corrections) as conditions warrant.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Periodic Evaluation of and Conclusion Regarding Disclosure Controls and Procedures</w:t>
      </w:r>
      <w:r>
        <w:rPr>
          <w:rFonts w:ascii="Arial" w:cs="Arial" w:eastAsia="Arial" w:hAnsi="Arial"/>
          <w:sz w:val="18"/>
          <w:szCs w:val="18"/>
          <w:color w:val="auto"/>
        </w:rPr>
        <w:t>. Our Chief Executive Officer and Chief Financial Officer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during our first fiscal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2005 that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September 2004, we issued 190,000 common shares to one of our affiliated limited partnerships, and in February 2005 the shares were sold to a third party. In both cases, the shares were transferred in reliance on an exemption from the registration requirements of the Securities Act of 1933.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9160"/>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center"/>
        <w:ind w:right="914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174"/>
        </w:trPr>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1088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420" w:type="dxa"/>
            <w:vAlign w:val="bottom"/>
          </w:tcPr>
          <w:p>
            <w:pPr>
              <w:spacing w:after="0"/>
              <w:rPr>
                <w:sz w:val="8"/>
                <w:szCs w:val="8"/>
                <w:color w:val="auto"/>
              </w:rPr>
            </w:pPr>
          </w:p>
        </w:tc>
      </w:tr>
      <w:tr>
        <w:trPr>
          <w:trHeight w:val="3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Declaration of Trust of Federal Realty Investment Trust dated May 5, 1999 (previously filed as Exhibit 3.2 to the Trust’s Current Report on Form</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8-K filed on May 25, 1999 (File No. 1-07533)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Amended and Restated Bylaws of Federal Realty Investment Trust last amended October 29, 2003 (previously filed as Exhibit 3.2 to the Trust’s</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3"/>
              </w:rPr>
              <w:t>Annual Report on Form 10-K for the year ended December 31, 2003 (File No. 1-07533) (the “2003 Form 10-K”) and incorporated herein by</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1"/>
              </w:rPr>
              <w:t xml:space="preserve">Articles Supplementary relating to the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2</w:t>
            </w:r>
            <w:r>
              <w:rPr>
                <w:rFonts w:ascii="Arial" w:cs="Arial" w:eastAsia="Arial" w:hAnsi="Arial"/>
                <w:sz w:val="18"/>
                <w:szCs w:val="18"/>
                <w:color w:val="auto"/>
                <w:w w:val="91"/>
              </w:rPr>
              <w:t>% Series B Cumulative Redeemable Preferred Shares (previously filed as Exhibit 4.1 to the Trust’s</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4"/>
              </w:rPr>
              <w:t>Registration Statement on Form 8-A filed on November 26, 2001 (File No. 1-07533) (the “2001 Form 8-A”) and incorporated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5"/>
              </w:rPr>
              <w:t xml:space="preserve">Specimen 8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2</w:t>
            </w:r>
            <w:r>
              <w:rPr>
                <w:rFonts w:ascii="Arial" w:cs="Arial" w:eastAsia="Arial" w:hAnsi="Arial"/>
                <w:sz w:val="18"/>
                <w:szCs w:val="18"/>
                <w:color w:val="auto"/>
                <w:w w:val="95"/>
              </w:rPr>
              <w:t>% Series B Cumulative Redeemable Preferred Share certificate (previously filed as Exhibit 4.2 to the 2001 Form 8-A and</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First Amendment to Amended and Restated Rights Agreement, dated as of November   , 2003, between the Trust and American Stock Transfer</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&amp; Trust Company (previously filed as Exhibit 4.1 to the 2003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9"/>
              </w:rPr>
              <w:t xml:space="preserve">Indenture dated December 13, 1993 related to the Trust’s 7.48% Debentures due August 15, 2026; 6 </w:t>
            </w:r>
            <w:r>
              <w:rPr>
                <w:rFonts w:ascii="Arial" w:cs="Arial" w:eastAsia="Arial" w:hAnsi="Arial"/>
                <w:sz w:val="22"/>
                <w:szCs w:val="22"/>
                <w:color w:val="auto"/>
                <w:w w:val="89"/>
                <w:vertAlign w:val="superscript"/>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Notes due 2005; 6.82% Medium Term</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4"/>
              </w:rPr>
              <w:t>Notes due August 1, 2027; and 6.99% Medium Term Notes due March 10, 2006 (previously filed as Exhibit 4(a) to the Trust’s Registration</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Statement on Form S-3 (File No. 33-51029), and amended on Form S-3 (File No. 33-63687), filed on December 13, 1993 is incorporated herein</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1"/>
              </w:rPr>
              <w:t>and the Trust’s 4.50% Notes due 2011 (previously filed as Exhibit 4(a) to the Trust’s Registration Statement on Form S-3 (File No. 333-63619)</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filed on September 17, 1998 is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 filed</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9"/>
              </w:rPr>
              <w:t>as exhibits to the Trust’s Registration Statement in Form S-8 (File No. 33-55111), filed on August 17, 1994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1"/>
              </w:rPr>
              <w:t>1985 Non-Qualified Stock Option Plan (previously filed as a portion of Exhibit 10 to the Trust’s Annual Report on Form 10-K for the year ended</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88"/>
              </w:rPr>
              <w:t>1991 Share Purchase Plan (previously filed as a portion of Exhibit 10 to the Trust’s Annual Report on Form 10-K for the year ended December 31,</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1990 (File No. 1-07533)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3"/>
              </w:rPr>
              <w:t>Amendment dated October 1, 1992 to Voting Trust Agreement dated as of March 3, 1989 by and between I. Wolford Berman and Dennis L.</w:t>
            </w:r>
          </w:p>
        </w:tc>
      </w:tr>
      <w:tr>
        <w:trPr>
          <w:trHeight w:val="216"/>
        </w:trPr>
        <w:tc>
          <w:tcPr>
            <w:tcW w:w="54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0"/>
              </w:rPr>
              <w:t>Berman (previously filed as an exhibit to the Trust’s Annual Report on Form 10-K for the year ended December 31, 1992 (File No. 1-07533) and</w:t>
            </w:r>
          </w:p>
        </w:tc>
      </w:tr>
      <w:tr>
        <w:trPr>
          <w:trHeight w:val="222"/>
        </w:trPr>
        <w:tc>
          <w:tcPr>
            <w:tcW w:w="540" w:type="dxa"/>
            <w:vAlign w:val="bottom"/>
          </w:tcPr>
          <w:p>
            <w:pPr>
              <w:spacing w:after="0"/>
              <w:rPr>
                <w:sz w:val="19"/>
                <w:szCs w:val="19"/>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540" w:type="dxa"/>
            <w:vAlign w:val="bottom"/>
          </w:tcPr>
          <w:p>
            <w:pPr>
              <w:spacing w:after="0"/>
              <w:rPr>
                <w:sz w:val="24"/>
                <w:szCs w:val="24"/>
                <w:color w:val="auto"/>
              </w:rPr>
            </w:pPr>
          </w:p>
        </w:tc>
        <w:tc>
          <w:tcPr>
            <w:tcW w:w="10880" w:type="dxa"/>
            <w:vAlign w:val="bottom"/>
            <w:gridSpan w:val="3"/>
          </w:tcPr>
          <w:p>
            <w:pPr>
              <w:jc w:val="right"/>
              <w:ind w:right="56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560" w:type="dxa"/>
            <w:vAlign w:val="bottom"/>
          </w:tcPr>
          <w:p>
            <w:pPr>
              <w:spacing w:after="0"/>
              <w:rPr>
                <w:sz w:val="14"/>
                <w:szCs w:val="14"/>
                <w:color w:val="auto"/>
              </w:rPr>
            </w:pPr>
          </w:p>
        </w:tc>
      </w:tr>
      <w:tr>
        <w:trPr>
          <w:trHeight w:val="174"/>
        </w:trPr>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1084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560" w:type="dxa"/>
            <w:vAlign w:val="bottom"/>
          </w:tcPr>
          <w:p>
            <w:pPr>
              <w:spacing w:after="0"/>
              <w:rPr>
                <w:sz w:val="8"/>
                <w:szCs w:val="8"/>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7"/>
              </w:rPr>
              <w:t>Amended and Restated 1993 Long-Term Incentive Plan, as amended on October 6, 1997 and further amended on May 6, 1998 (previously filed as a</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portion of Exhibit 10 to the Trust’s Annual Report on Form 10-K for the year ended December 31, 1998 (File No. 1-07533) and incorporated herein</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Fiscal Agency Agreement dated as of October 28, 1993 between the Trust and Citibank, N.A. (previously filed as an exhibit to the Trust’s Quarterly</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Report on Form 10-Q for the quarter ended September 30, 1993 (File No. 1-07533)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8"/>
              </w:rPr>
              <w:t>Form of Severance Agreement between the Trust and Certain of its Officers dated December 31, 1994 (previously filed as a portion of Exhibit 10 to</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5"/>
              </w:rPr>
              <w:t>the Trust’s Annual Report on Form 10-K for the year ended December 31, 1994 (File No. 1-07533)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8"/>
              </w:rPr>
              <w:t>Performance Share Award Agreement dated as of February 9, 2000 between the Trust and Donald C. Wood (previously filed as a portion of Exhibit</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10 to the Trust’s Annual Report on Form 10-K for the year ended December 31, 1999 (File No. 1-07533) (the “1999 Form 10-K”) and incorporated</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8"/>
              </w:rPr>
              <w:t>Restricted Share Award Agreement dated as of February 9, 2000 between the Trust and Donald C. Wood (previously filed as a portion of Exhibit 10</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to the 1999 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1"/>
              </w:rPr>
              <w:t>Severance Agreement between the Trust and Donald C. Wood dated February 22, 1999 (previously filed as a portion of Exhibit 10 to the 1999</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2"/>
              </w:rPr>
              <w:t>Executive Agreement between Federal Realty Investment Trust and Donald C. Wood dated February 22, 1999 (previously filed as a portion of</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Exhibit 10.12 to the 2004 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Amendment to Restricted Share Award Agreement dated December 8, 2000 the Trust and Donald C. Wood (previously filed as a portion of Exhibit</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10 to the Trust’s Annual Report on Form 10-K for the year ended December 31, 2000 (File No. 1-07533) (the “2000 Form 10-K”) and incorporated</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the 2000 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Restricted Share Award Agreement dated as of February 15, 2000 between the Trust and Jeffrey S. Berkes (previously filed as a portion of Exhibit</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10 to the Trust’s Annual Report on Form 10-K for the year ended December 31, 2001 (File No. 1-07533) (the “2001 Form 10-K”) and incorporated</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0"/>
              </w:rPr>
              <w:t>Severance Agreement between the Trust and Jeffrey S. Berkes dated March 1, 2000 (previously filed as a portion of Exhibit 10 to the 2001 Form</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2"/>
              </w:rPr>
              <w:t>Amendment to Severance Agreement between Federal Realty Investment Trust and Jeff Berkes dated February 16, 2005 (previously filed as</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89"/>
              </w:rPr>
              <w:t>Severance Agreement dated March 1, 2002 between the Trust and Larry E. Finger (previously filed as a portion of Exhibit 10 to the Trust’s Annual</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420"/>
              <w:spacing w:after="0"/>
              <w:rPr>
                <w:sz w:val="20"/>
                <w:szCs w:val="20"/>
                <w:color w:val="auto"/>
              </w:rPr>
            </w:pPr>
            <w:r>
              <w:rPr>
                <w:rFonts w:ascii="Arial" w:cs="Arial" w:eastAsia="Arial" w:hAnsi="Arial"/>
                <w:sz w:val="18"/>
                <w:szCs w:val="18"/>
                <w:color w:val="auto"/>
                <w:w w:val="92"/>
              </w:rPr>
              <w:t>Report on Form 10-K for the year ended December 31, 2002 (File No. 1-07533) (the “2002 Form 10-K”) and incorporated herein by reference)</w:t>
            </w:r>
          </w:p>
        </w:tc>
      </w:tr>
      <w:tr>
        <w:trPr>
          <w:trHeight w:val="365"/>
        </w:trPr>
        <w:tc>
          <w:tcPr>
            <w:tcW w:w="580" w:type="dxa"/>
            <w:vAlign w:val="bottom"/>
          </w:tcPr>
          <w:p>
            <w:pPr>
              <w:spacing w:after="0"/>
              <w:rPr>
                <w:sz w:val="24"/>
                <w:szCs w:val="24"/>
                <w:color w:val="auto"/>
              </w:rPr>
            </w:pPr>
          </w:p>
        </w:tc>
        <w:tc>
          <w:tcPr>
            <w:tcW w:w="10840" w:type="dxa"/>
            <w:vAlign w:val="bottom"/>
            <w:gridSpan w:val="3"/>
          </w:tcPr>
          <w:p>
            <w:pPr>
              <w:jc w:val="right"/>
              <w:ind w:right="562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60" w:type="dxa"/>
            <w:vAlign w:val="bottom"/>
          </w:tcPr>
          <w:p>
            <w:pPr>
              <w:spacing w:after="0"/>
              <w:rPr>
                <w:sz w:val="14"/>
                <w:szCs w:val="14"/>
                <w:color w:val="auto"/>
              </w:rPr>
            </w:pPr>
          </w:p>
        </w:tc>
      </w:tr>
      <w:tr>
        <w:trPr>
          <w:trHeight w:val="174"/>
        </w:trPr>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0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460" w:type="dxa"/>
            <w:vAlign w:val="bottom"/>
          </w:tcPr>
          <w:p>
            <w:pPr>
              <w:spacing w:after="0"/>
              <w:rPr>
                <w:sz w:val="8"/>
                <w:szCs w:val="8"/>
                <w:color w:val="auto"/>
              </w:rPr>
            </w:pPr>
          </w:p>
        </w:tc>
      </w:tr>
      <w:tr>
        <w:trPr>
          <w:trHeight w:val="309"/>
        </w:trPr>
        <w:tc>
          <w:tcPr>
            <w:tcW w:w="540" w:type="dxa"/>
            <w:vAlign w:val="bottom"/>
          </w:tcPr>
          <w:p>
            <w:pPr>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1"/>
              </w:rPr>
              <w:t>Amendment to Severance Agreement between Federal Realty Investment Trust and Larry Finger dated February 16, 2005 (previously filed as</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Combined Incentive and Non-Qualified Stock Option Agreement dated February 28, 2002 between the Trust and Larry E. Finger (previously filed</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as a portion of Exhibit 10 to the 2002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9"/>
              </w:rPr>
              <w:t>Performance Share Award Agreement between the Trust and Donald C. Wood dated February 28, 2002 (previously filed as a portion of Exhibit 10</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to the 2002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8"/>
              </w:rPr>
              <w:t>Performance Share Award Agreement between the Trust and Jeffrey S. Berkes dated February 28, 2002 (previously filed as a portion of Exhibit 10</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to the 2002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9"/>
              </w:rPr>
              <w:t>Amendment to Stock Option Agreement dated August 15, 2002 between the Trust and Dawn M. Becker (previously filed as a portion of Exhibit 10</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to the 2002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8"/>
              </w:rPr>
              <w:t>Amendment to Stock Option Agreement dated August 15, 2002 between Federal Realty Investment Trust and Jeffrey S. Berkes (previously filed as</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Exhibit 10.31 to the 2002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 Wood dated February 16, 2005 (previously filed as</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Exhibit 10.26 to the 2004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9"/>
              </w:rPr>
              <w:t>Amendment to Severance Agreement between the Trust and Dawn Becker dated February 16, 2005 (previously filed as Exhibit 10.27 to the 2004</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2003 Long-Term Incentive Award Program for shares issued out of</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1"/>
              </w:rPr>
              <w:t>Form of Restricted Share Award Agreement for awards made under the Trust’s Annual Incentive Bonus Program for shares issued out of 2001</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Form of Option Award Agreement for options awarded under 2001 Long-Term Incentive Plan (previously filed as Exhibit 10.30 to the 2004 Form</w:t>
            </w:r>
          </w:p>
        </w:tc>
      </w:tr>
      <w:tr>
        <w:trPr>
          <w:trHeight w:val="222"/>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Section 1350 Certification of Chief Executive Officer</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Section 1350 Certification of Chief Financial Officer</w:t>
            </w:r>
          </w:p>
        </w:tc>
      </w:tr>
      <w:tr>
        <w:trPr>
          <w:trHeight w:val="365"/>
        </w:trPr>
        <w:tc>
          <w:tcPr>
            <w:tcW w:w="540" w:type="dxa"/>
            <w:vAlign w:val="bottom"/>
          </w:tcPr>
          <w:p>
            <w:pPr>
              <w:spacing w:after="0"/>
              <w:rPr>
                <w:sz w:val="24"/>
                <w:szCs w:val="24"/>
                <w:color w:val="auto"/>
              </w:rPr>
            </w:pPr>
          </w:p>
        </w:tc>
        <w:tc>
          <w:tcPr>
            <w:tcW w:w="10800" w:type="dxa"/>
            <w:vAlign w:val="bottom"/>
            <w:gridSpan w:val="3"/>
          </w:tcPr>
          <w:p>
            <w:pPr>
              <w:jc w:val="right"/>
              <w:ind w:right="554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080" w:type="dxa"/>
            <w:vAlign w:val="bottom"/>
          </w:tcPr>
          <w:p>
            <w:pPr>
              <w:ind w:left="180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Donald C. Wood, President,</w:t>
            </w:r>
          </w:p>
        </w:tc>
      </w:tr>
      <w:tr>
        <w:trPr>
          <w:trHeight w:val="135"/>
        </w:trPr>
        <w:tc>
          <w:tcPr>
            <w:tcW w:w="5820" w:type="dxa"/>
            <w:vAlign w:val="bottom"/>
          </w:tcPr>
          <w:p>
            <w:pPr>
              <w:spacing w:after="0"/>
              <w:rPr>
                <w:sz w:val="11"/>
                <w:szCs w:val="11"/>
                <w:color w:val="auto"/>
              </w:rPr>
            </w:pPr>
          </w:p>
        </w:tc>
        <w:tc>
          <w:tcPr>
            <w:tcW w:w="5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Chief Executive Officer and Trustee</w:t>
            </w:r>
          </w:p>
        </w:tc>
      </w:tr>
      <w:tr>
        <w:trPr>
          <w:trHeight w:val="174"/>
        </w:trPr>
        <w:tc>
          <w:tcPr>
            <w:tcW w:w="5820" w:type="dxa"/>
            <w:vAlign w:val="bottom"/>
          </w:tcPr>
          <w:p>
            <w:pPr>
              <w:spacing w:after="0"/>
              <w:rPr>
                <w:sz w:val="15"/>
                <w:szCs w:val="15"/>
                <w:color w:val="auto"/>
              </w:rPr>
            </w:pP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5820" w:type="dxa"/>
            <w:vAlign w:val="bottom"/>
          </w:tcPr>
          <w:p>
            <w:pPr>
              <w:spacing w:after="0"/>
              <w:rPr>
                <w:sz w:val="24"/>
                <w:szCs w:val="24"/>
                <w:color w:val="auto"/>
              </w:rPr>
            </w:pPr>
          </w:p>
        </w:tc>
        <w:tc>
          <w:tcPr>
            <w:tcW w:w="2080" w:type="dxa"/>
            <w:vAlign w:val="bottom"/>
          </w:tcPr>
          <w:p>
            <w:pPr>
              <w:ind w:left="184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ARRY</w:t>
            </w:r>
            <w:r>
              <w:rPr>
                <w:rFonts w:ascii="Arial" w:cs="Arial" w:eastAsia="Arial" w:hAnsi="Arial"/>
                <w:sz w:val="18"/>
                <w:szCs w:val="18"/>
                <w:color w:val="auto"/>
                <w:w w:val="99"/>
              </w:rPr>
              <w:t xml:space="preserve"> E. F</w:t>
            </w:r>
            <w:r>
              <w:rPr>
                <w:rFonts w:ascii="Arial" w:cs="Arial" w:eastAsia="Arial" w:hAnsi="Arial"/>
                <w:sz w:val="14"/>
                <w:szCs w:val="14"/>
                <w:color w:val="auto"/>
                <w:w w:val="99"/>
              </w:rPr>
              <w:t>INGER</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Larry E. Finger, Executive Vice President and</w:t>
            </w:r>
          </w:p>
        </w:tc>
      </w:tr>
      <w:tr>
        <w:trPr>
          <w:trHeight w:val="149"/>
        </w:trPr>
        <w:tc>
          <w:tcPr>
            <w:tcW w:w="5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520" w:type="dxa"/>
            <w:vAlign w:val="bottom"/>
          </w:tcPr>
          <w:p>
            <w:pPr>
              <w:jc w:val="center"/>
              <w:ind w:right="1979"/>
              <w:spacing w:after="0" w:line="149" w:lineRule="exact"/>
              <w:rPr>
                <w:sz w:val="20"/>
                <w:szCs w:val="20"/>
                <w:color w:val="auto"/>
              </w:rPr>
            </w:pPr>
            <w:r>
              <w:rPr>
                <w:rFonts w:ascii="Arial" w:cs="Arial" w:eastAsia="Arial" w:hAnsi="Arial"/>
                <w:sz w:val="14"/>
                <w:szCs w:val="14"/>
                <w:b w:val="1"/>
                <w:bCs w:val="1"/>
                <w:color w:val="auto"/>
                <w:w w:val="90"/>
              </w:rPr>
              <w:t>Chief Financial Officer</w:t>
            </w:r>
          </w:p>
        </w:tc>
      </w:tr>
    </w:tbl>
    <w:p>
      <w:pPr>
        <w:ind w:left="7740"/>
        <w:spacing w:after="0"/>
        <w:rPr>
          <w:sz w:val="20"/>
          <w:szCs w:val="20"/>
          <w:color w:val="auto"/>
        </w:rPr>
      </w:pPr>
      <w:r>
        <w:rPr>
          <w:rFonts w:ascii="Arial" w:cs="Arial" w:eastAsia="Arial" w:hAnsi="Arial"/>
          <w:sz w:val="14"/>
          <w:szCs w:val="14"/>
          <w:b w:val="1"/>
          <w:bCs w:val="1"/>
          <w:color w:val="auto"/>
        </w:rPr>
        <w:t>(Principal Accounting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tcPr>
          <w:p>
            <w:pPr>
              <w:ind w:left="200"/>
              <w:spacing w:after="0"/>
              <w:rPr>
                <w:sz w:val="20"/>
                <w:szCs w:val="20"/>
                <w:color w:val="auto"/>
              </w:rPr>
            </w:pPr>
            <w:r>
              <w:rPr>
                <w:rFonts w:ascii="Arial" w:cs="Arial" w:eastAsia="Arial" w:hAnsi="Arial"/>
                <w:sz w:val="18"/>
                <w:szCs w:val="18"/>
                <w:color w:val="auto"/>
                <w:w w:val="91"/>
              </w:rPr>
              <w:t>Declaration of Trust of Federal Realty Investment Trust dated May 5, 1999 (previously filed as Exhibit 3.2 to the Trust’s Current Report on Form 8-K</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filed on May 25,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tcPr>
          <w:p>
            <w:pPr>
              <w:ind w:left="20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 the Trust’s Annual</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4"/>
              </w:rPr>
              <w:t>Report on Form 10-K for the year ended December 31, 2003 (File No. 1-07533)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tcPr>
          <w:p>
            <w:pPr>
              <w:ind w:left="200"/>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 1999</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(File No. 1-07533) (the “1999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tcPr>
          <w:p>
            <w:pPr>
              <w:ind w:left="200"/>
              <w:spacing w:after="0"/>
              <w:rPr>
                <w:sz w:val="20"/>
                <w:szCs w:val="20"/>
                <w:color w:val="auto"/>
              </w:rPr>
            </w:pPr>
            <w:r>
              <w:rPr>
                <w:rFonts w:ascii="Arial" w:cs="Arial" w:eastAsia="Arial" w:hAnsi="Arial"/>
                <w:sz w:val="18"/>
                <w:szCs w:val="18"/>
                <w:color w:val="auto"/>
                <w:w w:val="94"/>
              </w:rPr>
              <w:t xml:space="preserve">Articles Supplementary relating to the 8 </w:t>
            </w:r>
            <w:r>
              <w:rPr>
                <w:rFonts w:ascii="Arial" w:cs="Arial" w:eastAsia="Arial" w:hAnsi="Arial"/>
                <w:sz w:val="22"/>
                <w:szCs w:val="22"/>
                <w:color w:val="auto"/>
                <w:w w:val="94"/>
                <w:vertAlign w:val="superscript"/>
              </w:rPr>
              <w:t>1</w:t>
            </w:r>
            <w:r>
              <w:rPr>
                <w:rFonts w:ascii="Arial" w:cs="Arial" w:eastAsia="Arial" w:hAnsi="Arial"/>
                <w:sz w:val="18"/>
                <w:szCs w:val="18"/>
                <w:color w:val="auto"/>
                <w:w w:val="94"/>
              </w:rPr>
              <w:t>/</w:t>
            </w:r>
            <w:r>
              <w:rPr>
                <w:rFonts w:ascii="Arial" w:cs="Arial" w:eastAsia="Arial" w:hAnsi="Arial"/>
                <w:sz w:val="13"/>
                <w:szCs w:val="13"/>
                <w:color w:val="auto"/>
                <w:w w:val="94"/>
              </w:rPr>
              <w:t>2</w:t>
            </w:r>
            <w:r>
              <w:rPr>
                <w:rFonts w:ascii="Arial" w:cs="Arial" w:eastAsia="Arial" w:hAnsi="Arial"/>
                <w:sz w:val="18"/>
                <w:szCs w:val="18"/>
                <w:color w:val="auto"/>
                <w:w w:val="94"/>
              </w:rPr>
              <w:t>% Series B Cumulative Redeemable Preferred Shares (previously filed as Exhibit 4.1 to the Trust’s</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7"/>
              </w:rPr>
              <w:t>Registration Statement on Form 8-A filed on November 26, 2001 (File No. 1-07533) (the “2001 Form 8-A”) and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tcPr>
          <w:p>
            <w:pPr>
              <w:ind w:left="200"/>
              <w:spacing w:after="0"/>
              <w:rPr>
                <w:sz w:val="20"/>
                <w:szCs w:val="20"/>
                <w:color w:val="auto"/>
              </w:rPr>
            </w:pPr>
            <w:r>
              <w:rPr>
                <w:rFonts w:ascii="Arial" w:cs="Arial" w:eastAsia="Arial" w:hAnsi="Arial"/>
                <w:sz w:val="18"/>
                <w:szCs w:val="18"/>
                <w:color w:val="auto"/>
                <w:w w:val="90"/>
              </w:rPr>
              <w:t xml:space="preserve">Specimen 8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w:t>
            </w:r>
            <w:r>
              <w:rPr>
                <w:rFonts w:ascii="Arial" w:cs="Arial" w:eastAsia="Arial" w:hAnsi="Arial"/>
                <w:sz w:val="13"/>
                <w:szCs w:val="13"/>
                <w:color w:val="auto"/>
                <w:w w:val="90"/>
              </w:rPr>
              <w:t>2</w:t>
            </w:r>
            <w:r>
              <w:rPr>
                <w:rFonts w:ascii="Arial" w:cs="Arial" w:eastAsia="Arial" w:hAnsi="Arial"/>
                <w:sz w:val="18"/>
                <w:szCs w:val="18"/>
                <w:color w:val="auto"/>
                <w:w w:val="90"/>
              </w:rPr>
              <w:t>% Series B Cumulative Redeemable Preferred Share certificate (previously filed as Exhibit 4.2 to the 2001 Form 8-A and incorporated</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tcPr>
          <w:p>
            <w:pPr>
              <w:ind w:left="200"/>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 filed</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1"/>
              </w:rPr>
              <w:t>as Exhibit 1 to the Trust’s Registration Statement on Form 8-A/A filed on March 11,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tcPr>
          <w:p>
            <w:pPr>
              <w:ind w:left="200"/>
              <w:spacing w:after="0"/>
              <w:rPr>
                <w:sz w:val="20"/>
                <w:szCs w:val="20"/>
                <w:color w:val="auto"/>
              </w:rPr>
            </w:pPr>
            <w:r>
              <w:rPr>
                <w:rFonts w:ascii="Arial" w:cs="Arial" w:eastAsia="Arial" w:hAnsi="Arial"/>
                <w:sz w:val="18"/>
                <w:szCs w:val="18"/>
                <w:color w:val="auto"/>
                <w:w w:val="91"/>
              </w:rPr>
              <w:t>First Amendment to Amended and Restated Rights Agreement, dated as of November   , 2003, between the Trust and American Stock Transfer &amp;</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Trust Company (previously filed as Exhibit 4.1 to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tcPr>
          <w:p>
            <w:pPr>
              <w:ind w:left="200"/>
              <w:spacing w:after="0"/>
              <w:rPr>
                <w:sz w:val="20"/>
                <w:szCs w:val="20"/>
                <w:color w:val="auto"/>
              </w:rPr>
            </w:pPr>
            <w:r>
              <w:rPr>
                <w:rFonts w:ascii="Arial" w:cs="Arial" w:eastAsia="Arial" w:hAnsi="Arial"/>
                <w:sz w:val="18"/>
                <w:szCs w:val="18"/>
                <w:color w:val="auto"/>
                <w:w w:val="88"/>
              </w:rPr>
              <w:t xml:space="preserve">Indenture dated December 13, 1993 related to the Trust’s 7.48% Debentures due August 15, 2026; 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2005; 6.82% Medium Term Notes</w:t>
            </w:r>
          </w:p>
        </w:tc>
      </w:tr>
      <w:tr>
        <w:trPr>
          <w:trHeight w:val="216"/>
        </w:trPr>
        <w:tc>
          <w:tcPr>
            <w:tcW w:w="500" w:type="dxa"/>
            <w:vAlign w:val="bottom"/>
          </w:tcPr>
          <w:p>
            <w:pPr>
              <w:spacing w:after="0"/>
              <w:rPr>
                <w:sz w:val="18"/>
                <w:szCs w:val="18"/>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2"/>
              </w:rPr>
              <w:t>due August 1, 2027; and 6.99% Medium Term Notes due March 10, 2006 (previously filed as Exhibit 4(a) to the Trust’s Registration Statement on</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3"/>
              </w:rPr>
              <w:t>Form S-3 (File No. 33-51029), and amended on Form S-3 (File No. 33-63687), filed on December 13, 1993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tcPr>
          <w:p>
            <w:pPr>
              <w:ind w:left="20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and</w:t>
            </w:r>
          </w:p>
        </w:tc>
      </w:tr>
      <w:tr>
        <w:trPr>
          <w:trHeight w:val="216"/>
        </w:trPr>
        <w:tc>
          <w:tcPr>
            <w:tcW w:w="500" w:type="dxa"/>
            <w:vAlign w:val="bottom"/>
          </w:tcPr>
          <w:p>
            <w:pPr>
              <w:spacing w:after="0"/>
              <w:rPr>
                <w:sz w:val="18"/>
                <w:szCs w:val="18"/>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2"/>
              </w:rPr>
              <w:t>the Trust’s 4.50% Notes due 2011 (previously filed as Exhibit 4(a) to the Trust’s Registration Statement on Form S-3 (File No. 333-63619) filed on</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September 17, 1998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tcPr>
          <w:p>
            <w:pPr>
              <w:ind w:left="200"/>
              <w:spacing w:after="0"/>
              <w:rPr>
                <w:sz w:val="20"/>
                <w:szCs w:val="20"/>
                <w:color w:val="auto"/>
              </w:rPr>
            </w:pPr>
            <w:r>
              <w:rPr>
                <w:rFonts w:ascii="Arial" w:cs="Arial" w:eastAsia="Arial" w:hAnsi="Arial"/>
                <w:sz w:val="18"/>
                <w:szCs w:val="18"/>
                <w:color w:val="auto"/>
                <w:w w:val="91"/>
              </w:rPr>
              <w:t>Pursuant to Regulation S-K Item 601(b)(4)(iii), the Trust by this filing agrees, upon request, to furnish to the Securities and Exchange Commission a</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tcPr>
          <w:p>
            <w:pPr>
              <w:ind w:left="200"/>
              <w:spacing w:after="0"/>
              <w:rPr>
                <w:sz w:val="20"/>
                <w:szCs w:val="20"/>
                <w:color w:val="auto"/>
              </w:rPr>
            </w:pPr>
            <w:r>
              <w:rPr>
                <w:rFonts w:ascii="Arial" w:cs="Arial" w:eastAsia="Arial" w:hAnsi="Arial"/>
                <w:sz w:val="18"/>
                <w:szCs w:val="18"/>
                <w:color w:val="auto"/>
                <w:w w:val="91"/>
              </w:rPr>
              <w:t>Amended and Restated 1983 Stock Option Plan and 1985 Non-Qualified Stock Option Plan of Federal Realty Investment Trust (previously filed as</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4"/>
              </w:rPr>
              <w:t>exhibits to the Trust’s Registration Statement in Form S-8 (File No. 33-55111), filed on August 17, 1994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tcPr>
          <w:p>
            <w:pPr>
              <w:ind w:left="200"/>
              <w:spacing w:after="0"/>
              <w:rPr>
                <w:sz w:val="20"/>
                <w:szCs w:val="20"/>
                <w:color w:val="auto"/>
              </w:rPr>
            </w:pPr>
            <w:r>
              <w:rPr>
                <w:rFonts w:ascii="Arial" w:cs="Arial" w:eastAsia="Arial" w:hAnsi="Arial"/>
                <w:sz w:val="18"/>
                <w:szCs w:val="18"/>
                <w:color w:val="auto"/>
                <w:w w:val="94"/>
              </w:rPr>
              <w:t>1985 Non-Qualified Stock Option Plan (previously filed as a portion of Exhibit 10 to the Trust’s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tcPr>
          <w:p>
            <w:pPr>
              <w:ind w:left="200"/>
              <w:spacing w:after="0"/>
              <w:rPr>
                <w:sz w:val="20"/>
                <w:szCs w:val="20"/>
                <w:color w:val="auto"/>
              </w:rPr>
            </w:pPr>
            <w:r>
              <w:rPr>
                <w:rFonts w:ascii="Arial" w:cs="Arial" w:eastAsia="Arial" w:hAnsi="Arial"/>
                <w:sz w:val="18"/>
                <w:szCs w:val="18"/>
                <w:color w:val="auto"/>
                <w:w w:val="88"/>
              </w:rPr>
              <w:t>1991 Share Purchase Plan (previously filed as a portion of Exhibit 10 to the Trust’s Annual Report on Form 10-K for the year ended December 31, 1990</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tcPr>
          <w:p>
            <w:pPr>
              <w:ind w:left="200"/>
              <w:spacing w:after="0"/>
              <w:rPr>
                <w:sz w:val="20"/>
                <w:szCs w:val="20"/>
                <w:color w:val="auto"/>
              </w:rPr>
            </w:pPr>
            <w:r>
              <w:rPr>
                <w:rFonts w:ascii="Arial" w:cs="Arial" w:eastAsia="Arial" w:hAnsi="Arial"/>
                <w:sz w:val="18"/>
                <w:szCs w:val="18"/>
                <w:color w:val="auto"/>
                <w:w w:val="90"/>
              </w:rPr>
              <w:t>Amendment dated October 1, 1992 to Voting Trust Agreement dated as of March 3, 1989 by and between I. Wolford Berman and Dennis L. Berman</w:t>
            </w:r>
          </w:p>
        </w:tc>
      </w:tr>
      <w:tr>
        <w:trPr>
          <w:trHeight w:val="216"/>
        </w:trPr>
        <w:tc>
          <w:tcPr>
            <w:tcW w:w="500" w:type="dxa"/>
            <w:vAlign w:val="bottom"/>
          </w:tcPr>
          <w:p>
            <w:pPr>
              <w:spacing w:after="0"/>
              <w:rPr>
                <w:sz w:val="18"/>
                <w:szCs w:val="18"/>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w w:val="90"/>
              </w:rPr>
              <w:t>(previously filed as an exhibit to the Trust’s Annual Report on Form 10-K for the year ended December 31, 1992 (File No. 1-07533) and incorporated</w:t>
            </w:r>
          </w:p>
        </w:tc>
      </w:tr>
      <w:tr>
        <w:trPr>
          <w:trHeight w:val="222"/>
        </w:trPr>
        <w:tc>
          <w:tcPr>
            <w:tcW w:w="500" w:type="dxa"/>
            <w:vAlign w:val="bottom"/>
          </w:tcPr>
          <w:p>
            <w:pPr>
              <w:spacing w:after="0"/>
              <w:rPr>
                <w:sz w:val="19"/>
                <w:szCs w:val="19"/>
                <w:color w:val="auto"/>
              </w:rPr>
            </w:pPr>
          </w:p>
        </w:tc>
        <w:tc>
          <w:tcPr>
            <w:tcW w:w="10900" w:type="dxa"/>
            <w:vAlign w:val="bottom"/>
          </w:tcPr>
          <w:p>
            <w:pPr>
              <w:ind w:left="200"/>
              <w:spacing w:after="0"/>
              <w:rPr>
                <w:sz w:val="20"/>
                <w:szCs w:val="20"/>
                <w:color w:val="auto"/>
              </w:rPr>
            </w:pPr>
            <w:r>
              <w:rPr>
                <w:rFonts w:ascii="Arial" w:cs="Arial" w:eastAsia="Arial" w:hAnsi="Arial"/>
                <w:sz w:val="18"/>
                <w:szCs w:val="18"/>
                <w:color w:val="auto"/>
              </w:rPr>
              <w:t>herein by reference)</w:t>
            </w:r>
          </w:p>
        </w:tc>
      </w:tr>
      <w:tr>
        <w:trPr>
          <w:trHeight w:val="365"/>
        </w:trPr>
        <w:tc>
          <w:tcPr>
            <w:tcW w:w="500" w:type="dxa"/>
            <w:vAlign w:val="bottom"/>
          </w:tcPr>
          <w:p>
            <w:pPr>
              <w:spacing w:after="0"/>
              <w:rPr>
                <w:sz w:val="24"/>
                <w:szCs w:val="24"/>
                <w:color w:val="auto"/>
              </w:rPr>
            </w:pPr>
          </w:p>
        </w:tc>
        <w:tc>
          <w:tcPr>
            <w:tcW w:w="10900" w:type="dxa"/>
            <w:vAlign w:val="bottom"/>
          </w:tcPr>
          <w:p>
            <w:pPr>
              <w:ind w:left="51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20" w:right="180" w:hanging="809"/>
        <w:spacing w:after="0" w:line="259"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a portion of Exhibit 10 to the Trust’s Annual Report on Form 10-K for the year ended December 31, 1998 (File No. 1-07533) and incorporated herein by reference)</w:t>
      </w:r>
    </w:p>
    <w:p>
      <w:pPr>
        <w:spacing w:after="0" w:line="86"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31"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31" w:lineRule="exact"/>
        <w:rPr>
          <w:sz w:val="20"/>
          <w:szCs w:val="20"/>
          <w:color w:val="auto"/>
        </w:rPr>
      </w:pPr>
    </w:p>
    <w:p>
      <w:pPr>
        <w:ind w:left="820" w:hanging="809"/>
        <w:spacing w:after="0" w:line="259"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Performance Share Award Agreement dated as of February 9, 2000 between the Trust and Donald C. Wood (previously filed as a portion of Exhibit 10 to the Trust’s Annual Report on Form 10-K for the year ended December 31, 1999 (File No. 1-07533) (the “1999 Form 10-K”) and incorporated herein by reference)</w:t>
      </w:r>
    </w:p>
    <w:p>
      <w:pPr>
        <w:spacing w:after="0" w:line="86"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Restricted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Severance Agreement between the Trust and Donald C. Wood dated February 22, 1999 (previously filed as a portion of Exhibit 10 to the 1999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Executive Agreement between Federal Realty Investment Trust and Donald C. Wood dated February 22, 1999 (previously filed as a portion of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 to the 1999 Form 10-K and incorporated herein by reference)</w:t>
      </w:r>
    </w:p>
    <w:p>
      <w:pPr>
        <w:spacing w:after="0" w:line="111" w:lineRule="exact"/>
        <w:rPr>
          <w:sz w:val="20"/>
          <w:szCs w:val="20"/>
          <w:color w:val="auto"/>
        </w:rPr>
      </w:pPr>
    </w:p>
    <w:p>
      <w:pPr>
        <w:ind w:left="820" w:right="340" w:hanging="809"/>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Executive Agreement between Federal Realty Investment Trust and Donald C. Wood dated February 16, 2005 (previously filed as Exhibit 10.12 to the 2004 Form 10-K and incorporated herein by reference)</w:t>
      </w:r>
    </w:p>
    <w:p>
      <w:pPr>
        <w:spacing w:after="0" w:line="78" w:lineRule="exact"/>
        <w:rPr>
          <w:sz w:val="20"/>
          <w:szCs w:val="20"/>
          <w:color w:val="auto"/>
        </w:rPr>
      </w:pPr>
    </w:p>
    <w:p>
      <w:pPr>
        <w:ind w:left="820" w:right="20" w:hanging="809"/>
        <w:spacing w:after="0" w:line="259"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86"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Split Dollar Life Insurance Agreement dated August 12, 1998 between the Trust and Donald C. Wood (previously filed as a portion of Exhibit 10 to the 2000 Form 10-K and incorporated herein by reference)</w:t>
      </w:r>
    </w:p>
    <w:p>
      <w:pPr>
        <w:spacing w:after="0" w:line="78" w:lineRule="exact"/>
        <w:rPr>
          <w:sz w:val="20"/>
          <w:szCs w:val="20"/>
          <w:color w:val="auto"/>
        </w:rPr>
      </w:pPr>
    </w:p>
    <w:p>
      <w:pPr>
        <w:ind w:left="820" w:right="80" w:hanging="809"/>
        <w:spacing w:after="0" w:line="259"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86"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Severance Agreement between the Trust and Jeffrey S. Berkes dated March 1, 2000 (previously filed as a portion of Exhibit 10 to the 2001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Amendment to Severance Agreement between Federal Realty Investment Trust and Jeff Berkes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10.17 to the 2004 Form 10-K and incorporated herein by reference)</w:t>
      </w:r>
    </w:p>
    <w:p>
      <w:pPr>
        <w:spacing w:after="0" w:line="111" w:lineRule="exact"/>
        <w:rPr>
          <w:sz w:val="20"/>
          <w:szCs w:val="20"/>
          <w:color w:val="auto"/>
        </w:rPr>
      </w:pPr>
    </w:p>
    <w:p>
      <w:pPr>
        <w:ind w:left="820" w:right="240" w:hanging="809"/>
        <w:spacing w:after="0" w:line="332"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Severance Agreement dated March 1, 2002 between the Trust and Larry E. Finger (previously filed as a portion of Exhibit 10 to the Trust’s Annual Report on Form 10-K for the year ended December 31, 2002 (File No. 1-07533) (the “2002 Form 10-K”) and incorporated herein by reference)</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Amendment to Severance Agreement between Federal Realty Investment Trust and Larry Finger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10.19 to the 2004 Form 10-K and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Form 10-K and incorporated herein by reference)</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Form 10-K and incorporated herein by reference)</w:t>
      </w:r>
    </w:p>
    <w:p>
      <w:pPr>
        <w:spacing w:after="0" w:line="78"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Form 10-K and incorporated herein by reference)</w:t>
      </w:r>
    </w:p>
    <w:p>
      <w:pPr>
        <w:spacing w:after="0" w:line="78"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2002 Form 10-K and incorporated herein by reference)</w:t>
      </w:r>
    </w:p>
    <w:p>
      <w:pPr>
        <w:spacing w:after="0" w:line="78"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Exhibit 10.31 to the 2002 Form 10-K and incorporated herein by reference)</w:t>
      </w:r>
    </w:p>
    <w:p>
      <w:pPr>
        <w:spacing w:after="0" w:line="78" w:lineRule="exact"/>
        <w:rPr>
          <w:sz w:val="20"/>
          <w:szCs w:val="20"/>
          <w:color w:val="auto"/>
        </w:rPr>
      </w:pPr>
    </w:p>
    <w:p>
      <w:pPr>
        <w:ind w:left="820" w:right="640" w:hanging="809"/>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820" w:right="440" w:hanging="809"/>
        <w:spacing w:after="0" w:line="268" w:lineRule="auto"/>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78" w:lineRule="exact"/>
        <w:rPr>
          <w:sz w:val="20"/>
          <w:szCs w:val="20"/>
          <w:color w:val="auto"/>
        </w:rPr>
      </w:pPr>
    </w:p>
    <w:p>
      <w:pPr>
        <w:ind w:left="820" w:right="380" w:hanging="809"/>
        <w:spacing w:after="0" w:line="268"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820" w:right="120" w:hanging="809"/>
        <w:spacing w:after="0" w:line="332" w:lineRule="auto"/>
        <w:tabs>
          <w:tab w:leader="none" w:pos="8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Option Award Agreement for options awarded under 2001 Long-Term Incentive Plan (previously filed as Exhibit 10.30 to the 2004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7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Pr>
          <w:p>
            <w:pPr>
              <w:ind w:left="18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ONALD</w:t>
            </w:r>
            <w:r>
              <w:rPr>
                <w:rFonts w:ascii="Arial" w:cs="Arial" w:eastAsia="Arial" w:hAnsi="Arial"/>
                <w:sz w:val="18"/>
                <w:szCs w:val="18"/>
                <w:color w:val="auto"/>
              </w:rPr>
              <w:t xml:space="preserve"> C. W</w:t>
            </w:r>
            <w:r>
              <w:rPr>
                <w:rFonts w:ascii="Arial" w:cs="Arial" w:eastAsia="Arial" w:hAnsi="Arial"/>
                <w:sz w:val="14"/>
                <w:szCs w:val="14"/>
                <w:color w:val="auto"/>
              </w:rPr>
              <w:t>OOD</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7"/>
              </w:rPr>
              <w:t>Donald C. Wood, President, Chief Executive</w:t>
            </w:r>
          </w:p>
        </w:tc>
      </w:tr>
      <w:tr>
        <w:trPr>
          <w:trHeight w:val="174"/>
        </w:trPr>
        <w:tc>
          <w:tcPr>
            <w:tcW w:w="582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 and Trustee (Principal Executive Officer)</w:t>
            </w: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Larry E. Finger, certify that:</w:t>
      </w:r>
    </w:p>
    <w:p>
      <w:pPr>
        <w:spacing w:after="0" w:line="7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Pr>
          <w:p>
            <w:pPr>
              <w:jc w:val="right"/>
              <w:ind w:right="2046"/>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5600" w:type="dxa"/>
            <w:vAlign w:val="bottom"/>
          </w:tcPr>
          <w:p>
            <w:pPr>
              <w:jc w:val="right"/>
              <w:ind w:right="1406"/>
              <w:spacing w:after="0"/>
              <w:rPr>
                <w:sz w:val="20"/>
                <w:szCs w:val="20"/>
                <w:color w:val="auto"/>
              </w:rPr>
            </w:pPr>
            <w:r>
              <w:rPr>
                <w:rFonts w:ascii="Arial" w:cs="Arial" w:eastAsia="Arial" w:hAnsi="Arial"/>
                <w:sz w:val="14"/>
                <w:szCs w:val="14"/>
                <w:b w:val="1"/>
                <w:bCs w:val="1"/>
                <w:color w:val="auto"/>
              </w:rPr>
              <w:t>Larry E. Finger, Executive Vice President and</w:t>
            </w:r>
          </w:p>
        </w:tc>
      </w:tr>
      <w:tr>
        <w:trPr>
          <w:trHeight w:val="149"/>
        </w:trPr>
        <w:tc>
          <w:tcPr>
            <w:tcW w:w="5820" w:type="dxa"/>
            <w:vAlign w:val="bottom"/>
          </w:tcPr>
          <w:p>
            <w:pPr>
              <w:spacing w:after="0"/>
              <w:rPr>
                <w:sz w:val="12"/>
                <w:szCs w:val="12"/>
                <w:color w:val="auto"/>
              </w:rPr>
            </w:pPr>
          </w:p>
        </w:tc>
        <w:tc>
          <w:tcPr>
            <w:tcW w:w="5600" w:type="dxa"/>
            <w:vAlign w:val="bottom"/>
          </w:tcPr>
          <w:p>
            <w:pPr>
              <w:jc w:val="right"/>
              <w:ind w:right="2046"/>
              <w:spacing w:after="0" w:line="149" w:lineRule="exact"/>
              <w:rPr>
                <w:sz w:val="20"/>
                <w:szCs w:val="20"/>
                <w:color w:val="auto"/>
              </w:rPr>
            </w:pPr>
            <w:r>
              <w:rPr>
                <w:rFonts w:ascii="Arial" w:cs="Arial" w:eastAsia="Arial" w:hAnsi="Arial"/>
                <w:sz w:val="14"/>
                <w:szCs w:val="14"/>
                <w:b w:val="1"/>
                <w:bCs w:val="1"/>
                <w:color w:val="auto"/>
              </w:rPr>
              <w:t>Chief Financial Officer</w:t>
            </w:r>
          </w:p>
        </w:tc>
      </w:tr>
    </w:tbl>
    <w:p>
      <w:pPr>
        <w:ind w:left="774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1980" w:type="dxa"/>
            <w:vAlign w:val="bottom"/>
          </w:tcPr>
          <w:p>
            <w:pPr>
              <w:ind w:left="1800"/>
              <w:spacing w:after="0"/>
              <w:rPr>
                <w:sz w:val="20"/>
                <w:szCs w:val="20"/>
                <w:color w:val="auto"/>
              </w:rPr>
            </w:pPr>
            <w:r>
              <w:rPr>
                <w:rFonts w:ascii="Arial" w:cs="Arial" w:eastAsia="Arial" w:hAnsi="Arial"/>
                <w:sz w:val="18"/>
                <w:szCs w:val="18"/>
                <w:color w:val="auto"/>
                <w:w w:val="83"/>
              </w:rPr>
              <w:t>/s/</w:t>
            </w:r>
          </w:p>
        </w:tc>
        <w:tc>
          <w:tcPr>
            <w:tcW w:w="3620" w:type="dxa"/>
            <w:vAlign w:val="bottom"/>
          </w:tcPr>
          <w:p>
            <w:pPr>
              <w:jc w:val="center"/>
              <w:ind w:right="184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10"/>
        </w:trPr>
        <w:tc>
          <w:tcPr>
            <w:tcW w:w="582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1980" w:type="dxa"/>
            <w:vAlign w:val="bottom"/>
          </w:tcPr>
          <w:p>
            <w:pPr>
              <w:spacing w:after="0"/>
              <w:rPr>
                <w:sz w:val="21"/>
                <w:szCs w:val="21"/>
                <w:color w:val="auto"/>
              </w:rPr>
            </w:pPr>
          </w:p>
        </w:tc>
        <w:tc>
          <w:tcPr>
            <w:tcW w:w="3620" w:type="dxa"/>
            <w:vAlign w:val="bottom"/>
          </w:tcPr>
          <w:p>
            <w:pPr>
              <w:jc w:val="center"/>
              <w:ind w:right="1902"/>
              <w:spacing w:after="0"/>
              <w:rPr>
                <w:sz w:val="20"/>
                <w:szCs w:val="20"/>
                <w:color w:val="auto"/>
              </w:rPr>
            </w:pPr>
            <w:r>
              <w:rPr>
                <w:rFonts w:ascii="Arial" w:cs="Arial" w:eastAsia="Arial" w:hAnsi="Arial"/>
                <w:sz w:val="14"/>
                <w:szCs w:val="14"/>
                <w:b w:val="1"/>
                <w:bCs w:val="1"/>
                <w:color w:val="auto"/>
                <w:w w:val="87"/>
              </w:rPr>
              <w:t>Donald C. Wood, President,</w:t>
            </w:r>
          </w:p>
        </w:tc>
      </w:tr>
      <w:tr>
        <w:trPr>
          <w:trHeight w:val="149"/>
        </w:trPr>
        <w:tc>
          <w:tcPr>
            <w:tcW w:w="5820" w:type="dxa"/>
            <w:vAlign w:val="bottom"/>
          </w:tcPr>
          <w:p>
            <w:pPr>
              <w:spacing w:after="0"/>
              <w:rPr>
                <w:sz w:val="12"/>
                <w:szCs w:val="12"/>
                <w:color w:val="auto"/>
              </w:rPr>
            </w:pPr>
          </w:p>
        </w:tc>
        <w:tc>
          <w:tcPr>
            <w:tcW w:w="5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Chief Executive Officer and Trustee</w:t>
            </w:r>
          </w:p>
        </w:tc>
      </w:tr>
    </w:tbl>
    <w:p>
      <w:pPr>
        <w:ind w:left="78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March 31,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Pr>
          <w:p>
            <w:pPr>
              <w:jc w:val="right"/>
              <w:ind w:right="2046"/>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May 4, 2005</w:t>
            </w:r>
          </w:p>
        </w:tc>
        <w:tc>
          <w:tcPr>
            <w:tcW w:w="5600" w:type="dxa"/>
            <w:vAlign w:val="bottom"/>
          </w:tcPr>
          <w:p>
            <w:pPr>
              <w:jc w:val="right"/>
              <w:ind w:right="1406"/>
              <w:spacing w:after="0"/>
              <w:rPr>
                <w:sz w:val="20"/>
                <w:szCs w:val="20"/>
                <w:color w:val="auto"/>
              </w:rPr>
            </w:pPr>
            <w:r>
              <w:rPr>
                <w:rFonts w:ascii="Arial" w:cs="Arial" w:eastAsia="Arial" w:hAnsi="Arial"/>
                <w:sz w:val="14"/>
                <w:szCs w:val="14"/>
                <w:b w:val="1"/>
                <w:bCs w:val="1"/>
                <w:color w:val="auto"/>
              </w:rPr>
              <w:t>Larry E. Finger, Executive Vice President and</w:t>
            </w:r>
          </w:p>
        </w:tc>
      </w:tr>
      <w:tr>
        <w:trPr>
          <w:trHeight w:val="149"/>
        </w:trPr>
        <w:tc>
          <w:tcPr>
            <w:tcW w:w="5820" w:type="dxa"/>
            <w:vAlign w:val="bottom"/>
          </w:tcPr>
          <w:p>
            <w:pPr>
              <w:spacing w:after="0"/>
              <w:rPr>
                <w:sz w:val="12"/>
                <w:szCs w:val="12"/>
                <w:color w:val="auto"/>
              </w:rPr>
            </w:pPr>
          </w:p>
        </w:tc>
        <w:tc>
          <w:tcPr>
            <w:tcW w:w="5600" w:type="dxa"/>
            <w:vAlign w:val="bottom"/>
          </w:tcPr>
          <w:p>
            <w:pPr>
              <w:jc w:val="right"/>
              <w:ind w:right="2046"/>
              <w:spacing w:after="0" w:line="149" w:lineRule="exact"/>
              <w:rPr>
                <w:sz w:val="20"/>
                <w:szCs w:val="20"/>
                <w:color w:val="auto"/>
              </w:rPr>
            </w:pPr>
            <w:r>
              <w:rPr>
                <w:rFonts w:ascii="Arial" w:cs="Arial" w:eastAsia="Arial" w:hAnsi="Arial"/>
                <w:sz w:val="14"/>
                <w:szCs w:val="14"/>
                <w:b w:val="1"/>
                <w:bCs w:val="1"/>
                <w:color w:val="auto"/>
              </w:rPr>
              <w:t>Chief Financial Officer</w:t>
            </w:r>
          </w:p>
        </w:tc>
      </w:tr>
    </w:tbl>
    <w:p>
      <w:pPr>
        <w:ind w:left="774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2019-12-13T00:54:37Z</dcterms:created>
  <dcterms:modified xsi:type="dcterms:W3CDTF">2019-12-13T00:54:37Z</dcterms:modified>
</cp:coreProperties>
</file>