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29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Date of Report (Date of earliest event reported) August 04, 2021</w:t>
      </w:r>
    </w:p>
    <w:p>
      <w:pPr>
        <w:spacing w:after="0" w:line="150"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13" w:lineRule="exact"/>
        <w:rPr>
          <w:sz w:val="24"/>
          <w:szCs w:val="24"/>
          <w:color w:val="auto"/>
        </w:rPr>
      </w:pPr>
    </w:p>
    <w:tbl>
      <w:tblPr>
        <w:tblLayout w:type="fixed"/>
        <w:tblInd w:w="180" w:type="dxa"/>
        <w:tblCellMar>
          <w:top w:w="0" w:type="dxa"/>
          <w:left w:w="0" w:type="dxa"/>
          <w:bottom w:w="0" w:type="dxa"/>
          <w:right w:w="0" w:type="dxa"/>
        </w:tblCellMar>
      </w:tblPr>
      <w:tr>
        <w:trPr>
          <w:trHeight w:val="230"/>
        </w:trPr>
        <w:tc>
          <w:tcPr>
            <w:tcW w:w="3980" w:type="dxa"/>
            <w:vAlign w:val="bottom"/>
            <w:gridSpan w:val="3"/>
          </w:tcPr>
          <w:p>
            <w:pPr>
              <w:jc w:val="center"/>
              <w:ind w:right="584"/>
              <w:spacing w:after="0"/>
              <w:rPr>
                <w:sz w:val="20"/>
                <w:szCs w:val="20"/>
                <w:color w:val="auto"/>
              </w:rPr>
            </w:pPr>
            <w:r>
              <w:rPr>
                <w:rFonts w:ascii="Arial" w:cs="Arial" w:eastAsia="Arial" w:hAnsi="Arial"/>
                <w:sz w:val="18"/>
                <w:szCs w:val="18"/>
                <w:b w:val="1"/>
                <w:bCs w:val="1"/>
                <w:color w:val="auto"/>
                <w:w w:val="96"/>
              </w:rPr>
              <w:t>Maryland</w:t>
            </w:r>
          </w:p>
        </w:tc>
        <w:tc>
          <w:tcPr>
            <w:tcW w:w="2020" w:type="dxa"/>
            <w:vAlign w:val="bottom"/>
            <w:gridSpan w:val="3"/>
          </w:tcPr>
          <w:p>
            <w:pPr>
              <w:jc w:val="center"/>
              <w:ind w:left="773"/>
              <w:spacing w:after="0"/>
              <w:rPr>
                <w:sz w:val="20"/>
                <w:szCs w:val="20"/>
                <w:color w:val="auto"/>
              </w:rPr>
            </w:pPr>
            <w:r>
              <w:rPr>
                <w:rFonts w:ascii="Arial" w:cs="Arial" w:eastAsia="Arial" w:hAnsi="Arial"/>
                <w:sz w:val="18"/>
                <w:szCs w:val="18"/>
                <w:b w:val="1"/>
                <w:bCs w:val="1"/>
                <w:color w:val="auto"/>
                <w:w w:val="90"/>
              </w:rPr>
              <w:t>1-07533</w:t>
            </w:r>
          </w:p>
        </w:tc>
        <w:tc>
          <w:tcPr>
            <w:tcW w:w="1120" w:type="dxa"/>
            <w:vAlign w:val="bottom"/>
          </w:tcPr>
          <w:p>
            <w:pPr>
              <w:spacing w:after="0"/>
              <w:rPr>
                <w:sz w:val="19"/>
                <w:szCs w:val="19"/>
                <w:color w:val="auto"/>
              </w:rPr>
            </w:pPr>
          </w:p>
        </w:tc>
        <w:tc>
          <w:tcPr>
            <w:tcW w:w="3220" w:type="dxa"/>
            <w:vAlign w:val="bottom"/>
          </w:tcPr>
          <w:p>
            <w:pPr>
              <w:jc w:val="center"/>
              <w:ind w:left="904"/>
              <w:spacing w:after="0"/>
              <w:rPr>
                <w:sz w:val="20"/>
                <w:szCs w:val="20"/>
                <w:color w:val="auto"/>
              </w:rPr>
            </w:pPr>
            <w:r>
              <w:rPr>
                <w:rFonts w:ascii="Arial" w:cs="Arial" w:eastAsia="Arial" w:hAnsi="Arial"/>
                <w:sz w:val="18"/>
                <w:szCs w:val="18"/>
                <w:b w:val="1"/>
                <w:bCs w:val="1"/>
                <w:color w:val="auto"/>
                <w:w w:val="91"/>
              </w:rPr>
              <w:t>52-0782497</w:t>
            </w:r>
          </w:p>
        </w:tc>
      </w:tr>
      <w:tr>
        <w:trPr>
          <w:trHeight w:val="126"/>
        </w:trPr>
        <w:tc>
          <w:tcPr>
            <w:tcW w:w="3980" w:type="dxa"/>
            <w:vAlign w:val="bottom"/>
            <w:gridSpan w:val="3"/>
          </w:tcPr>
          <w:p>
            <w:pPr>
              <w:jc w:val="center"/>
              <w:ind w:right="584"/>
              <w:spacing w:after="0" w:line="126" w:lineRule="exact"/>
              <w:rPr>
                <w:sz w:val="20"/>
                <w:szCs w:val="20"/>
                <w:color w:val="auto"/>
              </w:rPr>
            </w:pPr>
            <w:r>
              <w:rPr>
                <w:rFonts w:ascii="Arial" w:cs="Arial" w:eastAsia="Arial" w:hAnsi="Arial"/>
                <w:sz w:val="13"/>
                <w:szCs w:val="13"/>
                <w:b w:val="1"/>
                <w:bCs w:val="1"/>
                <w:color w:val="auto"/>
                <w:w w:val="88"/>
              </w:rPr>
              <w:t>(State or other jurisdiction</w:t>
            </w:r>
          </w:p>
        </w:tc>
        <w:tc>
          <w:tcPr>
            <w:tcW w:w="900" w:type="dxa"/>
            <w:vAlign w:val="bottom"/>
          </w:tcPr>
          <w:p>
            <w:pPr>
              <w:spacing w:after="0"/>
              <w:rPr>
                <w:sz w:val="10"/>
                <w:szCs w:val="10"/>
                <w:color w:val="auto"/>
              </w:rPr>
            </w:pPr>
          </w:p>
        </w:tc>
        <w:tc>
          <w:tcPr>
            <w:tcW w:w="2240" w:type="dxa"/>
            <w:vAlign w:val="bottom"/>
            <w:gridSpan w:val="3"/>
          </w:tcPr>
          <w:p>
            <w:pPr>
              <w:jc w:val="center"/>
              <w:ind w:right="1140"/>
              <w:spacing w:after="0" w:line="126" w:lineRule="exact"/>
              <w:rPr>
                <w:sz w:val="20"/>
                <w:szCs w:val="20"/>
                <w:color w:val="auto"/>
              </w:rPr>
            </w:pPr>
            <w:r>
              <w:rPr>
                <w:rFonts w:ascii="Arial" w:cs="Arial" w:eastAsia="Arial" w:hAnsi="Arial"/>
                <w:sz w:val="13"/>
                <w:szCs w:val="13"/>
                <w:b w:val="1"/>
                <w:bCs w:val="1"/>
                <w:color w:val="auto"/>
                <w:w w:val="84"/>
              </w:rPr>
              <w:t>(Commission</w:t>
            </w:r>
          </w:p>
        </w:tc>
        <w:tc>
          <w:tcPr>
            <w:tcW w:w="3220" w:type="dxa"/>
            <w:vAlign w:val="bottom"/>
          </w:tcPr>
          <w:p>
            <w:pPr>
              <w:jc w:val="center"/>
              <w:ind w:left="924"/>
              <w:spacing w:after="0" w:line="126"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3980" w:type="dxa"/>
            <w:vAlign w:val="bottom"/>
            <w:gridSpan w:val="3"/>
          </w:tcPr>
          <w:p>
            <w:pPr>
              <w:jc w:val="center"/>
              <w:ind w:right="584"/>
              <w:spacing w:after="0"/>
              <w:rPr>
                <w:sz w:val="20"/>
                <w:szCs w:val="20"/>
                <w:color w:val="auto"/>
              </w:rPr>
            </w:pPr>
            <w:r>
              <w:rPr>
                <w:rFonts w:ascii="Arial" w:cs="Arial" w:eastAsia="Arial" w:hAnsi="Arial"/>
                <w:sz w:val="13"/>
                <w:szCs w:val="13"/>
                <w:b w:val="1"/>
                <w:bCs w:val="1"/>
                <w:color w:val="auto"/>
                <w:w w:val="88"/>
              </w:rPr>
              <w:t>of incorporation)</w:t>
            </w:r>
          </w:p>
        </w:tc>
        <w:tc>
          <w:tcPr>
            <w:tcW w:w="900" w:type="dxa"/>
            <w:vAlign w:val="bottom"/>
          </w:tcPr>
          <w:p>
            <w:pPr>
              <w:spacing w:after="0"/>
              <w:rPr>
                <w:sz w:val="14"/>
                <w:szCs w:val="14"/>
                <w:color w:val="auto"/>
              </w:rPr>
            </w:pPr>
          </w:p>
        </w:tc>
        <w:tc>
          <w:tcPr>
            <w:tcW w:w="2240" w:type="dxa"/>
            <w:vAlign w:val="bottom"/>
            <w:gridSpan w:val="3"/>
          </w:tcPr>
          <w:p>
            <w:pPr>
              <w:jc w:val="center"/>
              <w:ind w:right="1160"/>
              <w:spacing w:after="0"/>
              <w:rPr>
                <w:sz w:val="20"/>
                <w:szCs w:val="20"/>
                <w:color w:val="auto"/>
              </w:rPr>
            </w:pPr>
            <w:r>
              <w:rPr>
                <w:rFonts w:ascii="Arial" w:cs="Arial" w:eastAsia="Arial" w:hAnsi="Arial"/>
                <w:sz w:val="13"/>
                <w:szCs w:val="13"/>
                <w:b w:val="1"/>
                <w:bCs w:val="1"/>
                <w:color w:val="auto"/>
                <w:w w:val="90"/>
              </w:rPr>
              <w:t>File Number)</w:t>
            </w:r>
          </w:p>
        </w:tc>
        <w:tc>
          <w:tcPr>
            <w:tcW w:w="3220" w:type="dxa"/>
            <w:vAlign w:val="bottom"/>
          </w:tcPr>
          <w:p>
            <w:pPr>
              <w:jc w:val="center"/>
              <w:ind w:left="924"/>
              <w:spacing w:after="0"/>
              <w:rPr>
                <w:sz w:val="20"/>
                <w:szCs w:val="20"/>
                <w:color w:val="auto"/>
              </w:rPr>
            </w:pPr>
            <w:r>
              <w:rPr>
                <w:rFonts w:ascii="Arial" w:cs="Arial" w:eastAsia="Arial" w:hAnsi="Arial"/>
                <w:sz w:val="13"/>
                <w:szCs w:val="13"/>
                <w:b w:val="1"/>
                <w:bCs w:val="1"/>
                <w:color w:val="auto"/>
                <w:w w:val="89"/>
              </w:rPr>
              <w:t>Identification No.)</w:t>
            </w:r>
          </w:p>
        </w:tc>
      </w:tr>
      <w:tr>
        <w:trPr>
          <w:trHeight w:val="628"/>
        </w:trPr>
        <w:tc>
          <w:tcPr>
            <w:tcW w:w="1500" w:type="dxa"/>
            <w:vAlign w:val="bottom"/>
          </w:tcPr>
          <w:p>
            <w:pPr>
              <w:spacing w:after="0"/>
              <w:rPr>
                <w:sz w:val="24"/>
                <w:szCs w:val="24"/>
                <w:color w:val="auto"/>
              </w:rPr>
            </w:pPr>
          </w:p>
        </w:tc>
        <w:tc>
          <w:tcPr>
            <w:tcW w:w="248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909 Rose Avenue, Suite 200</w:t>
            </w: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North Bethesda,</w:t>
            </w:r>
          </w:p>
        </w:tc>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Maryland</w:t>
            </w:r>
          </w:p>
        </w:tc>
        <w:tc>
          <w:tcPr>
            <w:tcW w:w="3220" w:type="dxa"/>
            <w:vAlign w:val="bottom"/>
          </w:tcPr>
          <w:p>
            <w:pPr>
              <w:jc w:val="right"/>
              <w:ind w:right="1824"/>
              <w:spacing w:after="0"/>
              <w:rPr>
                <w:sz w:val="20"/>
                <w:szCs w:val="20"/>
                <w:color w:val="auto"/>
              </w:rPr>
            </w:pPr>
            <w:r>
              <w:rPr>
                <w:rFonts w:ascii="Arial" w:cs="Arial" w:eastAsia="Arial" w:hAnsi="Arial"/>
                <w:sz w:val="18"/>
                <w:szCs w:val="18"/>
                <w:b w:val="1"/>
                <w:bCs w:val="1"/>
                <w:color w:val="auto"/>
              </w:rPr>
              <w:t>20852</w:t>
            </w:r>
          </w:p>
        </w:tc>
      </w:tr>
      <w:tr>
        <w:trPr>
          <w:trHeight w:val="164"/>
        </w:trPr>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900" w:type="dxa"/>
            <w:vAlign w:val="bottom"/>
            <w:gridSpan w:val="3"/>
          </w:tcPr>
          <w:p>
            <w:pPr>
              <w:ind w:left="240"/>
              <w:spacing w:after="0"/>
              <w:rPr>
                <w:sz w:val="20"/>
                <w:szCs w:val="20"/>
                <w:color w:val="auto"/>
              </w:rPr>
            </w:pPr>
            <w:r>
              <w:rPr>
                <w:rFonts w:ascii="Arial" w:cs="Arial" w:eastAsia="Arial" w:hAnsi="Arial"/>
                <w:sz w:val="13"/>
                <w:szCs w:val="13"/>
                <w:b w:val="1"/>
                <w:bCs w:val="1"/>
                <w:color w:val="auto"/>
              </w:rPr>
              <w:t>(Address of principal executive offices)</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20" w:type="dxa"/>
            <w:vAlign w:val="bottom"/>
          </w:tcPr>
          <w:p>
            <w:pPr>
              <w:jc w:val="center"/>
              <w:ind w:right="964"/>
              <w:spacing w:after="0"/>
              <w:rPr>
                <w:sz w:val="20"/>
                <w:szCs w:val="20"/>
                <w:color w:val="auto"/>
              </w:rPr>
            </w:pPr>
            <w:r>
              <w:rPr>
                <w:rFonts w:ascii="Arial" w:cs="Arial" w:eastAsia="Arial" w:hAnsi="Arial"/>
                <w:sz w:val="13"/>
                <w:szCs w:val="13"/>
                <w:b w:val="1"/>
                <w:bCs w:val="1"/>
                <w:color w:val="auto"/>
                <w:w w:val="90"/>
              </w:rPr>
              <w:t>(Zip Code)</w:t>
            </w:r>
          </w:p>
        </w:tc>
      </w:tr>
      <w:tr>
        <w:trPr>
          <w:trHeight w:val="488"/>
        </w:trPr>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540" w:type="dxa"/>
            <w:vAlign w:val="bottom"/>
            <w:gridSpan w:val="6"/>
          </w:tcPr>
          <w:p>
            <w:pPr>
              <w:jc w:val="center"/>
              <w:ind w:right="2164"/>
              <w:spacing w:after="0"/>
              <w:rPr>
                <w:sz w:val="20"/>
                <w:szCs w:val="20"/>
                <w:color w:val="auto"/>
              </w:rPr>
            </w:pPr>
            <w:r>
              <w:rPr>
                <w:rFonts w:ascii="Arial" w:cs="Arial" w:eastAsia="Arial" w:hAnsi="Arial"/>
                <w:sz w:val="18"/>
                <w:szCs w:val="18"/>
                <w:b w:val="1"/>
                <w:bCs w:val="1"/>
                <w:color w:val="auto"/>
                <w:w w:val="89"/>
              </w:rPr>
              <w:t>Registrant's telephone number including area code: 301/998-8100</w:t>
            </w:r>
          </w:p>
        </w:tc>
      </w:tr>
      <w:tr>
        <w:trPr>
          <w:trHeight w:val="364"/>
        </w:trPr>
        <w:tc>
          <w:tcPr>
            <w:tcW w:w="15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1180" w:type="dxa"/>
            <w:vAlign w:val="bottom"/>
          </w:tcPr>
          <w:p>
            <w:pPr>
              <w:spacing w:after="0"/>
              <w:rPr>
                <w:sz w:val="24"/>
                <w:szCs w:val="24"/>
                <w:color w:val="auto"/>
              </w:rPr>
            </w:pPr>
          </w:p>
        </w:tc>
        <w:tc>
          <w:tcPr>
            <w:tcW w:w="31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2"/>
              </w:rPr>
              <w:t>Trading Symbol</w:t>
            </w:r>
          </w:p>
        </w:tc>
        <w:tc>
          <w:tcPr>
            <w:tcW w:w="3220" w:type="dxa"/>
            <w:vAlign w:val="bottom"/>
          </w:tcPr>
          <w:p>
            <w:pPr>
              <w:jc w:val="center"/>
              <w:spacing w:after="0"/>
              <w:rPr>
                <w:sz w:val="20"/>
                <w:szCs w:val="20"/>
                <w:color w:val="auto"/>
              </w:rPr>
            </w:pPr>
            <w:r>
              <w:rPr>
                <w:rFonts w:ascii="Arial" w:cs="Arial" w:eastAsia="Arial" w:hAnsi="Arial"/>
                <w:sz w:val="16"/>
                <w:szCs w:val="16"/>
                <w:b w:val="1"/>
                <w:bCs w:val="1"/>
                <w:color w:val="auto"/>
                <w:w w:val="91"/>
              </w:rPr>
              <w:t>Name of Each Exchange On Which Registered</w:t>
            </w:r>
          </w:p>
        </w:tc>
      </w:tr>
      <w:tr>
        <w:trPr>
          <w:trHeight w:val="20"/>
        </w:trPr>
        <w:tc>
          <w:tcPr>
            <w:tcW w:w="1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50"/>
        </w:trPr>
        <w:tc>
          <w:tcPr>
            <w:tcW w:w="3980" w:type="dxa"/>
            <w:vAlign w:val="bottom"/>
            <w:gridSpan w:val="3"/>
          </w:tcPr>
          <w:p>
            <w:pPr>
              <w:jc w:val="center"/>
              <w:ind w:left="244"/>
              <w:spacing w:after="0"/>
              <w:rPr>
                <w:sz w:val="20"/>
                <w:szCs w:val="20"/>
                <w:color w:val="auto"/>
              </w:rPr>
            </w:pPr>
            <w:r>
              <w:rPr>
                <w:rFonts w:ascii="Arial" w:cs="Arial" w:eastAsia="Arial" w:hAnsi="Arial"/>
                <w:sz w:val="16"/>
                <w:szCs w:val="16"/>
                <w:color w:val="auto"/>
                <w:w w:val="92"/>
              </w:rPr>
              <w:t>Common Shares of Beneficial Interest</w:t>
            </w:r>
          </w:p>
        </w:tc>
        <w:tc>
          <w:tcPr>
            <w:tcW w:w="900" w:type="dxa"/>
            <w:vAlign w:val="bottom"/>
          </w:tcPr>
          <w:p>
            <w:pPr>
              <w:spacing w:after="0"/>
              <w:rPr>
                <w:sz w:val="21"/>
                <w:szCs w:val="21"/>
                <w:color w:val="auto"/>
              </w:rPr>
            </w:pPr>
          </w:p>
        </w:tc>
        <w:tc>
          <w:tcPr>
            <w:tcW w:w="820" w:type="dxa"/>
            <w:vAlign w:val="bottom"/>
          </w:tcPr>
          <w:p>
            <w:pPr>
              <w:jc w:val="center"/>
              <w:ind w:left="224"/>
              <w:spacing w:after="0"/>
              <w:rPr>
                <w:sz w:val="20"/>
                <w:szCs w:val="20"/>
                <w:color w:val="auto"/>
              </w:rPr>
            </w:pPr>
            <w:r>
              <w:rPr>
                <w:rFonts w:ascii="Arial" w:cs="Arial" w:eastAsia="Arial" w:hAnsi="Arial"/>
                <w:sz w:val="18"/>
                <w:szCs w:val="18"/>
                <w:color w:val="auto"/>
                <w:w w:val="91"/>
              </w:rPr>
              <w:t>FRT</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w w:val="91"/>
              </w:rPr>
              <w:t>New York Stock Exchange</w:t>
            </w:r>
          </w:p>
        </w:tc>
      </w:tr>
      <w:tr>
        <w:trPr>
          <w:trHeight w:val="166"/>
        </w:trPr>
        <w:tc>
          <w:tcPr>
            <w:tcW w:w="5700" w:type="dxa"/>
            <w:vAlign w:val="bottom"/>
            <w:gridSpan w:val="5"/>
          </w:tcPr>
          <w:p>
            <w:pPr>
              <w:jc w:val="center"/>
              <w:ind w:right="1324"/>
              <w:spacing w:after="0" w:line="166" w:lineRule="exact"/>
              <w:rPr>
                <w:sz w:val="20"/>
                <w:szCs w:val="20"/>
                <w:color w:val="auto"/>
              </w:rPr>
            </w:pPr>
            <w:r>
              <w:rPr>
                <w:rFonts w:ascii="Arial" w:cs="Arial" w:eastAsia="Arial" w:hAnsi="Arial"/>
                <w:sz w:val="16"/>
                <w:szCs w:val="16"/>
                <w:color w:val="auto"/>
                <w:w w:val="89"/>
              </w:rPr>
              <w:t>$.01 par value per share, with associated Common Share Purchase</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06"/>
        </w:trPr>
        <w:tc>
          <w:tcPr>
            <w:tcW w:w="1500" w:type="dxa"/>
            <w:vAlign w:val="bottom"/>
          </w:tcPr>
          <w:p>
            <w:pPr>
              <w:spacing w:after="0"/>
              <w:rPr>
                <w:sz w:val="17"/>
                <w:szCs w:val="17"/>
                <w:color w:val="auto"/>
              </w:rPr>
            </w:pPr>
          </w:p>
        </w:tc>
        <w:tc>
          <w:tcPr>
            <w:tcW w:w="2480" w:type="dxa"/>
            <w:vAlign w:val="bottom"/>
            <w:gridSpan w:val="2"/>
          </w:tcPr>
          <w:p>
            <w:pPr>
              <w:jc w:val="center"/>
              <w:ind w:right="1104"/>
              <w:spacing w:after="0"/>
              <w:rPr>
                <w:sz w:val="20"/>
                <w:szCs w:val="20"/>
                <w:color w:val="auto"/>
              </w:rPr>
            </w:pPr>
            <w:r>
              <w:rPr>
                <w:rFonts w:ascii="Arial" w:cs="Arial" w:eastAsia="Arial" w:hAnsi="Arial"/>
                <w:sz w:val="16"/>
                <w:szCs w:val="16"/>
                <w:color w:val="auto"/>
                <w:w w:val="92"/>
              </w:rPr>
              <w:t>Rights</w:t>
            </w: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344"/>
        </w:trPr>
        <w:tc>
          <w:tcPr>
            <w:tcW w:w="3980" w:type="dxa"/>
            <w:vAlign w:val="bottom"/>
            <w:gridSpan w:val="3"/>
          </w:tcPr>
          <w:p>
            <w:pPr>
              <w:jc w:val="center"/>
              <w:ind w:left="244"/>
              <w:spacing w:after="0"/>
              <w:rPr>
                <w:sz w:val="20"/>
                <w:szCs w:val="20"/>
                <w:color w:val="auto"/>
              </w:rPr>
            </w:pPr>
            <w:r>
              <w:rPr>
                <w:rFonts w:ascii="Arial" w:cs="Arial" w:eastAsia="Arial" w:hAnsi="Arial"/>
                <w:sz w:val="16"/>
                <w:szCs w:val="16"/>
                <w:color w:val="auto"/>
                <w:w w:val="90"/>
              </w:rPr>
              <w:t>Depositary Shares, each representing 1/1000 of a share</w:t>
            </w:r>
          </w:p>
        </w:tc>
        <w:tc>
          <w:tcPr>
            <w:tcW w:w="900" w:type="dxa"/>
            <w:vAlign w:val="bottom"/>
          </w:tcPr>
          <w:p>
            <w:pPr>
              <w:spacing w:after="0"/>
              <w:rPr>
                <w:sz w:val="24"/>
                <w:szCs w:val="24"/>
                <w:color w:val="auto"/>
              </w:rPr>
            </w:pPr>
          </w:p>
        </w:tc>
        <w:tc>
          <w:tcPr>
            <w:tcW w:w="820" w:type="dxa"/>
            <w:vAlign w:val="bottom"/>
          </w:tcPr>
          <w:p>
            <w:pPr>
              <w:jc w:val="center"/>
              <w:ind w:left="224"/>
              <w:spacing w:after="0"/>
              <w:rPr>
                <w:sz w:val="20"/>
                <w:szCs w:val="20"/>
                <w:color w:val="auto"/>
              </w:rPr>
            </w:pPr>
            <w:r>
              <w:rPr>
                <w:rFonts w:ascii="Arial" w:cs="Arial" w:eastAsia="Arial" w:hAnsi="Arial"/>
                <w:sz w:val="18"/>
                <w:szCs w:val="18"/>
                <w:color w:val="auto"/>
                <w:w w:val="88"/>
              </w:rPr>
              <w:t>FRT-C</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w w:val="91"/>
              </w:rPr>
              <w:t>New York Stock Exchange</w:t>
            </w:r>
          </w:p>
        </w:tc>
      </w:tr>
    </w:tbl>
    <w:p>
      <w:pPr>
        <w:spacing w:after="0" w:line="4" w:lineRule="exact"/>
        <w:rPr>
          <w:sz w:val="24"/>
          <w:szCs w:val="24"/>
          <w:color w:val="auto"/>
        </w:rPr>
      </w:pPr>
    </w:p>
    <w:p>
      <w:pPr>
        <w:jc w:val="center"/>
        <w:ind w:right="6280"/>
        <w:spacing w:after="0"/>
        <w:rPr>
          <w:sz w:val="20"/>
          <w:szCs w:val="20"/>
          <w:color w:val="auto"/>
        </w:rPr>
      </w:pPr>
      <w:r>
        <w:rPr>
          <w:rFonts w:ascii="Arial" w:cs="Arial" w:eastAsia="Arial" w:hAnsi="Arial"/>
          <w:sz w:val="15"/>
          <w:szCs w:val="15"/>
          <w:color w:val="auto"/>
        </w:rPr>
        <w:t>of 5.00% Series C Cumulative Redeemable Preferred Stock, $.01 par</w:t>
      </w:r>
    </w:p>
    <w:p>
      <w:pPr>
        <w:spacing w:after="0" w:line="4" w:lineRule="exact"/>
        <w:rPr>
          <w:sz w:val="24"/>
          <w:szCs w:val="24"/>
          <w:color w:val="auto"/>
        </w:rPr>
      </w:pPr>
    </w:p>
    <w:p>
      <w:pPr>
        <w:jc w:val="center"/>
        <w:ind w:right="6280"/>
        <w:spacing w:after="0"/>
        <w:rPr>
          <w:sz w:val="20"/>
          <w:szCs w:val="20"/>
          <w:color w:val="auto"/>
        </w:rPr>
      </w:pPr>
      <w:r>
        <w:rPr>
          <w:rFonts w:ascii="Arial" w:cs="Arial" w:eastAsia="Arial" w:hAnsi="Arial"/>
          <w:sz w:val="16"/>
          <w:szCs w:val="16"/>
          <w:color w:val="auto"/>
        </w:rPr>
        <w:t>value per share</w:t>
      </w:r>
    </w:p>
    <w:p>
      <w:pPr>
        <w:spacing w:after="0" w:line="392"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4" w:lineRule="exact"/>
        <w:rPr>
          <w:sz w:val="24"/>
          <w:szCs w:val="24"/>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06" w:lineRule="exact"/>
        <w:rPr>
          <w:rFonts w:ascii="MS PGothic" w:cs="MS PGothic" w:eastAsia="MS PGothic" w:hAnsi="MS PGothic"/>
          <w:sz w:val="18"/>
          <w:szCs w:val="18"/>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19" w:lineRule="exact"/>
        <w:rPr>
          <w:rFonts w:ascii="MS PGothic" w:cs="MS PGothic" w:eastAsia="MS PGothic" w:hAnsi="MS PGothic"/>
          <w:sz w:val="18"/>
          <w:szCs w:val="18"/>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06" w:lineRule="exact"/>
        <w:rPr>
          <w:rFonts w:ascii="MS PGothic" w:cs="MS PGothic" w:eastAsia="MS PGothic" w:hAnsi="MS PGothic"/>
          <w:sz w:val="18"/>
          <w:szCs w:val="18"/>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rFonts w:ascii="MS PGothic" w:cs="MS PGothic" w:eastAsia="MS PGothic" w:hAnsi="MS PGothic"/>
          <w:sz w:val="18"/>
          <w:szCs w:val="18"/>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460" w:hanging="414"/>
        <w:spacing w:after="0" w:line="235"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989" w:right="6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53" w:lineRule="exact"/>
        <w:rPr>
          <w:sz w:val="20"/>
          <w:szCs w:val="20"/>
          <w:color w:val="auto"/>
        </w:rPr>
      </w:pPr>
    </w:p>
    <w:p>
      <w:pPr>
        <w:ind w:firstLine="180"/>
        <w:spacing w:after="0" w:line="297" w:lineRule="auto"/>
        <w:rPr>
          <w:sz w:val="20"/>
          <w:szCs w:val="20"/>
          <w:color w:val="auto"/>
        </w:rPr>
      </w:pPr>
      <w:r>
        <w:rPr>
          <w:rFonts w:ascii="Arial" w:cs="Arial" w:eastAsia="Arial" w:hAnsi="Arial"/>
          <w:sz w:val="19"/>
          <w:szCs w:val="19"/>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74" w:lineRule="exact"/>
        <w:rPr>
          <w:sz w:val="20"/>
          <w:szCs w:val="20"/>
          <w:color w:val="auto"/>
        </w:rPr>
      </w:pPr>
    </w:p>
    <w:p>
      <w:pPr>
        <w:ind w:right="200" w:firstLine="180"/>
        <w:spacing w:after="0" w:line="253" w:lineRule="auto"/>
        <w:rPr>
          <w:sz w:val="20"/>
          <w:szCs w:val="20"/>
          <w:color w:val="auto"/>
        </w:rPr>
      </w:pPr>
      <w:r>
        <w:rPr>
          <w:rFonts w:ascii="Arial" w:cs="Arial" w:eastAsia="Arial" w:hAnsi="Arial"/>
          <w:sz w:val="22"/>
          <w:szCs w:val="22"/>
          <w:color w:val="auto"/>
        </w:rPr>
        <w:t>On August 4, 2021, Federal Realty Investment Trust issued supplemental data pertaining to its operations, as well as a press release, to report its financial results for the quarter ended June 30, 2021. The supplemental data and press release are furnished as Exhibit 99.1 hereto.</w:t>
      </w:r>
    </w:p>
    <w:p>
      <w:pPr>
        <w:spacing w:after="0" w:line="206"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53" w:lineRule="exact"/>
        <w:rPr>
          <w:sz w:val="20"/>
          <w:szCs w:val="20"/>
          <w:color w:val="auto"/>
        </w:rPr>
      </w:pPr>
    </w:p>
    <w:p>
      <w:pPr>
        <w:ind w:left="180"/>
        <w:spacing w:after="0"/>
        <w:tabs>
          <w:tab w:leader="none" w:pos="58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47" w:lineRule="exact"/>
        <w:rPr>
          <w:sz w:val="20"/>
          <w:szCs w:val="20"/>
          <w:color w:val="auto"/>
        </w:rPr>
      </w:pPr>
    </w:p>
    <w:p>
      <w:pPr>
        <w:ind w:left="180"/>
        <w:spacing w:after="0"/>
        <w:tabs>
          <w:tab w:leader="none" w:pos="78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June 30, 2021 (including press release dated August 4, 2021)</w:t>
      </w:r>
    </w:p>
    <w:p>
      <w:pPr>
        <w:spacing w:after="0" w:line="260"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19"/>
          <w:szCs w:val="19"/>
          <w:color w:val="auto"/>
        </w:rPr>
        <w:t>104</w:t>
        <w:tab/>
        <w:t>Cover Page Interactive Data File (the Cover Page Interactive Data File is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96" w:lineRule="exact"/>
        <w:rPr>
          <w:sz w:val="20"/>
          <w:szCs w:val="20"/>
          <w:color w:val="auto"/>
        </w:rPr>
      </w:pPr>
    </w:p>
    <w:p>
      <w:pPr>
        <w:ind w:right="140" w:firstLine="180"/>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FEDERAL REALTY INVESTMENT TRUST</w:t>
      </w:r>
    </w:p>
    <w:p>
      <w:pPr>
        <w:spacing w:after="0" w:line="293" w:lineRule="exact"/>
        <w:rPr>
          <w:sz w:val="20"/>
          <w:szCs w:val="20"/>
          <w:color w:val="auto"/>
        </w:rPr>
      </w:pPr>
    </w:p>
    <w:p>
      <w:pPr>
        <w:ind w:left="1040"/>
        <w:spacing w:after="0"/>
        <w:tabs>
          <w:tab w:leader="none" w:pos="1760" w:val="left"/>
          <w:tab w:leader="none" w:pos="4960" w:val="left"/>
        </w:tabs>
        <w:rPr>
          <w:sz w:val="20"/>
          <w:szCs w:val="20"/>
          <w:color w:val="auto"/>
        </w:rPr>
      </w:pPr>
      <w:r>
        <w:rPr>
          <w:rFonts w:ascii="Arial" w:cs="Arial" w:eastAsia="Arial" w:hAnsi="Arial"/>
          <w:sz w:val="22"/>
          <w:szCs w:val="22"/>
          <w:color w:val="auto"/>
        </w:rPr>
        <w:t>Date:</w:t>
        <w:tab/>
        <w:t>August 4, 2021</w:t>
      </w:r>
      <w:r>
        <w:rPr>
          <w:sz w:val="20"/>
          <w:szCs w:val="20"/>
          <w:color w:val="auto"/>
        </w:rPr>
        <w:tab/>
      </w:r>
      <w:r>
        <w:rPr>
          <w:rFonts w:ascii="Arial" w:cs="Arial" w:eastAsia="Arial" w:hAnsi="Arial"/>
          <w:sz w:val="19"/>
          <w:szCs w:val="19"/>
          <w:u w:val="single" w:color="auto"/>
          <w:color w:val="auto"/>
        </w:rPr>
        <w:t>/s/ Daniel Guglielmone</w:t>
      </w:r>
    </w:p>
    <w:p>
      <w:pPr>
        <w:spacing w:after="0" w:line="287"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Daniel Guglielmone</w:t>
      </w:r>
    </w:p>
    <w:p>
      <w:pPr>
        <w:spacing w:after="0" w:line="21"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Executive Vice President-</w:t>
      </w:r>
    </w:p>
    <w:p>
      <w:pPr>
        <w:spacing w:after="0" w:line="17"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1071880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4"/>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00" w:type="dxa"/>
            <w:vAlign w:val="bottom"/>
          </w:tcPr>
          <w:p>
            <w:pPr>
              <w:ind w:left="2900"/>
              <w:spacing w:after="0"/>
              <w:rPr>
                <w:sz w:val="20"/>
                <w:szCs w:val="20"/>
                <w:color w:val="auto"/>
              </w:rPr>
            </w:pPr>
            <w:r>
              <w:rPr>
                <w:rFonts w:ascii="Arial" w:cs="Arial" w:eastAsia="Arial" w:hAnsi="Arial"/>
                <w:sz w:val="22"/>
                <w:szCs w:val="22"/>
                <w:color w:val="auto"/>
              </w:rPr>
              <w:t>EXHIBIT INDEX</w:t>
            </w:r>
          </w:p>
        </w:tc>
      </w:tr>
      <w:tr>
        <w:trPr>
          <w:trHeight w:val="705"/>
        </w:trPr>
        <w:tc>
          <w:tcPr>
            <w:tcW w:w="20" w:type="dxa"/>
            <w:vAlign w:val="bottom"/>
          </w:tcPr>
          <w:p>
            <w:pPr>
              <w:spacing w:after="0"/>
              <w:rPr>
                <w:sz w:val="24"/>
                <w:szCs w:val="24"/>
                <w:color w:val="auto"/>
              </w:rPr>
            </w:pPr>
          </w:p>
        </w:tc>
        <w:tc>
          <w:tcPr>
            <w:tcW w:w="1900" w:type="dxa"/>
            <w:vAlign w:val="bottom"/>
            <w:gridSpan w:val="3"/>
          </w:tcPr>
          <w:p>
            <w:pPr>
              <w:ind w:left="240"/>
              <w:spacing w:after="0"/>
              <w:rPr>
                <w:sz w:val="20"/>
                <w:szCs w:val="20"/>
                <w:color w:val="auto"/>
              </w:rPr>
            </w:pPr>
            <w:r>
              <w:rPr>
                <w:rFonts w:ascii="Arial" w:cs="Arial" w:eastAsia="Arial" w:hAnsi="Arial"/>
                <w:sz w:val="18"/>
                <w:szCs w:val="18"/>
                <w:b w:val="1"/>
                <w:bCs w:val="1"/>
                <w:color w:val="auto"/>
              </w:rPr>
              <w:t>Exhibit Number</w:t>
            </w:r>
          </w:p>
        </w:tc>
        <w:tc>
          <w:tcPr>
            <w:tcW w:w="930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2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gridSpan w:val="2"/>
          </w:tcPr>
          <w:p>
            <w:pPr>
              <w:spacing w:after="0" w:line="182" w:lineRule="exact"/>
              <w:rPr>
                <w:rFonts w:ascii="Arial" w:cs="Arial" w:eastAsia="Arial" w:hAnsi="Arial"/>
                <w:sz w:val="18"/>
                <w:szCs w:val="18"/>
                <w:color w:val="0000FF"/>
              </w:rPr>
            </w:pPr>
            <w:hyperlink w:anchor="page4">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140" w:type="dxa"/>
            <w:vAlign w:val="bottom"/>
          </w:tcPr>
          <w:p>
            <w:pPr>
              <w:spacing w:after="0"/>
              <w:rPr>
                <w:sz w:val="15"/>
                <w:szCs w:val="15"/>
                <w:color w:val="auto"/>
              </w:rPr>
            </w:pPr>
          </w:p>
        </w:tc>
        <w:tc>
          <w:tcPr>
            <w:tcW w:w="93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Supplemental Information at June 30, 2021</w:t>
            </w:r>
          </w:p>
        </w:tc>
      </w:tr>
      <w:tr>
        <w:trPr>
          <w:trHeight w:val="304"/>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0"/>
                <w:szCs w:val="20"/>
                <w:color w:val="auto"/>
              </w:rPr>
            </w:pPr>
            <w:r>
              <w:rPr>
                <w:rFonts w:ascii="Arial" w:cs="Arial" w:eastAsia="Arial" w:hAnsi="Arial"/>
                <w:sz w:val="18"/>
                <w:szCs w:val="18"/>
                <w:color w:val="auto"/>
                <w:w w:val="99"/>
              </w:rPr>
              <w:t>104</w:t>
            </w: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300" w:type="dxa"/>
            <w:vAlign w:val="bottom"/>
          </w:tcPr>
          <w:p>
            <w:pPr>
              <w:spacing w:after="0"/>
              <w:rPr>
                <w:sz w:val="20"/>
                <w:szCs w:val="20"/>
                <w:color w:val="auto"/>
              </w:rPr>
            </w:pPr>
            <w:r>
              <w:rPr>
                <w:rFonts w:ascii="Arial" w:cs="Arial" w:eastAsia="Arial" w:hAnsi="Arial"/>
                <w:sz w:val="18"/>
                <w:szCs w:val="18"/>
                <w:color w:val="auto"/>
                <w:w w:val="98"/>
              </w:rPr>
              <w:t>Cover Page Interactive Data File (the Cover Page Interactive Data File is embedded within the Inline XBRL Document</w:t>
            </w:r>
          </w:p>
        </w:tc>
      </w:tr>
    </w:tbl>
    <w:p>
      <w:pPr>
        <w:sectPr>
          <w:pgSz w:w="11900" w:h="16838" w:orient="portrait"/>
          <w:cols w:equalWidth="0" w:num="1">
            <w:col w:w="11220"/>
          </w:cols>
          <w:pgMar w:left="320" w:top="901" w:right="35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SUPPLEMENTAL INFORMATION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June 30, 2021</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1</w:t>
            </w: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Second Quarter 2021 Earnings Press Release</w:t>
            </w:r>
          </w:p>
        </w:tc>
        <w:tc>
          <w:tcPr>
            <w:tcW w:w="1860" w:type="dxa"/>
            <w:vAlign w:val="bottom"/>
            <w:gridSpan w:val="4"/>
            <w:shd w:val="clear" w:color="auto" w:fill="CCEEFF"/>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216"/>
        </w:trPr>
        <w:tc>
          <w:tcPr>
            <w:tcW w:w="460" w:type="dxa"/>
            <w:vAlign w:val="bottom"/>
            <w:tcBorders>
              <w:top w:val="single" w:sz="8" w:color="CCEEFF"/>
            </w:tcBorders>
          </w:tcPr>
          <w:p>
            <w:pPr>
              <w:spacing w:after="0"/>
              <w:rPr>
                <w:sz w:val="18"/>
                <w:szCs w:val="18"/>
                <w:color w:val="auto"/>
              </w:rPr>
            </w:pPr>
          </w:p>
        </w:tc>
        <w:tc>
          <w:tcPr>
            <w:tcW w:w="69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29"/>
        </w:trPr>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2</w:t>
            </w: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Financial Highlights</w:t>
            </w: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460" w:type="dxa"/>
            <w:vAlign w:val="bottom"/>
          </w:tcPr>
          <w:p>
            <w:pPr>
              <w:spacing w:after="0"/>
              <w:rPr>
                <w:sz w:val="16"/>
                <w:szCs w:val="16"/>
                <w:color w:val="auto"/>
              </w:rPr>
            </w:pPr>
          </w:p>
        </w:tc>
        <w:tc>
          <w:tcPr>
            <w:tcW w:w="6980" w:type="dxa"/>
            <w:vAlign w:val="bottom"/>
          </w:tcPr>
          <w:p>
            <w:pPr>
              <w:ind w:left="1140"/>
              <w:spacing w:after="0" w:line="189" w:lineRule="exact"/>
              <w:rPr>
                <w:sz w:val="20"/>
                <w:szCs w:val="20"/>
                <w:color w:val="auto"/>
              </w:rPr>
            </w:pPr>
            <w:r>
              <w:rPr>
                <w:rFonts w:ascii="Arial" w:cs="Arial" w:eastAsia="Arial" w:hAnsi="Arial"/>
                <w:sz w:val="18"/>
                <w:szCs w:val="18"/>
                <w:color w:val="auto"/>
              </w:rPr>
              <w:t>Consolidated Income Statements</w:t>
            </w:r>
          </w:p>
        </w:tc>
        <w:tc>
          <w:tcPr>
            <w:tcW w:w="1860" w:type="dxa"/>
            <w:vAlign w:val="bottom"/>
            <w:gridSpan w:val="4"/>
          </w:tcPr>
          <w:p>
            <w:pPr>
              <w:jc w:val="right"/>
              <w:ind w:right="20"/>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21"/>
        </w:trPr>
        <w:tc>
          <w:tcPr>
            <w:tcW w:w="4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60" w:type="dxa"/>
            <w:vAlign w:val="bottom"/>
            <w:tcBorders>
              <w:bottom w:val="single" w:sz="8" w:color="CCEEFF"/>
            </w:tcBorders>
            <w:shd w:val="clear" w:color="auto" w:fill="CCEEFF"/>
          </w:tcPr>
          <w:p>
            <w:pPr>
              <w:spacing w:after="0"/>
              <w:rPr>
                <w:sz w:val="18"/>
                <w:szCs w:val="18"/>
                <w:color w:val="auto"/>
              </w:rPr>
            </w:pPr>
          </w:p>
        </w:tc>
        <w:tc>
          <w:tcPr>
            <w:tcW w:w="6980" w:type="dxa"/>
            <w:vAlign w:val="bottom"/>
            <w:tcBorders>
              <w:bottom w:val="single" w:sz="8" w:color="CCEEFF"/>
            </w:tcBorders>
            <w:shd w:val="clear" w:color="auto" w:fill="CCEEFF"/>
          </w:tcPr>
          <w:p>
            <w:pPr>
              <w:ind w:left="1140"/>
              <w:spacing w:after="0" w:line="189" w:lineRule="exact"/>
              <w:rPr>
                <w:sz w:val="20"/>
                <w:szCs w:val="20"/>
                <w:color w:val="auto"/>
              </w:rPr>
            </w:pPr>
            <w:r>
              <w:rPr>
                <w:rFonts w:ascii="Arial" w:cs="Arial" w:eastAsia="Arial" w:hAnsi="Arial"/>
                <w:sz w:val="18"/>
                <w:szCs w:val="18"/>
                <w:color w:val="auto"/>
              </w:rPr>
              <w:t>Consolidated Balance Sheets</w:t>
            </w:r>
          </w:p>
        </w:tc>
        <w:tc>
          <w:tcPr>
            <w:tcW w:w="17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10">
              <w:r>
                <w:rPr>
                  <w:rFonts w:ascii="Arial" w:cs="Arial" w:eastAsia="Arial" w:hAnsi="Arial"/>
                  <w:sz w:val="18"/>
                  <w:szCs w:val="18"/>
                  <w:color w:val="0000FF"/>
                  <w:w w:val="79"/>
                </w:rPr>
                <w:t>8</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460" w:type="dxa"/>
            <w:vAlign w:val="bottom"/>
          </w:tcPr>
          <w:p>
            <w:pPr>
              <w:spacing w:after="0"/>
              <w:rPr>
                <w:sz w:val="16"/>
                <w:szCs w:val="16"/>
                <w:color w:val="auto"/>
              </w:rPr>
            </w:pPr>
          </w:p>
        </w:tc>
        <w:tc>
          <w:tcPr>
            <w:tcW w:w="6980" w:type="dxa"/>
            <w:vAlign w:val="bottom"/>
          </w:tcPr>
          <w:p>
            <w:pPr>
              <w:ind w:left="1140"/>
              <w:spacing w:after="0" w:line="189" w:lineRule="exact"/>
              <w:rPr>
                <w:sz w:val="20"/>
                <w:szCs w:val="20"/>
                <w:color w:val="auto"/>
              </w:rPr>
            </w:pPr>
            <w:r>
              <w:rPr>
                <w:rFonts w:ascii="Arial" w:cs="Arial" w:eastAsia="Arial" w:hAnsi="Arial"/>
                <w:sz w:val="18"/>
                <w:szCs w:val="18"/>
                <w:color w:val="auto"/>
              </w:rPr>
              <w:t>Funds From Operations / Other Supplemental Information</w:t>
            </w:r>
          </w:p>
        </w:tc>
        <w:tc>
          <w:tcPr>
            <w:tcW w:w="1860" w:type="dxa"/>
            <w:vAlign w:val="bottom"/>
            <w:gridSpan w:val="4"/>
          </w:tcPr>
          <w:p>
            <w:pPr>
              <w:jc w:val="right"/>
              <w:ind w:right="20"/>
              <w:spacing w:after="0" w:line="189" w:lineRule="exact"/>
              <w:rPr>
                <w:rFonts w:ascii="Arial" w:cs="Arial" w:eastAsia="Arial" w:hAnsi="Arial"/>
                <w:sz w:val="18"/>
                <w:szCs w:val="18"/>
                <w:color w:val="0000FF"/>
              </w:rPr>
            </w:pPr>
            <w:hyperlink w:anchor="page11">
              <w:r>
                <w:rPr>
                  <w:rFonts w:ascii="Arial" w:cs="Arial" w:eastAsia="Arial" w:hAnsi="Arial"/>
                  <w:sz w:val="18"/>
                  <w:szCs w:val="18"/>
                  <w:color w:val="0000FF"/>
                </w:rPr>
                <w:t>9</w:t>
              </w:r>
            </w:hyperlink>
          </w:p>
        </w:tc>
      </w:tr>
      <w:tr>
        <w:trPr>
          <w:trHeight w:val="20"/>
        </w:trPr>
        <w:tc>
          <w:tcPr>
            <w:tcW w:w="4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60" w:type="dxa"/>
            <w:vAlign w:val="bottom"/>
            <w:shd w:val="clear" w:color="auto" w:fill="CCEEFF"/>
          </w:tcPr>
          <w:p>
            <w:pPr>
              <w:spacing w:after="0"/>
              <w:rPr>
                <w:sz w:val="18"/>
                <w:szCs w:val="18"/>
                <w:color w:val="auto"/>
              </w:rPr>
            </w:pPr>
          </w:p>
        </w:tc>
        <w:tc>
          <w:tcPr>
            <w:tcW w:w="6980" w:type="dxa"/>
            <w:vAlign w:val="bottom"/>
            <w:shd w:val="clear" w:color="auto" w:fill="CCEEFF"/>
          </w:tcPr>
          <w:p>
            <w:pPr>
              <w:ind w:left="1140"/>
              <w:spacing w:after="0" w:line="189" w:lineRule="exact"/>
              <w:rPr>
                <w:sz w:val="20"/>
                <w:szCs w:val="20"/>
                <w:color w:val="auto"/>
              </w:rPr>
            </w:pPr>
            <w:r>
              <w:rPr>
                <w:rFonts w:ascii="Arial" w:cs="Arial" w:eastAsia="Arial" w:hAnsi="Arial"/>
                <w:sz w:val="18"/>
                <w:szCs w:val="18"/>
                <w:color w:val="auto"/>
              </w:rPr>
              <w:t>COVID-19 Collectibility Related Impacts</w:t>
            </w:r>
          </w:p>
        </w:tc>
        <w:tc>
          <w:tcPr>
            <w:tcW w:w="18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12">
              <w:r>
                <w:rPr>
                  <w:rFonts w:ascii="Arial" w:cs="Arial" w:eastAsia="Arial" w:hAnsi="Arial"/>
                  <w:sz w:val="18"/>
                  <w:szCs w:val="18"/>
                  <w:color w:val="0000FF"/>
                </w:rPr>
                <w:t>10</w:t>
              </w:r>
            </w:hyperlink>
          </w:p>
        </w:tc>
        <w:tc>
          <w:tcPr>
            <w:tcW w:w="20" w:type="dxa"/>
            <w:vAlign w:val="bottom"/>
            <w:shd w:val="clear" w:color="auto" w:fill="CCEEFF"/>
          </w:tcPr>
          <w:p>
            <w:pPr>
              <w:spacing w:after="0"/>
              <w:rPr>
                <w:sz w:val="18"/>
                <w:szCs w:val="18"/>
                <w:color w:val="auto"/>
              </w:rPr>
            </w:pPr>
          </w:p>
        </w:tc>
      </w:tr>
      <w:tr>
        <w:trPr>
          <w:trHeight w:val="189"/>
        </w:trPr>
        <w:tc>
          <w:tcPr>
            <w:tcW w:w="460" w:type="dxa"/>
            <w:vAlign w:val="bottom"/>
            <w:tcBorders>
              <w:top w:val="single" w:sz="8" w:color="CCEEFF"/>
            </w:tcBorders>
          </w:tcPr>
          <w:p>
            <w:pPr>
              <w:spacing w:after="0"/>
              <w:rPr>
                <w:sz w:val="16"/>
                <w:szCs w:val="16"/>
                <w:color w:val="auto"/>
              </w:rPr>
            </w:pPr>
          </w:p>
        </w:tc>
        <w:tc>
          <w:tcPr>
            <w:tcW w:w="6980" w:type="dxa"/>
            <w:vAlign w:val="bottom"/>
            <w:tcBorders>
              <w:top w:val="single" w:sz="8" w:color="CCEEFF"/>
            </w:tcBorders>
          </w:tcPr>
          <w:p>
            <w:pPr>
              <w:ind w:left="1140"/>
              <w:spacing w:after="0" w:line="189" w:lineRule="exact"/>
              <w:rPr>
                <w:sz w:val="20"/>
                <w:szCs w:val="20"/>
                <w:color w:val="auto"/>
              </w:rPr>
            </w:pPr>
            <w:r>
              <w:rPr>
                <w:rFonts w:ascii="Arial" w:cs="Arial" w:eastAsia="Arial" w:hAnsi="Arial"/>
                <w:sz w:val="18"/>
                <w:szCs w:val="18"/>
                <w:color w:val="auto"/>
              </w:rPr>
              <w:t>Components of Rental Income</w:t>
            </w:r>
          </w:p>
        </w:tc>
        <w:tc>
          <w:tcPr>
            <w:tcW w:w="1660" w:type="dxa"/>
            <w:vAlign w:val="bottom"/>
            <w:tcBorders>
              <w:top w:val="single" w:sz="8" w:color="CCEEFF"/>
            </w:tcBorders>
          </w:tcPr>
          <w:p>
            <w:pPr>
              <w:spacing w:after="0"/>
              <w:rPr>
                <w:sz w:val="16"/>
                <w:szCs w:val="16"/>
                <w:color w:val="auto"/>
              </w:rPr>
            </w:pPr>
          </w:p>
        </w:tc>
        <w:tc>
          <w:tcPr>
            <w:tcW w:w="180" w:type="dxa"/>
            <w:vAlign w:val="bottom"/>
            <w:tcBorders>
              <w:top w:val="single" w:sz="8" w:color="0000FF"/>
              <w:bottom w:val="single" w:sz="8" w:color="0000FF"/>
            </w:tcBorders>
            <w:gridSpan w:val="2"/>
          </w:tcPr>
          <w:p>
            <w:pPr>
              <w:jc w:val="right"/>
              <w:spacing w:after="0" w:line="189" w:lineRule="exact"/>
              <w:rPr>
                <w:rFonts w:ascii="Arial" w:cs="Arial" w:eastAsia="Arial" w:hAnsi="Arial"/>
                <w:sz w:val="18"/>
                <w:szCs w:val="18"/>
                <w:color w:val="0000FF"/>
                <w:w w:val="79"/>
              </w:rPr>
            </w:pPr>
            <w:hyperlink w:anchor="page13">
              <w:r>
                <w:rPr>
                  <w:rFonts w:ascii="Arial" w:cs="Arial" w:eastAsia="Arial" w:hAnsi="Arial"/>
                  <w:sz w:val="18"/>
                  <w:szCs w:val="18"/>
                  <w:color w:val="0000FF"/>
                  <w:w w:val="79"/>
                </w:rPr>
                <w:t>11</w:t>
              </w:r>
            </w:hyperlink>
          </w:p>
        </w:tc>
        <w:tc>
          <w:tcPr>
            <w:tcW w:w="20" w:type="dxa"/>
            <w:vAlign w:val="bottom"/>
            <w:tcBorders>
              <w:top w:val="single" w:sz="8" w:color="CCEEFF"/>
            </w:tcBorders>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60" w:type="dxa"/>
            <w:vAlign w:val="bottom"/>
            <w:shd w:val="clear" w:color="auto" w:fill="CCEEFF"/>
          </w:tcPr>
          <w:p>
            <w:pPr>
              <w:spacing w:after="0"/>
              <w:rPr>
                <w:sz w:val="16"/>
                <w:szCs w:val="16"/>
                <w:color w:val="auto"/>
              </w:rPr>
            </w:pPr>
          </w:p>
        </w:tc>
        <w:tc>
          <w:tcPr>
            <w:tcW w:w="6980" w:type="dxa"/>
            <w:vAlign w:val="bottom"/>
            <w:shd w:val="clear" w:color="auto" w:fill="CCEEFF"/>
          </w:tcPr>
          <w:p>
            <w:pPr>
              <w:ind w:left="1140"/>
              <w:spacing w:after="0" w:line="189" w:lineRule="exact"/>
              <w:rPr>
                <w:sz w:val="20"/>
                <w:szCs w:val="20"/>
                <w:color w:val="auto"/>
              </w:rPr>
            </w:pPr>
            <w:r>
              <w:rPr>
                <w:rFonts w:ascii="Arial" w:cs="Arial" w:eastAsia="Arial" w:hAnsi="Arial"/>
                <w:sz w:val="18"/>
                <w:szCs w:val="18"/>
                <w:color w:val="auto"/>
              </w:rPr>
              <w:t>Comparable Property Information</w:t>
            </w:r>
          </w:p>
        </w:tc>
        <w:tc>
          <w:tcPr>
            <w:tcW w:w="18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14">
              <w:r>
                <w:rPr>
                  <w:rFonts w:ascii="Arial" w:cs="Arial" w:eastAsia="Arial" w:hAnsi="Arial"/>
                  <w:sz w:val="18"/>
                  <w:szCs w:val="18"/>
                  <w:color w:val="0000FF"/>
                </w:rPr>
                <w:t>12</w:t>
              </w:r>
            </w:hyperlink>
          </w:p>
        </w:tc>
        <w:tc>
          <w:tcPr>
            <w:tcW w:w="20" w:type="dxa"/>
            <w:vAlign w:val="bottom"/>
            <w:shd w:val="clear" w:color="auto" w:fill="CCEEFF"/>
          </w:tcPr>
          <w:p>
            <w:pPr>
              <w:spacing w:after="0"/>
              <w:rPr>
                <w:sz w:val="16"/>
                <w:szCs w:val="16"/>
                <w:color w:val="auto"/>
              </w:rPr>
            </w:pP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69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460" w:type="dxa"/>
            <w:vAlign w:val="bottom"/>
          </w:tcPr>
          <w:p>
            <w:pPr>
              <w:spacing w:after="0"/>
              <w:rPr>
                <w:sz w:val="16"/>
                <w:szCs w:val="16"/>
                <w:color w:val="auto"/>
              </w:rPr>
            </w:pPr>
          </w:p>
        </w:tc>
        <w:tc>
          <w:tcPr>
            <w:tcW w:w="6980" w:type="dxa"/>
            <w:vAlign w:val="bottom"/>
          </w:tcPr>
          <w:p>
            <w:pPr>
              <w:ind w:left="1140"/>
              <w:spacing w:after="0" w:line="189" w:lineRule="exact"/>
              <w:rPr>
                <w:sz w:val="20"/>
                <w:szCs w:val="20"/>
                <w:color w:val="auto"/>
              </w:rPr>
            </w:pPr>
            <w:r>
              <w:rPr>
                <w:rFonts w:ascii="Arial" w:cs="Arial" w:eastAsia="Arial" w:hAnsi="Arial"/>
                <w:sz w:val="18"/>
                <w:szCs w:val="18"/>
                <w:color w:val="auto"/>
              </w:rPr>
              <w:t>Market Data</w:t>
            </w:r>
          </w:p>
        </w:tc>
        <w:tc>
          <w:tcPr>
            <w:tcW w:w="1840" w:type="dxa"/>
            <w:vAlign w:val="bottom"/>
            <w:gridSpan w:val="3"/>
          </w:tcPr>
          <w:p>
            <w:pPr>
              <w:jc w:val="right"/>
              <w:spacing w:after="0" w:line="189" w:lineRule="exact"/>
              <w:rPr>
                <w:rFonts w:ascii="Arial" w:cs="Arial" w:eastAsia="Arial" w:hAnsi="Arial"/>
                <w:sz w:val="18"/>
                <w:szCs w:val="18"/>
                <w:color w:val="0000FF"/>
              </w:rPr>
            </w:pPr>
            <w:hyperlink w:anchor="page15">
              <w:r>
                <w:rPr>
                  <w:rFonts w:ascii="Arial" w:cs="Arial" w:eastAsia="Arial" w:hAnsi="Arial"/>
                  <w:sz w:val="18"/>
                  <w:szCs w:val="18"/>
                  <w:color w:val="0000FF"/>
                </w:rPr>
                <w:t>13</w:t>
              </w:r>
            </w:hyperlink>
          </w:p>
        </w:tc>
        <w:tc>
          <w:tcPr>
            <w:tcW w:w="20" w:type="dxa"/>
            <w:vAlign w:val="bottom"/>
          </w:tcPr>
          <w:p>
            <w:pPr>
              <w:spacing w:after="0"/>
              <w:rPr>
                <w:sz w:val="16"/>
                <w:szCs w:val="16"/>
                <w:color w:val="auto"/>
              </w:rPr>
            </w:pPr>
          </w:p>
        </w:tc>
      </w:tr>
      <w:tr>
        <w:trPr>
          <w:trHeight w:val="21"/>
        </w:trPr>
        <w:tc>
          <w:tcPr>
            <w:tcW w:w="4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bl>
    <w:p>
      <w:pPr>
        <w:ind w:left="800" w:hanging="789"/>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shd w:val="clear" w:color="auto" w:fill="CCEEFF"/>
          </w:tcPr>
          <w:p>
            <w:pPr>
              <w:spacing w:after="0"/>
              <w:rPr>
                <w:sz w:val="17"/>
                <w:szCs w:val="17"/>
                <w:color w:val="auto"/>
              </w:rPr>
            </w:pPr>
          </w:p>
        </w:tc>
        <w:tc>
          <w:tcPr>
            <w:tcW w:w="708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Summary of Outstanding Debt</w:t>
            </w:r>
          </w:p>
        </w:tc>
        <w:tc>
          <w:tcPr>
            <w:tcW w:w="1700" w:type="dxa"/>
            <w:vAlign w:val="bottom"/>
            <w:gridSpan w:val="2"/>
            <w:shd w:val="clear" w:color="auto" w:fill="CCEEFF"/>
          </w:tcPr>
          <w:p>
            <w:pPr>
              <w:jc w:val="right"/>
              <w:spacing w:after="0"/>
              <w:rPr>
                <w:rFonts w:ascii="Arial" w:cs="Arial" w:eastAsia="Arial" w:hAnsi="Arial"/>
                <w:sz w:val="18"/>
                <w:szCs w:val="18"/>
                <w:color w:val="0000FF"/>
              </w:rPr>
            </w:pPr>
            <w:hyperlink w:anchor="page16">
              <w:r>
                <w:rPr>
                  <w:rFonts w:ascii="Arial" w:cs="Arial" w:eastAsia="Arial" w:hAnsi="Arial"/>
                  <w:sz w:val="18"/>
                  <w:szCs w:val="18"/>
                  <w:color w:val="0000FF"/>
                </w:rPr>
                <w:t>14</w:t>
              </w:r>
            </w:hyperlink>
          </w:p>
        </w:tc>
        <w:tc>
          <w:tcPr>
            <w:tcW w:w="20" w:type="dxa"/>
            <w:vAlign w:val="bottom"/>
            <w:shd w:val="clear" w:color="auto" w:fill="CCEEFF"/>
          </w:tcPr>
          <w:p>
            <w:pPr>
              <w:spacing w:after="0"/>
              <w:rPr>
                <w:sz w:val="17"/>
                <w:szCs w:val="17"/>
                <w:color w:val="auto"/>
              </w:rPr>
            </w:pP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70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7080" w:type="dxa"/>
            <w:vAlign w:val="bottom"/>
          </w:tcPr>
          <w:p>
            <w:pPr>
              <w:ind w:left="1100"/>
              <w:spacing w:after="0" w:line="189" w:lineRule="exact"/>
              <w:rPr>
                <w:sz w:val="20"/>
                <w:szCs w:val="20"/>
                <w:color w:val="auto"/>
              </w:rPr>
            </w:pPr>
            <w:r>
              <w:rPr>
                <w:rFonts w:ascii="Arial" w:cs="Arial" w:eastAsia="Arial" w:hAnsi="Arial"/>
                <w:sz w:val="18"/>
                <w:szCs w:val="18"/>
                <w:color w:val="auto"/>
              </w:rPr>
              <w:t>Summary of Debt Maturities</w:t>
            </w:r>
          </w:p>
        </w:tc>
        <w:tc>
          <w:tcPr>
            <w:tcW w:w="1700" w:type="dxa"/>
            <w:vAlign w:val="bottom"/>
            <w:gridSpan w:val="2"/>
          </w:tcPr>
          <w:p>
            <w:pPr>
              <w:jc w:val="right"/>
              <w:spacing w:after="0" w:line="189" w:lineRule="exact"/>
              <w:rPr>
                <w:rFonts w:ascii="Arial" w:cs="Arial" w:eastAsia="Arial" w:hAnsi="Arial"/>
                <w:sz w:val="18"/>
                <w:szCs w:val="18"/>
                <w:color w:val="0000FF"/>
              </w:rPr>
            </w:pPr>
            <w:hyperlink w:anchor="page18">
              <w:r>
                <w:rPr>
                  <w:rFonts w:ascii="Arial" w:cs="Arial" w:eastAsia="Arial" w:hAnsi="Arial"/>
                  <w:sz w:val="18"/>
                  <w:szCs w:val="18"/>
                  <w:color w:val="0000FF"/>
                </w:rPr>
                <w:t>16</w:t>
              </w:r>
            </w:hyperlink>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rPr>
              <w:t>4</w:t>
            </w:r>
          </w:p>
        </w:tc>
        <w:tc>
          <w:tcPr>
            <w:tcW w:w="7080" w:type="dxa"/>
            <w:vAlign w:val="bottom"/>
          </w:tcPr>
          <w:p>
            <w:pPr>
              <w:ind w:left="300"/>
              <w:spacing w:after="0" w:line="189" w:lineRule="exact"/>
              <w:rPr>
                <w:sz w:val="20"/>
                <w:szCs w:val="20"/>
                <w:color w:val="auto"/>
              </w:rPr>
            </w:pPr>
            <w:r>
              <w:rPr>
                <w:rFonts w:ascii="Arial" w:cs="Arial" w:eastAsia="Arial" w:hAnsi="Arial"/>
                <w:sz w:val="18"/>
                <w:szCs w:val="18"/>
                <w:color w:val="auto"/>
              </w:rPr>
              <w:t>Summary of Redevelopment Opportunities</w:t>
            </w:r>
          </w:p>
        </w:tc>
        <w:tc>
          <w:tcPr>
            <w:tcW w:w="1700" w:type="dxa"/>
            <w:vAlign w:val="bottom"/>
            <w:gridSpan w:val="2"/>
          </w:tcPr>
          <w:p>
            <w:pPr>
              <w:jc w:val="right"/>
              <w:spacing w:after="0" w:line="189" w:lineRule="exact"/>
              <w:rPr>
                <w:rFonts w:ascii="Arial" w:cs="Arial" w:eastAsia="Arial" w:hAnsi="Arial"/>
                <w:sz w:val="18"/>
                <w:szCs w:val="18"/>
                <w:color w:val="0000FF"/>
              </w:rPr>
            </w:pPr>
            <w:hyperlink w:anchor="page19">
              <w:r>
                <w:rPr>
                  <w:rFonts w:ascii="Arial" w:cs="Arial" w:eastAsia="Arial" w:hAnsi="Arial"/>
                  <w:sz w:val="18"/>
                  <w:szCs w:val="18"/>
                  <w:color w:val="0000FF"/>
                </w:rPr>
                <w:t>17</w:t>
              </w:r>
            </w:hyperlink>
          </w:p>
        </w:tc>
        <w:tc>
          <w:tcPr>
            <w:tcW w:w="20" w:type="dxa"/>
            <w:vAlign w:val="bottom"/>
          </w:tcPr>
          <w:p>
            <w:pPr>
              <w:spacing w:after="0"/>
              <w:rPr>
                <w:sz w:val="16"/>
                <w:szCs w:val="16"/>
                <w:color w:val="auto"/>
              </w:rPr>
            </w:pPr>
          </w:p>
        </w:tc>
      </w:tr>
      <w:tr>
        <w:trPr>
          <w:trHeight w:val="21"/>
        </w:trPr>
        <w:tc>
          <w:tcPr>
            <w:tcW w:w="5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rPr>
              <w:t>5</w:t>
            </w:r>
          </w:p>
        </w:tc>
        <w:tc>
          <w:tcPr>
            <w:tcW w:w="7080" w:type="dxa"/>
            <w:vAlign w:val="bottom"/>
          </w:tcPr>
          <w:p>
            <w:pPr>
              <w:ind w:left="300"/>
              <w:spacing w:after="0" w:line="189" w:lineRule="exact"/>
              <w:rPr>
                <w:sz w:val="20"/>
                <w:szCs w:val="20"/>
                <w:color w:val="auto"/>
              </w:rPr>
            </w:pPr>
            <w:r>
              <w:rPr>
                <w:rFonts w:ascii="Arial" w:cs="Arial" w:eastAsia="Arial" w:hAnsi="Arial"/>
                <w:sz w:val="18"/>
                <w:szCs w:val="18"/>
                <w:color w:val="auto"/>
              </w:rPr>
              <w:t>Assembly Row, Pike &amp; Rose, and Santana Row</w:t>
            </w:r>
          </w:p>
        </w:tc>
        <w:tc>
          <w:tcPr>
            <w:tcW w:w="1700" w:type="dxa"/>
            <w:vAlign w:val="bottom"/>
            <w:gridSpan w:val="2"/>
          </w:tcPr>
          <w:p>
            <w:pPr>
              <w:jc w:val="right"/>
              <w:spacing w:after="0" w:line="189" w:lineRule="exact"/>
              <w:rPr>
                <w:rFonts w:ascii="Arial" w:cs="Arial" w:eastAsia="Arial" w:hAnsi="Arial"/>
                <w:sz w:val="18"/>
                <w:szCs w:val="18"/>
                <w:color w:val="0000FF"/>
              </w:rPr>
            </w:pPr>
            <w:hyperlink w:anchor="page20">
              <w:r>
                <w:rPr>
                  <w:rFonts w:ascii="Arial" w:cs="Arial" w:eastAsia="Arial" w:hAnsi="Arial"/>
                  <w:sz w:val="18"/>
                  <w:szCs w:val="18"/>
                  <w:color w:val="0000FF"/>
                </w:rPr>
                <w:t>18</w:t>
              </w:r>
            </w:hyperlink>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500" w:type="dxa"/>
            <w:vAlign w:val="bottom"/>
            <w:shd w:val="clear" w:color="auto" w:fill="CCEEFF"/>
          </w:tcPr>
          <w:p>
            <w:pPr>
              <w:spacing w:after="0"/>
              <w:rPr>
                <w:sz w:val="23"/>
                <w:szCs w:val="23"/>
                <w:color w:val="auto"/>
              </w:rPr>
            </w:pPr>
          </w:p>
        </w:tc>
        <w:tc>
          <w:tcPr>
            <w:tcW w:w="70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rPr>
              <w:t>6</w:t>
            </w:r>
          </w:p>
        </w:tc>
        <w:tc>
          <w:tcPr>
            <w:tcW w:w="7080" w:type="dxa"/>
            <w:vAlign w:val="bottom"/>
          </w:tcPr>
          <w:p>
            <w:pPr>
              <w:ind w:left="300"/>
              <w:spacing w:after="0" w:line="189" w:lineRule="exact"/>
              <w:rPr>
                <w:sz w:val="20"/>
                <w:szCs w:val="20"/>
                <w:color w:val="auto"/>
              </w:rPr>
            </w:pPr>
            <w:r>
              <w:rPr>
                <w:rFonts w:ascii="Arial" w:cs="Arial" w:eastAsia="Arial" w:hAnsi="Arial"/>
                <w:sz w:val="18"/>
                <w:szCs w:val="18"/>
                <w:color w:val="auto"/>
              </w:rPr>
              <w:t>Future Redevelopment Opportunities</w:t>
            </w:r>
          </w:p>
        </w:tc>
        <w:tc>
          <w:tcPr>
            <w:tcW w:w="1700" w:type="dxa"/>
            <w:vAlign w:val="bottom"/>
            <w:gridSpan w:val="2"/>
          </w:tcPr>
          <w:p>
            <w:pPr>
              <w:jc w:val="right"/>
              <w:spacing w:after="0" w:line="189" w:lineRule="exact"/>
              <w:rPr>
                <w:rFonts w:ascii="Arial" w:cs="Arial" w:eastAsia="Arial" w:hAnsi="Arial"/>
                <w:sz w:val="18"/>
                <w:szCs w:val="18"/>
                <w:color w:val="0000FF"/>
              </w:rPr>
            </w:pPr>
            <w:hyperlink w:anchor="page21">
              <w:r>
                <w:rPr>
                  <w:rFonts w:ascii="Arial" w:cs="Arial" w:eastAsia="Arial" w:hAnsi="Arial"/>
                  <w:sz w:val="18"/>
                  <w:szCs w:val="18"/>
                  <w:color w:val="0000FF"/>
                </w:rPr>
                <w:t>19</w:t>
              </w:r>
            </w:hyperlink>
          </w:p>
        </w:tc>
        <w:tc>
          <w:tcPr>
            <w:tcW w:w="20" w:type="dxa"/>
            <w:vAlign w:val="bottom"/>
          </w:tcPr>
          <w:p>
            <w:pPr>
              <w:spacing w:after="0"/>
              <w:rPr>
                <w:sz w:val="16"/>
                <w:szCs w:val="16"/>
                <w:color w:val="auto"/>
              </w:rPr>
            </w:pPr>
          </w:p>
        </w:tc>
      </w:tr>
      <w:tr>
        <w:trPr>
          <w:trHeight w:val="21"/>
        </w:trPr>
        <w:tc>
          <w:tcPr>
            <w:tcW w:w="5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rPr>
              <w:t>7</w:t>
            </w:r>
          </w:p>
        </w:tc>
        <w:tc>
          <w:tcPr>
            <w:tcW w:w="7080" w:type="dxa"/>
            <w:vAlign w:val="bottom"/>
          </w:tcPr>
          <w:p>
            <w:pPr>
              <w:ind w:left="300"/>
              <w:spacing w:after="0" w:line="189" w:lineRule="exact"/>
              <w:rPr>
                <w:sz w:val="20"/>
                <w:szCs w:val="20"/>
                <w:color w:val="auto"/>
              </w:rPr>
            </w:pPr>
            <w:r>
              <w:rPr>
                <w:rFonts w:ascii="Arial" w:cs="Arial" w:eastAsia="Arial" w:hAnsi="Arial"/>
                <w:sz w:val="18"/>
                <w:szCs w:val="18"/>
                <w:color w:val="auto"/>
              </w:rPr>
              <w:t>Property Acquisitions, Disposition, and Other Transactions</w:t>
            </w:r>
          </w:p>
        </w:tc>
        <w:tc>
          <w:tcPr>
            <w:tcW w:w="1700" w:type="dxa"/>
            <w:vAlign w:val="bottom"/>
            <w:gridSpan w:val="2"/>
          </w:tcPr>
          <w:p>
            <w:pPr>
              <w:jc w:val="right"/>
              <w:spacing w:after="0" w:line="189" w:lineRule="exact"/>
              <w:rPr>
                <w:rFonts w:ascii="Arial" w:cs="Arial" w:eastAsia="Arial" w:hAnsi="Arial"/>
                <w:sz w:val="18"/>
                <w:szCs w:val="18"/>
                <w:color w:val="0000FF"/>
              </w:rPr>
            </w:pPr>
            <w:hyperlink w:anchor="page22">
              <w:r>
                <w:rPr>
                  <w:rFonts w:ascii="Arial" w:cs="Arial" w:eastAsia="Arial" w:hAnsi="Arial"/>
                  <w:sz w:val="18"/>
                  <w:szCs w:val="18"/>
                  <w:color w:val="0000FF"/>
                </w:rPr>
                <w:t>20</w:t>
              </w:r>
            </w:hyperlink>
          </w:p>
        </w:tc>
        <w:tc>
          <w:tcPr>
            <w:tcW w:w="20" w:type="dxa"/>
            <w:vAlign w:val="bottom"/>
          </w:tcPr>
          <w:p>
            <w:pPr>
              <w:spacing w:after="0"/>
              <w:rPr>
                <w:sz w:val="16"/>
                <w:szCs w:val="16"/>
                <w:color w:val="auto"/>
              </w:rPr>
            </w:pPr>
          </w:p>
        </w:tc>
      </w:tr>
      <w:tr>
        <w:trPr>
          <w:trHeight w:val="21"/>
        </w:trPr>
        <w:tc>
          <w:tcPr>
            <w:tcW w:w="5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rPr>
              <w:t>8</w:t>
            </w:r>
          </w:p>
        </w:tc>
        <w:tc>
          <w:tcPr>
            <w:tcW w:w="7080" w:type="dxa"/>
            <w:vAlign w:val="bottom"/>
          </w:tcPr>
          <w:p>
            <w:pPr>
              <w:ind w:left="300"/>
              <w:spacing w:after="0" w:line="189" w:lineRule="exact"/>
              <w:rPr>
                <w:sz w:val="20"/>
                <w:szCs w:val="20"/>
                <w:color w:val="auto"/>
              </w:rPr>
            </w:pPr>
            <w:r>
              <w:rPr>
                <w:rFonts w:ascii="Arial" w:cs="Arial" w:eastAsia="Arial" w:hAnsi="Arial"/>
                <w:sz w:val="18"/>
                <w:szCs w:val="18"/>
                <w:color w:val="auto"/>
              </w:rPr>
              <w:t>Real Estate Status Report</w:t>
            </w:r>
          </w:p>
        </w:tc>
        <w:tc>
          <w:tcPr>
            <w:tcW w:w="1700" w:type="dxa"/>
            <w:vAlign w:val="bottom"/>
            <w:gridSpan w:val="2"/>
          </w:tcPr>
          <w:p>
            <w:pPr>
              <w:jc w:val="right"/>
              <w:spacing w:after="0" w:line="189" w:lineRule="exact"/>
              <w:rPr>
                <w:rFonts w:ascii="Arial" w:cs="Arial" w:eastAsia="Arial" w:hAnsi="Arial"/>
                <w:sz w:val="18"/>
                <w:szCs w:val="18"/>
                <w:color w:val="0000FF"/>
              </w:rPr>
            </w:pPr>
            <w:hyperlink w:anchor="page23">
              <w:r>
                <w:rPr>
                  <w:rFonts w:ascii="Arial" w:cs="Arial" w:eastAsia="Arial" w:hAnsi="Arial"/>
                  <w:sz w:val="18"/>
                  <w:szCs w:val="18"/>
                  <w:color w:val="0000FF"/>
                </w:rPr>
                <w:t>21</w:t>
              </w:r>
            </w:hyperlink>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rPr>
              <w:t>9</w:t>
            </w:r>
          </w:p>
        </w:tc>
        <w:tc>
          <w:tcPr>
            <w:tcW w:w="7080" w:type="dxa"/>
            <w:vAlign w:val="bottom"/>
          </w:tcPr>
          <w:p>
            <w:pPr>
              <w:ind w:left="300"/>
              <w:spacing w:after="0" w:line="189" w:lineRule="exact"/>
              <w:rPr>
                <w:sz w:val="20"/>
                <w:szCs w:val="20"/>
                <w:color w:val="auto"/>
              </w:rPr>
            </w:pPr>
            <w:r>
              <w:rPr>
                <w:rFonts w:ascii="Arial" w:cs="Arial" w:eastAsia="Arial" w:hAnsi="Arial"/>
                <w:sz w:val="18"/>
                <w:szCs w:val="18"/>
                <w:color w:val="auto"/>
              </w:rPr>
              <w:t>Retail Leasing Summary</w:t>
            </w:r>
          </w:p>
        </w:tc>
        <w:tc>
          <w:tcPr>
            <w:tcW w:w="1700" w:type="dxa"/>
            <w:vAlign w:val="bottom"/>
            <w:gridSpan w:val="2"/>
          </w:tcPr>
          <w:p>
            <w:pPr>
              <w:jc w:val="right"/>
              <w:spacing w:after="0" w:line="189" w:lineRule="exact"/>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rPr>
              <w:t>10</w:t>
            </w:r>
          </w:p>
        </w:tc>
        <w:tc>
          <w:tcPr>
            <w:tcW w:w="7080" w:type="dxa"/>
            <w:vAlign w:val="bottom"/>
          </w:tcPr>
          <w:p>
            <w:pPr>
              <w:ind w:left="300"/>
              <w:spacing w:after="0" w:line="189" w:lineRule="exact"/>
              <w:rPr>
                <w:sz w:val="20"/>
                <w:szCs w:val="20"/>
                <w:color w:val="auto"/>
              </w:rPr>
            </w:pPr>
            <w:r>
              <w:rPr>
                <w:rFonts w:ascii="Arial" w:cs="Arial" w:eastAsia="Arial" w:hAnsi="Arial"/>
                <w:sz w:val="18"/>
                <w:szCs w:val="18"/>
                <w:color w:val="auto"/>
              </w:rPr>
              <w:t>Lease Expirations</w:t>
            </w:r>
          </w:p>
        </w:tc>
        <w:tc>
          <w:tcPr>
            <w:tcW w:w="1700" w:type="dxa"/>
            <w:vAlign w:val="bottom"/>
            <w:gridSpan w:val="2"/>
          </w:tcPr>
          <w:p>
            <w:pPr>
              <w:jc w:val="right"/>
              <w:spacing w:after="0" w:line="189" w:lineRule="exact"/>
              <w:rPr>
                <w:rFonts w:ascii="Arial" w:cs="Arial" w:eastAsia="Arial" w:hAnsi="Arial"/>
                <w:sz w:val="18"/>
                <w:szCs w:val="18"/>
                <w:color w:val="0000FF"/>
              </w:rPr>
            </w:pPr>
            <w:hyperlink w:anchor="page28">
              <w:r>
                <w:rPr>
                  <w:rFonts w:ascii="Arial" w:cs="Arial" w:eastAsia="Arial" w:hAnsi="Arial"/>
                  <w:sz w:val="18"/>
                  <w:szCs w:val="18"/>
                  <w:color w:val="0000FF"/>
                </w:rPr>
                <w:t>26</w:t>
              </w:r>
            </w:hyperlink>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rPr>
              <w:t>11</w:t>
            </w:r>
          </w:p>
        </w:tc>
        <w:tc>
          <w:tcPr>
            <w:tcW w:w="7080" w:type="dxa"/>
            <w:vAlign w:val="bottom"/>
          </w:tcPr>
          <w:p>
            <w:pPr>
              <w:ind w:left="300"/>
              <w:spacing w:after="0" w:line="189" w:lineRule="exact"/>
              <w:rPr>
                <w:sz w:val="20"/>
                <w:szCs w:val="20"/>
                <w:color w:val="auto"/>
              </w:rPr>
            </w:pPr>
            <w:r>
              <w:rPr>
                <w:rFonts w:ascii="Arial" w:cs="Arial" w:eastAsia="Arial" w:hAnsi="Arial"/>
                <w:sz w:val="18"/>
                <w:szCs w:val="18"/>
                <w:color w:val="auto"/>
              </w:rPr>
              <w:t>Portfolio Leased Statistics</w:t>
            </w:r>
          </w:p>
        </w:tc>
        <w:tc>
          <w:tcPr>
            <w:tcW w:w="1700" w:type="dxa"/>
            <w:vAlign w:val="bottom"/>
            <w:gridSpan w:val="2"/>
          </w:tcPr>
          <w:p>
            <w:pPr>
              <w:jc w:val="right"/>
              <w:spacing w:after="0" w:line="189" w:lineRule="exact"/>
              <w:rPr>
                <w:rFonts w:ascii="Arial" w:cs="Arial" w:eastAsia="Arial" w:hAnsi="Arial"/>
                <w:sz w:val="18"/>
                <w:szCs w:val="18"/>
                <w:color w:val="0000FF"/>
              </w:rPr>
            </w:pPr>
            <w:hyperlink w:anchor="page29">
              <w:r>
                <w:rPr>
                  <w:rFonts w:ascii="Arial" w:cs="Arial" w:eastAsia="Arial" w:hAnsi="Arial"/>
                  <w:sz w:val="18"/>
                  <w:szCs w:val="18"/>
                  <w:color w:val="0000FF"/>
                </w:rPr>
                <w:t>27</w:t>
              </w:r>
            </w:hyperlink>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rPr>
              <w:t>12</w:t>
            </w:r>
          </w:p>
        </w:tc>
        <w:tc>
          <w:tcPr>
            <w:tcW w:w="7080" w:type="dxa"/>
            <w:vAlign w:val="bottom"/>
          </w:tcPr>
          <w:p>
            <w:pPr>
              <w:ind w:left="300"/>
              <w:spacing w:after="0" w:line="189" w:lineRule="exact"/>
              <w:rPr>
                <w:sz w:val="20"/>
                <w:szCs w:val="20"/>
                <w:color w:val="auto"/>
              </w:rPr>
            </w:pPr>
            <w:r>
              <w:rPr>
                <w:rFonts w:ascii="Arial" w:cs="Arial" w:eastAsia="Arial" w:hAnsi="Arial"/>
                <w:sz w:val="18"/>
                <w:szCs w:val="18"/>
                <w:color w:val="auto"/>
              </w:rPr>
              <w:t>Summary of Top 25 Tenants</w:t>
            </w:r>
          </w:p>
        </w:tc>
        <w:tc>
          <w:tcPr>
            <w:tcW w:w="1700" w:type="dxa"/>
            <w:vAlign w:val="bottom"/>
            <w:gridSpan w:val="2"/>
          </w:tcPr>
          <w:p>
            <w:pPr>
              <w:jc w:val="right"/>
              <w:spacing w:after="0" w:line="189" w:lineRule="exact"/>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rPr>
              <w:t>13</w:t>
            </w:r>
          </w:p>
        </w:tc>
        <w:tc>
          <w:tcPr>
            <w:tcW w:w="7080" w:type="dxa"/>
            <w:vAlign w:val="bottom"/>
          </w:tcPr>
          <w:p>
            <w:pPr>
              <w:ind w:left="300"/>
              <w:spacing w:after="0" w:line="189" w:lineRule="exact"/>
              <w:rPr>
                <w:sz w:val="20"/>
                <w:szCs w:val="20"/>
                <w:color w:val="auto"/>
              </w:rPr>
            </w:pPr>
            <w:r>
              <w:rPr>
                <w:rFonts w:ascii="Arial" w:cs="Arial" w:eastAsia="Arial" w:hAnsi="Arial"/>
                <w:sz w:val="18"/>
                <w:szCs w:val="18"/>
                <w:color w:val="auto"/>
              </w:rPr>
              <w:t>Tenant Diversification by Category</w:t>
            </w:r>
          </w:p>
        </w:tc>
        <w:tc>
          <w:tcPr>
            <w:tcW w:w="1700" w:type="dxa"/>
            <w:vAlign w:val="bottom"/>
            <w:gridSpan w:val="2"/>
          </w:tcPr>
          <w:p>
            <w:pPr>
              <w:jc w:val="right"/>
              <w:spacing w:after="0" w:line="189" w:lineRule="exact"/>
              <w:rPr>
                <w:rFonts w:ascii="Arial" w:cs="Arial" w:eastAsia="Arial" w:hAnsi="Arial"/>
                <w:sz w:val="18"/>
                <w:szCs w:val="18"/>
                <w:color w:val="0000FF"/>
              </w:rPr>
            </w:pPr>
            <w:hyperlink w:anchor="page31">
              <w:r>
                <w:rPr>
                  <w:rFonts w:ascii="Arial" w:cs="Arial" w:eastAsia="Arial" w:hAnsi="Arial"/>
                  <w:sz w:val="18"/>
                  <w:szCs w:val="18"/>
                  <w:color w:val="0000FF"/>
                </w:rPr>
                <w:t>29</w:t>
              </w:r>
            </w:hyperlink>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500" w:type="dxa"/>
            <w:vAlign w:val="bottom"/>
            <w:shd w:val="clear" w:color="auto" w:fill="CCEEFF"/>
          </w:tcPr>
          <w:p>
            <w:pPr>
              <w:spacing w:after="0"/>
              <w:rPr>
                <w:sz w:val="23"/>
                <w:szCs w:val="23"/>
                <w:color w:val="auto"/>
              </w:rPr>
            </w:pPr>
          </w:p>
        </w:tc>
        <w:tc>
          <w:tcPr>
            <w:tcW w:w="70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rPr>
              <w:t>14</w:t>
            </w:r>
          </w:p>
        </w:tc>
        <w:tc>
          <w:tcPr>
            <w:tcW w:w="7080" w:type="dxa"/>
            <w:vAlign w:val="bottom"/>
          </w:tcPr>
          <w:p>
            <w:pPr>
              <w:ind w:left="300"/>
              <w:spacing w:after="0" w:line="189" w:lineRule="exact"/>
              <w:rPr>
                <w:sz w:val="20"/>
                <w:szCs w:val="20"/>
                <w:color w:val="auto"/>
              </w:rPr>
            </w:pPr>
            <w:r>
              <w:rPr>
                <w:rFonts w:ascii="Arial" w:cs="Arial" w:eastAsia="Arial" w:hAnsi="Arial"/>
                <w:sz w:val="18"/>
                <w:szCs w:val="18"/>
                <w:color w:val="auto"/>
              </w:rPr>
              <w:t>Reconciliation of FFO Guidance</w:t>
            </w:r>
          </w:p>
        </w:tc>
        <w:tc>
          <w:tcPr>
            <w:tcW w:w="1700" w:type="dxa"/>
            <w:vAlign w:val="bottom"/>
            <w:gridSpan w:val="2"/>
          </w:tcPr>
          <w:p>
            <w:pPr>
              <w:jc w:val="right"/>
              <w:spacing w:after="0" w:line="189" w:lineRule="exact"/>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500" w:type="dxa"/>
            <w:vAlign w:val="bottom"/>
            <w:shd w:val="clear" w:color="auto" w:fill="CCEEFF"/>
          </w:tcPr>
          <w:p>
            <w:pPr>
              <w:spacing w:after="0"/>
              <w:rPr>
                <w:sz w:val="23"/>
                <w:szCs w:val="23"/>
                <w:color w:val="auto"/>
              </w:rPr>
            </w:pPr>
          </w:p>
        </w:tc>
        <w:tc>
          <w:tcPr>
            <w:tcW w:w="70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rPr>
              <w:t>15</w:t>
            </w:r>
          </w:p>
        </w:tc>
        <w:tc>
          <w:tcPr>
            <w:tcW w:w="7080" w:type="dxa"/>
            <w:vAlign w:val="bottom"/>
          </w:tcPr>
          <w:p>
            <w:pPr>
              <w:ind w:left="300"/>
              <w:spacing w:after="0" w:line="189" w:lineRule="exact"/>
              <w:rPr>
                <w:sz w:val="20"/>
                <w:szCs w:val="20"/>
                <w:color w:val="auto"/>
              </w:rPr>
            </w:pPr>
            <w:r>
              <w:rPr>
                <w:rFonts w:ascii="Arial" w:cs="Arial" w:eastAsia="Arial" w:hAnsi="Arial"/>
                <w:sz w:val="18"/>
                <w:szCs w:val="18"/>
                <w:color w:val="auto"/>
              </w:rPr>
              <w:t>Glossary of Terms</w:t>
            </w:r>
          </w:p>
        </w:tc>
        <w:tc>
          <w:tcPr>
            <w:tcW w:w="1700" w:type="dxa"/>
            <w:vAlign w:val="bottom"/>
            <w:gridSpan w:val="2"/>
          </w:tcPr>
          <w:p>
            <w:pPr>
              <w:jc w:val="right"/>
              <w:spacing w:after="0" w:line="189" w:lineRule="exact"/>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00" w:type="dxa"/>
            <w:vAlign w:val="bottom"/>
            <w:shd w:val="clear" w:color="auto" w:fill="CCEEFF"/>
          </w:tcPr>
          <w:p>
            <w:pPr>
              <w:spacing w:after="0"/>
              <w:rPr>
                <w:sz w:val="19"/>
                <w:szCs w:val="19"/>
                <w:color w:val="auto"/>
              </w:rPr>
            </w:pPr>
          </w:p>
        </w:tc>
        <w:tc>
          <w:tcPr>
            <w:tcW w:w="7080" w:type="dxa"/>
            <w:vAlign w:val="bottom"/>
            <w:shd w:val="clear" w:color="auto" w:fill="CCEEFF"/>
          </w:tcPr>
          <w:p>
            <w:pPr>
              <w:jc w:val="center"/>
              <w:ind w:left="1110"/>
              <w:spacing w:after="0"/>
              <w:rPr>
                <w:sz w:val="20"/>
                <w:szCs w:val="20"/>
                <w:color w:val="auto"/>
              </w:rPr>
            </w:pPr>
            <w:r>
              <w:rPr>
                <w:rFonts w:ascii="Arial" w:cs="Arial" w:eastAsia="Arial" w:hAnsi="Arial"/>
                <w:sz w:val="18"/>
                <w:szCs w:val="18"/>
                <w:color w:val="auto"/>
                <w:w w:val="89"/>
              </w:rPr>
              <w:t>909 Rose Avenue, Suite 200</w:t>
            </w:r>
          </w:p>
        </w:tc>
        <w:tc>
          <w:tcPr>
            <w:tcW w:w="1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500" w:type="dxa"/>
            <w:vAlign w:val="bottom"/>
          </w:tcPr>
          <w:p>
            <w:pPr>
              <w:spacing w:after="0"/>
              <w:rPr>
                <w:sz w:val="19"/>
                <w:szCs w:val="19"/>
                <w:color w:val="auto"/>
              </w:rPr>
            </w:pPr>
          </w:p>
        </w:tc>
        <w:tc>
          <w:tcPr>
            <w:tcW w:w="7080" w:type="dxa"/>
            <w:vAlign w:val="bottom"/>
          </w:tcPr>
          <w:p>
            <w:pPr>
              <w:jc w:val="center"/>
              <w:ind w:left="1110"/>
              <w:spacing w:after="0"/>
              <w:rPr>
                <w:sz w:val="20"/>
                <w:szCs w:val="20"/>
                <w:color w:val="auto"/>
              </w:rPr>
            </w:pPr>
            <w:r>
              <w:rPr>
                <w:rFonts w:ascii="Arial" w:cs="Arial" w:eastAsia="Arial" w:hAnsi="Arial"/>
                <w:sz w:val="18"/>
                <w:szCs w:val="18"/>
                <w:color w:val="auto"/>
                <w:w w:val="91"/>
              </w:rPr>
              <w:t>North Bethesda, Maryland 20852-8688</w:t>
            </w: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00" w:type="dxa"/>
            <w:vAlign w:val="bottom"/>
            <w:shd w:val="clear" w:color="auto" w:fill="CCEEFF"/>
          </w:tcPr>
          <w:p>
            <w:pPr>
              <w:spacing w:after="0"/>
              <w:rPr>
                <w:sz w:val="19"/>
                <w:szCs w:val="19"/>
                <w:color w:val="auto"/>
              </w:rPr>
            </w:pPr>
          </w:p>
        </w:tc>
        <w:tc>
          <w:tcPr>
            <w:tcW w:w="7080" w:type="dxa"/>
            <w:vAlign w:val="bottom"/>
            <w:shd w:val="clear" w:color="auto" w:fill="CCEEFF"/>
          </w:tcPr>
          <w:p>
            <w:pPr>
              <w:jc w:val="center"/>
              <w:ind w:left="1110"/>
              <w:spacing w:after="0"/>
              <w:rPr>
                <w:sz w:val="20"/>
                <w:szCs w:val="20"/>
                <w:color w:val="auto"/>
              </w:rPr>
            </w:pPr>
            <w:r>
              <w:rPr>
                <w:rFonts w:ascii="Arial" w:cs="Arial" w:eastAsia="Arial" w:hAnsi="Arial"/>
                <w:sz w:val="18"/>
                <w:szCs w:val="18"/>
                <w:color w:val="auto"/>
                <w:w w:val="89"/>
              </w:rPr>
              <w:t>301/998-8100</w:t>
            </w:r>
          </w:p>
        </w:tc>
        <w:tc>
          <w:tcPr>
            <w:tcW w:w="1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300"/>
          </w:cols>
          <w:pgMar w:left="1300" w:top="1026" w:right="12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11, 2021 and subsequent quarterly reports on Form 10-Q, and include the following:</w:t>
      </w:r>
    </w:p>
    <w:p>
      <w:pPr>
        <w:spacing w:after="0" w:line="1" w:lineRule="exact"/>
        <w:rPr>
          <w:sz w:val="20"/>
          <w:szCs w:val="20"/>
          <w:color w:val="auto"/>
        </w:rPr>
      </w:pPr>
    </w:p>
    <w:p>
      <w:pPr>
        <w:ind w:left="980" w:right="14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ind w:left="98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4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color w:val="auto"/>
        </w:rPr>
      </w:pPr>
    </w:p>
    <w:p>
      <w:pPr>
        <w:ind w:left="980" w:right="80" w:hanging="324"/>
        <w:spacing w:after="0" w:line="265" w:lineRule="auto"/>
        <w:tabs>
          <w:tab w:leader="none" w:pos="975"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i w:val="1"/>
          <w:iCs w:val="1"/>
          <w:color w:val="auto"/>
        </w:rPr>
      </w:pPr>
    </w:p>
    <w:p>
      <w:pPr>
        <w:ind w:left="980" w:right="340" w:hanging="324"/>
        <w:spacing w:after="0" w:line="281"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spacing w:after="0" w:line="1" w:lineRule="exact"/>
        <w:rPr>
          <w:rFonts w:ascii="Arial" w:cs="Arial" w:eastAsia="Arial" w:hAnsi="Arial"/>
          <w:sz w:val="16"/>
          <w:szCs w:val="16"/>
          <w:color w:val="auto"/>
        </w:rPr>
      </w:pPr>
    </w:p>
    <w:p>
      <w:pPr>
        <w:jc w:val="both"/>
        <w:ind w:left="980" w:right="40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1" w:lineRule="exact"/>
        <w:rPr>
          <w:rFonts w:ascii="Arial" w:cs="Arial" w:eastAsia="Arial" w:hAnsi="Arial"/>
          <w:sz w:val="18"/>
          <w:szCs w:val="18"/>
          <w:color w:val="auto"/>
        </w:rPr>
      </w:pPr>
    </w:p>
    <w:p>
      <w:pPr>
        <w:ind w:left="980" w:right="20" w:hanging="324"/>
        <w:spacing w:after="0" w:line="253" w:lineRule="auto"/>
        <w:tabs>
          <w:tab w:leader="none" w:pos="97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22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11, 2021 and subsequent quarterly reports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891"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2548255</wp:posOffset>
            </wp:positionH>
            <wp:positionV relativeFrom="page">
              <wp:posOffset>757555</wp:posOffset>
            </wp:positionV>
            <wp:extent cx="2451735" cy="9601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45173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NEWS RELEASE</w:t>
            </w:r>
          </w:p>
        </w:tc>
        <w:tc>
          <w:tcPr>
            <w:tcW w:w="5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www.federalrealty.com</w:t>
            </w:r>
          </w:p>
        </w:tc>
      </w:tr>
      <w:tr>
        <w:trPr>
          <w:trHeight w:val="307"/>
        </w:trPr>
        <w:tc>
          <w:tcPr>
            <w:tcW w:w="4940" w:type="dxa"/>
            <w:vAlign w:val="bottom"/>
          </w:tcPr>
          <w:p>
            <w:pPr>
              <w:ind w:left="20"/>
              <w:spacing w:after="0"/>
              <w:rPr>
                <w:sz w:val="20"/>
                <w:szCs w:val="20"/>
                <w:color w:val="auto"/>
              </w:rPr>
            </w:pPr>
            <w:r>
              <w:rPr>
                <w:rFonts w:ascii="Arial" w:cs="Arial" w:eastAsia="Arial" w:hAnsi="Arial"/>
                <w:sz w:val="17"/>
                <w:szCs w:val="17"/>
                <w:b w:val="1"/>
                <w:bCs w:val="1"/>
                <w:color w:val="auto"/>
              </w:rPr>
              <w:t>FOR IMMEDIATE RELEASE</w:t>
            </w:r>
          </w:p>
        </w:tc>
        <w:tc>
          <w:tcPr>
            <w:tcW w:w="5500" w:type="dxa"/>
            <w:vAlign w:val="bottom"/>
          </w:tcPr>
          <w:p>
            <w:pPr>
              <w:spacing w:after="0"/>
              <w:rPr>
                <w:sz w:val="24"/>
                <w:szCs w:val="24"/>
                <w:color w:val="auto"/>
              </w:rPr>
            </w:pPr>
          </w:p>
        </w:tc>
      </w:tr>
      <w:tr>
        <w:trPr>
          <w:trHeight w:val="378"/>
        </w:trPr>
        <w:tc>
          <w:tcPr>
            <w:tcW w:w="4940" w:type="dxa"/>
            <w:vAlign w:val="bottom"/>
          </w:tcPr>
          <w:p>
            <w:pPr>
              <w:ind w:left="20"/>
              <w:spacing w:after="0"/>
              <w:rPr>
                <w:sz w:val="20"/>
                <w:szCs w:val="20"/>
                <w:color w:val="auto"/>
              </w:rPr>
            </w:pPr>
            <w:r>
              <w:rPr>
                <w:rFonts w:ascii="Arial" w:cs="Arial" w:eastAsia="Arial" w:hAnsi="Arial"/>
                <w:sz w:val="17"/>
                <w:szCs w:val="17"/>
                <w:i w:val="1"/>
                <w:iCs w:val="1"/>
                <w:color w:val="auto"/>
              </w:rPr>
              <w:t>Investor Inquiries:</w:t>
            </w:r>
          </w:p>
        </w:tc>
        <w:tc>
          <w:tcPr>
            <w:tcW w:w="5500" w:type="dxa"/>
            <w:vAlign w:val="bottom"/>
          </w:tcPr>
          <w:p>
            <w:pPr>
              <w:jc w:val="right"/>
              <w:spacing w:after="0"/>
              <w:rPr>
                <w:sz w:val="20"/>
                <w:szCs w:val="20"/>
                <w:color w:val="auto"/>
              </w:rPr>
            </w:pPr>
            <w:r>
              <w:rPr>
                <w:rFonts w:ascii="Arial" w:cs="Arial" w:eastAsia="Arial" w:hAnsi="Arial"/>
                <w:sz w:val="17"/>
                <w:szCs w:val="17"/>
                <w:i w:val="1"/>
                <w:iCs w:val="1"/>
                <w:color w:val="auto"/>
              </w:rPr>
              <w:t>Media Inquiries:</w:t>
            </w:r>
          </w:p>
        </w:tc>
      </w:tr>
      <w:tr>
        <w:trPr>
          <w:trHeight w:val="216"/>
        </w:trPr>
        <w:tc>
          <w:tcPr>
            <w:tcW w:w="4940" w:type="dxa"/>
            <w:vAlign w:val="bottom"/>
          </w:tcPr>
          <w:p>
            <w:pPr>
              <w:ind w:left="20"/>
              <w:spacing w:after="0"/>
              <w:rPr>
                <w:sz w:val="20"/>
                <w:szCs w:val="20"/>
                <w:color w:val="auto"/>
              </w:rPr>
            </w:pPr>
            <w:r>
              <w:rPr>
                <w:rFonts w:ascii="Arial" w:cs="Arial" w:eastAsia="Arial" w:hAnsi="Arial"/>
                <w:sz w:val="17"/>
                <w:szCs w:val="17"/>
                <w:color w:val="auto"/>
              </w:rPr>
              <w:t>Leah Andress Brady</w:t>
            </w:r>
          </w:p>
        </w:tc>
        <w:tc>
          <w:tcPr>
            <w:tcW w:w="5500" w:type="dxa"/>
            <w:vAlign w:val="bottom"/>
          </w:tcPr>
          <w:p>
            <w:pPr>
              <w:jc w:val="right"/>
              <w:spacing w:after="0"/>
              <w:rPr>
                <w:sz w:val="20"/>
                <w:szCs w:val="20"/>
                <w:color w:val="auto"/>
              </w:rPr>
            </w:pPr>
            <w:r>
              <w:rPr>
                <w:rFonts w:ascii="Arial" w:cs="Arial" w:eastAsia="Arial" w:hAnsi="Arial"/>
                <w:sz w:val="17"/>
                <w:szCs w:val="17"/>
                <w:color w:val="auto"/>
              </w:rPr>
              <w:t>Brenda Pomar</w:t>
            </w:r>
          </w:p>
        </w:tc>
      </w:tr>
      <w:tr>
        <w:trPr>
          <w:trHeight w:val="216"/>
        </w:trPr>
        <w:tc>
          <w:tcPr>
            <w:tcW w:w="4940" w:type="dxa"/>
            <w:vAlign w:val="bottom"/>
          </w:tcPr>
          <w:p>
            <w:pPr>
              <w:ind w:left="20"/>
              <w:spacing w:after="0"/>
              <w:rPr>
                <w:sz w:val="20"/>
                <w:szCs w:val="20"/>
                <w:color w:val="auto"/>
              </w:rPr>
            </w:pPr>
            <w:r>
              <w:rPr>
                <w:rFonts w:ascii="Arial" w:cs="Arial" w:eastAsia="Arial" w:hAnsi="Arial"/>
                <w:sz w:val="17"/>
                <w:szCs w:val="17"/>
                <w:color w:val="auto"/>
              </w:rPr>
              <w:t>Director, Investor Relations</w:t>
            </w:r>
          </w:p>
        </w:tc>
        <w:tc>
          <w:tcPr>
            <w:tcW w:w="5500" w:type="dxa"/>
            <w:vAlign w:val="bottom"/>
          </w:tcPr>
          <w:p>
            <w:pPr>
              <w:jc w:val="right"/>
              <w:spacing w:after="0"/>
              <w:rPr>
                <w:sz w:val="20"/>
                <w:szCs w:val="20"/>
                <w:color w:val="auto"/>
              </w:rPr>
            </w:pPr>
            <w:r>
              <w:rPr>
                <w:rFonts w:ascii="Arial" w:cs="Arial" w:eastAsia="Arial" w:hAnsi="Arial"/>
                <w:sz w:val="17"/>
                <w:szCs w:val="17"/>
                <w:color w:val="auto"/>
              </w:rPr>
              <w:t>Director, Corporate Communications</w:t>
            </w:r>
          </w:p>
        </w:tc>
      </w:tr>
      <w:tr>
        <w:trPr>
          <w:trHeight w:val="209"/>
        </w:trPr>
        <w:tc>
          <w:tcPr>
            <w:tcW w:w="4940" w:type="dxa"/>
            <w:vAlign w:val="bottom"/>
          </w:tcPr>
          <w:p>
            <w:pPr>
              <w:ind w:left="20"/>
              <w:spacing w:after="0"/>
              <w:rPr>
                <w:sz w:val="20"/>
                <w:szCs w:val="20"/>
                <w:color w:val="auto"/>
              </w:rPr>
            </w:pPr>
            <w:r>
              <w:rPr>
                <w:rFonts w:ascii="Arial" w:cs="Arial" w:eastAsia="Arial" w:hAnsi="Arial"/>
                <w:sz w:val="17"/>
                <w:szCs w:val="17"/>
                <w:color w:val="auto"/>
              </w:rPr>
              <w:t>301.998.8265</w:t>
            </w:r>
          </w:p>
        </w:tc>
        <w:tc>
          <w:tcPr>
            <w:tcW w:w="5500" w:type="dxa"/>
            <w:vAlign w:val="bottom"/>
          </w:tcPr>
          <w:p>
            <w:pPr>
              <w:jc w:val="right"/>
              <w:spacing w:after="0"/>
              <w:rPr>
                <w:sz w:val="20"/>
                <w:szCs w:val="20"/>
                <w:color w:val="auto"/>
              </w:rPr>
            </w:pPr>
            <w:r>
              <w:rPr>
                <w:rFonts w:ascii="Arial" w:cs="Arial" w:eastAsia="Arial" w:hAnsi="Arial"/>
                <w:sz w:val="17"/>
                <w:szCs w:val="17"/>
                <w:color w:val="auto"/>
              </w:rPr>
              <w:t>301.998.8316</w:t>
            </w:r>
          </w:p>
        </w:tc>
      </w:tr>
      <w:tr>
        <w:trPr>
          <w:trHeight w:val="223"/>
        </w:trPr>
        <w:tc>
          <w:tcPr>
            <w:tcW w:w="4940" w:type="dxa"/>
            <w:vAlign w:val="bottom"/>
          </w:tcPr>
          <w:p>
            <w:pPr>
              <w:ind w:left="20"/>
              <w:spacing w:after="0"/>
              <w:rPr>
                <w:sz w:val="20"/>
                <w:szCs w:val="20"/>
                <w:color w:val="auto"/>
              </w:rPr>
            </w:pPr>
            <w:r>
              <w:rPr>
                <w:rFonts w:ascii="Arial" w:cs="Arial" w:eastAsia="Arial" w:hAnsi="Arial"/>
                <w:sz w:val="17"/>
                <w:szCs w:val="17"/>
                <w:i w:val="1"/>
                <w:iCs w:val="1"/>
                <w:color w:val="auto"/>
              </w:rPr>
              <w:t>lbrady@federalrealty.com</w:t>
            </w:r>
          </w:p>
        </w:tc>
        <w:tc>
          <w:tcPr>
            <w:tcW w:w="5500" w:type="dxa"/>
            <w:vAlign w:val="bottom"/>
          </w:tcPr>
          <w:p>
            <w:pPr>
              <w:jc w:val="right"/>
              <w:spacing w:after="0"/>
              <w:rPr>
                <w:sz w:val="20"/>
                <w:szCs w:val="20"/>
                <w:color w:val="auto"/>
              </w:rPr>
            </w:pPr>
            <w:r>
              <w:rPr>
                <w:rFonts w:ascii="Arial" w:cs="Arial" w:eastAsia="Arial" w:hAnsi="Arial"/>
                <w:sz w:val="17"/>
                <w:szCs w:val="17"/>
                <w:i w:val="1"/>
                <w:iCs w:val="1"/>
                <w:color w:val="auto"/>
              </w:rPr>
              <w:t>bpomar@federalrealty.com</w:t>
            </w:r>
          </w:p>
        </w:tc>
      </w:tr>
    </w:tbl>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Federal Realty Investment Trust Announces Second Quarter 2021 Operating Results</w:t>
      </w: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NORTH BETHESDA, Md. (August 4, 2021) - </w:t>
      </w:r>
      <w:r>
        <w:rPr>
          <w:rFonts w:ascii="Arial" w:cs="Arial" w:eastAsia="Arial" w:hAnsi="Arial"/>
          <w:sz w:val="17"/>
          <w:szCs w:val="17"/>
          <w:u w:val="single" w:color="auto"/>
          <w:color w:val="auto"/>
        </w:rPr>
        <w:t>Federal Realty Investment Trust</w:t>
      </w:r>
      <w:r>
        <w:rPr>
          <w:rFonts w:ascii="Arial" w:cs="Arial" w:eastAsia="Arial" w:hAnsi="Arial"/>
          <w:sz w:val="17"/>
          <w:szCs w:val="17"/>
          <w:color w:val="auto"/>
        </w:rPr>
        <w:t xml:space="preserve"> (NYSE:FRT) today reported operating results for its second quarter</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ended June 30, 2021. For the three months ended June 30, 2021 and 2020, net income available for common shareholders was $0.57 per diluted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share and $0.11 per diluted share,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Highlights for the quarter and subsequent events include:</w:t>
      </w:r>
    </w:p>
    <w:p>
      <w:pPr>
        <w:spacing w:after="0" w:line="250" w:lineRule="exact"/>
        <w:rPr>
          <w:sz w:val="20"/>
          <w:szCs w:val="20"/>
          <w:color w:val="auto"/>
        </w:rPr>
      </w:pPr>
    </w:p>
    <w:p>
      <w:pPr>
        <w:ind w:left="660" w:right="20" w:hanging="328"/>
        <w:spacing w:after="0" w:line="364"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Generated funds from operations available to common shareholders (FFO) per diluted share of $1.41 for the quarter compared to $0.77 for the second quarter 2020.</w:t>
      </w:r>
    </w:p>
    <w:p>
      <w:pPr>
        <w:spacing w:after="0" w:line="1" w:lineRule="exact"/>
        <w:rPr>
          <w:rFonts w:ascii="Arial" w:cs="Arial" w:eastAsia="Arial" w:hAnsi="Arial"/>
          <w:sz w:val="17"/>
          <w:szCs w:val="17"/>
          <w:color w:val="auto"/>
        </w:rPr>
      </w:pPr>
    </w:p>
    <w:p>
      <w:pPr>
        <w:ind w:left="660" w:right="60" w:hanging="328"/>
        <w:spacing w:after="0" w:line="364"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Record levels of leasing activity with 124 signed leases for 558,490 square feet of comparable space during second quarter and 227 signed leases for 1.1 million square feet of comparable space through the first six months of 2021.</w:t>
      </w:r>
    </w:p>
    <w:p>
      <w:pPr>
        <w:spacing w:after="0" w:line="1"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Federal Realty’s portfolio was 92.7% leased, a sequential increase of 90 basis points.</w:t>
      </w:r>
    </w:p>
    <w:p>
      <w:pPr>
        <w:spacing w:after="0" w:line="101" w:lineRule="exact"/>
        <w:rPr>
          <w:rFonts w:ascii="Arial" w:cs="Arial" w:eastAsia="Arial" w:hAnsi="Arial"/>
          <w:sz w:val="17"/>
          <w:szCs w:val="17"/>
          <w:color w:val="auto"/>
        </w:rPr>
      </w:pPr>
    </w:p>
    <w:p>
      <w:pPr>
        <w:ind w:left="1300" w:hanging="320"/>
        <w:spacing w:after="0"/>
        <w:tabs>
          <w:tab w:leader="none" w:pos="1300" w:val="left"/>
        </w:tabs>
        <w:numPr>
          <w:ilvl w:val="1"/>
          <w:numId w:val="4"/>
        </w:numPr>
        <w:rPr>
          <w:rFonts w:ascii="Arial" w:cs="Arial" w:eastAsia="Arial" w:hAnsi="Arial"/>
          <w:sz w:val="17"/>
          <w:szCs w:val="17"/>
          <w:color w:val="auto"/>
        </w:rPr>
      </w:pPr>
      <w:r>
        <w:rPr>
          <w:rFonts w:ascii="Arial" w:cs="Arial" w:eastAsia="Arial" w:hAnsi="Arial"/>
          <w:sz w:val="17"/>
          <w:szCs w:val="17"/>
          <w:color w:val="auto"/>
        </w:rPr>
        <w:t>310 basis point spread between leased and occupied</w:t>
      </w:r>
    </w:p>
    <w:p>
      <w:pPr>
        <w:spacing w:after="0" w:line="101" w:lineRule="exact"/>
        <w:rPr>
          <w:rFonts w:ascii="Arial" w:cs="Arial" w:eastAsia="Arial" w:hAnsi="Arial"/>
          <w:sz w:val="17"/>
          <w:szCs w:val="17"/>
          <w:color w:val="auto"/>
        </w:rPr>
      </w:pPr>
    </w:p>
    <w:p>
      <w:pPr>
        <w:ind w:left="660" w:hanging="328"/>
        <w:spacing w:after="0" w:line="364"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Acquired 4 assets which total 1.76 million square feet on 125 acres of land at a gross value of $407 million, of which Federal owns an average 80% interest.</w:t>
      </w:r>
    </w:p>
    <w:p>
      <w:pPr>
        <w:spacing w:after="0" w:line="1"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Increased the regular quarterly cash dividend to $1.07 per common share, resulting in an indicated annual rate of $4.28 per common share.</w:t>
      </w:r>
    </w:p>
    <w:p>
      <w:pPr>
        <w:spacing w:after="0" w:line="88" w:lineRule="exact"/>
        <w:rPr>
          <w:rFonts w:ascii="Arial" w:cs="Arial" w:eastAsia="Arial" w:hAnsi="Arial"/>
          <w:sz w:val="17"/>
          <w:szCs w:val="17"/>
          <w:color w:val="auto"/>
        </w:rPr>
      </w:pPr>
    </w:p>
    <w:p>
      <w:pPr>
        <w:ind w:left="660"/>
        <w:spacing w:after="0" w:line="321" w:lineRule="auto"/>
        <w:rPr>
          <w:rFonts w:ascii="Arial" w:cs="Arial" w:eastAsia="Arial" w:hAnsi="Arial"/>
          <w:sz w:val="17"/>
          <w:szCs w:val="17"/>
          <w:color w:val="auto"/>
        </w:rPr>
      </w:pPr>
      <w:r>
        <w:rPr>
          <w:rFonts w:ascii="Arial" w:cs="Arial" w:eastAsia="Arial" w:hAnsi="Arial"/>
          <w:sz w:val="17"/>
          <w:szCs w:val="17"/>
          <w:color w:val="auto"/>
        </w:rPr>
        <w:t>This increase represents the 54</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consecutive year that Federal Realty has increased its common dividend, the longest record of consecutive annual dividend increases in the REIT sector.</w:t>
      </w:r>
    </w:p>
    <w:p>
      <w:pPr>
        <w:spacing w:after="0" w:line="7" w:lineRule="exact"/>
        <w:rPr>
          <w:rFonts w:ascii="Arial" w:cs="Arial" w:eastAsia="Arial" w:hAnsi="Arial"/>
          <w:sz w:val="17"/>
          <w:szCs w:val="17"/>
          <w:color w:val="auto"/>
        </w:rPr>
      </w:pPr>
    </w:p>
    <w:p>
      <w:pPr>
        <w:ind w:left="660" w:hanging="328"/>
        <w:spacing w:after="0" w:line="364"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Increased 2021 earnings per diluted share guidance to $1.91 to $2.01 and increased 2021 FFO per diluted share guidance to $5.05 to $5.15.</w:t>
      </w:r>
    </w:p>
    <w:p>
      <w:pPr>
        <w:spacing w:after="0" w:line="1" w:lineRule="exact"/>
        <w:rPr>
          <w:rFonts w:ascii="Arial" w:cs="Arial" w:eastAsia="Arial" w:hAnsi="Arial"/>
          <w:sz w:val="17"/>
          <w:szCs w:val="17"/>
          <w:color w:val="auto"/>
        </w:rPr>
      </w:pPr>
    </w:p>
    <w:p>
      <w:pPr>
        <w:ind w:left="660" w:hanging="328"/>
        <w:spacing w:after="0" w:line="375"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Increased 2022 earnings per diluted share guidance to $1.99 to $2.19 and increased 2022 FFO per diluted share guidance to $5.30 to $5.50.</w:t>
      </w:r>
    </w:p>
    <w:p>
      <w:pPr>
        <w:spacing w:after="0" w:line="118" w:lineRule="exact"/>
        <w:rPr>
          <w:sz w:val="20"/>
          <w:szCs w:val="20"/>
          <w:color w:val="auto"/>
        </w:rPr>
      </w:pPr>
    </w:p>
    <w:p>
      <w:pPr>
        <w:jc w:val="both"/>
        <w:spacing w:after="0" w:line="370" w:lineRule="auto"/>
        <w:rPr>
          <w:sz w:val="20"/>
          <w:szCs w:val="20"/>
          <w:color w:val="auto"/>
        </w:rPr>
      </w:pPr>
      <w:r>
        <w:rPr>
          <w:rFonts w:ascii="Arial" w:cs="Arial" w:eastAsia="Arial" w:hAnsi="Arial"/>
          <w:sz w:val="17"/>
          <w:szCs w:val="17"/>
          <w:color w:val="auto"/>
        </w:rPr>
        <w:t>“Our team delivered an outstanding quarter exceeding all our of internal forecasts,” said Donald C. Wood, Chief Executive Officer. “Our all-time high leasing volumes with best-in-class, relevant tenants coupled with our new acquisitions and existing development pipeline set our company and our assets up to be more dominant, more relevant and therefore more valuable in a post-COVID world.”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Financial Results</w:t>
      </w:r>
    </w:p>
    <w:p>
      <w:pPr>
        <w:spacing w:after="0" w:line="270" w:lineRule="exact"/>
        <w:rPr>
          <w:sz w:val="20"/>
          <w:szCs w:val="20"/>
          <w:color w:val="auto"/>
        </w:rPr>
      </w:pPr>
    </w:p>
    <w:p>
      <w:pPr>
        <w:jc w:val="both"/>
        <w:spacing w:after="0" w:line="375" w:lineRule="auto"/>
        <w:rPr>
          <w:sz w:val="20"/>
          <w:szCs w:val="20"/>
          <w:color w:val="auto"/>
        </w:rPr>
      </w:pPr>
      <w:r>
        <w:rPr>
          <w:rFonts w:ascii="Arial" w:cs="Arial" w:eastAsia="Arial" w:hAnsi="Arial"/>
          <w:sz w:val="17"/>
          <w:szCs w:val="17"/>
          <w:color w:val="auto"/>
        </w:rPr>
        <w:t>Net income available for common shareholders was $44.2 million and earnings per diluted share was $0.57 for second quarter 2021 versus $8.5 million and $0.11, respectively, for second quarter 2020.</w:t>
      </w:r>
    </w:p>
    <w:p>
      <w:pPr>
        <w:spacing w:after="0" w:line="118" w:lineRule="exact"/>
        <w:rPr>
          <w:sz w:val="20"/>
          <w:szCs w:val="20"/>
          <w:color w:val="auto"/>
        </w:rPr>
      </w:pPr>
    </w:p>
    <w:p>
      <w:pPr>
        <w:jc w:val="both"/>
        <w:spacing w:after="0" w:line="375" w:lineRule="auto"/>
        <w:rPr>
          <w:sz w:val="20"/>
          <w:szCs w:val="20"/>
          <w:color w:val="auto"/>
        </w:rPr>
      </w:pPr>
      <w:r>
        <w:rPr>
          <w:rFonts w:ascii="Arial" w:cs="Arial" w:eastAsia="Arial" w:hAnsi="Arial"/>
          <w:sz w:val="17"/>
          <w:szCs w:val="17"/>
          <w:color w:val="auto"/>
        </w:rPr>
        <w:t>In the second quarter 2021, Federal Realty generated FFO of $110.1 million, or $1.41 per diluted share. This compares to FFO of $58.0 million, or $0.77 per diluted share, in second quarter 2020.</w:t>
      </w:r>
    </w:p>
    <w:p>
      <w:pPr>
        <w:spacing w:after="0" w:line="132" w:lineRule="exact"/>
        <w:rPr>
          <w:sz w:val="20"/>
          <w:szCs w:val="20"/>
          <w:color w:val="auto"/>
        </w:rPr>
      </w:pPr>
    </w:p>
    <w:p>
      <w:pPr>
        <w:ind w:right="100"/>
        <w:spacing w:after="0" w:line="375" w:lineRule="auto"/>
        <w:rPr>
          <w:sz w:val="20"/>
          <w:szCs w:val="20"/>
          <w:color w:val="auto"/>
        </w:rPr>
      </w:pPr>
      <w:r>
        <w:rPr>
          <w:rFonts w:ascii="Arial" w:cs="Arial" w:eastAsia="Arial" w:hAnsi="Arial"/>
          <w:sz w:val="17"/>
          <w:szCs w:val="17"/>
          <w:color w:val="auto"/>
        </w:rPr>
        <w:t>FFO is a non-GAAP supplemental earnings measure which the Trust considers meaningful in measuring its operating performance. A reconciliation of FFO to net income is attached to this press release.</w:t>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Update</w:t>
      </w:r>
    </w:p>
    <w:p>
      <w:pPr>
        <w:spacing w:after="0" w:line="257" w:lineRule="exact"/>
        <w:rPr>
          <w:sz w:val="20"/>
          <w:szCs w:val="20"/>
          <w:color w:val="auto"/>
        </w:rPr>
      </w:pPr>
    </w:p>
    <w:p>
      <w:pPr>
        <w:jc w:val="both"/>
        <w:spacing w:after="0" w:line="375" w:lineRule="auto"/>
        <w:rPr>
          <w:sz w:val="20"/>
          <w:szCs w:val="20"/>
          <w:color w:val="auto"/>
        </w:rPr>
      </w:pPr>
      <w:r>
        <w:rPr>
          <w:rFonts w:ascii="Arial" w:cs="Arial" w:eastAsia="Arial" w:hAnsi="Arial"/>
          <w:sz w:val="17"/>
          <w:szCs w:val="17"/>
          <w:color w:val="auto"/>
        </w:rPr>
        <w:t>The portfolio was 92.7% leased as of June 30, 2021, a sequential increase of 90 basis points over the first quarter 2021 and a spread of 310 basis points versus our occupied percentage, 89.6%, at the end of the second quarter.</w:t>
      </w:r>
    </w:p>
    <w:p>
      <w:pPr>
        <w:spacing w:after="0" w:line="132" w:lineRule="exact"/>
        <w:rPr>
          <w:sz w:val="20"/>
          <w:szCs w:val="20"/>
          <w:color w:val="auto"/>
        </w:rPr>
      </w:pPr>
    </w:p>
    <w:p>
      <w:pPr>
        <w:jc w:val="both"/>
        <w:spacing w:after="0" w:line="368" w:lineRule="auto"/>
        <w:rPr>
          <w:sz w:val="20"/>
          <w:szCs w:val="20"/>
          <w:color w:val="auto"/>
        </w:rPr>
      </w:pPr>
      <w:r>
        <w:rPr>
          <w:rFonts w:ascii="Arial" w:cs="Arial" w:eastAsia="Arial" w:hAnsi="Arial"/>
          <w:sz w:val="17"/>
          <w:szCs w:val="17"/>
          <w:color w:val="auto"/>
        </w:rPr>
        <w:t>During the second quarter 2021, Federal Realty signed 133 leases for 576,782 square feet of retail space. On a comparable space basis (i.e., spaces for which there was a former tenant), Federal Realty signed 124 leases for 558,490 square feet at an average rent of $37.34 per square foot compared to the average contractual rent of $34.72 per square foot for the last year of the prior leases, representing a cash basis rollover growth on those comparable spaces of 8%, 18% on a straight-line basis.</w:t>
      </w:r>
    </w:p>
    <w:p>
      <w:pPr>
        <w:spacing w:after="0" w:line="138" w:lineRule="exact"/>
        <w:rPr>
          <w:sz w:val="20"/>
          <w:szCs w:val="20"/>
          <w:color w:val="auto"/>
        </w:rPr>
      </w:pPr>
    </w:p>
    <w:p>
      <w:pPr>
        <w:jc w:val="both"/>
        <w:spacing w:after="0" w:line="375" w:lineRule="auto"/>
        <w:rPr>
          <w:sz w:val="20"/>
          <w:szCs w:val="20"/>
          <w:color w:val="auto"/>
        </w:rPr>
      </w:pPr>
      <w:r>
        <w:rPr>
          <w:rFonts w:ascii="Arial" w:cs="Arial" w:eastAsia="Arial" w:hAnsi="Arial"/>
          <w:sz w:val="17"/>
          <w:szCs w:val="17"/>
          <w:color w:val="auto"/>
        </w:rPr>
        <w:t>As of July 28, 2021, the Company has collected approximately 94% of total second quarter 2021 billed recurring rents. Including rent deferral and abatement agreements, total addressed recurring rent was 98%.</w:t>
      </w:r>
    </w:p>
    <w:p>
      <w:pPr>
        <w:spacing w:after="0" w:line="118" w:lineRule="exact"/>
        <w:rPr>
          <w:sz w:val="20"/>
          <w:szCs w:val="20"/>
          <w:color w:val="auto"/>
        </w:rPr>
      </w:pPr>
    </w:p>
    <w:p>
      <w:pPr>
        <w:jc w:val="both"/>
        <w:spacing w:after="0" w:line="375" w:lineRule="auto"/>
        <w:rPr>
          <w:sz w:val="20"/>
          <w:szCs w:val="20"/>
          <w:color w:val="auto"/>
        </w:rPr>
      </w:pPr>
      <w:r>
        <w:rPr>
          <w:rFonts w:ascii="Arial" w:cs="Arial" w:eastAsia="Arial" w:hAnsi="Arial"/>
          <w:sz w:val="17"/>
          <w:szCs w:val="17"/>
          <w:color w:val="auto"/>
        </w:rPr>
        <w:t>With $304 million of cash and cash equivalents as of June 30, 2021, Federal Realty has approximately $1.3 billion of liquidity in cash and undrawn availability under its $1 billion revolving credit facility.</w:t>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Regular Quarterly Dividends</w:t>
      </w:r>
    </w:p>
    <w:p>
      <w:pPr>
        <w:spacing w:after="0" w:line="270" w:lineRule="exact"/>
        <w:rPr>
          <w:sz w:val="20"/>
          <w:szCs w:val="20"/>
          <w:color w:val="auto"/>
        </w:rPr>
      </w:pPr>
    </w:p>
    <w:p>
      <w:pPr>
        <w:jc w:val="both"/>
        <w:spacing w:after="0" w:line="342" w:lineRule="auto"/>
        <w:rPr>
          <w:sz w:val="20"/>
          <w:szCs w:val="20"/>
          <w:color w:val="auto"/>
        </w:rPr>
      </w:pPr>
      <w:r>
        <w:rPr>
          <w:rFonts w:ascii="Arial" w:cs="Arial" w:eastAsia="Arial" w:hAnsi="Arial"/>
          <w:sz w:val="17"/>
          <w:szCs w:val="17"/>
          <w:color w:val="auto"/>
        </w:rPr>
        <w:t>Federal Realty announced today that its Board of Trustees increased the regular quarterly cash dividend to $1.07 per common share, resulting in an indicated annual rate of $4.28 per common share. The regular common dividend will be payable on October 15, 2021 to common shareholders of record as of September 22, 2021. This increase represents the 54</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consecutive year that Federal Realty has increased its common dividend, the longest record of consecutive annual dividend increases in the REIT sector. Federal is 1 of only 32 companies in any sector to be considered a ‘Dividend King’.</w:t>
      </w:r>
    </w:p>
    <w:p>
      <w:pPr>
        <w:spacing w:after="0" w:line="145" w:lineRule="exact"/>
        <w:rPr>
          <w:sz w:val="20"/>
          <w:szCs w:val="20"/>
          <w:color w:val="auto"/>
        </w:rPr>
      </w:pPr>
    </w:p>
    <w:p>
      <w:pPr>
        <w:jc w:val="both"/>
        <w:ind w:right="100"/>
        <w:spacing w:after="0" w:line="370" w:lineRule="auto"/>
        <w:rPr>
          <w:sz w:val="20"/>
          <w:szCs w:val="20"/>
          <w:color w:val="auto"/>
        </w:rPr>
      </w:pPr>
      <w:r>
        <w:rPr>
          <w:rFonts w:ascii="Arial" w:cs="Arial" w:eastAsia="Arial" w:hAnsi="Arial"/>
          <w:sz w:val="17"/>
          <w:szCs w:val="17"/>
          <w:color w:val="auto"/>
        </w:rPr>
        <w:t>Federal Realty’s Board of Trustees also declared a quarterly cash dividend on its Class C depositary shares, each representing 1/1000 of a 5.000% Series C Cumulative Preferred Share of Beneficial Interest, of $0.3125 per depositary share. All dividends on the depositary shares will be payable on October 15, 2021 to shareholders of record as of October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Summary of Other Quarterly Activities and Recent Developments</w:t>
      </w:r>
    </w:p>
    <w:p>
      <w:pPr>
        <w:spacing w:after="0" w:line="270" w:lineRule="exact"/>
        <w:rPr>
          <w:sz w:val="20"/>
          <w:szCs w:val="20"/>
          <w:color w:val="auto"/>
        </w:rPr>
      </w:pPr>
    </w:p>
    <w:p>
      <w:pPr>
        <w:jc w:val="both"/>
        <w:spacing w:after="0" w:line="370" w:lineRule="auto"/>
        <w:rPr>
          <w:sz w:val="20"/>
          <w:szCs w:val="20"/>
          <w:color w:val="auto"/>
        </w:rPr>
      </w:pPr>
      <w:r>
        <w:rPr>
          <w:rFonts w:ascii="Arial" w:cs="Arial" w:eastAsia="Arial" w:hAnsi="Arial"/>
          <w:sz w:val="17"/>
          <w:szCs w:val="17"/>
          <w:color w:val="auto"/>
        </w:rPr>
        <w:t>Second Quarter 2021 – Federal Realty acquired Grossmont Center in greater San Diego, California, Chesterbrook in McLean, Virginia, and Camelback Colonnade and Hilton Village in the Phoenix Metro area. The 4 assets total 1.76 million square feet on 125 acres of land. Federal acquired its average 80% ownership interest in these assets based on a gross value of $407 million.</w:t>
      </w:r>
    </w:p>
    <w:p>
      <w:pPr>
        <w:spacing w:after="0" w:line="122" w:lineRule="exact"/>
        <w:rPr>
          <w:sz w:val="20"/>
          <w:szCs w:val="20"/>
          <w:color w:val="auto"/>
        </w:rPr>
      </w:pPr>
    </w:p>
    <w:p>
      <w:pPr>
        <w:jc w:val="both"/>
        <w:spacing w:after="0" w:line="375" w:lineRule="auto"/>
        <w:rPr>
          <w:sz w:val="20"/>
          <w:szCs w:val="20"/>
          <w:color w:val="auto"/>
        </w:rPr>
      </w:pPr>
      <w:r>
        <w:rPr>
          <w:rFonts w:ascii="Arial" w:cs="Arial" w:eastAsia="Arial" w:hAnsi="Arial"/>
          <w:sz w:val="17"/>
          <w:szCs w:val="17"/>
          <w:color w:val="auto"/>
        </w:rPr>
        <w:t>June 1, 2021 – Federal Realty issued its 2020 corporate responsibility report highlighting the Company’s ESG initiatives and accomplishments and established reduction targets of 15% for landlord controlled electric usage and 30% for greenhouse gas emissions by the end of 2025.</w:t>
      </w:r>
    </w:p>
    <w:p>
      <w:pPr>
        <w:spacing w:after="0" w:line="132" w:lineRule="exact"/>
        <w:rPr>
          <w:sz w:val="20"/>
          <w:szCs w:val="20"/>
          <w:color w:val="auto"/>
        </w:rPr>
      </w:pPr>
    </w:p>
    <w:p>
      <w:pPr>
        <w:jc w:val="both"/>
        <w:ind w:right="20"/>
        <w:spacing w:after="0" w:line="370" w:lineRule="auto"/>
        <w:rPr>
          <w:sz w:val="20"/>
          <w:szCs w:val="20"/>
          <w:color w:val="auto"/>
        </w:rPr>
      </w:pPr>
      <w:r>
        <w:rPr>
          <w:rFonts w:ascii="Arial" w:cs="Arial" w:eastAsia="Arial" w:hAnsi="Arial"/>
          <w:sz w:val="17"/>
          <w:szCs w:val="17"/>
          <w:color w:val="auto"/>
        </w:rPr>
        <w:t>May 2021 – The Institute for Market Transformation and the U.S. Department of Energy's (DOE) Better Buildings Alliance announced Federal Realty as a 2021 Green Lease Leader. Green Lease Leaders sets national standards for what constitutes a green lease, while recognizing landlords and tenants who modernize their leases to spur collaborative action on energy efficiency, cost-savings, air quality, and sustainability in buildings.</w:t>
      </w:r>
    </w:p>
    <w:p>
      <w:pPr>
        <w:spacing w:after="0" w:line="135" w:lineRule="exact"/>
        <w:rPr>
          <w:sz w:val="20"/>
          <w:szCs w:val="20"/>
          <w:color w:val="auto"/>
        </w:rPr>
      </w:pPr>
    </w:p>
    <w:p>
      <w:pPr>
        <w:jc w:val="both"/>
        <w:spacing w:after="0" w:line="375" w:lineRule="auto"/>
        <w:rPr>
          <w:sz w:val="20"/>
          <w:szCs w:val="20"/>
          <w:color w:val="auto"/>
        </w:rPr>
      </w:pPr>
      <w:r>
        <w:rPr>
          <w:rFonts w:ascii="Arial" w:cs="Arial" w:eastAsia="Arial" w:hAnsi="Arial"/>
          <w:sz w:val="17"/>
          <w:szCs w:val="17"/>
          <w:color w:val="auto"/>
        </w:rPr>
        <w:t>May 2021 – Federal Realty was selected by GlobeSt. as one of commercial real estate’s Best Places to Work in 2021. The annual series identifies and recognizes the most respected, rewarding workplaces that achieve outstanding performance.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Guidance</w:t>
      </w:r>
    </w:p>
    <w:p>
      <w:pPr>
        <w:spacing w:after="0" w:line="270" w:lineRule="exact"/>
        <w:rPr>
          <w:sz w:val="20"/>
          <w:szCs w:val="20"/>
          <w:color w:val="auto"/>
        </w:rPr>
      </w:pPr>
    </w:p>
    <w:p>
      <w:pPr>
        <w:jc w:val="both"/>
        <w:ind w:right="20"/>
        <w:spacing w:after="0" w:line="375" w:lineRule="auto"/>
        <w:rPr>
          <w:sz w:val="20"/>
          <w:szCs w:val="20"/>
          <w:color w:val="auto"/>
        </w:rPr>
      </w:pPr>
      <w:r>
        <w:rPr>
          <w:rFonts w:ascii="Arial" w:cs="Arial" w:eastAsia="Arial" w:hAnsi="Arial"/>
          <w:sz w:val="17"/>
          <w:szCs w:val="17"/>
          <w:color w:val="auto"/>
        </w:rPr>
        <w:t>Federal Realty increased its 2021 guidance for earnings per diluted share to $1.91 to $2.01 and 2021 FFO per diluted share guidance to $5.05 to $5.15.</w:t>
      </w:r>
    </w:p>
    <w:p>
      <w:pPr>
        <w:spacing w:after="0" w:line="132" w:lineRule="exact"/>
        <w:rPr>
          <w:sz w:val="20"/>
          <w:szCs w:val="20"/>
          <w:color w:val="auto"/>
        </w:rPr>
      </w:pPr>
    </w:p>
    <w:p>
      <w:pPr>
        <w:jc w:val="both"/>
        <w:spacing w:after="0" w:line="375" w:lineRule="auto"/>
        <w:rPr>
          <w:sz w:val="20"/>
          <w:szCs w:val="20"/>
          <w:color w:val="auto"/>
        </w:rPr>
      </w:pPr>
      <w:r>
        <w:rPr>
          <w:rFonts w:ascii="Arial" w:cs="Arial" w:eastAsia="Arial" w:hAnsi="Arial"/>
          <w:sz w:val="17"/>
          <w:szCs w:val="17"/>
          <w:color w:val="auto"/>
        </w:rPr>
        <w:t>Additionally, Federal Realty increased its 2022 guidance for earnings per diluted share to $1.99 to $2.19 and 2022 FFO per diluted share guidance to $5.30 to $5.50.</w:t>
      </w: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Conference Call Information</w:t>
      </w:r>
    </w:p>
    <w:p>
      <w:pPr>
        <w:spacing w:after="0" w:line="270" w:lineRule="exact"/>
        <w:rPr>
          <w:sz w:val="20"/>
          <w:szCs w:val="20"/>
          <w:color w:val="auto"/>
        </w:rPr>
      </w:pPr>
    </w:p>
    <w:p>
      <w:pPr>
        <w:jc w:val="both"/>
        <w:spacing w:after="0" w:line="367" w:lineRule="auto"/>
        <w:rPr>
          <w:sz w:val="20"/>
          <w:szCs w:val="20"/>
          <w:color w:val="auto"/>
        </w:rPr>
      </w:pPr>
      <w:r>
        <w:rPr>
          <w:rFonts w:ascii="Arial" w:cs="Arial" w:eastAsia="Arial" w:hAnsi="Arial"/>
          <w:sz w:val="17"/>
          <w:szCs w:val="17"/>
          <w:color w:val="auto"/>
        </w:rPr>
        <w:t>Federal Realty’s management team will present an in-depth discussion of Federal Realty’s operating performance on its second quarter 2021 earnings conference call, which is scheduled for Wednesday, August 4, 2021 at 5:00 PM ET. To participate, please call 877.407.9208 five to ten minutes prior to the call start time and use the passcode 13721508 (required). The teleconference can also be accessed via a live webcast at www.federalrealty.com in the Investors section. A replay of the webcast will be available on Federal Realty’s website at www.federalrealty.com. A telephonic replay of the conference call will also be available through August 18, 2021 by dialing 844.512.2921; Passcode: 13721508.</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Federal Realty</w:t>
      </w:r>
    </w:p>
    <w:p>
      <w:pPr>
        <w:spacing w:after="0" w:line="270" w:lineRule="exact"/>
        <w:rPr>
          <w:sz w:val="20"/>
          <w:szCs w:val="20"/>
          <w:color w:val="auto"/>
        </w:rPr>
      </w:pPr>
    </w:p>
    <w:p>
      <w:pPr>
        <w:jc w:val="both"/>
        <w:spacing w:after="0" w:line="367" w:lineRule="auto"/>
        <w:rPr>
          <w:sz w:val="20"/>
          <w:szCs w:val="20"/>
          <w:color w:val="auto"/>
        </w:rPr>
      </w:pPr>
      <w:r>
        <w:rPr>
          <w:rFonts w:ascii="Arial" w:cs="Arial" w:eastAsia="Arial" w:hAnsi="Arial"/>
          <w:sz w:val="17"/>
          <w:szCs w:val="17"/>
          <w:color w:val="auto"/>
        </w:rPr>
        <w:t>Federal Realty is a recognized leader in the ownership, operation and redevelopment of high-quality retail-based properties located primarily in major coastal markets from Washington, D.C. to Boston as well as San Francisco and Los Angeles. Founded in 1962, Federal Realty’s mission is to deliver long-term, sustainable growth through investing in communities where retail demand exceeds supply. Its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20" w:right="339" w:bottom="1440" w:gutter="0" w:footer="0" w:header="0"/>
        </w:sectPr>
      </w:pPr>
    </w:p>
    <w:bookmarkStart w:id="8" w:name="page9"/>
    <w:bookmarkEnd w:id="8"/>
    <w:p>
      <w:pPr>
        <w:ind w:right="20"/>
        <w:spacing w:after="0" w:line="3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by their respective communities. Federal Realty's 105 properties include approximately 3,000 tenants, in 25 million square feet, and approximately 2,900 residential units.</w:t>
      </w:r>
    </w:p>
    <w:p>
      <w:pPr>
        <w:spacing w:after="0" w:line="132" w:lineRule="exact"/>
        <w:rPr>
          <w:sz w:val="20"/>
          <w:szCs w:val="20"/>
          <w:color w:val="auto"/>
        </w:rPr>
      </w:pPr>
    </w:p>
    <w:p>
      <w:pPr>
        <w:ind w:right="140"/>
        <w:spacing w:after="0" w:line="370" w:lineRule="auto"/>
        <w:rPr>
          <w:sz w:val="20"/>
          <w:szCs w:val="20"/>
          <w:color w:val="auto"/>
        </w:rPr>
      </w:pPr>
      <w:r>
        <w:rPr>
          <w:rFonts w:ascii="Arial" w:cs="Arial" w:eastAsia="Arial" w:hAnsi="Arial"/>
          <w:sz w:val="17"/>
          <w:szCs w:val="17"/>
          <w:color w:val="auto"/>
        </w:rPr>
        <w:t>Federal Realty has increased its quarterly dividends to its shareholders for 54 consecutive years, the longest record in the REIT industry. Federal Realty is an S&amp;P 500 index member and its shares are traded on the NYSE under the symbol FRT. For additional information about Federal Realty and its properties, visit www.federalrealty.com.</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Language</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11, 2021, and include the following:</w:t>
      </w:r>
    </w:p>
    <w:p>
      <w:pPr>
        <w:spacing w:after="0" w:line="18" w:lineRule="exact"/>
        <w:rPr>
          <w:sz w:val="20"/>
          <w:szCs w:val="20"/>
          <w:color w:val="auto"/>
        </w:rPr>
      </w:pPr>
    </w:p>
    <w:p>
      <w:pPr>
        <w:ind w:left="980" w:right="60" w:hanging="324"/>
        <w:spacing w:after="0" w:line="238"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ind w:left="980" w:right="200" w:hanging="324"/>
        <w:spacing w:after="0" w:line="241" w:lineRule="auto"/>
        <w:tabs>
          <w:tab w:leader="none" w:pos="97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ind w:left="980" w:right="360" w:hanging="324"/>
        <w:spacing w:after="0" w:line="241" w:lineRule="auto"/>
        <w:tabs>
          <w:tab w:leader="none" w:pos="97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4"/>
          <w:szCs w:val="14"/>
          <w:i w:val="1"/>
          <w:iCs w:val="1"/>
          <w:color w:val="auto"/>
        </w:rPr>
      </w:pPr>
    </w:p>
    <w:p>
      <w:pPr>
        <w:ind w:left="980" w:hanging="324"/>
        <w:spacing w:after="0" w:line="241" w:lineRule="auto"/>
        <w:tabs>
          <w:tab w:leader="none" w:pos="97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4"/>
          <w:szCs w:val="14"/>
          <w:i w:val="1"/>
          <w:iCs w:val="1"/>
          <w:color w:val="auto"/>
        </w:rPr>
      </w:pPr>
    </w:p>
    <w:p>
      <w:pPr>
        <w:ind w:left="980" w:hanging="324"/>
        <w:spacing w:after="0"/>
        <w:tabs>
          <w:tab w:leader="none" w:pos="98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that our growth will be limited if we cannot obtain additional capital;</w:t>
      </w:r>
    </w:p>
    <w:p>
      <w:pPr>
        <w:spacing w:after="0" w:line="1" w:lineRule="exact"/>
        <w:rPr>
          <w:rFonts w:ascii="Arial" w:cs="Arial" w:eastAsia="Arial" w:hAnsi="Arial"/>
          <w:sz w:val="14"/>
          <w:szCs w:val="14"/>
          <w:i w:val="1"/>
          <w:iCs w:val="1"/>
          <w:color w:val="auto"/>
        </w:rPr>
      </w:pPr>
    </w:p>
    <w:p>
      <w:pPr>
        <w:ind w:left="980" w:hanging="324"/>
        <w:spacing w:after="0"/>
        <w:tabs>
          <w:tab w:leader="none" w:pos="98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1" w:lineRule="exact"/>
        <w:rPr>
          <w:rFonts w:ascii="Arial" w:cs="Arial" w:eastAsia="Arial" w:hAnsi="Arial"/>
          <w:sz w:val="14"/>
          <w:szCs w:val="14"/>
          <w:i w:val="1"/>
          <w:iCs w:val="1"/>
          <w:color w:val="auto"/>
        </w:rPr>
      </w:pPr>
    </w:p>
    <w:p>
      <w:pPr>
        <w:ind w:left="980" w:right="320" w:hanging="324"/>
        <w:spacing w:after="0" w:line="241" w:lineRule="auto"/>
        <w:tabs>
          <w:tab w:leader="none" w:pos="97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ind w:left="980" w:hanging="324"/>
        <w:spacing w:after="0" w:line="241" w:lineRule="auto"/>
        <w:tabs>
          <w:tab w:leader="none" w:pos="97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1" w:lineRule="exact"/>
        <w:rPr>
          <w:rFonts w:ascii="Arial" w:cs="Arial" w:eastAsia="Arial" w:hAnsi="Arial"/>
          <w:sz w:val="14"/>
          <w:szCs w:val="14"/>
          <w:i w:val="1"/>
          <w:iCs w:val="1"/>
          <w:color w:val="auto"/>
        </w:rPr>
      </w:pPr>
    </w:p>
    <w:p>
      <w:pPr>
        <w:ind w:left="980" w:right="40" w:hanging="324"/>
        <w:spacing w:after="0" w:line="247" w:lineRule="auto"/>
        <w:tabs>
          <w:tab w:leader="none" w:pos="97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34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11, 2021 and subsequent quarterly reports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40" w:right="339" w:bottom="1440" w:gutter="0" w:footer="0" w:header="0"/>
        </w:sectPr>
      </w:pPr>
    </w:p>
    <w:bookmarkStart w:id="9" w:name="page10"/>
    <w:bookmarkEnd w:id="9"/>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Income Statements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June 30,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380" w:type="dxa"/>
            <w:vAlign w:val="bottom"/>
          </w:tcPr>
          <w:p>
            <w:pPr>
              <w:spacing w:after="0"/>
              <w:rPr>
                <w:sz w:val="15"/>
                <w:szCs w:val="15"/>
                <w:color w:val="auto"/>
              </w:rPr>
            </w:pPr>
          </w:p>
        </w:tc>
        <w:tc>
          <w:tcPr>
            <w:tcW w:w="210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380" w:type="dxa"/>
            <w:vAlign w:val="bottom"/>
          </w:tcPr>
          <w:p>
            <w:pPr>
              <w:spacing w:after="0"/>
              <w:rPr>
                <w:sz w:val="16"/>
                <w:szCs w:val="16"/>
                <w:color w:val="auto"/>
              </w:rPr>
            </w:pPr>
          </w:p>
        </w:tc>
        <w:tc>
          <w:tcPr>
            <w:tcW w:w="12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Pr>
          <w:p>
            <w:pPr>
              <w:spacing w:after="0"/>
              <w:rPr>
                <w:sz w:val="16"/>
                <w:szCs w:val="16"/>
                <w:color w:val="auto"/>
              </w:rPr>
            </w:pPr>
          </w:p>
        </w:tc>
      </w:tr>
      <w:tr>
        <w:trPr>
          <w:trHeight w:val="187"/>
        </w:trPr>
        <w:tc>
          <w:tcPr>
            <w:tcW w:w="616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r>
      <w:tr>
        <w:trPr>
          <w:trHeight w:val="175"/>
        </w:trPr>
        <w:tc>
          <w:tcPr>
            <w:tcW w:w="6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gridSpan w:val="5"/>
          </w:tcPr>
          <w:p>
            <w:pPr>
              <w:spacing w:after="0"/>
              <w:rPr>
                <w:sz w:val="20"/>
                <w:szCs w:val="20"/>
                <w:color w:val="auto"/>
              </w:rPr>
            </w:pPr>
            <w:r>
              <w:rPr>
                <w:rFonts w:ascii="Arial" w:cs="Arial" w:eastAsia="Arial" w:hAnsi="Arial"/>
                <w:sz w:val="14"/>
                <w:szCs w:val="14"/>
                <w:b w:val="1"/>
                <w:bCs w:val="1"/>
                <w:color w:val="auto"/>
                <w:w w:val="99"/>
              </w:rPr>
              <w:t>(in thousands, except per share data)</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6"/>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42"/>
        </w:trPr>
        <w:tc>
          <w:tcPr>
            <w:tcW w:w="6160" w:type="dxa"/>
            <w:vAlign w:val="bottom"/>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29"/>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Rental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175,479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447,930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406,277</w:t>
            </w:r>
          </w:p>
        </w:tc>
      </w:tr>
      <w:tr>
        <w:trPr>
          <w:trHeight w:val="229"/>
        </w:trPr>
        <w:tc>
          <w:tcPr>
            <w:tcW w:w="6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Mortgage interest income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w:t>
            </w:r>
          </w:p>
        </w:tc>
      </w:tr>
      <w:tr>
        <w:trPr>
          <w:trHeight w:val="223"/>
        </w:trPr>
        <w:tc>
          <w:tcPr>
            <w:tcW w:w="6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231,625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176,227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449,786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407,784</w:t>
            </w:r>
          </w:p>
        </w:tc>
      </w:tr>
      <w:tr>
        <w:trPr>
          <w:trHeight w:val="209"/>
        </w:trPr>
        <w:tc>
          <w:tcPr>
            <w:tcW w:w="6160" w:type="dxa"/>
            <w:vAlign w:val="bottom"/>
          </w:tcPr>
          <w:p>
            <w:pPr>
              <w:ind w:left="2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Rental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80,729</w:t>
            </w:r>
          </w:p>
        </w:tc>
      </w:tr>
      <w:tr>
        <w:trPr>
          <w:trHeight w:val="229"/>
        </w:trPr>
        <w:tc>
          <w:tcPr>
            <w:tcW w:w="6160" w:type="dxa"/>
            <w:vAlign w:val="bottom"/>
          </w:tcPr>
          <w:p>
            <w:pPr>
              <w:ind w:left="220"/>
              <w:spacing w:after="0"/>
              <w:rPr>
                <w:sz w:val="20"/>
                <w:szCs w:val="20"/>
                <w:color w:val="auto"/>
              </w:rPr>
            </w:pPr>
            <w:r>
              <w:rPr>
                <w:rFonts w:ascii="Arial" w:cs="Arial" w:eastAsia="Arial" w:hAnsi="Arial"/>
                <w:sz w:val="18"/>
                <w:szCs w:val="18"/>
                <w:color w:val="auto"/>
              </w:rPr>
              <w:t>Real estate taxes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30,599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58,743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59,663</w:t>
            </w:r>
          </w:p>
        </w:tc>
      </w:tr>
      <w:tr>
        <w:trPr>
          <w:trHeight w:val="229"/>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20,065</w:t>
            </w:r>
          </w:p>
        </w:tc>
      </w:tr>
      <w:tr>
        <w:trPr>
          <w:trHeight w:val="230"/>
        </w:trPr>
        <w:tc>
          <w:tcPr>
            <w:tcW w:w="6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67,675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62,784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131,549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124,972</w:t>
            </w:r>
          </w:p>
        </w:tc>
      </w:tr>
      <w:tr>
        <w:trPr>
          <w:trHeight w:val="223"/>
        </w:trPr>
        <w:tc>
          <w:tcPr>
            <w:tcW w:w="6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152,762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139,614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305,552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285,429</w:t>
            </w:r>
          </w:p>
        </w:tc>
      </w:tr>
      <w:tr>
        <w:trPr>
          <w:trHeight w:val="250"/>
        </w:trPr>
        <w:tc>
          <w:tcPr>
            <w:tcW w:w="6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30"/>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sale of real estate and change in control of interest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11,682</w:t>
            </w:r>
          </w:p>
        </w:tc>
      </w:tr>
      <w:tr>
        <w:trPr>
          <w:trHeight w:val="250"/>
        </w:trPr>
        <w:tc>
          <w:tcPr>
            <w:tcW w:w="61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134,037</w:t>
            </w:r>
          </w:p>
        </w:tc>
      </w:tr>
      <w:tr>
        <w:trPr>
          <w:trHeight w:val="270"/>
        </w:trPr>
        <w:tc>
          <w:tcPr>
            <w:tcW w:w="6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160" w:type="dxa"/>
            <w:vAlign w:val="bottom"/>
          </w:tcPr>
          <w:p>
            <w:pPr>
              <w:ind w:left="220"/>
              <w:spacing w:after="0"/>
              <w:rPr>
                <w:sz w:val="20"/>
                <w:szCs w:val="20"/>
                <w:color w:val="auto"/>
              </w:rPr>
            </w:pPr>
            <w:r>
              <w:rPr>
                <w:rFonts w:ascii="Arial" w:cs="Arial" w:eastAsia="Arial" w:hAnsi="Arial"/>
                <w:sz w:val="18"/>
                <w:szCs w:val="18"/>
                <w:color w:val="auto"/>
              </w:rPr>
              <w:t>Other interest income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817</w:t>
            </w:r>
          </w:p>
        </w:tc>
      </w:tr>
      <w:tr>
        <w:trPr>
          <w:trHeight w:val="229"/>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(62,518)</w:t>
            </w:r>
          </w:p>
        </w:tc>
      </w:tr>
      <w:tr>
        <w:trPr>
          <w:trHeight w:val="230"/>
        </w:trPr>
        <w:tc>
          <w:tcPr>
            <w:tcW w:w="6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(loss) from partnerships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(5,036)</w:t>
            </w:r>
          </w:p>
        </w:tc>
      </w:tr>
      <w:tr>
        <w:trPr>
          <w:trHeight w:val="22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67,300</w:t>
            </w:r>
          </w:p>
        </w:tc>
      </w:tr>
      <w:tr>
        <w:trPr>
          <w:trHeight w:val="230"/>
        </w:trPr>
        <w:tc>
          <w:tcPr>
            <w:tcW w:w="6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w:t>
            </w:r>
          </w:p>
        </w:tc>
      </w:tr>
      <w:tr>
        <w:trPr>
          <w:trHeight w:val="22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TRUST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65,270</w:t>
            </w:r>
          </w:p>
        </w:tc>
      </w:tr>
      <w:tr>
        <w:trPr>
          <w:trHeight w:val="230"/>
        </w:trPr>
        <w:tc>
          <w:tcPr>
            <w:tcW w:w="6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Dividends on preferred shares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(4,021)</w:t>
            </w: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AVAILABLE FOR COMMON SHAREHOLDERS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61,249</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COMMON SHARE, BASIC:</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160" w:type="dxa"/>
            <w:vAlign w:val="bottom"/>
          </w:tcPr>
          <w:p>
            <w:pPr>
              <w:ind w:left="220"/>
              <w:spacing w:after="0"/>
              <w:rPr>
                <w:sz w:val="20"/>
                <w:szCs w:val="20"/>
                <w:color w:val="auto"/>
              </w:rPr>
            </w:pPr>
            <w:r>
              <w:rPr>
                <w:rFonts w:ascii="Arial" w:cs="Arial" w:eastAsia="Arial" w:hAnsi="Arial"/>
                <w:sz w:val="18"/>
                <w:szCs w:val="18"/>
                <w:color w:val="auto"/>
              </w:rPr>
              <w:t>Net income available for common shareholders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0.81</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4"/>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number of common shares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75,394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75,377</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EARNINGS PER COMMON SHARE, DILUTED:</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5"/>
        </w:trPr>
        <w:tc>
          <w:tcPr>
            <w:tcW w:w="6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 available for common shareholders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160" w:type="dxa"/>
            <w:vAlign w:val="bottom"/>
          </w:tcPr>
          <w:p>
            <w:pPr>
              <w:ind w:left="220"/>
              <w:spacing w:after="0" w:line="203" w:lineRule="exact"/>
              <w:rPr>
                <w:sz w:val="20"/>
                <w:szCs w:val="20"/>
                <w:color w:val="auto"/>
              </w:rPr>
            </w:pPr>
            <w:r>
              <w:rPr>
                <w:rFonts w:ascii="Arial" w:cs="Arial" w:eastAsia="Arial" w:hAnsi="Arial"/>
                <w:sz w:val="18"/>
                <w:szCs w:val="18"/>
                <w:color w:val="auto"/>
              </w:rPr>
              <w:t>Weighted average number of common shares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77,505</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75,394</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77,162</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75,377</w:t>
            </w:r>
          </w:p>
        </w:tc>
      </w:tr>
      <w:tr>
        <w:trPr>
          <w:trHeight w:val="20"/>
        </w:trPr>
        <w:tc>
          <w:tcPr>
            <w:tcW w:w="6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26"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5"/>
                <w:szCs w:val="15"/>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35"/>
        </w:trPr>
        <w:tc>
          <w:tcPr>
            <w:tcW w:w="8560" w:type="dxa"/>
            <w:vAlign w:val="bottom"/>
          </w:tcPr>
          <w:p>
            <w:pPr>
              <w:spacing w:after="0"/>
              <w:rPr>
                <w:sz w:val="11"/>
                <w:szCs w:val="11"/>
                <w:color w:val="auto"/>
              </w:rPr>
            </w:pPr>
          </w:p>
        </w:tc>
        <w:tc>
          <w:tcPr>
            <w:tcW w:w="2620" w:type="dxa"/>
            <w:vAlign w:val="bottom"/>
            <w:gridSpan w:val="5"/>
          </w:tcPr>
          <w:p>
            <w:pPr>
              <w:ind w:left="40"/>
              <w:spacing w:after="0" w:line="135" w:lineRule="exact"/>
              <w:rPr>
                <w:sz w:val="20"/>
                <w:szCs w:val="20"/>
                <w:color w:val="auto"/>
              </w:rPr>
            </w:pPr>
            <w:r>
              <w:rPr>
                <w:rFonts w:ascii="Arial" w:cs="Arial" w:eastAsia="Arial" w:hAnsi="Arial"/>
                <w:sz w:val="14"/>
                <w:szCs w:val="14"/>
                <w:b w:val="1"/>
                <w:bCs w:val="1"/>
                <w:color w:val="auto"/>
                <w:w w:val="91"/>
              </w:rPr>
              <w:t>(in thousands, except share and per share</w:t>
            </w:r>
          </w:p>
        </w:tc>
        <w:tc>
          <w:tcPr>
            <w:tcW w:w="0" w:type="dxa"/>
            <w:vAlign w:val="bottom"/>
          </w:tcPr>
          <w:p>
            <w:pPr>
              <w:spacing w:after="0"/>
              <w:rPr>
                <w:sz w:val="1"/>
                <w:szCs w:val="1"/>
                <w:color w:val="auto"/>
              </w:rPr>
            </w:pPr>
          </w:p>
        </w:tc>
      </w:tr>
      <w:tr>
        <w:trPr>
          <w:trHeight w:val="180"/>
        </w:trPr>
        <w:tc>
          <w:tcPr>
            <w:tcW w:w="8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data)</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8560" w:type="dxa"/>
            <w:vAlign w:val="bottom"/>
          </w:tcPr>
          <w:p>
            <w:pPr>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 estate, at cost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660"/>
              <w:spacing w:after="0"/>
              <w:rPr>
                <w:sz w:val="20"/>
                <w:szCs w:val="20"/>
                <w:color w:val="auto"/>
              </w:rPr>
            </w:pPr>
            <w:r>
              <w:rPr>
                <w:rFonts w:ascii="Arial" w:cs="Arial" w:eastAsia="Arial" w:hAnsi="Arial"/>
                <w:sz w:val="18"/>
                <w:szCs w:val="18"/>
                <w:color w:val="auto"/>
                <w:w w:val="96"/>
              </w:rPr>
              <w:t>Operating (including $2,184,537 and $1,703,202 of consolidated variable interest entities, respectively)</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8,412,137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7,771,981</w:t>
            </w:r>
          </w:p>
        </w:tc>
        <w:tc>
          <w:tcPr>
            <w:tcW w:w="0" w:type="dxa"/>
            <w:vAlign w:val="bottom"/>
          </w:tcPr>
          <w:p>
            <w:pPr>
              <w:spacing w:after="0"/>
              <w:rPr>
                <w:sz w:val="1"/>
                <w:szCs w:val="1"/>
                <w:color w:val="auto"/>
              </w:rPr>
            </w:pPr>
          </w:p>
        </w:tc>
      </w:tr>
      <w:tr>
        <w:trPr>
          <w:trHeight w:val="176"/>
        </w:trPr>
        <w:tc>
          <w:tcPr>
            <w:tcW w:w="856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rPr>
              <w:t>Construction-in-progress (including $24,679 and $44,896 of consolidated variable interest entities,</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858,488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810,889</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respectively)</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9,270,625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8,582,870</w:t>
            </w: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w w:val="91"/>
              </w:rPr>
              <w:t>Less accumulated depreciation and amortization (including $359,198 and $335,735 of consolidated variable</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(2,444,329)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(2,357,692)</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interest entities, respectively)</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60" w:type="dxa"/>
            <w:vAlign w:val="bottom"/>
          </w:tcPr>
          <w:p>
            <w:pPr>
              <w:ind w:left="340"/>
              <w:spacing w:after="0"/>
              <w:rPr>
                <w:sz w:val="20"/>
                <w:szCs w:val="20"/>
                <w:color w:val="auto"/>
              </w:rPr>
            </w:pPr>
            <w:r>
              <w:rPr>
                <w:rFonts w:ascii="Arial" w:cs="Arial" w:eastAsia="Arial" w:hAnsi="Arial"/>
                <w:sz w:val="18"/>
                <w:szCs w:val="18"/>
                <w:color w:val="auto"/>
              </w:rPr>
              <w:t>Net real estate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6,826,296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6,225,178</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798,329</w:t>
            </w:r>
          </w:p>
        </w:tc>
        <w:tc>
          <w:tcPr>
            <w:tcW w:w="0" w:type="dxa"/>
            <w:vAlign w:val="bottom"/>
          </w:tcPr>
          <w:p>
            <w:pPr>
              <w:spacing w:after="0"/>
              <w:rPr>
                <w:sz w:val="1"/>
                <w:szCs w:val="1"/>
                <w:color w:val="auto"/>
              </w:rPr>
            </w:pP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Accounts and notes receivable, net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153,293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159,780</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Mortgage notes receivable, net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39,892</w:t>
            </w:r>
          </w:p>
        </w:tc>
        <w:tc>
          <w:tcPr>
            <w:tcW w:w="0" w:type="dxa"/>
            <w:vAlign w:val="bottom"/>
          </w:tcPr>
          <w:p>
            <w:pPr>
              <w:spacing w:after="0"/>
              <w:rPr>
                <w:sz w:val="1"/>
                <w:szCs w:val="1"/>
                <w:color w:val="auto"/>
              </w:rPr>
            </w:pP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Investment in partnerships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22,128</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right of use assets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92,248</w:t>
            </w:r>
          </w:p>
        </w:tc>
        <w:tc>
          <w:tcPr>
            <w:tcW w:w="0" w:type="dxa"/>
            <w:vAlign w:val="bottom"/>
          </w:tcPr>
          <w:p>
            <w:pPr>
              <w:spacing w:after="0"/>
              <w:rPr>
                <w:sz w:val="1"/>
                <w:szCs w:val="1"/>
                <w:color w:val="auto"/>
              </w:rPr>
            </w:pP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Finance lease right of use assets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50,474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51,116</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230,994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218,953</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7,678,876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7,607,624</w:t>
            </w:r>
          </w:p>
        </w:tc>
        <w:tc>
          <w:tcPr>
            <w:tcW w:w="0" w:type="dxa"/>
            <w:vAlign w:val="bottom"/>
          </w:tcPr>
          <w:p>
            <w:pPr>
              <w:spacing w:after="0"/>
              <w:rPr>
                <w:sz w:val="1"/>
                <w:szCs w:val="1"/>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 AND SHAREHOLDERS’ EQUITY</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w w:val="99"/>
              </w:rPr>
              <w:t>Mortgages payable, net (including $396,732 and $413,681 of consolidated variable interest entities,</w:t>
            </w: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466,026</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484,111</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respectively)</w:t>
            </w:r>
          </w:p>
        </w:tc>
        <w:tc>
          <w:tcPr>
            <w:tcW w:w="18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rPr>
              <w:t>Notes payable, net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301,625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402,776</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Senior notes and debentures, net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3,405,282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3,404,488</w:t>
            </w:r>
          </w:p>
        </w:tc>
        <w:tc>
          <w:tcPr>
            <w:tcW w:w="0" w:type="dxa"/>
            <w:vAlign w:val="bottom"/>
          </w:tcPr>
          <w:p>
            <w:pPr>
              <w:spacing w:after="0"/>
              <w:rPr>
                <w:sz w:val="1"/>
                <w:szCs w:val="1"/>
                <w:color w:val="auto"/>
              </w:rPr>
            </w:pPr>
          </w:p>
        </w:tc>
      </w:t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253,092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228,641</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Dividends payable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83,839</w:t>
            </w:r>
          </w:p>
        </w:tc>
        <w:tc>
          <w:tcPr>
            <w:tcW w:w="0" w:type="dxa"/>
            <w:vAlign w:val="bottom"/>
          </w:tcPr>
          <w:p>
            <w:pPr>
              <w:spacing w:after="0"/>
              <w:rPr>
                <w:sz w:val="1"/>
                <w:szCs w:val="1"/>
                <w:color w:val="auto"/>
              </w:rPr>
            </w:pPr>
          </w:p>
        </w:tc>
      </w:t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rPr>
              <w:t>Security deposits payable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23,381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20,388</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lease liabilities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72,441</w:t>
            </w:r>
          </w:p>
        </w:tc>
        <w:tc>
          <w:tcPr>
            <w:tcW w:w="0" w:type="dxa"/>
            <w:vAlign w:val="bottom"/>
          </w:tcPr>
          <w:p>
            <w:pPr>
              <w:spacing w:after="0"/>
              <w:rPr>
                <w:sz w:val="1"/>
                <w:szCs w:val="1"/>
                <w:color w:val="auto"/>
              </w:rPr>
            </w:pPr>
          </w:p>
        </w:tc>
      </w:tr>
      <w:tr>
        <w:trPr>
          <w:trHeight w:val="229"/>
        </w:trPr>
        <w:tc>
          <w:tcPr>
            <w:tcW w:w="8560" w:type="dxa"/>
            <w:vAlign w:val="bottom"/>
          </w:tcPr>
          <w:p>
            <w:pPr>
              <w:ind w:left="660"/>
              <w:spacing w:after="0"/>
              <w:rPr>
                <w:sz w:val="20"/>
                <w:szCs w:val="20"/>
                <w:color w:val="auto"/>
              </w:rPr>
            </w:pPr>
            <w:r>
              <w:rPr>
                <w:rFonts w:ascii="Arial" w:cs="Arial" w:eastAsia="Arial" w:hAnsi="Arial"/>
                <w:sz w:val="18"/>
                <w:szCs w:val="18"/>
                <w:color w:val="auto"/>
              </w:rPr>
              <w:t>Finance lease liabilities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72,041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72,049</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liabilities and deferred credits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209,957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152,424</w:t>
            </w:r>
          </w:p>
        </w:tc>
        <w:tc>
          <w:tcPr>
            <w:tcW w:w="0" w:type="dxa"/>
            <w:vAlign w:val="bottom"/>
          </w:tcPr>
          <w:p>
            <w:pPr>
              <w:spacing w:after="0"/>
              <w:rPr>
                <w:sz w:val="1"/>
                <w:szCs w:val="1"/>
                <w:color w:val="auto"/>
              </w:rPr>
            </w:pPr>
          </w:p>
        </w:tc>
      </w:tr>
      <w:tr>
        <w:trPr>
          <w:trHeight w:val="223"/>
        </w:trPr>
        <w:tc>
          <w:tcPr>
            <w:tcW w:w="856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4,890,414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4,921,157</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Redeemable noncontrolling interests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212,623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137,720</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rPr>
              <w:t>Preferred shares, authorized 15,000,000 shares, $.01 par:</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w w:val="94"/>
              </w:rPr>
              <w:t>5.0% Series C Cumulative Redeemable Preferred Shares, (stated at liquidation preference $25,000 per</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share), 6,000 shares issued and outstanding</w:t>
            </w: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780"/>
              <w:spacing w:after="0" w:line="176" w:lineRule="exact"/>
              <w:rPr>
                <w:sz w:val="20"/>
                <w:szCs w:val="20"/>
                <w:color w:val="auto"/>
              </w:rPr>
            </w:pPr>
            <w:r>
              <w:rPr>
                <w:rFonts w:ascii="Arial" w:cs="Arial" w:eastAsia="Arial" w:hAnsi="Arial"/>
                <w:sz w:val="18"/>
                <w:szCs w:val="18"/>
                <w:color w:val="auto"/>
                <w:w w:val="90"/>
              </w:rPr>
              <w:t>5.417% Series 1 Cumulative Convertible Preferred Shares, (stated at liquidation preference $25 per share),</w:t>
            </w: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9,997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30"/>
        </w:trPr>
        <w:tc>
          <w:tcPr>
            <w:tcW w:w="8560" w:type="dxa"/>
            <w:vAlign w:val="bottom"/>
          </w:tcPr>
          <w:p>
            <w:pPr>
              <w:ind w:left="780"/>
              <w:spacing w:after="0"/>
              <w:rPr>
                <w:sz w:val="20"/>
                <w:szCs w:val="20"/>
                <w:color w:val="auto"/>
              </w:rPr>
            </w:pPr>
            <w:r>
              <w:rPr>
                <w:rFonts w:ascii="Arial" w:cs="Arial" w:eastAsia="Arial" w:hAnsi="Arial"/>
                <w:sz w:val="18"/>
                <w:szCs w:val="18"/>
                <w:color w:val="auto"/>
              </w:rPr>
              <w:t>399,896 shares issued and outstanding</w:t>
            </w: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w w:val="91"/>
              </w:rPr>
              <w:t>Common shares of beneficial interest, $.01 par, 100,000,000 shares authorized, 77,760,588 and 76,727,394</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shares issued and outstanding, respectively</w:t>
            </w: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3,395,189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3,297,305</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Accumulated dividends in excess of net income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(1,062,641)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(988,272)</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(5,644)</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shareholders’ equity of the Trust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2,490,089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2,464,157</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85,750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84,590</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2,575,839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2,548,747</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7,678,876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7,607,624</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10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180"/>
          </w:cols>
          <w:pgMar w:left="360" w:top="1026" w:right="359" w:bottom="1440" w:gutter="0" w:footer="0" w:header="0"/>
          <w:type w:val="continuous"/>
        </w:sectPr>
      </w:pPr>
    </w:p>
    <w:bookmarkStart w:id="11" w:name="page12"/>
    <w:bookmarkEnd w:id="11"/>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Funds From Operations / Other Supplemental Information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June 30,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0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5440" w:type="dxa"/>
            <w:vAlign w:val="bottom"/>
            <w:gridSpan w:val="5"/>
            <w:shd w:val="clear" w:color="auto" w:fill="CCEEFF"/>
          </w:tcPr>
          <w:p>
            <w:pPr>
              <w:spacing w:after="0" w:line="190" w:lineRule="exact"/>
              <w:rPr>
                <w:sz w:val="20"/>
                <w:szCs w:val="20"/>
                <w:color w:val="auto"/>
              </w:rPr>
            </w:pPr>
            <w:r>
              <w:rPr>
                <w:rFonts w:ascii="Arial" w:cs="Arial" w:eastAsia="Arial" w:hAnsi="Arial"/>
                <w:sz w:val="18"/>
                <w:szCs w:val="18"/>
                <w:color w:val="auto"/>
                <w:w w:val="98"/>
              </w:rPr>
              <w:t>Funds from Operations available for common shareholders (FFO) (1)</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0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Net income</w:t>
            </w:r>
          </w:p>
        </w:tc>
        <w:tc>
          <w:tcPr>
            <w:tcW w:w="44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CCEEFF"/>
            </w:tcBorders>
          </w:tcPr>
          <w:p>
            <w:pPr>
              <w:jc w:val="right"/>
              <w:ind w:right="132"/>
              <w:spacing w:after="0"/>
              <w:rPr>
                <w:sz w:val="20"/>
                <w:szCs w:val="20"/>
                <w:color w:val="auto"/>
              </w:rPr>
            </w:pPr>
            <w:r>
              <w:rPr>
                <w:rFonts w:ascii="Arial" w:cs="Arial" w:eastAsia="Arial" w:hAnsi="Arial"/>
                <w:sz w:val="18"/>
                <w:szCs w:val="18"/>
                <w:color w:val="auto"/>
              </w:rPr>
              <w:t>48,059</w:t>
            </w: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EEFF"/>
            </w:tcBorders>
          </w:tcPr>
          <w:p>
            <w:pPr>
              <w:jc w:val="right"/>
              <w:ind w:right="131"/>
              <w:spacing w:after="0"/>
              <w:rPr>
                <w:sz w:val="20"/>
                <w:szCs w:val="20"/>
                <w:color w:val="auto"/>
              </w:rPr>
            </w:pPr>
            <w:r>
              <w:rPr>
                <w:rFonts w:ascii="Arial" w:cs="Arial" w:eastAsia="Arial" w:hAnsi="Arial"/>
                <w:sz w:val="18"/>
                <w:szCs w:val="18"/>
                <w:color w:val="auto"/>
              </w:rPr>
              <w:t>10,859</w:t>
            </w: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CCEEFF"/>
            </w:tcBorders>
          </w:tcPr>
          <w:p>
            <w:pPr>
              <w:jc w:val="right"/>
              <w:ind w:right="132"/>
              <w:spacing w:after="0"/>
              <w:rPr>
                <w:sz w:val="20"/>
                <w:szCs w:val="20"/>
                <w:color w:val="auto"/>
              </w:rPr>
            </w:pPr>
            <w:r>
              <w:rPr>
                <w:rFonts w:ascii="Arial" w:cs="Arial" w:eastAsia="Arial" w:hAnsi="Arial"/>
                <w:sz w:val="18"/>
                <w:szCs w:val="18"/>
                <w:color w:val="auto"/>
              </w:rPr>
              <w:t>97,798</w:t>
            </w:r>
          </w:p>
        </w:tc>
        <w:tc>
          <w:tcPr>
            <w:tcW w:w="1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tcBorders>
          </w:tcPr>
          <w:p>
            <w:pPr>
              <w:jc w:val="right"/>
              <w:ind w:right="131"/>
              <w:spacing w:after="0"/>
              <w:rPr>
                <w:sz w:val="20"/>
                <w:szCs w:val="20"/>
                <w:color w:val="auto"/>
              </w:rPr>
            </w:pPr>
            <w:r>
              <w:rPr>
                <w:rFonts w:ascii="Arial" w:cs="Arial" w:eastAsia="Arial" w:hAnsi="Arial"/>
                <w:sz w:val="18"/>
                <w:szCs w:val="18"/>
                <w:color w:val="auto"/>
              </w:rPr>
              <w:t>67,300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(1,855)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(3,358)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gridSpan w:val="5"/>
          </w:tcPr>
          <w:p>
            <w:pPr>
              <w:spacing w:after="0"/>
              <w:rPr>
                <w:sz w:val="20"/>
                <w:szCs w:val="20"/>
                <w:color w:val="auto"/>
              </w:rPr>
            </w:pPr>
            <w:r>
              <w:rPr>
                <w:rFonts w:ascii="Arial" w:cs="Arial" w:eastAsia="Arial" w:hAnsi="Arial"/>
                <w:sz w:val="18"/>
                <w:szCs w:val="18"/>
                <w:color w:val="auto"/>
              </w:rPr>
              <w:t>Gain on sale of real estate and change in control of interest</w:t>
            </w:r>
          </w:p>
        </w:tc>
        <w:tc>
          <w:tcPr>
            <w:tcW w:w="3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(11,682)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(17,428)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w w:val="95"/>
              </w:rPr>
              <w:t>(11,682)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56,431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56,608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113,534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2"/>
              </w:rPr>
              <w:t>112,654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Amortization of initial direct costs of leases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9,181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4,809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13,925</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9,709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Funds from operations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111,816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60,242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204,471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2"/>
              </w:rPr>
              <w:t>175,951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gridSpan w:val="5"/>
          </w:tcPr>
          <w:p>
            <w:pPr>
              <w:spacing w:after="0"/>
              <w:rPr>
                <w:sz w:val="20"/>
                <w:szCs w:val="20"/>
                <w:color w:val="auto"/>
              </w:rPr>
            </w:pPr>
            <w:r>
              <w:rPr>
                <w:rFonts w:ascii="Arial" w:cs="Arial" w:eastAsia="Arial" w:hAnsi="Arial"/>
                <w:sz w:val="18"/>
                <w:szCs w:val="18"/>
                <w:color w:val="auto"/>
              </w:rPr>
              <w:t>Dividends on preferred shares (2)</w:t>
            </w:r>
          </w:p>
        </w:tc>
        <w:tc>
          <w:tcPr>
            <w:tcW w:w="320" w:type="dxa"/>
            <w:vAlign w:val="bottom"/>
          </w:tcPr>
          <w:p>
            <w:pPr>
              <w:spacing w:after="0"/>
              <w:rPr>
                <w:sz w:val="19"/>
                <w:szCs w:val="19"/>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(4,021)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(4,021)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 (3)</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1,525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Income attributable to unvested shares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(721)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5440" w:type="dxa"/>
            <w:vAlign w:val="bottom"/>
            <w:tcBorders>
              <w:bottom w:val="single" w:sz="8" w:color="CCEEFF"/>
            </w:tcBorders>
            <w:gridSpan w:val="5"/>
            <w:shd w:val="clear" w:color="auto" w:fill="CCEEFF"/>
          </w:tcPr>
          <w:p>
            <w:pPr>
              <w:ind w:left="340"/>
              <w:spacing w:after="0" w:line="196" w:lineRule="exact"/>
              <w:rPr>
                <w:sz w:val="20"/>
                <w:szCs w:val="20"/>
                <w:color w:val="auto"/>
              </w:rPr>
            </w:pPr>
            <w:r>
              <w:rPr>
                <w:rFonts w:ascii="Arial" w:cs="Arial" w:eastAsia="Arial" w:hAnsi="Arial"/>
                <w:sz w:val="18"/>
                <w:szCs w:val="18"/>
                <w:color w:val="auto"/>
              </w:rPr>
              <w:t>FFO</w:t>
            </w: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110,147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1"/>
              <w:spacing w:after="0" w:line="196" w:lineRule="exact"/>
              <w:rPr>
                <w:sz w:val="20"/>
                <w:szCs w:val="20"/>
                <w:color w:val="auto"/>
              </w:rPr>
            </w:pPr>
            <w:r>
              <w:rPr>
                <w:rFonts w:ascii="Arial" w:cs="Arial" w:eastAsia="Arial" w:hAnsi="Arial"/>
                <w:sz w:val="18"/>
                <w:szCs w:val="18"/>
                <w:color w:val="auto"/>
              </w:rPr>
              <w:t>57,982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201,254</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31"/>
              <w:spacing w:after="0" w:line="196" w:lineRule="exact"/>
              <w:rPr>
                <w:sz w:val="20"/>
                <w:szCs w:val="20"/>
                <w:color w:val="auto"/>
              </w:rPr>
            </w:pPr>
            <w:r>
              <w:rPr>
                <w:rFonts w:ascii="Arial" w:cs="Arial" w:eastAsia="Arial" w:hAnsi="Arial"/>
                <w:sz w:val="18"/>
                <w:szCs w:val="18"/>
                <w:color w:val="auto"/>
                <w:w w:val="92"/>
              </w:rPr>
              <w:t>172,961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bottom w:val="single" w:sz="8" w:color="CCEEFF"/>
            </w:tcBorders>
            <w:gridSpan w:val="5"/>
            <w:vMerge w:val="restart"/>
          </w:tcPr>
          <w:p>
            <w:pPr>
              <w:spacing w:after="0"/>
              <w:rPr>
                <w:sz w:val="20"/>
                <w:szCs w:val="20"/>
                <w:color w:val="auto"/>
              </w:rPr>
            </w:pPr>
            <w:r>
              <w:rPr>
                <w:rFonts w:ascii="Arial" w:cs="Arial" w:eastAsia="Arial" w:hAnsi="Arial"/>
                <w:sz w:val="18"/>
                <w:szCs w:val="18"/>
                <w:color w:val="auto"/>
              </w:rPr>
              <w:t>Weighted average number of common shares, diluted (2)(3)</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5440" w:type="dxa"/>
            <w:vAlign w:val="bottom"/>
            <w:gridSpan w:val="5"/>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32"/>
              <w:spacing w:after="0" w:line="176" w:lineRule="exact"/>
              <w:rPr>
                <w:sz w:val="20"/>
                <w:szCs w:val="20"/>
                <w:color w:val="auto"/>
              </w:rPr>
            </w:pPr>
            <w:r>
              <w:rPr>
                <w:rFonts w:ascii="Arial" w:cs="Arial" w:eastAsia="Arial" w:hAnsi="Arial"/>
                <w:sz w:val="18"/>
                <w:szCs w:val="18"/>
                <w:color w:val="auto"/>
              </w:rPr>
              <w:t>78,203</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31"/>
              <w:spacing w:after="0" w:line="176" w:lineRule="exact"/>
              <w:rPr>
                <w:sz w:val="20"/>
                <w:szCs w:val="20"/>
                <w:color w:val="auto"/>
              </w:rPr>
            </w:pPr>
            <w:r>
              <w:rPr>
                <w:rFonts w:ascii="Arial" w:cs="Arial" w:eastAsia="Arial" w:hAnsi="Arial"/>
                <w:sz w:val="18"/>
                <w:szCs w:val="18"/>
                <w:color w:val="auto"/>
              </w:rPr>
              <w:t>75,394</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32"/>
              <w:spacing w:after="0" w:line="176" w:lineRule="exact"/>
              <w:rPr>
                <w:sz w:val="20"/>
                <w:szCs w:val="20"/>
                <w:color w:val="auto"/>
              </w:rPr>
            </w:pPr>
            <w:r>
              <w:rPr>
                <w:rFonts w:ascii="Arial" w:cs="Arial" w:eastAsia="Arial" w:hAnsi="Arial"/>
                <w:sz w:val="18"/>
                <w:szCs w:val="18"/>
                <w:color w:val="auto"/>
              </w:rPr>
              <w:t>77,881</w:t>
            </w:r>
          </w:p>
        </w:tc>
        <w:tc>
          <w:tcPr>
            <w:tcW w:w="1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1"/>
              <w:spacing w:after="0" w:line="176" w:lineRule="exact"/>
              <w:rPr>
                <w:sz w:val="20"/>
                <w:szCs w:val="20"/>
                <w:color w:val="auto"/>
              </w:rPr>
            </w:pPr>
            <w:r>
              <w:rPr>
                <w:rFonts w:ascii="Arial" w:cs="Arial" w:eastAsia="Arial" w:hAnsi="Arial"/>
                <w:sz w:val="18"/>
                <w:szCs w:val="18"/>
                <w:color w:val="auto"/>
              </w:rPr>
              <w:t>76,126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Borders>
              <w:bottom w:val="single" w:sz="8" w:color="CCEEFF"/>
            </w:tcBorders>
            <w:shd w:val="clear" w:color="auto" w:fill="CCEEFF"/>
          </w:tcPr>
          <w:p>
            <w:pPr>
              <w:spacing w:after="0"/>
              <w:rPr>
                <w:sz w:val="18"/>
                <w:szCs w:val="18"/>
                <w:color w:val="auto"/>
              </w:rPr>
            </w:pPr>
          </w:p>
        </w:tc>
        <w:tc>
          <w:tcPr>
            <w:tcW w:w="5440" w:type="dxa"/>
            <w:vAlign w:val="bottom"/>
            <w:tcBorders>
              <w:bottom w:val="single" w:sz="8" w:color="CCEEFF"/>
            </w:tcBorders>
            <w:gridSpan w:val="5"/>
            <w:shd w:val="clear" w:color="auto" w:fill="CCEEFF"/>
          </w:tcPr>
          <w:p>
            <w:pPr>
              <w:spacing w:after="0" w:line="196" w:lineRule="exact"/>
              <w:rPr>
                <w:sz w:val="20"/>
                <w:szCs w:val="20"/>
                <w:color w:val="auto"/>
              </w:rPr>
            </w:pPr>
            <w:r>
              <w:rPr>
                <w:rFonts w:ascii="Arial" w:cs="Arial" w:eastAsia="Arial" w:hAnsi="Arial"/>
                <w:sz w:val="18"/>
                <w:szCs w:val="18"/>
                <w:color w:val="auto"/>
              </w:rPr>
              <w:t>FFO per diluted share</w:t>
            </w: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1"/>
              <w:spacing w:after="0" w:line="196" w:lineRule="exact"/>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31"/>
              <w:spacing w:after="0" w:line="196" w:lineRule="exact"/>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9"/>
              </w:rPr>
              <w:t>Dividends and Payout Ratios</w:t>
            </w:r>
          </w:p>
        </w:tc>
        <w:tc>
          <w:tcPr>
            <w:tcW w:w="3340" w:type="dxa"/>
            <w:vAlign w:val="bottom"/>
            <w:tcBorders>
              <w:bottom w:val="single" w:sz="8" w:color="CCEEFF"/>
            </w:tcBorders>
            <w:gridSpan w:val="4"/>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gridSpan w:val="5"/>
          </w:tcPr>
          <w:p>
            <w:pPr>
              <w:spacing w:after="0"/>
              <w:rPr>
                <w:sz w:val="20"/>
                <w:szCs w:val="20"/>
                <w:color w:val="auto"/>
              </w:rPr>
            </w:pPr>
            <w:r>
              <w:rPr>
                <w:rFonts w:ascii="Arial" w:cs="Arial" w:eastAsia="Arial" w:hAnsi="Arial"/>
                <w:sz w:val="18"/>
                <w:szCs w:val="18"/>
                <w:color w:val="auto"/>
              </w:rPr>
              <w:t>Regular common dividends declared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82,417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79,407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164,788</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31"/>
              <w:spacing w:after="0"/>
              <w:rPr>
                <w:sz w:val="20"/>
                <w:szCs w:val="20"/>
                <w:color w:val="auto"/>
              </w:rPr>
            </w:pPr>
            <w:r>
              <w:rPr>
                <w:rFonts w:ascii="Arial" w:cs="Arial" w:eastAsia="Arial" w:hAnsi="Arial"/>
                <w:sz w:val="18"/>
                <w:szCs w:val="18"/>
                <w:color w:val="auto"/>
                <w:w w:val="92"/>
              </w:rPr>
              <w:t>158,810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Dividend payout ratio as a percentage of FFO</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46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0"/>
              </w:rPr>
              <w:t>Summary of Capital Expenditures</w:t>
            </w:r>
          </w:p>
        </w:tc>
        <w:tc>
          <w:tcPr>
            <w:tcW w:w="2980" w:type="dxa"/>
            <w:vAlign w:val="bottom"/>
            <w:tcBorders>
              <w:bottom w:val="single" w:sz="8" w:color="CCEEFF"/>
            </w:tcBorders>
            <w:gridSpan w:val="3"/>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gridSpan w:val="5"/>
          </w:tcPr>
          <w:p>
            <w:pPr>
              <w:spacing w:after="0"/>
              <w:rPr>
                <w:sz w:val="20"/>
                <w:szCs w:val="20"/>
                <w:color w:val="auto"/>
              </w:rPr>
            </w:pPr>
            <w:r>
              <w:rPr>
                <w:rFonts w:ascii="Arial" w:cs="Arial" w:eastAsia="Arial" w:hAnsi="Arial"/>
                <w:sz w:val="18"/>
                <w:szCs w:val="18"/>
                <w:color w:val="auto"/>
              </w:rPr>
              <w:t>Non-maintenance capital expenditures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Development, redevelopment and expansions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117,176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90,553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201,877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2"/>
              </w:rPr>
              <w:t>207,318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gridSpan w:val="5"/>
          </w:tcPr>
          <w:p>
            <w:pPr>
              <w:ind w:left="340"/>
              <w:spacing w:after="0"/>
              <w:rPr>
                <w:sz w:val="20"/>
                <w:szCs w:val="20"/>
                <w:color w:val="auto"/>
              </w:rPr>
            </w:pPr>
            <w:r>
              <w:rPr>
                <w:rFonts w:ascii="Arial" w:cs="Arial" w:eastAsia="Arial" w:hAnsi="Arial"/>
                <w:sz w:val="18"/>
                <w:szCs w:val="18"/>
                <w:color w:val="auto"/>
              </w:rPr>
              <w:t>Tenant improvements and incentives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14,081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11,988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26,852</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22,649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non-maintenance capital expenditures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131,257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102,541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228,729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2"/>
              </w:rPr>
              <w:t>229,967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gridSpan w:val="5"/>
          </w:tcPr>
          <w:p>
            <w:pPr>
              <w:ind w:left="340"/>
              <w:spacing w:after="0"/>
              <w:rPr>
                <w:sz w:val="20"/>
                <w:szCs w:val="20"/>
                <w:color w:val="auto"/>
              </w:rPr>
            </w:pPr>
            <w:r>
              <w:rPr>
                <w:rFonts w:ascii="Arial" w:cs="Arial" w:eastAsia="Arial" w:hAnsi="Arial"/>
                <w:sz w:val="18"/>
                <w:szCs w:val="18"/>
                <w:color w:val="auto"/>
              </w:rPr>
              <w:t>Maintenance capital expenditures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5,351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3,253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9,212</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6,015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136,608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105,794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237,941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2"/>
              </w:rPr>
              <w:t>235,982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960" w:type="dxa"/>
            <w:vAlign w:val="bottom"/>
            <w:tcBorders>
              <w:bottom w:val="single" w:sz="8" w:color="auto"/>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w w:val="92"/>
              </w:rPr>
              <w:t>Noncontrolling Interests Supplemental Information (4)</w:t>
            </w:r>
          </w:p>
        </w:tc>
        <w:tc>
          <w:tcPr>
            <w:tcW w:w="1480" w:type="dxa"/>
            <w:vAlign w:val="bottom"/>
            <w:tcBorders>
              <w:bottom w:val="single" w:sz="8" w:color="CCEEFF"/>
            </w:tcBorders>
            <w:gridSpan w:val="2"/>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5"/>
          </w:tcPr>
          <w:p>
            <w:pPr>
              <w:spacing w:after="0"/>
              <w:rPr>
                <w:sz w:val="20"/>
                <w:szCs w:val="20"/>
                <w:color w:val="auto"/>
              </w:rPr>
            </w:pPr>
            <w:r>
              <w:rPr>
                <w:rFonts w:ascii="Arial" w:cs="Arial" w:eastAsia="Arial" w:hAnsi="Arial"/>
                <w:sz w:val="18"/>
                <w:szCs w:val="18"/>
                <w:color w:val="auto"/>
              </w:rPr>
              <w:t>Property operating income (1)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3,088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5,734</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4,580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(2,956)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1,115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1,833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59" w:lineRule="exact"/>
        <w:rPr>
          <w:rFonts w:ascii="Arial" w:cs="Arial" w:eastAsia="Arial" w:hAnsi="Arial"/>
          <w:sz w:val="16"/>
          <w:szCs w:val="16"/>
          <w:color w:val="auto"/>
        </w:rPr>
      </w:pPr>
    </w:p>
    <w:p>
      <w:pPr>
        <w:ind w:left="660" w:right="280" w:hanging="652"/>
        <w:spacing w:after="0" w:line="27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three and six months ended June 30, 2021 and 2020, dividends on our Series 1 preferred stock were not deducted in the calculation of FFO available to common shareholders, as the related shares were dilutive and included in "weighted average common shares, diluted."</w:t>
      </w:r>
    </w:p>
    <w:p>
      <w:pPr>
        <w:spacing w:after="0" w:line="10" w:lineRule="exact"/>
        <w:rPr>
          <w:rFonts w:ascii="Arial" w:cs="Arial" w:eastAsia="Arial" w:hAnsi="Arial"/>
          <w:sz w:val="16"/>
          <w:szCs w:val="16"/>
          <w:color w:val="auto"/>
        </w:rPr>
      </w:pPr>
    </w:p>
    <w:p>
      <w:pPr>
        <w:ind w:left="660" w:right="60" w:hanging="652"/>
        <w:spacing w:after="0" w:line="274"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For the three months ended June 30, 2020, income attributable to operating partnership units is not added back in the calculation of FFO available to common shareholders, as the related shares are not dilutive and are not included in "weighted average common shares, diluted" for this period. For the three months ended June 30, 2021 and 2020 and the six months ended June 30, 2020, the weighted average common shares used to compute FFO per diluted common share includes operating partnership units that were excluded from the computation of diluted EPS. Conversion of these operating partnership units is dilutive in the computation of FFO per diluted share but is anti-dilutive for the computation of dilutive EPS for these periods.</w:t>
      </w:r>
    </w:p>
    <w:p>
      <w:pPr>
        <w:spacing w:after="0" w:line="14" w:lineRule="exact"/>
        <w:rPr>
          <w:rFonts w:ascii="Arial" w:cs="Arial" w:eastAsia="Arial" w:hAnsi="Arial"/>
          <w:sz w:val="15"/>
          <w:szCs w:val="15"/>
          <w:color w:val="auto"/>
        </w:rPr>
      </w:pPr>
    </w:p>
    <w:p>
      <w:pPr>
        <w:ind w:left="660" w:hanging="652"/>
        <w:spacing w:after="0"/>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Amounts reflect the components of "net income attributable to noncontrolling interests," but exclude "income attributable to operating partnership units."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147"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COVID-19 Collectibility Related Impacts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June 30, 2021</w:t>
      </w:r>
    </w:p>
    <w:p>
      <w:pPr>
        <w:spacing w:after="0" w:line="329"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The following provides supplemental information regarding our collectibility related impacts resulting from COVID-19 for the three months ended June 30, 2021. The primary drivers of our collectibility impacts in the quarter are from tenants who we account for on a cash basis or converted to a cash basis of accounting during the quarter, as we did not receive full contractual rent payments, as well as COVID-19 related rent abatements. We change a tenant to a cash basis of accounting when we determine collection of substantially all lease payments during the lease term is not considered probable; revenue is then limited to the lesser of revenue recognized under accrual accounting or cash received. Our full revenue recognition policy with respect to leases can be found in Note 2 of our December 31, 2020 Annual Report on Form 10-K.</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212529"/>
        </w:rPr>
        <w:t>Collectibility Impacts for the Quarter Ended June 30, 2021</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3720" w:type="dxa"/>
            <w:vAlign w:val="bottom"/>
            <w:gridSpan w:val="2"/>
          </w:tcPr>
          <w:p>
            <w:pPr>
              <w:jc w:val="center"/>
              <w:ind w:left="1937"/>
              <w:spacing w:after="0"/>
              <w:rPr>
                <w:sz w:val="20"/>
                <w:szCs w:val="20"/>
                <w:color w:val="auto"/>
              </w:rPr>
            </w:pPr>
            <w:r>
              <w:rPr>
                <w:rFonts w:ascii="Arial" w:cs="Arial" w:eastAsia="Arial" w:hAnsi="Arial"/>
                <w:sz w:val="16"/>
                <w:szCs w:val="16"/>
                <w:b w:val="1"/>
                <w:bCs w:val="1"/>
                <w:color w:val="auto"/>
                <w:w w:val="88"/>
              </w:rPr>
              <w:t>Accounts Receivable</w:t>
            </w:r>
          </w:p>
        </w:tc>
        <w:tc>
          <w:tcPr>
            <w:tcW w:w="200" w:type="dxa"/>
            <w:vAlign w:val="bottom"/>
          </w:tcPr>
          <w:p>
            <w:pPr>
              <w:spacing w:after="0"/>
              <w:rPr>
                <w:sz w:val="16"/>
                <w:szCs w:val="16"/>
                <w:color w:val="auto"/>
              </w:rPr>
            </w:pPr>
          </w:p>
        </w:tc>
        <w:tc>
          <w:tcPr>
            <w:tcW w:w="1520" w:type="dxa"/>
            <w:vAlign w:val="bottom"/>
          </w:tcPr>
          <w:p>
            <w:pPr>
              <w:jc w:val="center"/>
              <w:ind w:right="78"/>
              <w:spacing w:after="0"/>
              <w:rPr>
                <w:sz w:val="20"/>
                <w:szCs w:val="20"/>
                <w:color w:val="auto"/>
              </w:rPr>
            </w:pPr>
            <w:r>
              <w:rPr>
                <w:rFonts w:ascii="Arial" w:cs="Arial" w:eastAsia="Arial" w:hAnsi="Arial"/>
                <w:sz w:val="16"/>
                <w:szCs w:val="16"/>
                <w:b w:val="1"/>
                <w:bCs w:val="1"/>
                <w:color w:val="auto"/>
                <w:w w:val="95"/>
              </w:rPr>
              <w:t>Straight-Line Rent</w:t>
            </w:r>
          </w:p>
        </w:tc>
        <w:tc>
          <w:tcPr>
            <w:tcW w:w="440" w:type="dxa"/>
            <w:vAlign w:val="bottom"/>
          </w:tcPr>
          <w:p>
            <w:pPr>
              <w:spacing w:after="0"/>
              <w:rPr>
                <w:sz w:val="16"/>
                <w:szCs w:val="16"/>
                <w:color w:val="auto"/>
              </w:rPr>
            </w:pPr>
          </w:p>
        </w:tc>
        <w:tc>
          <w:tcPr>
            <w:tcW w:w="1260" w:type="dxa"/>
            <w:vAlign w:val="bottom"/>
            <w:vMerge w:val="restart"/>
          </w:tcPr>
          <w:p>
            <w:pPr>
              <w:jc w:val="right"/>
              <w:ind w:right="557"/>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1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297"/>
              <w:spacing w:after="0"/>
              <w:rPr>
                <w:sz w:val="20"/>
                <w:szCs w:val="20"/>
                <w:color w:val="auto"/>
              </w:rPr>
            </w:pPr>
            <w:r>
              <w:rPr>
                <w:rFonts w:ascii="Arial" w:cs="Arial" w:eastAsia="Arial" w:hAnsi="Arial"/>
                <w:sz w:val="16"/>
                <w:szCs w:val="16"/>
                <w:b w:val="1"/>
                <w:bCs w:val="1"/>
                <w:color w:val="auto"/>
                <w:w w:val="96"/>
              </w:rPr>
              <w:t>Impact</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b w:val="1"/>
                <w:bCs w:val="1"/>
                <w:color w:val="auto"/>
                <w:w w:val="91"/>
              </w:rPr>
              <w:t>Receivable Impact</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center"/>
              <w:ind w:right="78"/>
              <w:spacing w:after="0"/>
              <w:rPr>
                <w:sz w:val="20"/>
                <w:szCs w:val="20"/>
                <w:color w:val="auto"/>
              </w:rPr>
            </w:pPr>
            <w:r>
              <w:rPr>
                <w:rFonts w:ascii="Arial" w:cs="Arial" w:eastAsia="Arial" w:hAnsi="Arial"/>
                <w:sz w:val="16"/>
                <w:szCs w:val="16"/>
                <w:b w:val="1"/>
                <w:bCs w:val="1"/>
                <w:color w:val="auto"/>
                <w:w w:val="90"/>
              </w:rPr>
              <w:t>(in thousands)</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collectibility impact (1)</w:t>
            </w:r>
          </w:p>
        </w:tc>
        <w:tc>
          <w:tcPr>
            <w:tcW w:w="240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6,230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175</w:t>
            </w:r>
          </w:p>
        </w:tc>
        <w:tc>
          <w:tcPr>
            <w:tcW w:w="44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6,405</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auto"/>
        </w:rPr>
        <w:t>Note:</w:t>
      </w:r>
    </w:p>
    <w:p>
      <w:pPr>
        <w:spacing w:after="0" w:line="21" w:lineRule="exact"/>
        <w:rPr>
          <w:sz w:val="20"/>
          <w:szCs w:val="20"/>
          <w:color w:val="auto"/>
        </w:rPr>
      </w:pPr>
    </w:p>
    <w:p>
      <w:pPr>
        <w:ind w:left="680" w:hanging="641"/>
        <w:spacing w:after="0"/>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approximately $7 million related to the abatement of Q2 2021 contractual rents due to COVID-19.</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Information on Cash Basis Tenants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916"/>
              <w:spacing w:after="0"/>
              <w:rPr>
                <w:sz w:val="20"/>
                <w:szCs w:val="20"/>
                <w:color w:val="auto"/>
              </w:rPr>
            </w:pPr>
            <w:r>
              <w:rPr>
                <w:rFonts w:ascii="Arial" w:cs="Arial" w:eastAsia="Arial" w:hAnsi="Arial"/>
                <w:sz w:val="16"/>
                <w:szCs w:val="16"/>
                <w:b w:val="1"/>
                <w:bCs w:val="1"/>
                <w:color w:val="auto"/>
                <w:w w:val="90"/>
              </w:rPr>
              <w:t>As of June 30, 2021</w:t>
            </w:r>
          </w:p>
        </w:tc>
        <w:tc>
          <w:tcPr>
            <w:tcW w:w="0" w:type="dxa"/>
            <w:vAlign w:val="bottom"/>
          </w:tcPr>
          <w:p>
            <w:pPr>
              <w:spacing w:after="0"/>
              <w:rPr>
                <w:sz w:val="1"/>
                <w:szCs w:val="1"/>
                <w:color w:val="auto"/>
              </w:rPr>
            </w:pPr>
          </w:p>
        </w:tc>
      </w:tr>
      <w:tr>
        <w:trPr>
          <w:trHeight w:val="158"/>
        </w:trPr>
        <w:tc>
          <w:tcPr>
            <w:tcW w:w="79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 Recognized on a</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Cash Basis</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Active commercial tenant leases</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2,969</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35%</w:t>
            </w:r>
          </w:p>
        </w:tc>
        <w:tc>
          <w:tcPr>
            <w:tcW w:w="0" w:type="dxa"/>
            <w:vAlign w:val="bottom"/>
          </w:tcPr>
          <w:p>
            <w:pPr>
              <w:spacing w:after="0"/>
              <w:rPr>
                <w:sz w:val="1"/>
                <w:szCs w:val="1"/>
                <w:color w:val="auto"/>
              </w:rPr>
            </w:pPr>
          </w:p>
        </w:tc>
      </w:tr>
      <w:tr>
        <w:trPr>
          <w:trHeight w:val="216"/>
        </w:trPr>
        <w:tc>
          <w:tcPr>
            <w:tcW w:w="7900" w:type="dxa"/>
            <w:vAlign w:val="bottom"/>
          </w:tcPr>
          <w:p>
            <w:pPr>
              <w:ind w:left="20"/>
              <w:spacing w:after="0"/>
              <w:rPr>
                <w:sz w:val="20"/>
                <w:szCs w:val="20"/>
                <w:color w:val="auto"/>
              </w:rPr>
            </w:pPr>
            <w:r>
              <w:rPr>
                <w:rFonts w:ascii="Arial" w:cs="Arial" w:eastAsia="Arial" w:hAnsi="Arial"/>
                <w:sz w:val="17"/>
                <w:szCs w:val="17"/>
                <w:color w:val="auto"/>
              </w:rPr>
              <w:t>Annualized base rent from commercial tenants (in millions) (2)</w:t>
            </w:r>
          </w:p>
        </w:tc>
        <w:tc>
          <w:tcPr>
            <w:tcW w:w="980" w:type="dxa"/>
            <w:vAlign w:val="bottom"/>
          </w:tcPr>
          <w:p>
            <w:pPr>
              <w:jc w:val="right"/>
              <w:ind w:right="797"/>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664</w:t>
            </w: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7"/>
                <w:szCs w:val="17"/>
                <w:color w:val="auto"/>
                <w:w w:val="88"/>
              </w:rPr>
              <w:t>26%</w:t>
            </w:r>
          </w:p>
        </w:tc>
        <w:tc>
          <w:tcPr>
            <w:tcW w:w="0" w:type="dxa"/>
            <w:vAlign w:val="bottom"/>
          </w:tcPr>
          <w:p>
            <w:pPr>
              <w:spacing w:after="0"/>
              <w:rPr>
                <w:sz w:val="1"/>
                <w:szCs w:val="1"/>
                <w:color w:val="auto"/>
              </w:rPr>
            </w:pPr>
          </w:p>
        </w:tc>
      </w:tr>
      <w:tr>
        <w:trPr>
          <w:trHeight w:val="455"/>
        </w:trPr>
        <w:tc>
          <w:tcPr>
            <w:tcW w:w="7900" w:type="dxa"/>
            <w:vAlign w:val="bottom"/>
          </w:tcPr>
          <w:p>
            <w:pPr>
              <w:spacing w:after="0"/>
              <w:rPr>
                <w:sz w:val="20"/>
                <w:szCs w:val="20"/>
                <w:color w:val="auto"/>
              </w:rPr>
            </w:pPr>
            <w:r>
              <w:rPr>
                <w:rFonts w:ascii="Arial" w:cs="Arial" w:eastAsia="Arial" w:hAnsi="Arial"/>
                <w:sz w:val="17"/>
                <w:szCs w:val="17"/>
                <w:b w:val="1"/>
                <w:bCs w:val="1"/>
                <w:color w:val="auto"/>
              </w:rPr>
              <w:t>Rent Deferrals and Rent Abatements</w:t>
            </w: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7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gridSpan w:val="2"/>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Cumulative contractual rent deferred (in millions) (3)</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16"/>
        </w:trPr>
        <w:tc>
          <w:tcPr>
            <w:tcW w:w="7900" w:type="dxa"/>
            <w:vAlign w:val="bottom"/>
          </w:tcPr>
          <w:p>
            <w:pPr>
              <w:ind w:left="20"/>
              <w:spacing w:after="0"/>
              <w:rPr>
                <w:sz w:val="20"/>
                <w:szCs w:val="20"/>
                <w:color w:val="auto"/>
              </w:rPr>
            </w:pPr>
            <w:r>
              <w:rPr>
                <w:rFonts w:ascii="Arial" w:cs="Arial" w:eastAsia="Arial" w:hAnsi="Arial"/>
                <w:sz w:val="17"/>
                <w:szCs w:val="17"/>
                <w:color w:val="auto"/>
              </w:rPr>
              <w:t>Cumulative deferral payments collected through June 30, 2021 (in millions) (4)</w:t>
            </w:r>
          </w:p>
        </w:tc>
        <w:tc>
          <w:tcPr>
            <w:tcW w:w="9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Contractual rent abated (in millions) (5)</w:t>
            </w: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720" w:hanging="694"/>
        <w:spacing w:after="0"/>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20" w:lineRule="exact"/>
        <w:rPr>
          <w:rFonts w:ascii="Arial" w:cs="Arial" w:eastAsia="Arial" w:hAnsi="Arial"/>
          <w:sz w:val="17"/>
          <w:szCs w:val="17"/>
          <w:color w:val="auto"/>
        </w:rPr>
      </w:pPr>
    </w:p>
    <w:p>
      <w:pPr>
        <w:ind w:left="720" w:right="540" w:hanging="694"/>
        <w:spacing w:after="0" w:line="262" w:lineRule="auto"/>
        <w:tabs>
          <w:tab w:leader="none" w:pos="720" w:val="left"/>
        </w:tabs>
        <w:numPr>
          <w:ilvl w:val="0"/>
          <w:numId w:val="8"/>
        </w:numPr>
        <w:rPr>
          <w:rFonts w:ascii="Arial" w:cs="Arial" w:eastAsia="Arial" w:hAnsi="Arial"/>
          <w:sz w:val="15"/>
          <w:szCs w:val="15"/>
          <w:color w:val="auto"/>
        </w:rPr>
      </w:pPr>
      <w:r>
        <w:rPr>
          <w:rFonts w:ascii="Arial" w:cs="Arial" w:eastAsia="Arial" w:hAnsi="Arial"/>
          <w:sz w:val="15"/>
          <w:szCs w:val="15"/>
          <w:color w:val="auto"/>
        </w:rPr>
        <w:t>Total contractual rent for April 2020 through June 2021 that has been deferred pursuant to modification agreements signed through June 30, 2021. Accrual basis tenants comprise approximately 50% of this cumulative deferred rent for executed agreements in place as of June 30, 2021.</w:t>
      </w:r>
    </w:p>
    <w:p>
      <w:pPr>
        <w:spacing w:after="0" w:line="1" w:lineRule="exact"/>
        <w:rPr>
          <w:rFonts w:ascii="Arial" w:cs="Arial" w:eastAsia="Arial" w:hAnsi="Arial"/>
          <w:sz w:val="15"/>
          <w:szCs w:val="15"/>
          <w:color w:val="auto"/>
        </w:rPr>
      </w:pPr>
    </w:p>
    <w:p>
      <w:pPr>
        <w:ind w:left="720" w:hanging="694"/>
        <w:spacing w:after="0"/>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Deferral payments collected to date represent approximately 90% of the amounts agreed to be repaid by June 30, 2021.</w:t>
      </w:r>
    </w:p>
    <w:p>
      <w:pPr>
        <w:spacing w:after="0" w:line="20" w:lineRule="exact"/>
        <w:rPr>
          <w:rFonts w:ascii="Arial" w:cs="Arial" w:eastAsia="Arial" w:hAnsi="Arial"/>
          <w:sz w:val="17"/>
          <w:szCs w:val="17"/>
          <w:color w:val="auto"/>
        </w:rPr>
      </w:pPr>
    </w:p>
    <w:p>
      <w:pPr>
        <w:ind w:left="720" w:hanging="694"/>
        <w:spacing w:after="0"/>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Total contractual rent abated related to the six months ended June 30, 2021.</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300" w:type="dxa"/>
            <w:vAlign w:val="bottom"/>
          </w:tcPr>
          <w:p>
            <w:pPr>
              <w:spacing w:after="0"/>
              <w:rPr>
                <w:sz w:val="20"/>
                <w:szCs w:val="20"/>
                <w:color w:val="auto"/>
              </w:rPr>
            </w:pPr>
            <w:r>
              <w:rPr>
                <w:rFonts w:ascii="Arial" w:cs="Arial" w:eastAsia="Arial" w:hAnsi="Arial"/>
                <w:sz w:val="17"/>
                <w:szCs w:val="17"/>
                <w:b w:val="1"/>
                <w:bCs w:val="1"/>
                <w:color w:val="auto"/>
              </w:rPr>
              <w:t>Collection Rates - Q2 2021 Billed Recurring Rents (6)</w:t>
            </w:r>
          </w:p>
        </w:tc>
        <w:tc>
          <w:tcPr>
            <w:tcW w:w="1940" w:type="dxa"/>
            <w:vAlign w:val="bottom"/>
          </w:tcPr>
          <w:p>
            <w:pPr>
              <w:spacing w:after="0"/>
              <w:rPr>
                <w:sz w:val="19"/>
                <w:szCs w:val="19"/>
                <w:color w:val="auto"/>
              </w:rPr>
            </w:pPr>
          </w:p>
        </w:tc>
      </w:tr>
      <w:tr>
        <w:trPr>
          <w:trHeight w:val="112"/>
        </w:trPr>
        <w:tc>
          <w:tcPr>
            <w:tcW w:w="9300" w:type="dxa"/>
            <w:vAlign w:val="bottom"/>
          </w:tcPr>
          <w:p>
            <w:pPr>
              <w:spacing w:after="0"/>
              <w:rPr>
                <w:sz w:val="9"/>
                <w:szCs w:val="9"/>
                <w:color w:val="auto"/>
              </w:rPr>
            </w:pPr>
          </w:p>
        </w:tc>
        <w:tc>
          <w:tcPr>
            <w:tcW w:w="1940" w:type="dxa"/>
            <w:vAlign w:val="bottom"/>
          </w:tcPr>
          <w:p>
            <w:pPr>
              <w:spacing w:after="0"/>
              <w:rPr>
                <w:sz w:val="9"/>
                <w:szCs w:val="9"/>
                <w:color w:val="auto"/>
              </w:rPr>
            </w:pPr>
          </w:p>
        </w:tc>
      </w:tr>
      <w:tr>
        <w:trPr>
          <w:trHeight w:val="216"/>
        </w:trPr>
        <w:tc>
          <w:tcPr>
            <w:tcW w:w="9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Collection rate - recurring rents</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94 %</w:t>
            </w:r>
          </w:p>
        </w:tc>
      </w:tr>
      <w:tr>
        <w:trPr>
          <w:trHeight w:val="216"/>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Executed abatement/deferral agreements</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4 %</w:t>
            </w:r>
          </w:p>
        </w:tc>
      </w:tr>
      <w:tr>
        <w:trPr>
          <w:trHeight w:val="235"/>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addressed - recurring rent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98 %</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Note:</w:t>
      </w:r>
    </w:p>
    <w:p>
      <w:pPr>
        <w:spacing w:after="0" w:line="21" w:lineRule="exact"/>
        <w:rPr>
          <w:sz w:val="20"/>
          <w:szCs w:val="20"/>
          <w:color w:val="auto"/>
        </w:rPr>
      </w:pPr>
    </w:p>
    <w:p>
      <w:pPr>
        <w:ind w:left="720" w:hanging="694"/>
        <w:spacing w:after="0"/>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Billed recurring rents are primarily composed of base rent and cost reimbursements. Amounts are as of July 28, 2021.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44"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10</w:t>
      </w:r>
    </w:p>
    <w:p>
      <w:pPr>
        <w:sectPr>
          <w:pgSz w:w="11900" w:h="16838" w:orient="portrait"/>
          <w:cols w:equalWidth="0" w:num="1">
            <w:col w:w="11240"/>
          </w:cols>
          <w:pgMar w:left="320" w:top="1026"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Components of Rental Income (1)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June 30, 2021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6"/>
                <w:szCs w:val="16"/>
                <w:color w:val="auto"/>
              </w:rPr>
            </w:pPr>
          </w:p>
        </w:tc>
        <w:tc>
          <w:tcPr>
            <w:tcW w:w="21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87"/>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r>
      <w:tr>
        <w:trPr>
          <w:trHeight w:val="181"/>
        </w:trPr>
        <w:tc>
          <w:tcPr>
            <w:tcW w:w="6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2"/>
        </w:trPr>
        <w:tc>
          <w:tcPr>
            <w:tcW w:w="6100" w:type="dxa"/>
            <w:vAlign w:val="bottom"/>
          </w:tcPr>
          <w:p>
            <w:pPr>
              <w:ind w:left="20"/>
              <w:spacing w:after="0"/>
              <w:rPr>
                <w:sz w:val="20"/>
                <w:szCs w:val="20"/>
                <w:color w:val="auto"/>
              </w:rPr>
            </w:pPr>
            <w:r>
              <w:rPr>
                <w:rFonts w:ascii="Arial" w:cs="Arial" w:eastAsia="Arial" w:hAnsi="Arial"/>
                <w:sz w:val="18"/>
                <w:szCs w:val="18"/>
                <w:color w:val="auto"/>
              </w:rPr>
              <w:t>Minimum rents (2)</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30"/>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310,379</w:t>
            </w:r>
          </w:p>
        </w:tc>
      </w:tr>
      <w:tr>
        <w:trPr>
          <w:trHeight w:val="229"/>
        </w:trPr>
        <w:tc>
          <w:tcPr>
            <w:tcW w:w="610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20,372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38,701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40,990</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reimbursements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85,585</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Percentage rents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2,512</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(3)</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15,626</w:t>
            </w:r>
          </w:p>
        </w:tc>
      </w:tr>
      <w:tr>
        <w:trPr>
          <w:trHeight w:val="23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Collectibility related impact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(45,776)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(48,815)</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rental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447,930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406,277</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61" w:lineRule="exact"/>
        <w:rPr>
          <w:sz w:val="20"/>
          <w:szCs w:val="20"/>
          <w:color w:val="auto"/>
        </w:rPr>
      </w:pPr>
    </w:p>
    <w:p>
      <w:pPr>
        <w:ind w:left="660" w:right="260" w:hanging="652"/>
        <w:spacing w:after="0" w:line="261" w:lineRule="auto"/>
        <w:tabs>
          <w:tab w:leader="none" w:pos="654"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 income from tenant leases is reported as a single line item called "rental income." We have provided the above supplemental information with a breakout of the contractual components of the rental income line, however, these breakouts are provided for informational purposes only and should be considered a non-GAAP presentation.</w:t>
      </w:r>
    </w:p>
    <w:p>
      <w:pPr>
        <w:spacing w:after="0" w:line="23" w:lineRule="exact"/>
        <w:rPr>
          <w:rFonts w:ascii="Arial" w:cs="Arial" w:eastAsia="Arial" w:hAnsi="Arial"/>
          <w:sz w:val="17"/>
          <w:szCs w:val="17"/>
          <w:color w:val="auto"/>
        </w:rPr>
      </w:pPr>
    </w:p>
    <w:p>
      <w:pPr>
        <w:ind w:left="640" w:hanging="632"/>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Minimum rents include the following:</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6"/>
                <w:szCs w:val="16"/>
                <w:color w:val="auto"/>
              </w:rPr>
            </w:pPr>
          </w:p>
        </w:tc>
        <w:tc>
          <w:tcPr>
            <w:tcW w:w="2120" w:type="dxa"/>
            <w:vAlign w:val="bottom"/>
            <w:gridSpan w:val="3"/>
          </w:tcPr>
          <w:p>
            <w:pPr>
              <w:jc w:val="right"/>
              <w:ind w:right="596"/>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87"/>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r>
      <w:tr>
        <w:trPr>
          <w:trHeight w:val="181"/>
        </w:trPr>
        <w:tc>
          <w:tcPr>
            <w:tcW w:w="6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gridSpan w:val="3"/>
          </w:tcPr>
          <w:p>
            <w:pPr>
              <w:ind w:left="560"/>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448"/>
        </w:trPr>
        <w:tc>
          <w:tcPr>
            <w:tcW w:w="6100" w:type="dxa"/>
            <w:vAlign w:val="bottom"/>
          </w:tcPr>
          <w:p>
            <w:pPr>
              <w:ind w:left="20"/>
              <w:spacing w:after="0"/>
              <w:rPr>
                <w:sz w:val="20"/>
                <w:szCs w:val="20"/>
                <w:color w:val="auto"/>
              </w:rPr>
            </w:pPr>
            <w:r>
              <w:rPr>
                <w:rFonts w:ascii="Arial" w:cs="Arial" w:eastAsia="Arial" w:hAnsi="Arial"/>
                <w:sz w:val="18"/>
                <w:szCs w:val="18"/>
                <w:color w:val="auto"/>
              </w:rPr>
              <w:t>Straight-line rents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21"/>
              <w:spacing w:after="0"/>
              <w:rPr>
                <w:sz w:val="20"/>
                <w:szCs w:val="20"/>
                <w:color w:val="auto"/>
              </w:rPr>
            </w:pPr>
            <w:r>
              <w:rPr>
                <w:rFonts w:ascii="Arial" w:cs="Arial" w:eastAsia="Arial" w:hAnsi="Arial"/>
                <w:sz w:val="18"/>
                <w:szCs w:val="18"/>
                <w:color w:val="auto"/>
              </w:rPr>
              <w:t>4.6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21"/>
              <w:spacing w:after="0"/>
              <w:rPr>
                <w:sz w:val="20"/>
                <w:szCs w:val="20"/>
                <w:color w:val="auto"/>
              </w:rPr>
            </w:pPr>
            <w:r>
              <w:rPr>
                <w:rFonts w:ascii="Arial" w:cs="Arial" w:eastAsia="Arial" w:hAnsi="Arial"/>
                <w:sz w:val="18"/>
                <w:szCs w:val="18"/>
                <w:color w:val="auto"/>
              </w:rPr>
              <w:t>6.8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in-place leases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bl>
    <w:p>
      <w:pPr>
        <w:spacing w:after="0" w:line="158" w:lineRule="exact"/>
        <w:rPr>
          <w:sz w:val="20"/>
          <w:szCs w:val="20"/>
          <w:color w:val="auto"/>
        </w:rPr>
      </w:pPr>
    </w:p>
    <w:p>
      <w:pPr>
        <w:ind w:left="660" w:right="280" w:hanging="652"/>
        <w:spacing w:after="0" w:line="257" w:lineRule="auto"/>
        <w:tabs>
          <w:tab w:leader="none" w:pos="654"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 the three and six months ended June 30, 2021, other rental income includes a $2.8 million net lease termination fee related to a tenant who vacated early in Q2 2021; the $2.8 million is net of the write-off of $8.8 million of a straight-line rent receivable.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02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Property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30, 2021</w:t>
      </w:r>
    </w:p>
    <w:p>
      <w:pPr>
        <w:spacing w:after="0" w:line="121" w:lineRule="exact"/>
        <w:rPr>
          <w:sz w:val="20"/>
          <w:szCs w:val="20"/>
          <w:color w:val="auto"/>
        </w:rPr>
      </w:pPr>
    </w:p>
    <w:p>
      <w:pPr>
        <w:ind w:right="40"/>
        <w:spacing w:after="0" w:line="219" w:lineRule="auto"/>
        <w:rPr>
          <w:sz w:val="20"/>
          <w:szCs w:val="20"/>
          <w:color w:val="auto"/>
        </w:rPr>
      </w:pPr>
      <w:r>
        <w:rPr>
          <w:rFonts w:ascii="Arial" w:cs="Arial" w:eastAsia="Arial" w:hAnsi="Arial"/>
          <w:sz w:val="16"/>
          <w:szCs w:val="16"/>
          <w:color w:val="auto"/>
        </w:rPr>
        <w:t>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The assets excluded from Comparable Properties in Q2 include: Assembly Row Phase 3, Cocowalk, Darien Commons, Pike &amp; Rose Phase 3, Freedom Plaza, and all properties acquired or disposed of from Q2 2020 to Q2 2021. Comparable Property property operating income ("Comparable Property POI") is a non-GAAP measure used by management in evaluating the operating performance of our properties period over period. However, given the impacts of COVID-19, management believes this metric is less relevant in the current environment, and is not necessarily indicative of our results.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Reconciliation of GAAP operating income to Comparable Property POI</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gridSpan w:val="4"/>
          </w:tcPr>
          <w:p>
            <w:pPr>
              <w:jc w:val="center"/>
              <w:ind w:right="217"/>
              <w:spacing w:after="0"/>
              <w:rPr>
                <w:sz w:val="20"/>
                <w:szCs w:val="20"/>
                <w:color w:val="auto"/>
              </w:rPr>
            </w:pPr>
            <w:r>
              <w:rPr>
                <w:rFonts w:ascii="Arial" w:cs="Arial" w:eastAsia="Arial" w:hAnsi="Arial"/>
                <w:sz w:val="14"/>
                <w:szCs w:val="14"/>
                <w:b w:val="1"/>
                <w:bCs w:val="1"/>
                <w:color w:val="auto"/>
                <w:w w:val="95"/>
              </w:rPr>
              <w:t>Three Months Ended</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2020</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tcPr>
          <w:p>
            <w:pPr>
              <w:jc w:val="center"/>
              <w:ind w:left="460"/>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78,863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48,295</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7"/>
                <w:szCs w:val="17"/>
                <w:color w:val="auto"/>
              </w:rPr>
              <w:t>Add: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67,675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62,784</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280" w:type="dxa"/>
            <w:vAlign w:val="bottom"/>
          </w:tcPr>
          <w:p>
            <w:pPr>
              <w:spacing w:after="0"/>
              <w:rPr>
                <w:sz w:val="18"/>
                <w:szCs w:val="18"/>
                <w:color w:val="auto"/>
              </w:rPr>
            </w:pPr>
          </w:p>
        </w:tc>
        <w:tc>
          <w:tcPr>
            <w:tcW w:w="980" w:type="dxa"/>
            <w:vAlign w:val="bottom"/>
          </w:tcPr>
          <w:p>
            <w:pPr>
              <w:jc w:val="right"/>
              <w:ind w:right="140"/>
              <w:spacing w:after="0"/>
              <w:rPr>
                <w:sz w:val="20"/>
                <w:szCs w:val="20"/>
                <w:color w:val="auto"/>
              </w:rPr>
            </w:pPr>
            <w:r>
              <w:rPr>
                <w:rFonts w:ascii="Arial" w:cs="Arial" w:eastAsia="Arial" w:hAnsi="Arial"/>
                <w:sz w:val="17"/>
                <w:szCs w:val="17"/>
                <w:color w:val="auto"/>
              </w:rPr>
              <w:t>12,846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137"/>
              <w:spacing w:after="0"/>
              <w:rPr>
                <w:sz w:val="20"/>
                <w:szCs w:val="20"/>
                <w:color w:val="auto"/>
              </w:rPr>
            </w:pPr>
            <w:r>
              <w:rPr>
                <w:rFonts w:ascii="Arial" w:cs="Arial" w:eastAsia="Arial" w:hAnsi="Arial"/>
                <w:sz w:val="17"/>
                <w:szCs w:val="17"/>
                <w:color w:val="auto"/>
              </w:rPr>
              <w:t>9,814</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Gain on sale of real estate and change in control of interest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(11,682)</w:t>
            </w: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40" w:type="dxa"/>
            <w:vAlign w:val="bottom"/>
          </w:tcPr>
          <w:p>
            <w:pPr>
              <w:spacing w:after="0"/>
              <w:rPr>
                <w:sz w:val="20"/>
                <w:szCs w:val="20"/>
                <w:color w:val="auto"/>
              </w:rPr>
            </w:pPr>
            <w:r>
              <w:rPr>
                <w:rFonts w:ascii="Arial" w:cs="Arial" w:eastAsia="Arial" w:hAnsi="Arial"/>
                <w:sz w:val="17"/>
                <w:szCs w:val="17"/>
                <w:color w:val="auto"/>
              </w:rPr>
              <w:t>Property operating income (POI)</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40"/>
              <w:spacing w:after="0"/>
              <w:rPr>
                <w:sz w:val="20"/>
                <w:szCs w:val="20"/>
                <w:color w:val="auto"/>
              </w:rPr>
            </w:pPr>
            <w:r>
              <w:rPr>
                <w:rFonts w:ascii="Arial" w:cs="Arial" w:eastAsia="Arial" w:hAnsi="Arial"/>
                <w:sz w:val="17"/>
                <w:szCs w:val="17"/>
                <w:color w:val="auto"/>
              </w:rPr>
              <w:t>159,384</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37"/>
              <w:spacing w:after="0"/>
              <w:rPr>
                <w:sz w:val="20"/>
                <w:szCs w:val="20"/>
                <w:color w:val="auto"/>
              </w:rPr>
            </w:pPr>
            <w:r>
              <w:rPr>
                <w:rFonts w:ascii="Arial" w:cs="Arial" w:eastAsia="Arial" w:hAnsi="Arial"/>
                <w:sz w:val="17"/>
                <w:szCs w:val="17"/>
                <w:color w:val="auto"/>
                <w:w w:val="97"/>
              </w:rPr>
              <w:t>109,211</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Less: Non-comparable POI - acquisitions/dispositions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(2,703)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580</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Less: Non-comparable POI - redevelopment, development &amp; other</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7"/>
                <w:szCs w:val="17"/>
                <w:color w:val="auto"/>
              </w:rPr>
              <w:t>(4,044)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(294)</w:t>
            </w: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Comparable property POI</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152,637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97"/>
              </w:rPr>
              <w:t>109,497</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8"/>
        </w:trPr>
        <w:tc>
          <w:tcPr>
            <w:tcW w:w="7340" w:type="dxa"/>
            <w:vAlign w:val="bottom"/>
          </w:tcPr>
          <w:p>
            <w:pPr>
              <w:spacing w:after="0"/>
              <w:rPr>
                <w:sz w:val="20"/>
                <w:szCs w:val="20"/>
                <w:color w:val="auto"/>
              </w:rPr>
            </w:pPr>
            <w:r>
              <w:rPr>
                <w:rFonts w:ascii="Arial" w:cs="Arial" w:eastAsia="Arial" w:hAnsi="Arial"/>
                <w:sz w:val="17"/>
                <w:szCs w:val="17"/>
                <w:i w:val="1"/>
                <w:iCs w:val="1"/>
                <w:color w:val="auto"/>
              </w:rPr>
              <w:t>Additional information regarding the components of Comparable Property POI</w:t>
            </w:r>
          </w:p>
        </w:tc>
        <w:tc>
          <w:tcPr>
            <w:tcW w:w="280" w:type="dxa"/>
            <w:vAlign w:val="bottom"/>
          </w:tcPr>
          <w:p>
            <w:pPr>
              <w:spacing w:after="0"/>
              <w:rPr>
                <w:sz w:val="24"/>
                <w:szCs w:val="24"/>
                <w:color w:val="auto"/>
              </w:rPr>
            </w:pPr>
          </w:p>
        </w:tc>
        <w:tc>
          <w:tcPr>
            <w:tcW w:w="2340" w:type="dxa"/>
            <w:vAlign w:val="bottom"/>
            <w:gridSpan w:val="4"/>
            <w:vMerge w:val="restart"/>
          </w:tcPr>
          <w:p>
            <w:pPr>
              <w:jc w:val="center"/>
              <w:ind w:right="217"/>
              <w:spacing w:after="0"/>
              <w:rPr>
                <w:sz w:val="20"/>
                <w:szCs w:val="20"/>
                <w:color w:val="auto"/>
              </w:rPr>
            </w:pPr>
            <w:r>
              <w:rPr>
                <w:rFonts w:ascii="Arial" w:cs="Arial" w:eastAsia="Arial" w:hAnsi="Arial"/>
                <w:sz w:val="14"/>
                <w:szCs w:val="14"/>
                <w:b w:val="1"/>
                <w:bCs w:val="1"/>
                <w:color w:val="auto"/>
                <w:w w:val="95"/>
              </w:rPr>
              <w:t>Three Months Ended</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gridSpan w:val="4"/>
            <w:vMerge w:val="continue"/>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2020</w:t>
            </w:r>
          </w:p>
        </w:tc>
        <w:tc>
          <w:tcPr>
            <w:tcW w:w="12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3"/>
        </w:trPr>
        <w:tc>
          <w:tcPr>
            <w:tcW w:w="7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tcPr>
          <w:p>
            <w:pPr>
              <w:jc w:val="center"/>
              <w:ind w:left="460"/>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Rental income</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221,926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97"/>
              </w:rPr>
              <w:t>173,523</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Rental expenses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(40,842)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(34,451)</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Real estate taxes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7"/>
                <w:szCs w:val="17"/>
                <w:color w:val="auto"/>
              </w:rPr>
              <w:t>(28,447)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(29,575)</w:t>
            </w: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(69,289)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(64,026)</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Comparable property POI</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152,637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97"/>
              </w:rPr>
              <w:t>109,497</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39.4 %</w:t>
            </w:r>
          </w:p>
        </w:tc>
        <w:tc>
          <w:tcPr>
            <w:tcW w:w="0" w:type="dxa"/>
            <w:vAlign w:val="bottom"/>
          </w:tcPr>
          <w:p>
            <w:pPr>
              <w:spacing w:after="0"/>
              <w:rPr>
                <w:sz w:val="1"/>
                <w:szCs w:val="1"/>
                <w:color w:val="auto"/>
              </w:rPr>
            </w:pPr>
          </w:p>
        </w:tc>
      </w:tr>
      <w:tr>
        <w:trPr>
          <w:trHeight w:val="428"/>
        </w:trPr>
        <w:tc>
          <w:tcPr>
            <w:tcW w:w="7340" w:type="dxa"/>
            <w:vAlign w:val="bottom"/>
          </w:tcPr>
          <w:p>
            <w:pPr>
              <w:spacing w:after="0"/>
              <w:rPr>
                <w:sz w:val="20"/>
                <w:szCs w:val="20"/>
                <w:color w:val="auto"/>
              </w:rPr>
            </w:pPr>
            <w:r>
              <w:rPr>
                <w:rFonts w:ascii="Arial" w:cs="Arial" w:eastAsia="Arial" w:hAnsi="Arial"/>
                <w:sz w:val="17"/>
                <w:szCs w:val="17"/>
                <w:i w:val="1"/>
                <w:iCs w:val="1"/>
                <w:color w:val="auto"/>
              </w:rPr>
              <w:t>Comparable Property - Summary of Capital Expenditures (1)</w:t>
            </w:r>
          </w:p>
        </w:tc>
        <w:tc>
          <w:tcPr>
            <w:tcW w:w="280" w:type="dxa"/>
            <w:vAlign w:val="bottom"/>
          </w:tcPr>
          <w:p>
            <w:pPr>
              <w:spacing w:after="0"/>
              <w:rPr>
                <w:sz w:val="24"/>
                <w:szCs w:val="24"/>
                <w:color w:val="auto"/>
              </w:rPr>
            </w:pPr>
          </w:p>
        </w:tc>
        <w:tc>
          <w:tcPr>
            <w:tcW w:w="2340" w:type="dxa"/>
            <w:vAlign w:val="bottom"/>
            <w:gridSpan w:val="4"/>
            <w:vMerge w:val="restart"/>
          </w:tcPr>
          <w:p>
            <w:pPr>
              <w:jc w:val="center"/>
              <w:ind w:right="217"/>
              <w:spacing w:after="0"/>
              <w:rPr>
                <w:sz w:val="20"/>
                <w:szCs w:val="20"/>
                <w:color w:val="auto"/>
              </w:rPr>
            </w:pPr>
            <w:r>
              <w:rPr>
                <w:rFonts w:ascii="Arial" w:cs="Arial" w:eastAsia="Arial" w:hAnsi="Arial"/>
                <w:sz w:val="14"/>
                <w:szCs w:val="14"/>
                <w:b w:val="1"/>
                <w:bCs w:val="1"/>
                <w:color w:val="auto"/>
                <w:w w:val="95"/>
              </w:rPr>
              <w:t>Three Months Ended</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gridSpan w:val="4"/>
            <w:vMerge w:val="continue"/>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2020</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tcPr>
          <w:p>
            <w:pPr>
              <w:jc w:val="center"/>
              <w:ind w:left="460"/>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Redevelopment and tenant improvements and incentives</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37,335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29,295</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Maintenance capital expenditures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7"/>
                <w:szCs w:val="17"/>
                <w:color w:val="auto"/>
              </w:rPr>
              <w:t>5,242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3,111</w:t>
            </w: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42,577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32,406</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8"/>
        </w:trPr>
        <w:tc>
          <w:tcPr>
            <w:tcW w:w="7340" w:type="dxa"/>
            <w:vAlign w:val="bottom"/>
          </w:tcPr>
          <w:p>
            <w:pPr>
              <w:spacing w:after="0"/>
              <w:rPr>
                <w:sz w:val="20"/>
                <w:szCs w:val="20"/>
                <w:color w:val="auto"/>
              </w:rPr>
            </w:pPr>
            <w:r>
              <w:rPr>
                <w:rFonts w:ascii="Arial" w:cs="Arial" w:eastAsia="Arial" w:hAnsi="Arial"/>
                <w:sz w:val="17"/>
                <w:szCs w:val="17"/>
                <w:i w:val="1"/>
                <w:iCs w:val="1"/>
                <w:color w:val="auto"/>
              </w:rPr>
              <w:t>Comparable Property - Occupancy Statistics (2)</w:t>
            </w:r>
          </w:p>
        </w:tc>
        <w:tc>
          <w:tcPr>
            <w:tcW w:w="280" w:type="dxa"/>
            <w:vAlign w:val="bottom"/>
          </w:tcPr>
          <w:p>
            <w:pPr>
              <w:spacing w:after="0"/>
              <w:rPr>
                <w:sz w:val="24"/>
                <w:szCs w:val="24"/>
                <w:color w:val="auto"/>
              </w:rPr>
            </w:pPr>
          </w:p>
        </w:tc>
        <w:tc>
          <w:tcPr>
            <w:tcW w:w="1500" w:type="dxa"/>
            <w:vAlign w:val="bottom"/>
            <w:gridSpan w:val="3"/>
            <w:vMerge w:val="restart"/>
          </w:tcPr>
          <w:p>
            <w:pPr>
              <w:jc w:val="center"/>
              <w:ind w:left="480"/>
              <w:spacing w:after="0"/>
              <w:rPr>
                <w:sz w:val="20"/>
                <w:szCs w:val="20"/>
                <w:color w:val="auto"/>
              </w:rPr>
            </w:pPr>
            <w:r>
              <w:rPr>
                <w:rFonts w:ascii="Arial" w:cs="Arial" w:eastAsia="Arial" w:hAnsi="Arial"/>
                <w:sz w:val="14"/>
                <w:szCs w:val="14"/>
                <w:b w:val="1"/>
                <w:bCs w:val="1"/>
                <w:color w:val="auto"/>
                <w:w w:val="93"/>
              </w:rPr>
              <w:t>At June 30,</w:t>
            </w: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7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2020</w:t>
            </w:r>
          </w:p>
        </w:tc>
        <w:tc>
          <w:tcPr>
            <w:tcW w:w="12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GLA - comparable commercial properties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1"/>
              </w:rPr>
              <w:t>22,921,000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ind w:left="40"/>
              <w:spacing w:after="0"/>
              <w:rPr>
                <w:sz w:val="20"/>
                <w:szCs w:val="20"/>
                <w:color w:val="auto"/>
              </w:rPr>
            </w:pPr>
            <w:r>
              <w:rPr>
                <w:rFonts w:ascii="Arial" w:cs="Arial" w:eastAsia="Arial" w:hAnsi="Arial"/>
                <w:sz w:val="17"/>
                <w:szCs w:val="17"/>
                <w:color w:val="auto"/>
                <w:w w:val="91"/>
              </w:rPr>
              <w:t>22,968,000</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7"/>
                <w:szCs w:val="17"/>
                <w:color w:val="auto"/>
              </w:rPr>
              <w:t>Leased % - comparable commercial properties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92.5 %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93.8 %</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Occupancy % - comparable commercial properties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89.3 %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91.6 %</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32" w:lineRule="exact"/>
        <w:rPr>
          <w:sz w:val="20"/>
          <w:szCs w:val="20"/>
          <w:color w:val="auto"/>
        </w:rPr>
      </w:pPr>
    </w:p>
    <w:p>
      <w:pPr>
        <w:ind w:left="660" w:hanging="654"/>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See page 9 for "Summary of Capital Expenditures" for our entire portfolio.</w:t>
      </w:r>
    </w:p>
    <w:p>
      <w:pPr>
        <w:spacing w:after="0" w:line="32" w:lineRule="exact"/>
        <w:rPr>
          <w:rFonts w:ascii="Arial" w:cs="Arial" w:eastAsia="Arial" w:hAnsi="Arial"/>
          <w:sz w:val="16"/>
          <w:szCs w:val="16"/>
          <w:color w:val="auto"/>
        </w:rPr>
      </w:pPr>
    </w:p>
    <w:p>
      <w:pPr>
        <w:ind w:left="660" w:hanging="654"/>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See page 27 for entire portfolio occupancy statistics.</w:t>
      </w:r>
    </w:p>
    <w:p>
      <w:pPr>
        <w:sectPr>
          <w:pgSz w:w="11900" w:h="16838" w:orient="portrait"/>
          <w:cols w:equalWidth="0" w:num="1">
            <w:col w:w="11180"/>
          </w:cols>
          <w:pgMar w:left="360" w:top="93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80"/>
          </w:cols>
          <w:pgMar w:left="360" w:top="931" w:right="359" w:bottom="1440" w:gutter="0" w:footer="0" w:header="0"/>
          <w:type w:val="continuous"/>
        </w:sectPr>
      </w:pPr>
    </w:p>
    <w:bookmarkStart w:id="15" w:name="page16"/>
    <w:bookmarkEnd w:id="15"/>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Market Data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June 30,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200" w:type="dxa"/>
            <w:vAlign w:val="bottom"/>
            <w:tcBorders>
              <w:bottom w:val="single" w:sz="8" w:color="auto"/>
            </w:tcBorders>
          </w:tcPr>
          <w:p>
            <w:pPr>
              <w:spacing w:after="0"/>
              <w:rPr>
                <w:sz w:val="16"/>
                <w:szCs w:val="16"/>
                <w:color w:val="auto"/>
              </w:rPr>
            </w:pPr>
          </w:p>
        </w:tc>
      </w:tr>
      <w:tr>
        <w:trPr>
          <w:trHeight w:val="183"/>
        </w:trPr>
        <w:tc>
          <w:tcPr>
            <w:tcW w:w="79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183"/>
        </w:trPr>
        <w:tc>
          <w:tcPr>
            <w:tcW w:w="7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6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w w:val="98"/>
              </w:rPr>
              <w:t>(in thousands, except per share data)</w:t>
            </w:r>
          </w:p>
        </w:tc>
      </w:tr>
      <w:tr>
        <w:trPr>
          <w:trHeight w:val="231"/>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Data</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7980" w:type="dxa"/>
            <w:vAlign w:val="bottom"/>
          </w:tcPr>
          <w:p>
            <w:pPr>
              <w:ind w:left="260"/>
              <w:spacing w:after="0"/>
              <w:rPr>
                <w:sz w:val="20"/>
                <w:szCs w:val="20"/>
                <w:color w:val="auto"/>
              </w:rPr>
            </w:pPr>
            <w:r>
              <w:rPr>
                <w:rFonts w:ascii="Arial" w:cs="Arial" w:eastAsia="Arial" w:hAnsi="Arial"/>
                <w:sz w:val="18"/>
                <w:szCs w:val="18"/>
                <w:color w:val="auto"/>
              </w:rPr>
              <w:t>Common shares outstanding and operating partnership units (1)</w:t>
            </w:r>
          </w:p>
        </w:tc>
        <w:tc>
          <w:tcPr>
            <w:tcW w:w="30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78,455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76,378</w:t>
            </w:r>
          </w:p>
        </w:tc>
      </w:tr>
      <w:tr>
        <w:trPr>
          <w:trHeight w:val="230"/>
        </w:trPr>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Market price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117.17</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85.21</w:t>
            </w:r>
          </w:p>
        </w:tc>
      </w:tr>
      <w:tr>
        <w:trPr>
          <w:trHeight w:val="223"/>
        </w:trPr>
        <w:tc>
          <w:tcPr>
            <w:tcW w:w="798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Common equity market capitalization including operating partnership units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9,192,572</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6,508,169</w:t>
            </w:r>
          </w:p>
        </w:tc>
      </w:tr>
      <w:tr>
        <w:trPr>
          <w:trHeight w:val="196"/>
        </w:trPr>
        <w:tc>
          <w:tcPr>
            <w:tcW w:w="7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7980" w:type="dxa"/>
            <w:vAlign w:val="bottom"/>
          </w:tcPr>
          <w:p>
            <w:pPr>
              <w:ind w:left="260"/>
              <w:spacing w:after="0"/>
              <w:rPr>
                <w:sz w:val="20"/>
                <w:szCs w:val="20"/>
                <w:color w:val="auto"/>
              </w:rPr>
            </w:pPr>
            <w:r>
              <w:rPr>
                <w:rFonts w:ascii="Arial" w:cs="Arial" w:eastAsia="Arial" w:hAnsi="Arial"/>
                <w:sz w:val="18"/>
                <w:szCs w:val="18"/>
                <w:color w:val="auto"/>
              </w:rPr>
              <w:t>Series C preferred shares outstanding</w:t>
            </w:r>
          </w:p>
        </w:tc>
        <w:tc>
          <w:tcPr>
            <w:tcW w:w="30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6</w:t>
            </w:r>
          </w:p>
        </w:tc>
      </w:tr>
      <w:tr>
        <w:trPr>
          <w:trHeight w:val="229"/>
        </w:trPr>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Liquidation price per Series C preferred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25,000</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25,000</w:t>
            </w:r>
          </w:p>
        </w:tc>
      </w:tr>
      <w:tr>
        <w:trPr>
          <w:trHeight w:val="223"/>
        </w:trPr>
        <w:tc>
          <w:tcPr>
            <w:tcW w:w="798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Series C preferred equity market capitalization</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150,000</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150,000</w:t>
            </w:r>
          </w:p>
        </w:tc>
      </w:tr>
      <w:tr>
        <w:trPr>
          <w:trHeight w:val="196"/>
        </w:trPr>
        <w:tc>
          <w:tcPr>
            <w:tcW w:w="7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9"/>
        </w:trPr>
        <w:tc>
          <w:tcPr>
            <w:tcW w:w="7980" w:type="dxa"/>
            <w:vAlign w:val="bottom"/>
          </w:tcPr>
          <w:p>
            <w:pPr>
              <w:ind w:left="260"/>
              <w:spacing w:after="0"/>
              <w:rPr>
                <w:sz w:val="20"/>
                <w:szCs w:val="20"/>
                <w:color w:val="auto"/>
              </w:rPr>
            </w:pPr>
            <w:r>
              <w:rPr>
                <w:rFonts w:ascii="Arial" w:cs="Arial" w:eastAsia="Arial" w:hAnsi="Arial"/>
                <w:sz w:val="18"/>
                <w:szCs w:val="18"/>
                <w:color w:val="auto"/>
              </w:rPr>
              <w:t>Series 1 preferred shares outstanding (2)</w:t>
            </w:r>
          </w:p>
        </w:tc>
        <w:tc>
          <w:tcPr>
            <w:tcW w:w="30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400</w:t>
            </w:r>
          </w:p>
        </w:tc>
      </w:tr>
      <w:tr>
        <w:trPr>
          <w:trHeight w:val="230"/>
        </w:trPr>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Liquidation price per Series 1 preferred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25.00</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25.00</w:t>
            </w:r>
          </w:p>
        </w:tc>
      </w:tr>
      <w:tr>
        <w:trPr>
          <w:trHeight w:val="223"/>
        </w:trPr>
        <w:tc>
          <w:tcPr>
            <w:tcW w:w="798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Series 1 preferred equity market capitalization</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10,000</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10,000</w:t>
            </w:r>
          </w:p>
        </w:tc>
      </w:tr>
      <w:tr>
        <w:trPr>
          <w:trHeight w:val="196"/>
        </w:trPr>
        <w:tc>
          <w:tcPr>
            <w:tcW w:w="7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7980" w:type="dxa"/>
            <w:vAlign w:val="bottom"/>
          </w:tcPr>
          <w:p>
            <w:pPr>
              <w:ind w:left="260"/>
              <w:spacing w:after="0"/>
              <w:rPr>
                <w:sz w:val="20"/>
                <w:szCs w:val="20"/>
                <w:color w:val="auto"/>
              </w:rPr>
            </w:pPr>
            <w:r>
              <w:rPr>
                <w:rFonts w:ascii="Arial" w:cs="Arial" w:eastAsia="Arial" w:hAnsi="Arial"/>
                <w:sz w:val="18"/>
                <w:szCs w:val="18"/>
                <w:color w:val="auto"/>
              </w:rPr>
              <w:t>Equity market capitalization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9,352,572</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6,668,169</w:t>
            </w:r>
          </w:p>
        </w:tc>
      </w:tr>
      <w:tr>
        <w:trPr>
          <w:trHeight w:val="216"/>
        </w:trPr>
        <w:tc>
          <w:tcPr>
            <w:tcW w:w="7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7980" w:type="dxa"/>
            <w:vAlign w:val="bottom"/>
          </w:tcPr>
          <w:p>
            <w:pPr>
              <w:ind w:left="260"/>
              <w:spacing w:after="0"/>
              <w:rPr>
                <w:sz w:val="20"/>
                <w:szCs w:val="20"/>
                <w:color w:val="auto"/>
              </w:rPr>
            </w:pPr>
            <w:r>
              <w:rPr>
                <w:rFonts w:ascii="Arial" w:cs="Arial" w:eastAsia="Arial" w:hAnsi="Arial"/>
                <w:sz w:val="18"/>
                <w:szCs w:val="18"/>
                <w:color w:val="auto"/>
              </w:rPr>
              <w:t>Total debt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4,172,933</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4,461,972</w:t>
            </w:r>
          </w:p>
        </w:tc>
      </w:tr>
      <w:tr>
        <w:trPr>
          <w:trHeight w:val="230"/>
        </w:trPr>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Less: cash and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(304,268)</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(980,039)</w:t>
            </w:r>
          </w:p>
        </w:tc>
      </w:tr>
      <w:tr>
        <w:trPr>
          <w:trHeight w:val="223"/>
        </w:trPr>
        <w:tc>
          <w:tcPr>
            <w:tcW w:w="798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net debt (3)</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3,868,665</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3,481,933</w:t>
            </w:r>
          </w:p>
        </w:tc>
      </w:tr>
      <w:tr>
        <w:trPr>
          <w:trHeight w:val="196"/>
        </w:trPr>
        <w:tc>
          <w:tcPr>
            <w:tcW w:w="7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7980" w:type="dxa"/>
            <w:vAlign w:val="bottom"/>
          </w:tcPr>
          <w:p>
            <w:pPr>
              <w:ind w:left="260"/>
              <w:spacing w:after="0"/>
              <w:rPr>
                <w:sz w:val="20"/>
                <w:szCs w:val="20"/>
                <w:color w:val="auto"/>
              </w:rPr>
            </w:pPr>
            <w:r>
              <w:rPr>
                <w:rFonts w:ascii="Arial" w:cs="Arial" w:eastAsia="Arial" w:hAnsi="Arial"/>
                <w:sz w:val="18"/>
                <w:szCs w:val="18"/>
                <w:color w:val="auto"/>
              </w:rPr>
              <w:t>Total market capitalization</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13,221,237</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10,150,102</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7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30"/>
        </w:trPr>
        <w:tc>
          <w:tcPr>
            <w:tcW w:w="7980" w:type="dxa"/>
            <w:vAlign w:val="bottom"/>
          </w:tcPr>
          <w:p>
            <w:pPr>
              <w:ind w:left="260"/>
              <w:spacing w:after="0"/>
              <w:rPr>
                <w:sz w:val="20"/>
                <w:szCs w:val="20"/>
                <w:color w:val="auto"/>
              </w:rPr>
            </w:pPr>
            <w:r>
              <w:rPr>
                <w:rFonts w:ascii="Arial" w:cs="Arial" w:eastAsia="Arial" w:hAnsi="Arial"/>
                <w:sz w:val="18"/>
                <w:szCs w:val="18"/>
                <w:color w:val="auto"/>
              </w:rPr>
              <w:t>Total net debt to market capitalization at market price per common share</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29 %</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34 %</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Amounts include 694,133 and 744,617 operating partnership units outstanding at June 30, 2021 and 2020,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ind w:left="660" w:right="40" w:hanging="652"/>
        <w:spacing w:after="0" w:line="275"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Total net debt includes mortgages payable, notes payable, senior notes and debentures, net of premiums/discounts and debt issuance costs and net of cash and cash equivalents from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026"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 of Outstanding Debt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1100"/>
              <w:spacing w:after="0"/>
              <w:rPr>
                <w:sz w:val="20"/>
                <w:szCs w:val="20"/>
                <w:color w:val="auto"/>
              </w:rPr>
            </w:pPr>
            <w:r>
              <w:rPr>
                <w:rFonts w:ascii="Arial" w:cs="Arial" w:eastAsia="Arial" w:hAnsi="Arial"/>
                <w:sz w:val="14"/>
                <w:szCs w:val="14"/>
                <w:b w:val="1"/>
                <w:bCs w:val="1"/>
                <w:color w:val="auto"/>
              </w:rPr>
              <w:t>As of June 30, 2021</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Stated maturity date</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Stated interest rate</w:t>
            </w:r>
          </w:p>
        </w:tc>
        <w:tc>
          <w:tcPr>
            <w:tcW w:w="140" w:type="dxa"/>
            <w:vAlign w:val="bottom"/>
          </w:tcPr>
          <w:p>
            <w:pPr>
              <w:spacing w:after="0"/>
              <w:rPr>
                <w:sz w:val="11"/>
                <w:szCs w:val="11"/>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Balance</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right"/>
              <w:ind w:right="59"/>
              <w:spacing w:after="0" w:line="133"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effective rate (10)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3940" w:type="dxa"/>
            <w:vAlign w:val="bottom"/>
            <w:gridSpan w:val="4"/>
            <w:shd w:val="clear" w:color="auto" w:fill="CCEEFF"/>
          </w:tcPr>
          <w:p>
            <w:pPr>
              <w:spacing w:after="0" w:line="177" w:lineRule="exact"/>
              <w:rPr>
                <w:sz w:val="20"/>
                <w:szCs w:val="20"/>
                <w:color w:val="auto"/>
              </w:rPr>
            </w:pPr>
            <w:r>
              <w:rPr>
                <w:rFonts w:ascii="Arial" w:cs="Arial" w:eastAsia="Arial" w:hAnsi="Arial"/>
                <w:sz w:val="16"/>
                <w:szCs w:val="16"/>
                <w:color w:val="auto"/>
              </w:rPr>
              <w:t>Mortgages Payable (1)</w:t>
            </w:r>
          </w:p>
        </w:tc>
        <w:tc>
          <w:tcPr>
            <w:tcW w:w="1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Arial" w:cs="Arial" w:eastAsia="Arial" w:hAnsi="Arial"/>
                <w:sz w:val="16"/>
                <w:szCs w:val="16"/>
                <w:i w:val="1"/>
                <w:iCs w:val="1"/>
                <w:color w:val="auto"/>
              </w:rPr>
              <w:t>Secured fixed rate</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Plaza Del Sol</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12/1/2021 (2)</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Arial" w:cs="Arial" w:eastAsia="Arial" w:hAnsi="Arial"/>
                <w:sz w:val="16"/>
                <w:szCs w:val="16"/>
                <w:color w:val="auto"/>
              </w:rPr>
              <w:t>The AVENUE at White Marsh</w:t>
            </w: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1/1/2022 (3)</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3.35%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52,705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Montrose Crossing</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1/10/2022 (4)</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64,618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Arial" w:cs="Arial" w:eastAsia="Arial" w:hAnsi="Arial"/>
                <w:sz w:val="16"/>
                <w:szCs w:val="16"/>
                <w:color w:val="auto"/>
              </w:rPr>
              <w:t>Azalea</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11/1/2025</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3.73%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Bell Gardens</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8/1/2026</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Arial" w:cs="Arial" w:eastAsia="Arial" w:hAnsi="Arial"/>
                <w:sz w:val="16"/>
                <w:szCs w:val="16"/>
                <w:color w:val="auto"/>
              </w:rPr>
              <w:t>Plaza El Segundo</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6/5/2027</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3.83%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The Grove at Shrewsbury (East)</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9/1/2027</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Arial" w:cs="Arial" w:eastAsia="Arial" w:hAnsi="Arial"/>
                <w:sz w:val="16"/>
                <w:szCs w:val="16"/>
                <w:color w:val="auto"/>
              </w:rPr>
              <w:t>Brook 35</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7/1/2029</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4.65%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Hoboken (24 Buildings) (5)</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12/15/2029</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LIBOR + 1.95%</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56,450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Arial" w:cs="Arial" w:eastAsia="Arial" w:hAnsi="Arial"/>
                <w:sz w:val="16"/>
                <w:szCs w:val="16"/>
                <w:color w:val="auto"/>
              </w:rPr>
              <w:t>Various Hoboken (14 Buildings)</w:t>
            </w: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Various through 2029</w:t>
            </w: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Various (6)</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32,263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Chelsea</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1/15/2031</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gridSpan w:val="4"/>
          </w:tcPr>
          <w:p>
            <w:pPr>
              <w:ind w:left="380"/>
              <w:spacing w:after="0"/>
              <w:rPr>
                <w:sz w:val="20"/>
                <w:szCs w:val="20"/>
                <w:color w:val="auto"/>
              </w:rPr>
            </w:pPr>
            <w:r>
              <w:rPr>
                <w:rFonts w:ascii="Arial" w:cs="Arial" w:eastAsia="Arial" w:hAnsi="Arial"/>
                <w:sz w:val="16"/>
                <w:szCs w:val="16"/>
                <w:color w:val="auto"/>
              </w:rPr>
              <w:t>Hoboken (1 Building) (7)</w:t>
            </w:r>
          </w:p>
        </w:tc>
        <w:tc>
          <w:tcPr>
            <w:tcW w:w="18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3"/>
              </w:rPr>
              <w:t>7/1/2042</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2"/>
              </w:rPr>
              <w:t>3.75%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16,398</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467,790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880" w:type="dxa"/>
            <w:vAlign w:val="bottom"/>
            <w:tcBorders>
              <w:bottom w:val="single" w:sz="8" w:color="CCEEFF"/>
            </w:tcBorders>
            <w:gridSpan w:val="6"/>
          </w:tcPr>
          <w:p>
            <w:pPr>
              <w:ind w:left="900"/>
              <w:spacing w:after="0"/>
              <w:rPr>
                <w:sz w:val="20"/>
                <w:szCs w:val="20"/>
                <w:color w:val="auto"/>
              </w:rPr>
            </w:pPr>
            <w:r>
              <w:rPr>
                <w:rFonts w:ascii="Arial" w:cs="Arial" w:eastAsia="Arial" w:hAnsi="Arial"/>
                <w:sz w:val="16"/>
                <w:szCs w:val="16"/>
                <w:color w:val="auto"/>
              </w:rPr>
              <w:t>Net unamortized debt issuance costs and premium</w:t>
            </w:r>
          </w:p>
        </w:tc>
        <w:tc>
          <w:tcPr>
            <w:tcW w:w="1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(1,764)</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700"/>
              <w:spacing w:after="0"/>
              <w:rPr>
                <w:sz w:val="20"/>
                <w:szCs w:val="20"/>
                <w:color w:val="auto"/>
              </w:rPr>
            </w:pPr>
            <w:r>
              <w:rPr>
                <w:rFonts w:ascii="Arial" w:cs="Arial" w:eastAsia="Arial" w:hAnsi="Arial"/>
                <w:sz w:val="16"/>
                <w:szCs w:val="16"/>
                <w:color w:val="auto"/>
              </w:rPr>
              <w:t>Total mortgages payable, net</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466,026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3.96%</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940" w:type="dxa"/>
            <w:vAlign w:val="bottom"/>
            <w:gridSpan w:val="4"/>
            <w:shd w:val="clear" w:color="auto" w:fill="CCEEFF"/>
          </w:tcPr>
          <w:p>
            <w:pPr>
              <w:spacing w:after="0" w:line="175" w:lineRule="exact"/>
              <w:rPr>
                <w:sz w:val="20"/>
                <w:szCs w:val="20"/>
                <w:color w:val="auto"/>
              </w:rPr>
            </w:pPr>
            <w:r>
              <w:rPr>
                <w:rFonts w:ascii="Arial" w:cs="Arial" w:eastAsia="Arial" w:hAnsi="Arial"/>
                <w:sz w:val="16"/>
                <w:szCs w:val="16"/>
                <w:color w:val="auto"/>
              </w:rPr>
              <w:t>Notes payable</w:t>
            </w:r>
          </w:p>
        </w:tc>
        <w:tc>
          <w:tcPr>
            <w:tcW w:w="1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Arial" w:cs="Arial" w:eastAsia="Arial" w:hAnsi="Arial"/>
                <w:sz w:val="16"/>
                <w:szCs w:val="16"/>
                <w:color w:val="auto"/>
              </w:rPr>
              <w:t>Term loan</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4/16/2024</w:t>
            </w:r>
          </w:p>
        </w:tc>
        <w:tc>
          <w:tcPr>
            <w:tcW w:w="1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LIBOR + 0.80%</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Revolving credit facility (8)</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1/19/2024</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LIBOR + 0.775%</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gridSpan w:val="4"/>
          </w:tcPr>
          <w:p>
            <w:pPr>
              <w:ind w:left="380"/>
              <w:spacing w:after="0"/>
              <w:rPr>
                <w:sz w:val="20"/>
                <w:szCs w:val="20"/>
                <w:color w:val="auto"/>
              </w:rPr>
            </w:pPr>
            <w:r>
              <w:rPr>
                <w:rFonts w:ascii="Arial" w:cs="Arial" w:eastAsia="Arial" w:hAnsi="Arial"/>
                <w:sz w:val="16"/>
                <w:szCs w:val="16"/>
                <w:color w:val="auto"/>
              </w:rPr>
              <w:t>Various</w:t>
            </w:r>
          </w:p>
        </w:tc>
        <w:tc>
          <w:tcPr>
            <w:tcW w:w="19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2"/>
              </w:rPr>
              <w:t>Various through 2028</w:t>
            </w:r>
          </w:p>
        </w:tc>
        <w:tc>
          <w:tcPr>
            <w:tcW w:w="15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2"/>
              </w:rPr>
              <w:t>11.31%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3,043</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303,043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gridSpan w:val="4"/>
          </w:tcPr>
          <w:p>
            <w:pPr>
              <w:ind w:left="900"/>
              <w:spacing w:after="0"/>
              <w:rPr>
                <w:sz w:val="20"/>
                <w:szCs w:val="20"/>
                <w:color w:val="auto"/>
              </w:rPr>
            </w:pPr>
            <w:r>
              <w:rPr>
                <w:rFonts w:ascii="Arial" w:cs="Arial" w:eastAsia="Arial" w:hAnsi="Arial"/>
                <w:sz w:val="16"/>
                <w:szCs w:val="16"/>
                <w:color w:val="auto"/>
              </w:rPr>
              <w:t>Net unamortized debt issuance costs</w:t>
            </w:r>
          </w:p>
        </w:tc>
        <w:tc>
          <w:tcPr>
            <w:tcW w:w="1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(1,418)</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700"/>
              <w:spacing w:after="0"/>
              <w:rPr>
                <w:sz w:val="20"/>
                <w:szCs w:val="20"/>
                <w:color w:val="auto"/>
              </w:rPr>
            </w:pPr>
            <w:r>
              <w:rPr>
                <w:rFonts w:ascii="Arial" w:cs="Arial" w:eastAsia="Arial" w:hAnsi="Arial"/>
                <w:sz w:val="16"/>
                <w:szCs w:val="16"/>
                <w:color w:val="auto"/>
              </w:rPr>
              <w:t>Total notes payable, net</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301,625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1.16%</w:t>
            </w:r>
          </w:p>
        </w:tc>
        <w:tc>
          <w:tcPr>
            <w:tcW w:w="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1"/>
              </w:rPr>
              <w:t>(11)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940" w:type="dxa"/>
            <w:vAlign w:val="bottom"/>
            <w:gridSpan w:val="4"/>
            <w:shd w:val="clear" w:color="auto" w:fill="CCEEFF"/>
          </w:tcPr>
          <w:p>
            <w:pPr>
              <w:spacing w:after="0" w:line="175" w:lineRule="exact"/>
              <w:rPr>
                <w:sz w:val="20"/>
                <w:szCs w:val="20"/>
                <w:color w:val="auto"/>
              </w:rPr>
            </w:pPr>
            <w:r>
              <w:rPr>
                <w:rFonts w:ascii="Arial" w:cs="Arial" w:eastAsia="Arial" w:hAnsi="Arial"/>
                <w:sz w:val="16"/>
                <w:szCs w:val="16"/>
                <w:color w:val="auto"/>
              </w:rPr>
              <w:t>Senior notes and debentures</w:t>
            </w: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1820" w:type="dxa"/>
            <w:vAlign w:val="bottom"/>
            <w:tcBorders>
              <w:top w:val="single" w:sz="8" w:color="auto"/>
            </w:tcBorders>
            <w:gridSpan w:val="3"/>
          </w:tcPr>
          <w:p>
            <w:pPr>
              <w:ind w:left="380"/>
              <w:spacing w:after="0"/>
              <w:rPr>
                <w:sz w:val="20"/>
                <w:szCs w:val="20"/>
                <w:color w:val="auto"/>
              </w:rPr>
            </w:pPr>
            <w:r>
              <w:rPr>
                <w:rFonts w:ascii="Arial" w:cs="Arial" w:eastAsia="Arial" w:hAnsi="Arial"/>
                <w:sz w:val="16"/>
                <w:szCs w:val="16"/>
                <w:i w:val="1"/>
                <w:iCs w:val="1"/>
                <w:color w:val="auto"/>
                <w:w w:val="96"/>
              </w:rPr>
              <w:t>Unsecured fixed rate</w:t>
            </w:r>
          </w:p>
        </w:tc>
        <w:tc>
          <w:tcPr>
            <w:tcW w:w="21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2.75% notes</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6/1/2023</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Arial" w:cs="Arial" w:eastAsia="Arial" w:hAnsi="Arial"/>
                <w:sz w:val="16"/>
                <w:szCs w:val="16"/>
                <w:color w:val="auto"/>
              </w:rPr>
              <w:t>3.95% notes</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1/15/2024</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3.95%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600,000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1.25% notes</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2/15/2026</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Arial" w:cs="Arial" w:eastAsia="Arial" w:hAnsi="Arial"/>
                <w:sz w:val="16"/>
                <w:szCs w:val="16"/>
                <w:color w:val="auto"/>
              </w:rPr>
              <w:t>7.48% debentures</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8/15/2026</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7.48%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29,200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3.25% notes</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7/15/2027</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Arial" w:cs="Arial" w:eastAsia="Arial" w:hAnsi="Arial"/>
                <w:sz w:val="16"/>
                <w:szCs w:val="16"/>
                <w:color w:val="auto"/>
              </w:rPr>
              <w:t>6.82% medium term notes</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8/1/2027</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6.82%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3.20% notes</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6/15/2029</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Arial" w:cs="Arial" w:eastAsia="Arial" w:hAnsi="Arial"/>
                <w:sz w:val="16"/>
                <w:szCs w:val="16"/>
                <w:color w:val="auto"/>
              </w:rPr>
              <w:t>3.50% notes</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6/1/2030</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3.50%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4.50% notes</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12/1/2044</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gridSpan w:val="4"/>
          </w:tcPr>
          <w:p>
            <w:pPr>
              <w:ind w:left="380"/>
              <w:spacing w:after="0"/>
              <w:rPr>
                <w:sz w:val="20"/>
                <w:szCs w:val="20"/>
                <w:color w:val="auto"/>
              </w:rPr>
            </w:pPr>
            <w:r>
              <w:rPr>
                <w:rFonts w:ascii="Arial" w:cs="Arial" w:eastAsia="Arial" w:hAnsi="Arial"/>
                <w:sz w:val="16"/>
                <w:szCs w:val="16"/>
                <w:color w:val="auto"/>
              </w:rPr>
              <w:t>3.625% notes</w:t>
            </w:r>
          </w:p>
        </w:tc>
        <w:tc>
          <w:tcPr>
            <w:tcW w:w="18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3"/>
              </w:rPr>
              <w:t>8/1/2046</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2"/>
              </w:rPr>
              <w:t>3.63%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3,419,200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880" w:type="dxa"/>
            <w:vAlign w:val="bottom"/>
            <w:tcBorders>
              <w:bottom w:val="single" w:sz="8" w:color="CCEEFF"/>
            </w:tcBorders>
            <w:gridSpan w:val="6"/>
          </w:tcPr>
          <w:p>
            <w:pPr>
              <w:ind w:left="900"/>
              <w:spacing w:after="0"/>
              <w:rPr>
                <w:sz w:val="20"/>
                <w:szCs w:val="20"/>
                <w:color w:val="auto"/>
              </w:rPr>
            </w:pPr>
            <w:r>
              <w:rPr>
                <w:rFonts w:ascii="Arial" w:cs="Arial" w:eastAsia="Arial" w:hAnsi="Arial"/>
                <w:sz w:val="16"/>
                <w:szCs w:val="16"/>
                <w:color w:val="auto"/>
              </w:rPr>
              <w:t>Net unamortized debt issuance costs and premium</w:t>
            </w:r>
          </w:p>
        </w:tc>
        <w:tc>
          <w:tcPr>
            <w:tcW w:w="1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(13,918)</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700"/>
              <w:spacing w:after="0"/>
              <w:rPr>
                <w:sz w:val="20"/>
                <w:szCs w:val="20"/>
                <w:color w:val="auto"/>
              </w:rPr>
            </w:pPr>
            <w:r>
              <w:rPr>
                <w:rFonts w:ascii="Arial" w:cs="Arial" w:eastAsia="Arial" w:hAnsi="Arial"/>
                <w:sz w:val="16"/>
                <w:szCs w:val="16"/>
                <w:color w:val="auto"/>
              </w:rPr>
              <w:t>Total senior notes and debentures, net</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3,405,282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3.49%</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2120" w:type="dxa"/>
            <w:vAlign w:val="bottom"/>
            <w:tcBorders>
              <w:bottom w:val="single" w:sz="8" w:color="CCEEFF"/>
            </w:tcBorders>
          </w:tcPr>
          <w:p>
            <w:pPr>
              <w:spacing w:after="0"/>
              <w:rPr>
                <w:sz w:val="16"/>
                <w:szCs w:val="16"/>
                <w:color w:val="auto"/>
              </w:rPr>
            </w:pPr>
          </w:p>
        </w:tc>
        <w:tc>
          <w:tcPr>
            <w:tcW w:w="18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394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6"/>
                <w:szCs w:val="16"/>
                <w:color w:val="auto"/>
              </w:rPr>
              <w:t>Total debt, net</w:t>
            </w:r>
          </w:p>
        </w:tc>
        <w:tc>
          <w:tcPr>
            <w:tcW w:w="1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4,172,933</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Total fixed rate debt, net</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3,874,300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3.55%</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gridSpan w:val="4"/>
          </w:tcPr>
          <w:p>
            <w:pPr>
              <w:spacing w:after="0"/>
              <w:rPr>
                <w:sz w:val="20"/>
                <w:szCs w:val="20"/>
                <w:color w:val="auto"/>
              </w:rPr>
            </w:pPr>
            <w:r>
              <w:rPr>
                <w:rFonts w:ascii="Arial" w:cs="Arial" w:eastAsia="Arial" w:hAnsi="Arial"/>
                <w:sz w:val="16"/>
                <w:szCs w:val="16"/>
                <w:color w:val="auto"/>
              </w:rPr>
              <w:t>Total variable rate debt, net</w:t>
            </w:r>
          </w:p>
        </w:tc>
        <w:tc>
          <w:tcPr>
            <w:tcW w:w="1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298,633</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7 %</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1.05%</w:t>
            </w:r>
          </w:p>
        </w:tc>
        <w:tc>
          <w:tcPr>
            <w:tcW w:w="48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w w:val="91"/>
              </w:rPr>
              <w:t>(11)</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39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Total debt, net</w:t>
            </w:r>
          </w:p>
        </w:tc>
        <w:tc>
          <w:tcPr>
            <w:tcW w:w="1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4,172,933</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3.37%</w:t>
            </w:r>
          </w:p>
        </w:tc>
        <w:tc>
          <w:tcPr>
            <w:tcW w:w="4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91"/>
              </w:rPr>
              <w:t>(11)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0"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030"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840" w:type="dxa"/>
            <w:vAlign w:val="bottom"/>
            <w:gridSpan w:val="4"/>
          </w:tcPr>
          <w:p>
            <w:pPr>
              <w:jc w:val="center"/>
              <w:ind w:left="308"/>
              <w:spacing w:after="0"/>
              <w:rPr>
                <w:sz w:val="20"/>
                <w:szCs w:val="20"/>
                <w:color w:val="auto"/>
              </w:rPr>
            </w:pPr>
            <w:r>
              <w:rPr>
                <w:rFonts w:ascii="Arial" w:cs="Arial" w:eastAsia="Arial" w:hAnsi="Arial"/>
                <w:sz w:val="14"/>
                <w:szCs w:val="14"/>
                <w:b w:val="1"/>
                <w:bCs w:val="1"/>
                <w:color w:val="auto"/>
                <w:w w:val="93"/>
              </w:rPr>
              <w:t>Three Months Ended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95"/>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gridSpan w:val="3"/>
          </w:tcPr>
          <w:p>
            <w:pPr>
              <w:jc w:val="center"/>
              <w:ind w:left="686"/>
              <w:spacing w:after="0"/>
              <w:rPr>
                <w:sz w:val="20"/>
                <w:szCs w:val="20"/>
                <w:color w:val="auto"/>
              </w:rPr>
            </w:pPr>
            <w:r>
              <w:rPr>
                <w:rFonts w:ascii="Arial" w:cs="Arial" w:eastAsia="Arial" w:hAnsi="Arial"/>
                <w:sz w:val="14"/>
                <w:szCs w:val="14"/>
                <w:b w:val="1"/>
                <w:bCs w:val="1"/>
                <w:color w:val="auto"/>
                <w:w w:val="89"/>
              </w:rPr>
              <w:t>June 30,</w:t>
            </w:r>
          </w:p>
        </w:tc>
        <w:tc>
          <w:tcPr>
            <w:tcW w:w="760" w:type="dxa"/>
            <w:vAlign w:val="bottom"/>
            <w:tcBorders>
              <w:bottom w:val="single" w:sz="8" w:color="auto"/>
            </w:tcBorders>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30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ind w:right="304"/>
              <w:spacing w:after="0"/>
              <w:rPr>
                <w:sz w:val="20"/>
                <w:szCs w:val="20"/>
                <w:color w:val="auto"/>
              </w:rPr>
            </w:pPr>
            <w:r>
              <w:rPr>
                <w:rFonts w:ascii="Arial" w:cs="Arial" w:eastAsia="Arial" w:hAnsi="Arial"/>
                <w:sz w:val="14"/>
                <w:szCs w:val="14"/>
                <w:b w:val="1"/>
                <w:bCs w:val="1"/>
                <w:color w:val="auto"/>
              </w:rPr>
              <w:t>2020</w:t>
            </w:r>
          </w:p>
        </w:tc>
      </w:tr>
      <w:tr>
        <w:trPr>
          <w:trHeight w:val="158"/>
        </w:trPr>
        <w:tc>
          <w:tcPr>
            <w:tcW w:w="20" w:type="dxa"/>
            <w:vAlign w:val="bottom"/>
          </w:tcPr>
          <w:p>
            <w:pPr>
              <w:spacing w:after="0"/>
              <w:rPr>
                <w:sz w:val="13"/>
                <w:szCs w:val="13"/>
                <w:color w:val="auto"/>
              </w:rPr>
            </w:pPr>
          </w:p>
        </w:tc>
        <w:tc>
          <w:tcPr>
            <w:tcW w:w="6680" w:type="dxa"/>
            <w:vAlign w:val="bottom"/>
            <w:gridSpan w:val="2"/>
          </w:tcPr>
          <w:p>
            <w:pPr>
              <w:jc w:val="right"/>
              <w:ind w:right="5280"/>
              <w:spacing w:after="0" w:line="158" w:lineRule="exact"/>
              <w:rPr>
                <w:sz w:val="20"/>
                <w:szCs w:val="20"/>
                <w:color w:val="auto"/>
              </w:rPr>
            </w:pPr>
            <w:r>
              <w:rPr>
                <w:rFonts w:ascii="Arial" w:cs="Arial" w:eastAsia="Arial" w:hAnsi="Arial"/>
                <w:sz w:val="16"/>
                <w:szCs w:val="16"/>
                <w:color w:val="auto"/>
                <w:w w:val="91"/>
              </w:rPr>
              <w:t>Operational Statistics</w:t>
            </w:r>
          </w:p>
        </w:tc>
        <w:tc>
          <w:tcPr>
            <w:tcW w:w="6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360" w:type="dxa"/>
            <w:vAlign w:val="bottom"/>
            <w:gridSpan w:val="3"/>
            <w:shd w:val="clear" w:color="auto" w:fill="CCEEFF"/>
          </w:tcPr>
          <w:p>
            <w:pPr>
              <w:jc w:val="right"/>
              <w:ind w:right="1748"/>
              <w:spacing w:after="0"/>
              <w:rPr>
                <w:sz w:val="20"/>
                <w:szCs w:val="20"/>
                <w:color w:val="auto"/>
              </w:rPr>
            </w:pPr>
            <w:r>
              <w:rPr>
                <w:rFonts w:ascii="Arial" w:cs="Arial" w:eastAsia="Arial" w:hAnsi="Arial"/>
                <w:sz w:val="16"/>
                <w:szCs w:val="16"/>
                <w:color w:val="auto"/>
                <w:w w:val="96"/>
              </w:rPr>
              <w:t>Ratio of EBITDAre to combined fixed charges and preferred share dividends (12)</w:t>
            </w:r>
          </w:p>
        </w:tc>
        <w:tc>
          <w:tcPr>
            <w:tcW w:w="1160" w:type="dxa"/>
            <w:vAlign w:val="bottom"/>
            <w:gridSpan w:val="3"/>
            <w:shd w:val="clear" w:color="auto" w:fill="CCEEFF"/>
          </w:tcPr>
          <w:p>
            <w:pPr>
              <w:jc w:val="right"/>
              <w:ind w:right="800"/>
              <w:spacing w:after="0"/>
              <w:rPr>
                <w:sz w:val="20"/>
                <w:szCs w:val="20"/>
                <w:color w:val="auto"/>
              </w:rPr>
            </w:pPr>
            <w:r>
              <w:rPr>
                <w:rFonts w:ascii="Arial" w:cs="Arial" w:eastAsia="Arial" w:hAnsi="Arial"/>
                <w:sz w:val="16"/>
                <w:szCs w:val="16"/>
                <w:color w:val="auto"/>
                <w:w w:val="86"/>
              </w:rPr>
              <w:t>3.62x</w:t>
            </w:r>
          </w:p>
        </w:tc>
        <w:tc>
          <w:tcPr>
            <w:tcW w:w="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2.24x</w:t>
            </w:r>
          </w:p>
        </w:tc>
        <w:tc>
          <w:tcPr>
            <w:tcW w:w="1460" w:type="dxa"/>
            <w:vAlign w:val="bottom"/>
            <w:gridSpan w:val="3"/>
            <w:shd w:val="clear" w:color="auto" w:fill="CCEEFF"/>
          </w:tcPr>
          <w:p>
            <w:pPr>
              <w:ind w:left="680"/>
              <w:spacing w:after="0"/>
              <w:rPr>
                <w:sz w:val="20"/>
                <w:szCs w:val="20"/>
                <w:color w:val="auto"/>
              </w:rPr>
            </w:pPr>
            <w:r>
              <w:rPr>
                <w:rFonts w:ascii="Arial" w:cs="Arial" w:eastAsia="Arial" w:hAnsi="Arial"/>
                <w:sz w:val="16"/>
                <w:szCs w:val="16"/>
                <w:color w:val="auto"/>
              </w:rPr>
              <w:t>3.34x</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3.03x</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right="340" w:hanging="652"/>
        <w:spacing w:after="0" w:line="273" w:lineRule="auto"/>
        <w:tabs>
          <w:tab w:leader="none" w:pos="658" w:val="left"/>
        </w:tabs>
        <w:numPr>
          <w:ilvl w:val="0"/>
          <w:numId w:val="14"/>
        </w:numPr>
        <w:rPr>
          <w:rFonts w:ascii="Arial" w:cs="Arial" w:eastAsia="Arial" w:hAnsi="Arial"/>
          <w:sz w:val="14"/>
          <w:szCs w:val="14"/>
          <w:color w:val="auto"/>
        </w:rPr>
      </w:pPr>
      <w:r>
        <w:rPr>
          <w:rFonts w:ascii="Arial" w:cs="Arial" w:eastAsia="Arial" w:hAnsi="Arial"/>
          <w:sz w:val="14"/>
          <w:szCs w:val="14"/>
          <w:color w:val="auto"/>
        </w:rPr>
        <w:t>Mortgages payable does not include our share of debt on our unconsolidated real estate partnerships. At June 30, 2021, our share of unconsolidated debt was approximately $28.7 million. At June 30, 2021, our noncontrolling interests' share of mortgages payable was $45.8 million.</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have submitted a prepayment notice for this mortgage loan to be repaid, at par, on September 1, 2021.</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have submitted a prepayment notice for this mortgage loan to be repaid, at par, on November 2, 2021.</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have submitted a prepayment notice for this mortgage loan to be repaid, at par, on October 12, 2021.</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have two interest rate swap agreements that fix the interest rate on the mortgage loan at 3.67%.</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interest rates on these mortgages range from 3.91% to 5.00%.</w:t>
      </w:r>
    </w:p>
    <w:p>
      <w:pPr>
        <w:spacing w:after="0" w:line="55" w:lineRule="exact"/>
        <w:rPr>
          <w:rFonts w:ascii="Arial" w:cs="Arial" w:eastAsia="Arial" w:hAnsi="Arial"/>
          <w:sz w:val="14"/>
          <w:szCs w:val="14"/>
          <w:color w:val="auto"/>
        </w:rPr>
      </w:pPr>
    </w:p>
    <w:p>
      <w:pPr>
        <w:ind w:left="660" w:hanging="652"/>
        <w:spacing w:after="0" w:line="273" w:lineRule="auto"/>
        <w:tabs>
          <w:tab w:leader="none" w:pos="658"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mortgage loan has a fixed interest rate; however, the rate resets every five years until maturity. The current rate is fixed until July 1, 2022, and the loan is prepayable at par anytime after this date.</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During the three months ended June 30, 2021, there were no borrowings on our revolving credit facility.</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weighted average remaining term on our mortgages payable, notes payable, and senior notes and debentures is approximately 9 years.</w:t>
      </w:r>
    </w:p>
    <w:p>
      <w:pPr>
        <w:spacing w:after="0" w:line="55" w:lineRule="exact"/>
        <w:rPr>
          <w:rFonts w:ascii="Arial" w:cs="Arial" w:eastAsia="Arial" w:hAnsi="Arial"/>
          <w:sz w:val="14"/>
          <w:szCs w:val="14"/>
          <w:color w:val="auto"/>
        </w:rPr>
      </w:pPr>
    </w:p>
    <w:p>
      <w:pPr>
        <w:ind w:left="640" w:hanging="632"/>
        <w:spacing w:after="0"/>
        <w:tabs>
          <w:tab w:leader="none" w:pos="6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weighted average effective interest rate includes the amortization of any debt issuance costs and discounts and premiums, if applicable, except as described in Note 11.</w:t>
      </w:r>
    </w:p>
    <w:p>
      <w:pPr>
        <w:spacing w:after="0" w:line="66" w:lineRule="exact"/>
        <w:rPr>
          <w:rFonts w:ascii="Arial" w:cs="Arial" w:eastAsia="Arial" w:hAnsi="Arial"/>
          <w:sz w:val="13"/>
          <w:szCs w:val="13"/>
          <w:color w:val="auto"/>
        </w:rPr>
      </w:pPr>
    </w:p>
    <w:p>
      <w:pPr>
        <w:ind w:left="640" w:hanging="632"/>
        <w:spacing w:after="0"/>
        <w:tabs>
          <w:tab w:leader="none" w:pos="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$0.6 million in quarterly financing fees and quarterly debt fee amortization on our revolving credit facility.</w:t>
      </w:r>
    </w:p>
    <w:p>
      <w:pPr>
        <w:spacing w:after="0" w:line="55" w:lineRule="exact"/>
        <w:rPr>
          <w:rFonts w:ascii="Arial" w:cs="Arial" w:eastAsia="Arial" w:hAnsi="Arial"/>
          <w:sz w:val="14"/>
          <w:szCs w:val="14"/>
          <w:color w:val="auto"/>
        </w:rPr>
      </w:pPr>
    </w:p>
    <w:p>
      <w:pPr>
        <w:ind w:left="660" w:right="220" w:hanging="652"/>
        <w:spacing w:after="0" w:line="273" w:lineRule="auto"/>
        <w:tabs>
          <w:tab w:leader="none" w:pos="649" w:val="left"/>
        </w:tabs>
        <w:numPr>
          <w:ilvl w:val="0"/>
          <w:numId w:val="14"/>
        </w:numPr>
        <w:rPr>
          <w:rFonts w:ascii="Arial" w:cs="Arial" w:eastAsia="Arial" w:hAnsi="Arial"/>
          <w:sz w:val="14"/>
          <w:szCs w:val="14"/>
          <w:color w:val="auto"/>
        </w:rPr>
      </w:pPr>
      <w:r>
        <w:rPr>
          <w:rFonts w:ascii="Arial" w:cs="Arial" w:eastAsia="Arial" w:hAnsi="Arial"/>
          <w:sz w:val="14"/>
          <w:szCs w:val="14"/>
          <w:color w:val="auto"/>
        </w:rPr>
        <w:t>Fixed charges consist of interest on borrowed funds and finance leases (including capitalized interest), amortization of debt discount/premium and debt costs, and the portion of rent expense representing an interest factor. EBITDAre is reconciled to net income in the Glossary of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927" w:right="339" w:bottom="1440" w:gutter="0" w:footer="0" w:header="0"/>
        </w:sectPr>
      </w:pPr>
    </w:p>
    <w:bookmarkStart w:id="18" w:name="page19"/>
    <w:bookmarkEnd w:id="18"/>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2021</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vMerge w:val="restart"/>
          </w:tcPr>
          <w:p>
            <w:pPr>
              <w:jc w:val="center"/>
              <w:ind w:right="620"/>
              <w:spacing w:after="0"/>
              <w:rPr>
                <w:sz w:val="20"/>
                <w:szCs w:val="20"/>
                <w:color w:val="auto"/>
              </w:rPr>
            </w:pPr>
            <w:r>
              <w:rPr>
                <w:rFonts w:ascii="Arial" w:cs="Arial" w:eastAsia="Arial" w:hAnsi="Arial"/>
                <w:sz w:val="16"/>
                <w:szCs w:val="16"/>
                <w:b w:val="1"/>
                <w:bCs w:val="1"/>
                <w:color w:val="auto"/>
                <w:w w:val="86"/>
              </w:rPr>
              <w:t>Scheduled</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vMerge w:val="restart"/>
          </w:tcPr>
          <w:p>
            <w:pPr>
              <w:jc w:val="right"/>
              <w:ind w:right="11"/>
              <w:spacing w:after="0"/>
              <w:rPr>
                <w:sz w:val="20"/>
                <w:szCs w:val="20"/>
                <w:color w:val="auto"/>
              </w:rPr>
            </w:pPr>
            <w:r>
              <w:rPr>
                <w:rFonts w:ascii="Arial" w:cs="Arial" w:eastAsia="Arial" w:hAnsi="Arial"/>
                <w:sz w:val="16"/>
                <w:szCs w:val="16"/>
                <w:b w:val="1"/>
                <w:bCs w:val="1"/>
                <w:color w:val="auto"/>
                <w:w w:val="98"/>
              </w:rPr>
              <w:t>Percent of Debt</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2"/>
              </w:rPr>
              <w:t>Cumulative</w:t>
            </w:r>
          </w:p>
        </w:tc>
        <w:tc>
          <w:tcPr>
            <w:tcW w:w="1660" w:type="dxa"/>
            <w:vAlign w:val="bottom"/>
            <w:vMerge w:val="restart"/>
          </w:tcPr>
          <w:p>
            <w:pPr>
              <w:jc w:val="right"/>
              <w:ind w:right="571"/>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1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Year</w:t>
            </w:r>
          </w:p>
        </w:tc>
        <w:tc>
          <w:tcPr>
            <w:tcW w:w="14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right"/>
              <w:ind w:right="172"/>
              <w:spacing w:after="0"/>
              <w:rPr>
                <w:sz w:val="20"/>
                <w:szCs w:val="20"/>
                <w:color w:val="auto"/>
              </w:rPr>
            </w:pPr>
            <w:r>
              <w:rPr>
                <w:rFonts w:ascii="Arial" w:cs="Arial" w:eastAsia="Arial" w:hAnsi="Arial"/>
                <w:sz w:val="16"/>
                <w:szCs w:val="16"/>
                <w:b w:val="1"/>
                <w:bCs w:val="1"/>
                <w:color w:val="auto"/>
              </w:rPr>
              <w:t>Maturities</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vMerge w:val="restart"/>
          </w:tcPr>
          <w:p>
            <w:pPr>
              <w:jc w:val="right"/>
              <w:ind w:right="759"/>
              <w:spacing w:after="0"/>
              <w:rPr>
                <w:sz w:val="20"/>
                <w:szCs w:val="20"/>
                <w:color w:val="auto"/>
              </w:rPr>
            </w:pPr>
            <w:r>
              <w:rPr>
                <w:rFonts w:ascii="Arial" w:cs="Arial" w:eastAsia="Arial" w:hAnsi="Arial"/>
                <w:sz w:val="16"/>
                <w:szCs w:val="16"/>
                <w:b w:val="1"/>
                <w:bCs w:val="1"/>
                <w:color w:val="auto"/>
              </w:rPr>
              <w:t>Total</w:t>
            </w:r>
          </w:p>
        </w:tc>
        <w:tc>
          <w:tcPr>
            <w:tcW w:w="1280" w:type="dxa"/>
            <w:vAlign w:val="bottom"/>
            <w:vMerge w:val="continue"/>
          </w:tcPr>
          <w:p>
            <w:pPr>
              <w:spacing w:after="0"/>
              <w:rPr>
                <w:sz w:val="14"/>
                <w:szCs w:val="14"/>
                <w:color w:val="auto"/>
              </w:rPr>
            </w:pPr>
          </w:p>
        </w:tc>
        <w:tc>
          <w:tcPr>
            <w:tcW w:w="15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Percent of Debt</w:t>
            </w:r>
          </w:p>
        </w:tc>
        <w:tc>
          <w:tcPr>
            <w:tcW w:w="1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5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w w:val="96"/>
              </w:rPr>
              <w:t>Amortization</w:t>
            </w: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280" w:type="dxa"/>
            <w:vAlign w:val="bottom"/>
          </w:tcPr>
          <w:p>
            <w:pPr>
              <w:jc w:val="right"/>
              <w:ind w:right="211"/>
              <w:spacing w:after="0"/>
              <w:rPr>
                <w:sz w:val="20"/>
                <w:szCs w:val="20"/>
                <w:color w:val="auto"/>
              </w:rPr>
            </w:pPr>
            <w:r>
              <w:rPr>
                <w:rFonts w:ascii="Arial" w:cs="Arial" w:eastAsia="Arial" w:hAnsi="Arial"/>
                <w:sz w:val="16"/>
                <w:szCs w:val="16"/>
                <w:b w:val="1"/>
                <w:bCs w:val="1"/>
                <w:color w:val="auto"/>
              </w:rPr>
              <w:t>Maturing</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7"/>
              </w:rPr>
              <w:t>Maturing</w:t>
            </w:r>
          </w:p>
        </w:tc>
        <w:tc>
          <w:tcPr>
            <w:tcW w:w="1660" w:type="dxa"/>
            <w:vAlign w:val="bottom"/>
          </w:tcPr>
          <w:p>
            <w:pPr>
              <w:jc w:val="right"/>
              <w:ind w:right="331"/>
              <w:spacing w:after="0"/>
              <w:rPr>
                <w:sz w:val="20"/>
                <w:szCs w:val="20"/>
                <w:color w:val="auto"/>
              </w:rPr>
            </w:pPr>
            <w:r>
              <w:rPr>
                <w:rFonts w:ascii="Arial" w:cs="Arial" w:eastAsia="Arial" w:hAnsi="Arial"/>
                <w:sz w:val="16"/>
                <w:szCs w:val="16"/>
                <w:b w:val="1"/>
                <w:bCs w:val="1"/>
                <w:color w:val="auto"/>
                <w:w w:val="96"/>
              </w:rPr>
              <w:t>Average Rate (4)</w:t>
            </w:r>
          </w:p>
        </w:tc>
        <w:tc>
          <w:tcPr>
            <w:tcW w:w="0" w:type="dxa"/>
            <w:vAlign w:val="bottom"/>
          </w:tcPr>
          <w:p>
            <w:pPr>
              <w:spacing w:after="0"/>
              <w:rPr>
                <w:sz w:val="1"/>
                <w:szCs w:val="1"/>
                <w:color w:val="auto"/>
              </w:rPr>
            </w:pPr>
          </w:p>
        </w:tc>
      </w:tr>
      <w:tr>
        <w:trPr>
          <w:trHeight w:val="184"/>
        </w:trPr>
        <w:tc>
          <w:tcPr>
            <w:tcW w:w="15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3"/>
              </w:rPr>
              <w:t>(in thousands)</w:t>
            </w:r>
          </w:p>
        </w:tc>
        <w:tc>
          <w:tcPr>
            <w:tcW w:w="5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124,041</w:t>
            </w:r>
          </w:p>
        </w:tc>
        <w:tc>
          <w:tcPr>
            <w:tcW w:w="5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126,628</w:t>
            </w: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3.0 %</w:t>
            </w:r>
          </w:p>
        </w:tc>
        <w:tc>
          <w:tcPr>
            <w:tcW w:w="16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 xml:space="preserve">3.9 % </w:t>
            </w: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0"/>
        </w:trPr>
        <w:tc>
          <w:tcPr>
            <w:tcW w:w="1560" w:type="dxa"/>
            <w:vAlign w:val="bottom"/>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4,134</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4,134</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0.1 %</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3.1 %</w:t>
            </w:r>
          </w:p>
        </w:tc>
        <w:tc>
          <w:tcPr>
            <w:tcW w:w="1660" w:type="dxa"/>
            <w:vAlign w:val="bottom"/>
          </w:tcPr>
          <w:p>
            <w:pPr>
              <w:jc w:val="right"/>
              <w:ind w:right="311"/>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279,314</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9.8 %</w:t>
            </w:r>
          </w:p>
        </w:tc>
        <w:tc>
          <w:tcPr>
            <w:tcW w:w="16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9"/>
        </w:trPr>
        <w:tc>
          <w:tcPr>
            <w:tcW w:w="1560" w:type="dxa"/>
            <w:vAlign w:val="bottom"/>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4,344</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900,000</w:t>
            </w: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904,344</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21.6 %</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31.4 %</w:t>
            </w:r>
          </w:p>
        </w:tc>
        <w:tc>
          <w:tcPr>
            <w:tcW w:w="1660" w:type="dxa"/>
            <w:vAlign w:val="bottom"/>
          </w:tcPr>
          <w:p>
            <w:pPr>
              <w:jc w:val="right"/>
              <w:ind w:right="91"/>
              <w:spacing w:after="0"/>
              <w:rPr>
                <w:sz w:val="20"/>
                <w:szCs w:val="20"/>
                <w:color w:val="auto"/>
              </w:rPr>
            </w:pPr>
            <w:r>
              <w:rPr>
                <w:rFonts w:ascii="Arial" w:cs="Arial" w:eastAsia="Arial" w:hAnsi="Arial"/>
                <w:sz w:val="18"/>
                <w:szCs w:val="18"/>
                <w:color w:val="auto"/>
              </w:rPr>
              <w:t xml:space="preserve">2.8 % </w:t>
            </w: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0"/>
        </w:trPr>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44,298</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48,366</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32.5 %</w:t>
            </w:r>
          </w:p>
        </w:tc>
        <w:tc>
          <w:tcPr>
            <w:tcW w:w="16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29"/>
        </w:trPr>
        <w:tc>
          <w:tcPr>
            <w:tcW w:w="1560" w:type="dxa"/>
            <w:vAlign w:val="bottom"/>
          </w:tcPr>
          <w:p>
            <w:pPr>
              <w:ind w:left="20"/>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3,465</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452,450</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455,915</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10.9 %</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43.4 %</w:t>
            </w:r>
          </w:p>
        </w:tc>
        <w:tc>
          <w:tcPr>
            <w:tcW w:w="1660" w:type="dxa"/>
            <w:vAlign w:val="bottom"/>
          </w:tcPr>
          <w:p>
            <w:pPr>
              <w:jc w:val="right"/>
              <w:ind w:right="311"/>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9"/>
        </w:trPr>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690,570</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693,618</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59.9 %</w:t>
            </w:r>
          </w:p>
        </w:tc>
        <w:tc>
          <w:tcPr>
            <w:tcW w:w="16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30"/>
        </w:trPr>
        <w:tc>
          <w:tcPr>
            <w:tcW w:w="1560" w:type="dxa"/>
            <w:vAlign w:val="bottom"/>
          </w:tcPr>
          <w:p>
            <w:pPr>
              <w:ind w:left="20"/>
              <w:spacing w:after="0"/>
              <w:rPr>
                <w:sz w:val="20"/>
                <w:szCs w:val="20"/>
                <w:color w:val="auto"/>
              </w:rPr>
            </w:pPr>
            <w:r>
              <w:rPr>
                <w:rFonts w:ascii="Arial" w:cs="Arial" w:eastAsia="Arial" w:hAnsi="Arial"/>
                <w:sz w:val="18"/>
                <w:szCs w:val="18"/>
                <w:color w:val="auto"/>
              </w:rPr>
              <w:t>2028</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2,934</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2,934</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0.1 %</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60.0 %</w:t>
            </w:r>
          </w:p>
        </w:tc>
        <w:tc>
          <w:tcPr>
            <w:tcW w:w="1660" w:type="dxa"/>
            <w:vAlign w:val="bottom"/>
          </w:tcPr>
          <w:p>
            <w:pPr>
              <w:jc w:val="right"/>
              <w:ind w:right="311"/>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29"/>
        </w:trPr>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458,099</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460,869</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71.0 %</w:t>
            </w:r>
          </w:p>
        </w:tc>
        <w:tc>
          <w:tcPr>
            <w:tcW w:w="16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30"/>
        </w:trPr>
        <w:tc>
          <w:tcPr>
            <w:tcW w:w="1560" w:type="dxa"/>
            <w:vAlign w:val="bottom"/>
          </w:tcPr>
          <w:p>
            <w:pPr>
              <w:ind w:left="20"/>
              <w:spacing w:after="0"/>
              <w:rPr>
                <w:sz w:val="20"/>
                <w:szCs w:val="20"/>
                <w:color w:val="auto"/>
              </w:rPr>
            </w:pPr>
            <w:r>
              <w:rPr>
                <w:rFonts w:ascii="Arial" w:cs="Arial" w:eastAsia="Arial" w:hAnsi="Arial"/>
                <w:sz w:val="18"/>
                <w:szCs w:val="18"/>
                <w:color w:val="auto"/>
              </w:rPr>
              <w:t>2030</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1,141</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400,000</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401,141</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9.6 %</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80.6 %</w:t>
            </w:r>
          </w:p>
        </w:tc>
        <w:tc>
          <w:tcPr>
            <w:tcW w:w="1660" w:type="dxa"/>
            <w:vAlign w:val="bottom"/>
          </w:tcPr>
          <w:p>
            <w:pPr>
              <w:jc w:val="right"/>
              <w:ind w:right="311"/>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29"/>
        </w:trPr>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6,871</w:t>
            </w:r>
          </w:p>
        </w:tc>
        <w:tc>
          <w:tcPr>
            <w:tcW w:w="4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805,899</w:t>
            </w:r>
          </w:p>
        </w:tc>
        <w:tc>
          <w:tcPr>
            <w:tcW w:w="5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812,770</w:t>
            </w:r>
          </w:p>
        </w:tc>
        <w:tc>
          <w:tcPr>
            <w:tcW w:w="3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100.0 %</w:t>
            </w:r>
          </w:p>
        </w:tc>
        <w:tc>
          <w:tcPr>
            <w:tcW w:w="16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23"/>
        </w:trPr>
        <w:tc>
          <w:tcPr>
            <w:tcW w:w="1560" w:type="dxa"/>
            <w:vAlign w:val="bottom"/>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39,676</w:t>
            </w:r>
          </w:p>
        </w:tc>
        <w:tc>
          <w:tcPr>
            <w:tcW w:w="4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4,150,357</w:t>
            </w:r>
          </w:p>
        </w:tc>
        <w:tc>
          <w:tcPr>
            <w:tcW w:w="5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4,190,033</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w w:val="91"/>
              </w:rPr>
              <w:t>(3)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5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right="380" w:hanging="652"/>
        <w:spacing w:after="0" w:line="275"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"maturities" and "weighted average rate" reflect the prepayment at par of two of our mortgage loans in 2021, as compared to their stated maturity date in 2022, as referenced on page 15.</w:t>
      </w:r>
    </w:p>
    <w:p>
      <w:pPr>
        <w:spacing w:after="0" w:line="10" w:lineRule="exact"/>
        <w:rPr>
          <w:rFonts w:ascii="Arial" w:cs="Arial" w:eastAsia="Arial" w:hAnsi="Arial"/>
          <w:sz w:val="16"/>
          <w:szCs w:val="16"/>
          <w:color w:val="auto"/>
        </w:rPr>
      </w:pPr>
    </w:p>
    <w:p>
      <w:pPr>
        <w:ind w:left="660" w:right="180" w:hanging="652"/>
        <w:spacing w:after="0" w:line="26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April 16, 2021, we repaid $100.0 million of the term loan, amended the agreement on the remaining $300.0 million, to lower the current spread over LIBOR from 135 basis points to 80 basis points based on our current credit rating, and extended the initial maturity date to April 16, 2024, along with two one-year extensions, at our option.</w:t>
      </w:r>
    </w:p>
    <w:p>
      <w:pPr>
        <w:spacing w:after="0" w:line="20" w:lineRule="exact"/>
        <w:rPr>
          <w:rFonts w:ascii="Arial" w:cs="Arial" w:eastAsia="Arial" w:hAnsi="Arial"/>
          <w:sz w:val="16"/>
          <w:szCs w:val="16"/>
          <w:color w:val="auto"/>
        </w:rPr>
      </w:pPr>
    </w:p>
    <w:p>
      <w:pPr>
        <w:ind w:left="660" w:right="60" w:hanging="652"/>
        <w:spacing w:after="0" w:line="275"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total debt maturities differ from the total reported on the consolidated balance sheet due to the debt issuance costs and unamortized net premium/discount and on certain mortgage loans, notes payable, and senior notes as of June 30, 2021.</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right="380" w:hanging="652"/>
        <w:spacing w:after="0" w:line="310" w:lineRule="auto"/>
        <w:tabs>
          <w:tab w:leader="none" w:pos="6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weighted average rate excludes $0.6 million in quarterly financing fees and quarterly debt fee amortization on our revolving credit facility, which had no balance outstanding at June 30, 2021. Our revolving credit facility matures on January 19, 2024, plus two six-month extensions at our option.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1026" w:right="359" w:bottom="1440" w:gutter="0" w:footer="0" w:header="0"/>
        </w:sectPr>
      </w:pPr>
    </w:p>
    <w:bookmarkStart w:id="19" w:name="page20"/>
    <w:bookmarkEnd w:id="19"/>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 of Redevelopment Opportunities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2021</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The following redevelopment opportunities have received or will shortly receive all necessary approvals to proceed and are actively being worked on by the Trust. (1)</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Impacts of COVID-19 Pandemic:</w:t>
      </w:r>
    </w:p>
    <w:p>
      <w:pPr>
        <w:spacing w:after="0" w:line="32" w:lineRule="exact"/>
        <w:rPr>
          <w:sz w:val="20"/>
          <w:szCs w:val="20"/>
          <w:color w:val="auto"/>
        </w:rPr>
      </w:pPr>
    </w:p>
    <w:p>
      <w:pPr>
        <w:ind w:left="20" w:right="100"/>
        <w:spacing w:after="0" w:line="236" w:lineRule="auto"/>
        <w:rPr>
          <w:sz w:val="20"/>
          <w:szCs w:val="20"/>
          <w:color w:val="auto"/>
        </w:rPr>
      </w:pPr>
      <w:r>
        <w:rPr>
          <w:rFonts w:ascii="Arial" w:cs="Arial" w:eastAsia="Arial" w:hAnsi="Arial"/>
          <w:sz w:val="14"/>
          <w:szCs w:val="14"/>
          <w:color w:val="auto"/>
        </w:rPr>
        <w:t>Information provided below reflects management’s best estimate based on current available information, however the completion of construction, final costs, return on investment, and timing of stabilization may be impacted by COVID-19.</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Projected</w:t>
            </w:r>
          </w:p>
        </w:tc>
        <w:tc>
          <w:tcPr>
            <w:tcW w:w="100" w:type="dxa"/>
            <w:vAlign w:val="bottom"/>
          </w:tcPr>
          <w:p>
            <w:pPr>
              <w:spacing w:after="0"/>
              <w:rPr>
                <w:sz w:val="14"/>
                <w:szCs w:val="14"/>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87"/>
              </w:rPr>
              <w:t>Projected</w:t>
            </w:r>
          </w:p>
        </w:tc>
        <w:tc>
          <w:tcPr>
            <w:tcW w:w="120" w:type="dxa"/>
            <w:vAlign w:val="bottom"/>
          </w:tcPr>
          <w:p>
            <w:pPr>
              <w:spacing w:after="0"/>
              <w:rPr>
                <w:sz w:val="14"/>
                <w:szCs w:val="14"/>
                <w:color w:val="auto"/>
              </w:rPr>
            </w:pPr>
          </w:p>
        </w:tc>
        <w:tc>
          <w:tcPr>
            <w:tcW w:w="6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5"/>
              </w:rPr>
              <w:t>Cost to</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35"/>
        </w:trPr>
        <w:tc>
          <w:tcPr>
            <w:tcW w:w="14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Property</w:t>
            </w:r>
          </w:p>
        </w:tc>
        <w:tc>
          <w:tcPr>
            <w:tcW w:w="134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Location</w:t>
            </w:r>
          </w:p>
        </w:tc>
        <w:tc>
          <w:tcPr>
            <w:tcW w:w="5140" w:type="dxa"/>
            <w:vAlign w:val="bottom"/>
            <w:vMerge w:val="restart"/>
          </w:tcPr>
          <w:p>
            <w:pPr>
              <w:ind w:left="2220"/>
              <w:spacing w:after="0"/>
              <w:rPr>
                <w:sz w:val="20"/>
                <w:szCs w:val="20"/>
                <w:color w:val="auto"/>
              </w:rPr>
            </w:pPr>
            <w:r>
              <w:rPr>
                <w:rFonts w:ascii="Arial" w:cs="Arial" w:eastAsia="Arial" w:hAnsi="Arial"/>
                <w:sz w:val="14"/>
                <w:szCs w:val="14"/>
                <w:b w:val="1"/>
                <w:bCs w:val="1"/>
                <w:color w:val="auto"/>
              </w:rPr>
              <w:t>Opportunity</w:t>
            </w: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Stabilization</w:t>
            </w:r>
          </w:p>
        </w:tc>
        <w:tc>
          <w:tcPr>
            <w:tcW w:w="0" w:type="dxa"/>
            <w:vAlign w:val="bottom"/>
          </w:tcPr>
          <w:p>
            <w:pPr>
              <w:spacing w:after="0"/>
              <w:rPr>
                <w:sz w:val="1"/>
                <w:szCs w:val="1"/>
                <w:color w:val="auto"/>
              </w:rPr>
            </w:pPr>
          </w:p>
        </w:tc>
      </w:tr>
      <w:tr>
        <w:trPr>
          <w:trHeight w:val="188"/>
        </w:trPr>
        <w:tc>
          <w:tcPr>
            <w:tcW w:w="146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514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ROI (2)</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5"/>
              </w:rPr>
              <w:t>Cost (1)</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Date</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177"/>
        </w:trPr>
        <w:tc>
          <w:tcPr>
            <w:tcW w:w="1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60" w:type="dxa"/>
            <w:vAlign w:val="bottom"/>
            <w:gridSpan w:val="4"/>
          </w:tcPr>
          <w:p>
            <w:pPr>
              <w:ind w:left="20"/>
              <w:spacing w:after="0"/>
              <w:rPr>
                <w:sz w:val="20"/>
                <w:szCs w:val="20"/>
                <w:color w:val="auto"/>
              </w:rPr>
            </w:pPr>
            <w:r>
              <w:rPr>
                <w:rFonts w:ascii="Arial" w:cs="Arial" w:eastAsia="Arial" w:hAnsi="Arial"/>
                <w:sz w:val="14"/>
                <w:szCs w:val="14"/>
                <w:color w:val="auto"/>
              </w:rPr>
              <w:t>(in millions) (in millions)</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460" w:type="dxa"/>
            <w:vAlign w:val="bottom"/>
          </w:tcPr>
          <w:p>
            <w:pPr>
              <w:ind w:left="20"/>
              <w:spacing w:after="0"/>
              <w:rPr>
                <w:sz w:val="20"/>
                <w:szCs w:val="20"/>
                <w:color w:val="auto"/>
              </w:rPr>
            </w:pPr>
            <w:r>
              <w:rPr>
                <w:rFonts w:ascii="Arial" w:cs="Arial" w:eastAsia="Arial" w:hAnsi="Arial"/>
                <w:sz w:val="14"/>
                <w:szCs w:val="14"/>
                <w:color w:val="auto"/>
              </w:rPr>
              <w:t>Darien Commons</w:t>
            </w:r>
          </w:p>
        </w:tc>
        <w:tc>
          <w:tcPr>
            <w:tcW w:w="1340" w:type="dxa"/>
            <w:vAlign w:val="bottom"/>
          </w:tcPr>
          <w:p>
            <w:pPr>
              <w:ind w:left="140"/>
              <w:spacing w:after="0"/>
              <w:rPr>
                <w:sz w:val="20"/>
                <w:szCs w:val="20"/>
                <w:color w:val="auto"/>
              </w:rPr>
            </w:pPr>
            <w:r>
              <w:rPr>
                <w:rFonts w:ascii="Arial" w:cs="Arial" w:eastAsia="Arial" w:hAnsi="Arial"/>
                <w:sz w:val="14"/>
                <w:szCs w:val="14"/>
                <w:color w:val="auto"/>
              </w:rPr>
              <w:t>Darien, CT</w:t>
            </w:r>
          </w:p>
        </w:tc>
        <w:tc>
          <w:tcPr>
            <w:tcW w:w="5140" w:type="dxa"/>
            <w:vAlign w:val="bottom"/>
          </w:tcPr>
          <w:p>
            <w:pPr>
              <w:ind w:left="100"/>
              <w:spacing w:after="0"/>
              <w:rPr>
                <w:sz w:val="20"/>
                <w:szCs w:val="20"/>
                <w:color w:val="auto"/>
              </w:rPr>
            </w:pPr>
            <w:r>
              <w:rPr>
                <w:rFonts w:ascii="Arial" w:cs="Arial" w:eastAsia="Arial" w:hAnsi="Arial"/>
                <w:sz w:val="14"/>
                <w:szCs w:val="14"/>
                <w:color w:val="auto"/>
                <w:w w:val="97"/>
              </w:rPr>
              <w:t>Demolition of a 45,000 square foot anchor space to construct 75,000 square feet of</w:t>
            </w:r>
          </w:p>
        </w:tc>
        <w:tc>
          <w:tcPr>
            <w:tcW w:w="760" w:type="dxa"/>
            <w:vAlign w:val="bottom"/>
          </w:tcPr>
          <w:p>
            <w:pPr>
              <w:jc w:val="right"/>
              <w:spacing w:after="0"/>
              <w:rPr>
                <w:sz w:val="20"/>
                <w:szCs w:val="20"/>
                <w:color w:val="auto"/>
              </w:rPr>
            </w:pPr>
            <w:r>
              <w:rPr>
                <w:rFonts w:ascii="Arial" w:cs="Arial" w:eastAsia="Arial" w:hAnsi="Arial"/>
                <w:sz w:val="14"/>
                <w:szCs w:val="14"/>
                <w:color w:val="auto"/>
              </w:rPr>
              <w:t>6 %</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w w:val="98"/>
              </w:rPr>
              <w:t>$110 - $120</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w:t>
            </w:r>
          </w:p>
        </w:tc>
        <w:tc>
          <w:tcPr>
            <w:tcW w:w="980" w:type="dxa"/>
            <w:vAlign w:val="bottom"/>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186"/>
        </w:trPr>
        <w:tc>
          <w:tcPr>
            <w:tcW w:w="1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140" w:type="dxa"/>
            <w:vAlign w:val="bottom"/>
          </w:tcPr>
          <w:p>
            <w:pPr>
              <w:ind w:left="100"/>
              <w:spacing w:after="0"/>
              <w:rPr>
                <w:sz w:val="20"/>
                <w:szCs w:val="20"/>
                <w:color w:val="auto"/>
              </w:rPr>
            </w:pPr>
            <w:r>
              <w:rPr>
                <w:rFonts w:ascii="Arial" w:cs="Arial" w:eastAsia="Arial" w:hAnsi="Arial"/>
                <w:sz w:val="14"/>
                <w:szCs w:val="14"/>
                <w:color w:val="auto"/>
              </w:rPr>
              <w:t>new retail space, 122 rental apartments, and 720 parking spaces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Cocowalk</w:t>
            </w:r>
          </w:p>
        </w:tc>
        <w:tc>
          <w:tcPr>
            <w:tcW w:w="134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9"/>
              </w:rPr>
              <w:t>Coconut Grove, FL</w:t>
            </w:r>
          </w:p>
        </w:tc>
        <w:tc>
          <w:tcPr>
            <w:tcW w:w="5140" w:type="dxa"/>
            <w:vAlign w:val="bottom"/>
            <w:shd w:val="clear" w:color="auto" w:fill="CCEEFF"/>
          </w:tcPr>
          <w:p>
            <w:pPr>
              <w:ind w:left="100"/>
              <w:spacing w:after="0" w:line="139" w:lineRule="exact"/>
              <w:rPr>
                <w:sz w:val="20"/>
                <w:szCs w:val="20"/>
                <w:color w:val="auto"/>
              </w:rPr>
            </w:pPr>
            <w:r>
              <w:rPr>
                <w:rFonts w:ascii="Arial" w:cs="Arial" w:eastAsia="Arial" w:hAnsi="Arial"/>
                <w:sz w:val="14"/>
                <w:szCs w:val="14"/>
                <w:color w:val="auto"/>
                <w:w w:val="96"/>
              </w:rPr>
              <w:t>Entire shopping center redevelopment to include: demolition of three story east wing</w:t>
            </w:r>
          </w:p>
        </w:tc>
        <w:tc>
          <w:tcPr>
            <w:tcW w:w="7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6 %</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$93 - $97</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$83</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2021</w:t>
            </w:r>
          </w:p>
        </w:tc>
        <w:tc>
          <w:tcPr>
            <w:tcW w:w="0" w:type="dxa"/>
            <w:vAlign w:val="bottom"/>
          </w:tcPr>
          <w:p>
            <w:pPr>
              <w:spacing w:after="0"/>
              <w:rPr>
                <w:sz w:val="1"/>
                <w:szCs w:val="1"/>
                <w:color w:val="auto"/>
              </w:rPr>
            </w:pPr>
          </w:p>
        </w:tc>
      </w:tr>
      <w:tr>
        <w:trPr>
          <w:trHeight w:val="135"/>
        </w:trPr>
        <w:tc>
          <w:tcPr>
            <w:tcW w:w="14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514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w w:val="95"/>
              </w:rPr>
              <w:t>of the property and construction of a 106,000 square foot 5-story office/retail building</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with 24,000 square feet of retail; complete renovation of the west wing.</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60" w:type="dxa"/>
            <w:vAlign w:val="bottom"/>
          </w:tcPr>
          <w:p>
            <w:pPr>
              <w:ind w:left="20"/>
              <w:spacing w:after="0" w:line="135" w:lineRule="exact"/>
              <w:rPr>
                <w:sz w:val="20"/>
                <w:szCs w:val="20"/>
                <w:color w:val="auto"/>
              </w:rPr>
            </w:pPr>
            <w:r>
              <w:rPr>
                <w:rFonts w:ascii="Arial" w:cs="Arial" w:eastAsia="Arial" w:hAnsi="Arial"/>
                <w:sz w:val="14"/>
                <w:szCs w:val="14"/>
                <w:color w:val="auto"/>
              </w:rPr>
              <w:t>Freedom Plaza (5)</w:t>
            </w:r>
          </w:p>
        </w:tc>
        <w:tc>
          <w:tcPr>
            <w:tcW w:w="1340" w:type="dxa"/>
            <w:vAlign w:val="bottom"/>
          </w:tcPr>
          <w:p>
            <w:pPr>
              <w:ind w:left="140"/>
              <w:spacing w:after="0" w:line="135" w:lineRule="exact"/>
              <w:rPr>
                <w:sz w:val="20"/>
                <w:szCs w:val="20"/>
                <w:color w:val="auto"/>
              </w:rPr>
            </w:pPr>
            <w:r>
              <w:rPr>
                <w:rFonts w:ascii="Arial" w:cs="Arial" w:eastAsia="Arial" w:hAnsi="Arial"/>
                <w:sz w:val="14"/>
                <w:szCs w:val="14"/>
                <w:color w:val="auto"/>
              </w:rPr>
              <w:t>Los Angeles, CA</w:t>
            </w:r>
          </w:p>
        </w:tc>
        <w:tc>
          <w:tcPr>
            <w:tcW w:w="5140" w:type="dxa"/>
            <w:vAlign w:val="bottom"/>
          </w:tcPr>
          <w:p>
            <w:pPr>
              <w:ind w:left="100"/>
              <w:spacing w:after="0" w:line="135" w:lineRule="exact"/>
              <w:rPr>
                <w:sz w:val="20"/>
                <w:szCs w:val="20"/>
                <w:color w:val="auto"/>
              </w:rPr>
            </w:pPr>
            <w:r>
              <w:rPr>
                <w:rFonts w:ascii="Arial" w:cs="Arial" w:eastAsia="Arial" w:hAnsi="Arial"/>
                <w:sz w:val="14"/>
                <w:szCs w:val="14"/>
                <w:color w:val="auto"/>
              </w:rPr>
              <w:t>Development of a new 113,000 square foot single-story grocery anchored</w:t>
            </w: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7 %</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$40</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$34</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86"/>
        </w:trPr>
        <w:tc>
          <w:tcPr>
            <w:tcW w:w="1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140" w:type="dxa"/>
            <w:vAlign w:val="bottom"/>
          </w:tcPr>
          <w:p>
            <w:pPr>
              <w:ind w:left="100"/>
              <w:spacing w:after="0"/>
              <w:rPr>
                <w:sz w:val="20"/>
                <w:szCs w:val="20"/>
                <w:color w:val="auto"/>
              </w:rPr>
            </w:pPr>
            <w:r>
              <w:rPr>
                <w:rFonts w:ascii="Arial" w:cs="Arial" w:eastAsia="Arial" w:hAnsi="Arial"/>
                <w:sz w:val="14"/>
                <w:szCs w:val="14"/>
                <w:color w:val="auto"/>
              </w:rPr>
              <w:t>neighborhood shopping center</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Bala Cynwyd</w:t>
            </w:r>
          </w:p>
        </w:tc>
        <w:tc>
          <w:tcPr>
            <w:tcW w:w="134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Bala Cynwyd, PA</w:t>
            </w:r>
          </w:p>
        </w:tc>
        <w:tc>
          <w:tcPr>
            <w:tcW w:w="5140" w:type="dxa"/>
            <w:vAlign w:val="bottom"/>
            <w:shd w:val="clear" w:color="auto" w:fill="CCEEFF"/>
          </w:tcPr>
          <w:p>
            <w:pPr>
              <w:ind w:left="100"/>
              <w:spacing w:after="0" w:line="139" w:lineRule="exact"/>
              <w:rPr>
                <w:sz w:val="20"/>
                <w:szCs w:val="20"/>
                <w:color w:val="auto"/>
              </w:rPr>
            </w:pPr>
            <w:r>
              <w:rPr>
                <w:rFonts w:ascii="Arial" w:cs="Arial" w:eastAsia="Arial" w:hAnsi="Arial"/>
                <w:sz w:val="14"/>
                <w:szCs w:val="14"/>
                <w:color w:val="auto"/>
                <w:w w:val="99"/>
              </w:rPr>
              <w:t>New 87 unit residential apartment building to be constructed on underutilized land</w:t>
            </w:r>
          </w:p>
        </w:tc>
        <w:tc>
          <w:tcPr>
            <w:tcW w:w="7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6 %</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$22</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2021</w:t>
            </w: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behind our existing shopping center</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60" w:type="dxa"/>
            <w:vAlign w:val="bottom"/>
          </w:tcPr>
          <w:p>
            <w:pPr>
              <w:ind w:left="20"/>
              <w:spacing w:after="0" w:line="135" w:lineRule="exact"/>
              <w:rPr>
                <w:sz w:val="20"/>
                <w:szCs w:val="20"/>
                <w:color w:val="auto"/>
              </w:rPr>
            </w:pPr>
            <w:r>
              <w:rPr>
                <w:rFonts w:ascii="Arial" w:cs="Arial" w:eastAsia="Arial" w:hAnsi="Arial"/>
                <w:sz w:val="14"/>
                <w:szCs w:val="14"/>
                <w:color w:val="auto"/>
              </w:rPr>
              <w:t>7021 Hollywood Blvd</w:t>
            </w:r>
          </w:p>
        </w:tc>
        <w:tc>
          <w:tcPr>
            <w:tcW w:w="1340" w:type="dxa"/>
            <w:vAlign w:val="bottom"/>
          </w:tcPr>
          <w:p>
            <w:pPr>
              <w:ind w:left="140"/>
              <w:spacing w:after="0" w:line="135" w:lineRule="exact"/>
              <w:rPr>
                <w:sz w:val="20"/>
                <w:szCs w:val="20"/>
                <w:color w:val="auto"/>
              </w:rPr>
            </w:pPr>
            <w:r>
              <w:rPr>
                <w:rFonts w:ascii="Arial" w:cs="Arial" w:eastAsia="Arial" w:hAnsi="Arial"/>
                <w:sz w:val="14"/>
                <w:szCs w:val="14"/>
                <w:color w:val="auto"/>
              </w:rPr>
              <w:t>Los Angeles, CA</w:t>
            </w:r>
          </w:p>
        </w:tc>
        <w:tc>
          <w:tcPr>
            <w:tcW w:w="5140" w:type="dxa"/>
            <w:vAlign w:val="bottom"/>
          </w:tcPr>
          <w:p>
            <w:pPr>
              <w:ind w:left="100"/>
              <w:spacing w:after="0" w:line="135" w:lineRule="exact"/>
              <w:rPr>
                <w:sz w:val="20"/>
                <w:szCs w:val="20"/>
                <w:color w:val="auto"/>
              </w:rPr>
            </w:pPr>
            <w:r>
              <w:rPr>
                <w:rFonts w:ascii="Arial" w:cs="Arial" w:eastAsia="Arial" w:hAnsi="Arial"/>
                <w:sz w:val="14"/>
                <w:szCs w:val="14"/>
                <w:color w:val="auto"/>
                <w:w w:val="91"/>
              </w:rPr>
              <w:t>Renovation of the center and three vacant spaces to accommodate a new 39,000 square</w:t>
            </w: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9 %</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$19</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$15</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2021</w:t>
            </w:r>
          </w:p>
        </w:tc>
        <w:tc>
          <w:tcPr>
            <w:tcW w:w="0" w:type="dxa"/>
            <w:vAlign w:val="bottom"/>
          </w:tcPr>
          <w:p>
            <w:pPr>
              <w:spacing w:after="0"/>
              <w:rPr>
                <w:sz w:val="1"/>
                <w:szCs w:val="1"/>
                <w:color w:val="auto"/>
              </w:rPr>
            </w:pPr>
          </w:p>
        </w:tc>
      </w:tr>
      <w:tr>
        <w:trPr>
          <w:trHeight w:val="186"/>
        </w:trPr>
        <w:tc>
          <w:tcPr>
            <w:tcW w:w="1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140" w:type="dxa"/>
            <w:vAlign w:val="bottom"/>
          </w:tcPr>
          <w:p>
            <w:pPr>
              <w:ind w:left="100"/>
              <w:spacing w:after="0"/>
              <w:rPr>
                <w:sz w:val="20"/>
                <w:szCs w:val="20"/>
                <w:color w:val="auto"/>
              </w:rPr>
            </w:pPr>
            <w:r>
              <w:rPr>
                <w:rFonts w:ascii="Arial" w:cs="Arial" w:eastAsia="Arial" w:hAnsi="Arial"/>
                <w:sz w:val="14"/>
                <w:szCs w:val="14"/>
                <w:color w:val="auto"/>
              </w:rPr>
              <w:t>foot anchor tenant</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Lawrence Park</w:t>
            </w:r>
          </w:p>
        </w:tc>
        <w:tc>
          <w:tcPr>
            <w:tcW w:w="134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Broomall, PA</w:t>
            </w:r>
          </w:p>
        </w:tc>
        <w:tc>
          <w:tcPr>
            <w:tcW w:w="5140" w:type="dxa"/>
            <w:vAlign w:val="bottom"/>
            <w:shd w:val="clear" w:color="auto" w:fill="CCEEFF"/>
          </w:tcPr>
          <w:p>
            <w:pPr>
              <w:ind w:left="100"/>
              <w:spacing w:after="0" w:line="139" w:lineRule="exact"/>
              <w:rPr>
                <w:sz w:val="20"/>
                <w:szCs w:val="20"/>
                <w:color w:val="auto"/>
              </w:rPr>
            </w:pPr>
            <w:r>
              <w:rPr>
                <w:rFonts w:ascii="Arial" w:cs="Arial" w:eastAsia="Arial" w:hAnsi="Arial"/>
                <w:sz w:val="14"/>
                <w:szCs w:val="14"/>
                <w:color w:val="auto"/>
                <w:w w:val="99"/>
              </w:rPr>
              <w:t>Full shopping center redevelopment to include expansion of Main Line Health into</w:t>
            </w:r>
          </w:p>
        </w:tc>
        <w:tc>
          <w:tcPr>
            <w:tcW w:w="7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8 %</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$8</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135"/>
        </w:trPr>
        <w:tc>
          <w:tcPr>
            <w:tcW w:w="14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514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w w:val="93"/>
              </w:rPr>
              <w:t>vacant lower level space, creation of 17,800 square feet of small shop space converted</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514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w w:val="94"/>
              </w:rPr>
              <w:t>from vacated anchor space, a new 2,000 square foot bank pad building, and a façade</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renovation for the entire center.</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60" w:type="dxa"/>
            <w:vAlign w:val="bottom"/>
          </w:tcPr>
          <w:p>
            <w:pPr>
              <w:ind w:left="20"/>
              <w:spacing w:after="0" w:line="135" w:lineRule="exact"/>
              <w:rPr>
                <w:sz w:val="20"/>
                <w:szCs w:val="20"/>
                <w:color w:val="auto"/>
              </w:rPr>
            </w:pPr>
            <w:r>
              <w:rPr>
                <w:rFonts w:ascii="Arial" w:cs="Arial" w:eastAsia="Arial" w:hAnsi="Arial"/>
                <w:sz w:val="14"/>
                <w:szCs w:val="14"/>
                <w:color w:val="auto"/>
              </w:rPr>
              <w:t>Melville Mall</w:t>
            </w:r>
          </w:p>
        </w:tc>
        <w:tc>
          <w:tcPr>
            <w:tcW w:w="1340" w:type="dxa"/>
            <w:vAlign w:val="bottom"/>
          </w:tcPr>
          <w:p>
            <w:pPr>
              <w:ind w:left="140"/>
              <w:spacing w:after="0" w:line="135" w:lineRule="exact"/>
              <w:rPr>
                <w:sz w:val="20"/>
                <w:szCs w:val="20"/>
                <w:color w:val="auto"/>
              </w:rPr>
            </w:pPr>
            <w:r>
              <w:rPr>
                <w:rFonts w:ascii="Arial" w:cs="Arial" w:eastAsia="Arial" w:hAnsi="Arial"/>
                <w:sz w:val="14"/>
                <w:szCs w:val="14"/>
                <w:color w:val="auto"/>
              </w:rPr>
              <w:t>Huntington, NY</w:t>
            </w:r>
          </w:p>
        </w:tc>
        <w:tc>
          <w:tcPr>
            <w:tcW w:w="5140" w:type="dxa"/>
            <w:vAlign w:val="bottom"/>
          </w:tcPr>
          <w:p>
            <w:pPr>
              <w:ind w:left="100"/>
              <w:spacing w:after="0" w:line="135" w:lineRule="exact"/>
              <w:rPr>
                <w:sz w:val="20"/>
                <w:szCs w:val="20"/>
                <w:color w:val="auto"/>
              </w:rPr>
            </w:pPr>
            <w:r>
              <w:rPr>
                <w:rFonts w:ascii="Arial" w:cs="Arial" w:eastAsia="Arial" w:hAnsi="Arial"/>
                <w:sz w:val="14"/>
                <w:szCs w:val="14"/>
                <w:color w:val="auto"/>
                <w:w w:val="94"/>
              </w:rPr>
              <w:t>Development of a new 15,000 square foot pad site consisting of two multi-tenant retail</w:t>
            </w: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8 %</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$10</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86"/>
        </w:trPr>
        <w:tc>
          <w:tcPr>
            <w:tcW w:w="1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140" w:type="dxa"/>
            <w:vAlign w:val="bottom"/>
          </w:tcPr>
          <w:p>
            <w:pPr>
              <w:ind w:left="100"/>
              <w:spacing w:after="0"/>
              <w:rPr>
                <w:sz w:val="20"/>
                <w:szCs w:val="20"/>
                <w:color w:val="auto"/>
              </w:rPr>
            </w:pPr>
            <w:r>
              <w:rPr>
                <w:rFonts w:ascii="Arial" w:cs="Arial" w:eastAsia="Arial" w:hAnsi="Arial"/>
                <w:sz w:val="14"/>
                <w:szCs w:val="14"/>
                <w:color w:val="auto"/>
              </w:rPr>
              <w:t>buildings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Sylmar Towne Center</w:t>
            </w:r>
          </w:p>
        </w:tc>
        <w:tc>
          <w:tcPr>
            <w:tcW w:w="1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Sylmar, CA</w:t>
            </w:r>
          </w:p>
        </w:tc>
        <w:tc>
          <w:tcPr>
            <w:tcW w:w="5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Development of a new 3,800 square foot two-tenant pad building</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2021</w:t>
            </w:r>
          </w:p>
        </w:tc>
        <w:tc>
          <w:tcPr>
            <w:tcW w:w="0" w:type="dxa"/>
            <w:vAlign w:val="bottom"/>
          </w:tcPr>
          <w:p>
            <w:pPr>
              <w:spacing w:after="0"/>
              <w:rPr>
                <w:sz w:val="1"/>
                <w:szCs w:val="1"/>
                <w:color w:val="auto"/>
              </w:rPr>
            </w:pPr>
          </w:p>
        </w:tc>
      </w:tr>
      <w:tr>
        <w:trPr>
          <w:trHeight w:val="186"/>
        </w:trPr>
        <w:tc>
          <w:tcPr>
            <w:tcW w:w="1460" w:type="dxa"/>
            <w:vAlign w:val="bottom"/>
          </w:tcPr>
          <w:p>
            <w:pPr>
              <w:ind w:left="20"/>
              <w:spacing w:after="0"/>
              <w:rPr>
                <w:sz w:val="20"/>
                <w:szCs w:val="20"/>
                <w:color w:val="auto"/>
              </w:rPr>
            </w:pPr>
            <w:r>
              <w:rPr>
                <w:rFonts w:ascii="Arial" w:cs="Arial" w:eastAsia="Arial" w:hAnsi="Arial"/>
                <w:sz w:val="14"/>
                <w:szCs w:val="14"/>
                <w:color w:val="auto"/>
              </w:rPr>
              <w:t>Azalea</w:t>
            </w:r>
          </w:p>
        </w:tc>
        <w:tc>
          <w:tcPr>
            <w:tcW w:w="1340" w:type="dxa"/>
            <w:vAlign w:val="bottom"/>
          </w:tcPr>
          <w:p>
            <w:pPr>
              <w:ind w:left="140"/>
              <w:spacing w:after="0"/>
              <w:rPr>
                <w:sz w:val="20"/>
                <w:szCs w:val="20"/>
                <w:color w:val="auto"/>
              </w:rPr>
            </w:pPr>
            <w:r>
              <w:rPr>
                <w:rFonts w:ascii="Arial" w:cs="Arial" w:eastAsia="Arial" w:hAnsi="Arial"/>
                <w:sz w:val="14"/>
                <w:szCs w:val="14"/>
                <w:color w:val="auto"/>
              </w:rPr>
              <w:t>Southgate, CA</w:t>
            </w:r>
          </w:p>
        </w:tc>
        <w:tc>
          <w:tcPr>
            <w:tcW w:w="5140" w:type="dxa"/>
            <w:vAlign w:val="bottom"/>
          </w:tcPr>
          <w:p>
            <w:pPr>
              <w:ind w:left="100"/>
              <w:spacing w:after="0"/>
              <w:rPr>
                <w:sz w:val="20"/>
                <w:szCs w:val="20"/>
                <w:color w:val="auto"/>
              </w:rPr>
            </w:pPr>
            <w:r>
              <w:rPr>
                <w:rFonts w:ascii="Arial" w:cs="Arial" w:eastAsia="Arial" w:hAnsi="Arial"/>
                <w:sz w:val="14"/>
                <w:szCs w:val="14"/>
                <w:color w:val="auto"/>
              </w:rPr>
              <w:t>Development of a new 3,000 square foot single tenant pad building</w:t>
            </w:r>
          </w:p>
        </w:tc>
        <w:tc>
          <w:tcPr>
            <w:tcW w:w="760" w:type="dxa"/>
            <w:vAlign w:val="bottom"/>
          </w:tcPr>
          <w:p>
            <w:pPr>
              <w:jc w:val="right"/>
              <w:spacing w:after="0"/>
              <w:rPr>
                <w:sz w:val="20"/>
                <w:szCs w:val="20"/>
                <w:color w:val="auto"/>
              </w:rPr>
            </w:pPr>
            <w:r>
              <w:rPr>
                <w:rFonts w:ascii="Arial" w:cs="Arial" w:eastAsia="Arial" w:hAnsi="Arial"/>
                <w:sz w:val="14"/>
                <w:szCs w:val="14"/>
                <w:color w:val="auto"/>
              </w:rPr>
              <w:t>7 %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980" w:type="dxa"/>
            <w:vAlign w:val="bottom"/>
          </w:tcPr>
          <w:p>
            <w:pPr>
              <w:jc w:val="center"/>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192"/>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Flourtown</w:t>
            </w:r>
          </w:p>
        </w:tc>
        <w:tc>
          <w:tcPr>
            <w:tcW w:w="1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Flourtown, PA</w:t>
            </w:r>
          </w:p>
        </w:tc>
        <w:tc>
          <w:tcPr>
            <w:tcW w:w="5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Development of a new 2,450 square foot bank pad building</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179"/>
        </w:trPr>
        <w:tc>
          <w:tcPr>
            <w:tcW w:w="28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Active Redevelopment projects (4)</w:t>
            </w:r>
          </w:p>
        </w:tc>
        <w:tc>
          <w:tcPr>
            <w:tcW w:w="5140" w:type="dxa"/>
            <w:vAlign w:val="bottom"/>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6 % $318 - $332</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4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5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8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Active Property Improvement Projects (6)</w:t>
            </w:r>
          </w:p>
        </w:tc>
        <w:tc>
          <w:tcPr>
            <w:tcW w:w="51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146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color w:val="auto"/>
              </w:rPr>
              <w:t>Various Properties</w:t>
            </w:r>
          </w:p>
        </w:tc>
        <w:tc>
          <w:tcPr>
            <w:tcW w:w="1340" w:type="dxa"/>
            <w:vAlign w:val="bottom"/>
            <w:shd w:val="clear" w:color="auto" w:fill="CCEEFF"/>
          </w:tcPr>
          <w:p>
            <w:pPr>
              <w:spacing w:after="0"/>
              <w:rPr>
                <w:sz w:val="10"/>
                <w:szCs w:val="10"/>
                <w:color w:val="auto"/>
              </w:rPr>
            </w:pPr>
          </w:p>
        </w:tc>
        <w:tc>
          <w:tcPr>
            <w:tcW w:w="5140" w:type="dxa"/>
            <w:vAlign w:val="bottom"/>
            <w:shd w:val="clear" w:color="auto" w:fill="CCEEFF"/>
          </w:tcPr>
          <w:p>
            <w:pPr>
              <w:ind w:left="100"/>
              <w:spacing w:after="0" w:line="116" w:lineRule="exact"/>
              <w:rPr>
                <w:sz w:val="20"/>
                <w:szCs w:val="20"/>
                <w:color w:val="auto"/>
              </w:rPr>
            </w:pPr>
            <w:r>
              <w:rPr>
                <w:rFonts w:ascii="Arial" w:cs="Arial" w:eastAsia="Arial" w:hAnsi="Arial"/>
                <w:sz w:val="13"/>
                <w:szCs w:val="13"/>
                <w:color w:val="auto"/>
              </w:rPr>
              <w:t>Ongoing improvements at 17 properties to better position properties to capture a</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7% - 13%</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46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5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disproportionate amount of retail demand post-COVID</w:t>
            </w: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21" w:lineRule="exact"/>
        <w:rPr>
          <w:sz w:val="20"/>
          <w:szCs w:val="20"/>
          <w:color w:val="auto"/>
        </w:rPr>
      </w:pPr>
    </w:p>
    <w:p>
      <w:pPr>
        <w:ind w:left="660" w:right="120" w:hanging="652"/>
        <w:spacing w:after="0" w:line="258" w:lineRule="auto"/>
        <w:tabs>
          <w:tab w:leader="none" w:pos="655"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81" w:lineRule="auto"/>
        <w:tabs>
          <w:tab w:leader="none" w:pos="655" w:val="left"/>
        </w:tabs>
        <w:numPr>
          <w:ilvl w:val="0"/>
          <w:numId w:val="16"/>
        </w:numPr>
        <w:rPr>
          <w:rFonts w:ascii="Arial" w:cs="Arial" w:eastAsia="Arial" w:hAnsi="Arial"/>
          <w:sz w:val="12"/>
          <w:szCs w:val="12"/>
          <w:color w:val="auto"/>
        </w:rPr>
      </w:pPr>
      <w:r>
        <w:rPr>
          <w:rFonts w:ascii="Arial" w:cs="Arial" w:eastAsia="Arial" w:hAnsi="Arial"/>
          <w:sz w:val="12"/>
          <w:szCs w:val="12"/>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generally does not include peripheral impacts, such as the impact on future lease rollovers at the property or the impact on the long-term value of the property but may for certain property improvement projects.</w:t>
      </w:r>
    </w:p>
    <w:p>
      <w:pPr>
        <w:spacing w:after="0" w:line="1" w:lineRule="exact"/>
        <w:rPr>
          <w:rFonts w:ascii="Arial" w:cs="Arial" w:eastAsia="Arial" w:hAnsi="Arial"/>
          <w:sz w:val="12"/>
          <w:szCs w:val="12"/>
          <w:color w:val="auto"/>
        </w:rPr>
      </w:pPr>
    </w:p>
    <w:p>
      <w:pPr>
        <w:ind w:left="660" w:hanging="652"/>
        <w:spacing w:after="0"/>
        <w:tabs>
          <w:tab w:leader="none" w:pos="6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Stabilization is generally the year in which 90% physical occupancy of the redeveloped space is achieved. Economic stabilization may occur at a later point in time.</w:t>
      </w:r>
    </w:p>
    <w:p>
      <w:pPr>
        <w:spacing w:after="0" w:line="12" w:lineRule="exact"/>
        <w:rPr>
          <w:rFonts w:ascii="Arial" w:cs="Arial" w:eastAsia="Arial" w:hAnsi="Arial"/>
          <w:sz w:val="13"/>
          <w:szCs w:val="13"/>
          <w:color w:val="auto"/>
        </w:rPr>
      </w:pPr>
    </w:p>
    <w:p>
      <w:pPr>
        <w:ind w:left="660" w:hanging="652"/>
        <w:spacing w:after="0"/>
        <w:tabs>
          <w:tab w:leader="none" w:pos="6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All subtotals and totals reflect cost weighted-average ROIs.</w:t>
      </w:r>
    </w:p>
    <w:p>
      <w:pPr>
        <w:spacing w:after="0" w:line="12" w:lineRule="exact"/>
        <w:rPr>
          <w:rFonts w:ascii="Arial" w:cs="Arial" w:eastAsia="Arial" w:hAnsi="Arial"/>
          <w:sz w:val="13"/>
          <w:szCs w:val="13"/>
          <w:color w:val="auto"/>
        </w:rPr>
      </w:pPr>
    </w:p>
    <w:p>
      <w:pPr>
        <w:ind w:left="660" w:right="40" w:hanging="652"/>
        <w:spacing w:after="0" w:line="260" w:lineRule="auto"/>
        <w:tabs>
          <w:tab w:leader="none" w:pos="655" w:val="left"/>
        </w:tabs>
        <w:numPr>
          <w:ilvl w:val="0"/>
          <w:numId w:val="16"/>
        </w:numPr>
        <w:rPr>
          <w:rFonts w:ascii="Arial" w:cs="Arial" w:eastAsia="Arial" w:hAnsi="Arial"/>
          <w:sz w:val="13"/>
          <w:szCs w:val="13"/>
          <w:color w:val="auto"/>
        </w:rPr>
      </w:pPr>
      <w:r>
        <w:rPr>
          <w:rFonts w:ascii="Arial" w:cs="Arial" w:eastAsia="Arial" w:hAnsi="Arial"/>
          <w:sz w:val="13"/>
          <w:szCs w:val="13"/>
          <w:color w:val="auto"/>
        </w:rPr>
        <w:t>Project formerly known as Jordan Downs Plaza. Cost to date and projected cost are net of the proceeds we will receive from our New Market Tax Credit structure. See Note 3 of our December 31, 2019 Form 10-K for additional information. Stabilization has been impacted by the COVID-19 pandemic.</w:t>
      </w:r>
    </w:p>
    <w:p>
      <w:pPr>
        <w:ind w:left="660" w:right="40" w:hanging="652"/>
        <w:spacing w:after="0" w:line="266" w:lineRule="auto"/>
        <w:tabs>
          <w:tab w:leader="none" w:pos="655" w:val="left"/>
        </w:tabs>
        <w:numPr>
          <w:ilvl w:val="0"/>
          <w:numId w:val="16"/>
        </w:numPr>
        <w:rPr>
          <w:rFonts w:ascii="Arial" w:cs="Arial" w:eastAsia="Arial" w:hAnsi="Arial"/>
          <w:sz w:val="13"/>
          <w:szCs w:val="13"/>
          <w:color w:val="auto"/>
        </w:rPr>
      </w:pPr>
      <w:r>
        <w:rPr>
          <w:rFonts w:ascii="Arial" w:cs="Arial" w:eastAsia="Arial" w:hAnsi="Arial"/>
          <w:sz w:val="13"/>
          <w:szCs w:val="13"/>
          <w:color w:val="auto"/>
        </w:rPr>
        <w:t>Property improvements projects generally consist of façade renovations, site improvements, landscaping, improved outdoor amenity spaces, and other upgrades to improve the overall look and environment of the property. These projects improve overall tenant and customer experiences, improve market rents, drive leasing demand, and/or provide outdoor spaces critical to meeting the needs of the current environment. Returns on these projects are typically seen over one to five years, however, some projects could extend beyond that. Projected ROI range reflects management’s best estimate of the long term expected return on cost of these investments.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030"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Assembly Row, Pike &amp; Rose, and Santana Row</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2021</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Impacts of COVID-19 Pandemic:</w:t>
      </w:r>
    </w:p>
    <w:p>
      <w:pPr>
        <w:spacing w:after="0" w:line="36" w:lineRule="exact"/>
        <w:rPr>
          <w:sz w:val="20"/>
          <w:szCs w:val="20"/>
          <w:color w:val="auto"/>
        </w:rPr>
      </w:pPr>
    </w:p>
    <w:p>
      <w:pPr>
        <w:ind w:left="20" w:right="400"/>
        <w:spacing w:after="0"/>
        <w:rPr>
          <w:sz w:val="20"/>
          <w:szCs w:val="20"/>
          <w:color w:val="auto"/>
        </w:rPr>
      </w:pPr>
      <w:r>
        <w:rPr>
          <w:rFonts w:ascii="Arial" w:cs="Arial" w:eastAsia="Arial" w:hAnsi="Arial"/>
          <w:sz w:val="16"/>
          <w:szCs w:val="16"/>
          <w:color w:val="auto"/>
        </w:rPr>
        <w:t>Information provided below reflects management’s best estimate based on current available information, however the completion of construction, final costs, return on investment, and timing of stabilization may be impacted by COVID-19.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840" w:type="dxa"/>
            <w:vAlign w:val="bottom"/>
          </w:tcPr>
          <w:p>
            <w:pPr>
              <w:jc w:val="center"/>
              <w:ind w:left="48"/>
              <w:spacing w:after="0"/>
              <w:rPr>
                <w:sz w:val="20"/>
                <w:szCs w:val="20"/>
                <w:color w:val="auto"/>
              </w:rPr>
            </w:pPr>
            <w:r>
              <w:rPr>
                <w:rFonts w:ascii="Arial" w:cs="Arial" w:eastAsia="Arial" w:hAnsi="Arial"/>
                <w:sz w:val="14"/>
                <w:szCs w:val="14"/>
                <w:b w:val="1"/>
                <w:bCs w:val="1"/>
                <w:color w:val="auto"/>
                <w:w w:val="93"/>
              </w:rPr>
              <w:t>Projected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Costs to</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Property (1)</w:t>
            </w:r>
          </w:p>
        </w:tc>
        <w:tc>
          <w:tcPr>
            <w:tcW w:w="34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Opportunity</w:t>
            </w:r>
          </w:p>
        </w:tc>
        <w:tc>
          <w:tcPr>
            <w:tcW w:w="84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ROI (2)</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Cost (3)</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Expected Opening Timeframe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rPr>
              <w:t>(in millions)</w:t>
            </w:r>
          </w:p>
        </w:tc>
        <w:tc>
          <w:tcPr>
            <w:tcW w:w="780" w:type="dxa"/>
            <w:vAlign w:val="bottom"/>
          </w:tcPr>
          <w:p>
            <w:pPr>
              <w:jc w:val="center"/>
              <w:spacing w:after="0"/>
              <w:rPr>
                <w:sz w:val="20"/>
                <w:szCs w:val="20"/>
                <w:color w:val="auto"/>
              </w:rPr>
            </w:pPr>
            <w:r>
              <w:rPr>
                <w:rFonts w:ascii="Arial" w:cs="Arial" w:eastAsia="Arial" w:hAnsi="Arial"/>
                <w:sz w:val="13"/>
                <w:szCs w:val="13"/>
                <w:color w:val="auto"/>
              </w:rPr>
              <w:t>(in millions)</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5"/>
          </w:tcPr>
          <w:p>
            <w:pPr>
              <w:spacing w:after="0"/>
              <w:rPr>
                <w:sz w:val="20"/>
                <w:szCs w:val="20"/>
                <w:color w:val="auto"/>
              </w:rPr>
            </w:pPr>
            <w:r>
              <w:rPr>
                <w:rFonts w:ascii="Arial" w:cs="Arial" w:eastAsia="Arial" w:hAnsi="Arial"/>
                <w:sz w:val="14"/>
                <w:szCs w:val="14"/>
                <w:b w:val="1"/>
                <w:bCs w:val="1"/>
                <w:color w:val="auto"/>
              </w:rPr>
              <w:t xml:space="preserve">Assembly Row, </w:t>
            </w:r>
            <w:r>
              <w:rPr>
                <w:rFonts w:ascii="Arial" w:cs="Arial" w:eastAsia="Arial" w:hAnsi="Arial"/>
                <w:sz w:val="14"/>
                <w:szCs w:val="14"/>
                <w:b w:val="1"/>
                <w:bCs w:val="1"/>
                <w:i w:val="1"/>
                <w:iCs w:val="1"/>
                <w:color w:val="auto"/>
              </w:rPr>
              <w:t>Somerville, MA</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Phase III</w:t>
            </w:r>
          </w:p>
        </w:tc>
        <w:tc>
          <w:tcPr>
            <w:tcW w:w="344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rPr>
              <w:t>- 277,000 SF of office</w:t>
            </w:r>
          </w:p>
        </w:tc>
        <w:tc>
          <w:tcPr>
            <w:tcW w:w="840" w:type="dxa"/>
            <w:vAlign w:val="bottom"/>
            <w:shd w:val="clear" w:color="auto" w:fill="CCEEFF"/>
          </w:tcPr>
          <w:p>
            <w:pPr>
              <w:jc w:val="center"/>
              <w:ind w:left="48"/>
              <w:spacing w:after="0" w:line="135" w:lineRule="exact"/>
              <w:rPr>
                <w:sz w:val="20"/>
                <w:szCs w:val="20"/>
                <w:color w:val="auto"/>
              </w:rPr>
            </w:pPr>
            <w:r>
              <w:rPr>
                <w:rFonts w:ascii="Arial" w:cs="Arial" w:eastAsia="Arial" w:hAnsi="Arial"/>
                <w:sz w:val="14"/>
                <w:szCs w:val="14"/>
                <w:color w:val="auto"/>
                <w:w w:val="98"/>
              </w:rPr>
              <w:t>6%</w:t>
            </w:r>
          </w:p>
        </w:tc>
        <w:tc>
          <w:tcPr>
            <w:tcW w:w="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2"/>
              </w:rPr>
              <w:t>$465 - 485</w:t>
            </w: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89"/>
              </w:rPr>
              <w:t>$422</w:t>
            </w: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1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150,000 square feet of office space delivered</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rPr>
              <w:t>- 500 residential units</w:t>
            </w:r>
          </w:p>
        </w:tc>
        <w:tc>
          <w:tcPr>
            <w:tcW w:w="8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First retail tenants opened in Q2 2021</w:t>
            </w:r>
          </w:p>
        </w:tc>
        <w:tc>
          <w:tcPr>
            <w:tcW w:w="0" w:type="dxa"/>
            <w:vAlign w:val="bottom"/>
          </w:tcPr>
          <w:p>
            <w:pPr>
              <w:spacing w:after="0"/>
              <w:rPr>
                <w:sz w:val="1"/>
                <w:szCs w:val="1"/>
                <w:color w:val="auto"/>
              </w:rPr>
            </w:pPr>
          </w:p>
        </w:tc>
      </w:tr>
      <w:tr>
        <w:trPr>
          <w:trHeight w:val="109"/>
        </w:trPr>
        <w:tc>
          <w:tcPr>
            <w:tcW w:w="2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40" w:type="dxa"/>
            <w:vAlign w:val="bottom"/>
            <w:gridSpan w:val="3"/>
            <w:vMerge w:val="restart"/>
            <w:shd w:val="clear" w:color="auto" w:fill="CCEEFF"/>
          </w:tcPr>
          <w:p>
            <w:pPr>
              <w:spacing w:after="0"/>
              <w:rPr>
                <w:sz w:val="20"/>
                <w:szCs w:val="20"/>
                <w:color w:val="auto"/>
              </w:rPr>
            </w:pPr>
            <w:r>
              <w:rPr>
                <w:rFonts w:ascii="Arial" w:cs="Arial" w:eastAsia="Arial" w:hAnsi="Arial"/>
                <w:sz w:val="14"/>
                <w:szCs w:val="14"/>
                <w:color w:val="auto"/>
              </w:rPr>
              <w:t>- 56,000 SF of retail</w:t>
            </w:r>
          </w:p>
        </w:tc>
        <w:tc>
          <w:tcPr>
            <w:tcW w:w="8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1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shd w:val="clear" w:color="auto" w:fill="CCEEFF"/>
          </w:tcPr>
          <w:p>
            <w:pPr>
              <w:spacing w:after="0"/>
              <w:rPr>
                <w:sz w:val="6"/>
                <w:szCs w:val="6"/>
                <w:color w:val="auto"/>
              </w:rPr>
            </w:pPr>
          </w:p>
        </w:tc>
        <w:tc>
          <w:tcPr>
            <w:tcW w:w="16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440" w:type="dxa"/>
            <w:vAlign w:val="bottom"/>
            <w:gridSpan w:val="3"/>
            <w:vMerge w:val="continue"/>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31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4"/>
                <w:szCs w:val="14"/>
                <w:color w:val="auto"/>
              </w:rPr>
              <w:t>Future Phases</w:t>
            </w:r>
          </w:p>
        </w:tc>
        <w:tc>
          <w:tcPr>
            <w:tcW w:w="3440" w:type="dxa"/>
            <w:vAlign w:val="bottom"/>
            <w:gridSpan w:val="3"/>
          </w:tcPr>
          <w:p>
            <w:pPr>
              <w:spacing w:after="0" w:line="135" w:lineRule="exact"/>
              <w:rPr>
                <w:sz w:val="20"/>
                <w:szCs w:val="20"/>
                <w:color w:val="auto"/>
              </w:rPr>
            </w:pPr>
            <w:r>
              <w:rPr>
                <w:rFonts w:ascii="Arial" w:cs="Arial" w:eastAsia="Arial" w:hAnsi="Arial"/>
                <w:sz w:val="14"/>
                <w:szCs w:val="14"/>
                <w:color w:val="auto"/>
              </w:rPr>
              <w:t>- 1.5M SF of commercial</w:t>
            </w:r>
          </w:p>
        </w:tc>
        <w:tc>
          <w:tcPr>
            <w:tcW w:w="840" w:type="dxa"/>
            <w:vAlign w:val="bottom"/>
          </w:tcPr>
          <w:p>
            <w:pPr>
              <w:jc w:val="center"/>
              <w:ind w:left="48"/>
              <w:spacing w:after="0" w:line="135" w:lineRule="exact"/>
              <w:rPr>
                <w:sz w:val="20"/>
                <w:szCs w:val="20"/>
                <w:color w:val="auto"/>
              </w:rPr>
            </w:pPr>
            <w:r>
              <w:rPr>
                <w:rFonts w:ascii="Arial" w:cs="Arial" w:eastAsia="Arial" w:hAnsi="Arial"/>
                <w:sz w:val="14"/>
                <w:szCs w:val="14"/>
                <w:color w:val="auto"/>
                <w:w w:val="99"/>
              </w:rPr>
              <w:t>TBD</w:t>
            </w:r>
          </w:p>
        </w:tc>
        <w:tc>
          <w:tcPr>
            <w:tcW w:w="840" w:type="dxa"/>
            <w:vAlign w:val="bottom"/>
          </w:tcPr>
          <w:p>
            <w:pPr>
              <w:jc w:val="center"/>
              <w:spacing w:after="0" w:line="135" w:lineRule="exact"/>
              <w:rPr>
                <w:sz w:val="20"/>
                <w:szCs w:val="20"/>
                <w:color w:val="auto"/>
              </w:rPr>
            </w:pPr>
            <w:r>
              <w:rPr>
                <w:rFonts w:ascii="Arial" w:cs="Arial" w:eastAsia="Arial" w:hAnsi="Arial"/>
                <w:sz w:val="14"/>
                <w:szCs w:val="14"/>
                <w:color w:val="auto"/>
              </w:rPr>
              <w:t>TBD</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40" w:type="dxa"/>
            <w:vAlign w:val="bottom"/>
            <w:gridSpan w:val="3"/>
          </w:tcPr>
          <w:p>
            <w:pPr>
              <w:spacing w:after="0"/>
              <w:rPr>
                <w:sz w:val="20"/>
                <w:szCs w:val="20"/>
                <w:color w:val="auto"/>
              </w:rPr>
            </w:pPr>
            <w:r>
              <w:rPr>
                <w:rFonts w:ascii="Arial" w:cs="Arial" w:eastAsia="Arial" w:hAnsi="Arial"/>
                <w:sz w:val="14"/>
                <w:szCs w:val="14"/>
                <w:color w:val="auto"/>
              </w:rPr>
              <w:t>- 329 residential units</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2080" w:type="dxa"/>
            <w:vAlign w:val="bottom"/>
            <w:tcBorders>
              <w:bottom w:val="single" w:sz="8" w:color="auto"/>
            </w:tcBorders>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2"/>
              </w:rPr>
              <w:t xml:space="preserve">Pike &amp; Rose, </w:t>
            </w:r>
            <w:r>
              <w:rPr>
                <w:rFonts w:ascii="Arial" w:cs="Arial" w:eastAsia="Arial" w:hAnsi="Arial"/>
                <w:sz w:val="14"/>
                <w:szCs w:val="14"/>
                <w:b w:val="1"/>
                <w:bCs w:val="1"/>
                <w:i w:val="1"/>
                <w:iCs w:val="1"/>
                <w:color w:val="auto"/>
                <w:w w:val="92"/>
              </w:rPr>
              <w:t>North Bethesda, MD</w:t>
            </w:r>
          </w:p>
        </w:tc>
        <w:tc>
          <w:tcPr>
            <w:tcW w:w="31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4"/>
                <w:szCs w:val="14"/>
                <w:color w:val="auto"/>
              </w:rPr>
              <w:t>Phase III</w:t>
            </w:r>
          </w:p>
        </w:tc>
        <w:tc>
          <w:tcPr>
            <w:tcW w:w="3440" w:type="dxa"/>
            <w:vAlign w:val="bottom"/>
            <w:gridSpan w:val="3"/>
          </w:tcPr>
          <w:p>
            <w:pPr>
              <w:spacing w:after="0" w:line="135" w:lineRule="exact"/>
              <w:rPr>
                <w:sz w:val="20"/>
                <w:szCs w:val="20"/>
                <w:color w:val="auto"/>
              </w:rPr>
            </w:pPr>
            <w:r>
              <w:rPr>
                <w:rFonts w:ascii="Arial" w:cs="Arial" w:eastAsia="Arial" w:hAnsi="Arial"/>
                <w:sz w:val="14"/>
                <w:szCs w:val="14"/>
                <w:color w:val="auto"/>
              </w:rPr>
              <w:t>-212,000 SF of office</w:t>
            </w:r>
          </w:p>
        </w:tc>
        <w:tc>
          <w:tcPr>
            <w:tcW w:w="840" w:type="dxa"/>
            <w:vAlign w:val="bottom"/>
          </w:tcPr>
          <w:p>
            <w:pPr>
              <w:jc w:val="center"/>
              <w:ind w:left="48"/>
              <w:spacing w:after="0" w:line="135" w:lineRule="exact"/>
              <w:rPr>
                <w:sz w:val="20"/>
                <w:szCs w:val="20"/>
                <w:color w:val="auto"/>
              </w:rPr>
            </w:pPr>
            <w:r>
              <w:rPr>
                <w:rFonts w:ascii="Arial" w:cs="Arial" w:eastAsia="Arial" w:hAnsi="Arial"/>
                <w:sz w:val="14"/>
                <w:szCs w:val="14"/>
                <w:color w:val="auto"/>
                <w:w w:val="97"/>
              </w:rPr>
              <w:t>6-7%</w:t>
            </w:r>
          </w:p>
        </w:tc>
        <w:tc>
          <w:tcPr>
            <w:tcW w:w="840" w:type="dxa"/>
            <w:vAlign w:val="bottom"/>
          </w:tcPr>
          <w:p>
            <w:pPr>
              <w:jc w:val="center"/>
              <w:spacing w:after="0" w:line="135" w:lineRule="exact"/>
              <w:rPr>
                <w:sz w:val="20"/>
                <w:szCs w:val="20"/>
                <w:color w:val="auto"/>
              </w:rPr>
            </w:pPr>
            <w:r>
              <w:rPr>
                <w:rFonts w:ascii="Arial" w:cs="Arial" w:eastAsia="Arial" w:hAnsi="Arial"/>
                <w:sz w:val="14"/>
                <w:szCs w:val="14"/>
                <w:color w:val="auto"/>
                <w:w w:val="92"/>
              </w:rPr>
              <w:t>$128 - 135</w:t>
            </w:r>
          </w:p>
        </w:tc>
        <w:tc>
          <w:tcPr>
            <w:tcW w:w="780" w:type="dxa"/>
            <w:vAlign w:val="bottom"/>
          </w:tcPr>
          <w:p>
            <w:pPr>
              <w:jc w:val="center"/>
              <w:spacing w:after="0" w:line="135" w:lineRule="exact"/>
              <w:rPr>
                <w:sz w:val="20"/>
                <w:szCs w:val="20"/>
                <w:color w:val="auto"/>
              </w:rPr>
            </w:pPr>
            <w:r>
              <w:rPr>
                <w:rFonts w:ascii="Arial" w:cs="Arial" w:eastAsia="Arial" w:hAnsi="Arial"/>
                <w:sz w:val="14"/>
                <w:szCs w:val="14"/>
                <w:color w:val="auto"/>
                <w:w w:val="89"/>
              </w:rPr>
              <w:t>$110</w:t>
            </w:r>
          </w:p>
        </w:tc>
        <w:tc>
          <w:tcPr>
            <w:tcW w:w="320" w:type="dxa"/>
            <w:vAlign w:val="bottom"/>
          </w:tcPr>
          <w:p>
            <w:pPr>
              <w:jc w:val="right"/>
              <w:ind w:right="68"/>
              <w:spacing w:after="0" w:line="135" w:lineRule="exact"/>
              <w:rPr>
                <w:sz w:val="20"/>
                <w:szCs w:val="20"/>
                <w:color w:val="auto"/>
              </w:rPr>
            </w:pPr>
            <w:r>
              <w:rPr>
                <w:rFonts w:ascii="Arial" w:cs="Arial" w:eastAsia="Arial" w:hAnsi="Arial"/>
                <w:sz w:val="14"/>
                <w:szCs w:val="14"/>
                <w:color w:val="auto"/>
                <w:w w:val="93"/>
              </w:rPr>
              <w:t>(4)</w:t>
            </w:r>
          </w:p>
        </w:tc>
        <w:tc>
          <w:tcPr>
            <w:tcW w:w="80" w:type="dxa"/>
            <w:vAlign w:val="bottom"/>
          </w:tcPr>
          <w:p>
            <w:pPr>
              <w:spacing w:after="0"/>
              <w:rPr>
                <w:sz w:val="11"/>
                <w:szCs w:val="11"/>
                <w:color w:val="auto"/>
              </w:rPr>
            </w:pPr>
          </w:p>
        </w:tc>
        <w:tc>
          <w:tcPr>
            <w:tcW w:w="3100" w:type="dxa"/>
            <w:vAlign w:val="bottom"/>
          </w:tcPr>
          <w:p>
            <w:pPr>
              <w:ind w:left="20"/>
              <w:spacing w:after="0" w:line="135" w:lineRule="exact"/>
              <w:rPr>
                <w:sz w:val="20"/>
                <w:szCs w:val="20"/>
                <w:color w:val="auto"/>
              </w:rPr>
            </w:pPr>
            <w:r>
              <w:rPr>
                <w:rFonts w:ascii="Arial" w:cs="Arial" w:eastAsia="Arial" w:hAnsi="Arial"/>
                <w:sz w:val="14"/>
                <w:szCs w:val="14"/>
                <w:color w:val="auto"/>
              </w:rPr>
              <w:t>Opening began in Q3 2020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40" w:type="dxa"/>
            <w:vAlign w:val="bottom"/>
            <w:gridSpan w:val="3"/>
          </w:tcPr>
          <w:p>
            <w:pPr>
              <w:spacing w:after="0"/>
              <w:rPr>
                <w:sz w:val="20"/>
                <w:szCs w:val="20"/>
                <w:color w:val="auto"/>
              </w:rPr>
            </w:pPr>
            <w:r>
              <w:rPr>
                <w:rFonts w:ascii="Arial" w:cs="Arial" w:eastAsia="Arial" w:hAnsi="Arial"/>
                <w:sz w:val="14"/>
                <w:szCs w:val="14"/>
                <w:color w:val="auto"/>
              </w:rPr>
              <w:t>-7,000 SF of retail</w:t>
            </w: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00" w:type="dxa"/>
            <w:vAlign w:val="bottom"/>
          </w:tcPr>
          <w:p>
            <w:pPr>
              <w:ind w:left="20"/>
              <w:spacing w:after="0"/>
              <w:rPr>
                <w:sz w:val="20"/>
                <w:szCs w:val="20"/>
                <w:color w:val="auto"/>
              </w:rPr>
            </w:pPr>
            <w:r>
              <w:rPr>
                <w:rFonts w:ascii="Arial" w:cs="Arial" w:eastAsia="Arial" w:hAnsi="Arial"/>
                <w:sz w:val="14"/>
                <w:szCs w:val="14"/>
                <w:color w:val="auto"/>
              </w:rPr>
              <w:t>168,000 square feet leased</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Future Phases</w:t>
            </w:r>
          </w:p>
        </w:tc>
        <w:tc>
          <w:tcPr>
            <w:tcW w:w="344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- 740,000 SF of commercial</w:t>
            </w:r>
          </w:p>
        </w:tc>
        <w:tc>
          <w:tcPr>
            <w:tcW w:w="840" w:type="dxa"/>
            <w:vAlign w:val="bottom"/>
            <w:shd w:val="clear" w:color="auto" w:fill="CCEEFF"/>
          </w:tcPr>
          <w:p>
            <w:pPr>
              <w:jc w:val="center"/>
              <w:ind w:left="48"/>
              <w:spacing w:after="0" w:line="139" w:lineRule="exact"/>
              <w:rPr>
                <w:sz w:val="20"/>
                <w:szCs w:val="20"/>
                <w:color w:val="auto"/>
              </w:rPr>
            </w:pPr>
            <w:r>
              <w:rPr>
                <w:rFonts w:ascii="Arial" w:cs="Arial" w:eastAsia="Arial" w:hAnsi="Arial"/>
                <w:sz w:val="14"/>
                <w:szCs w:val="14"/>
                <w:color w:val="auto"/>
                <w:w w:val="99"/>
              </w:rPr>
              <w:t>TBD</w:t>
            </w:r>
          </w:p>
        </w:tc>
        <w:tc>
          <w:tcPr>
            <w:tcW w:w="8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rPr>
              <w:t>TBD</w:t>
            </w: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- 741 residential units</w:t>
            </w:r>
          </w:p>
        </w:tc>
        <w:tc>
          <w:tcPr>
            <w:tcW w:w="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7"/>
              </w:rPr>
              <w:t xml:space="preserve">Santana Row, </w:t>
            </w:r>
            <w:r>
              <w:rPr>
                <w:rFonts w:ascii="Arial" w:cs="Arial" w:eastAsia="Arial" w:hAnsi="Arial"/>
                <w:sz w:val="14"/>
                <w:szCs w:val="14"/>
                <w:b w:val="1"/>
                <w:bCs w:val="1"/>
                <w:i w:val="1"/>
                <w:iCs w:val="1"/>
                <w:color w:val="auto"/>
                <w:w w:val="97"/>
              </w:rPr>
              <w:t>San Jose, CA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Santana West</w:t>
            </w:r>
          </w:p>
        </w:tc>
        <w:tc>
          <w:tcPr>
            <w:tcW w:w="140" w:type="dxa"/>
            <w:vAlign w:val="bottom"/>
          </w:tcPr>
          <w:p>
            <w:pPr>
              <w:spacing w:after="0"/>
              <w:rPr>
                <w:sz w:val="13"/>
                <w:szCs w:val="13"/>
                <w:color w:val="auto"/>
              </w:rPr>
            </w:pPr>
          </w:p>
        </w:tc>
        <w:tc>
          <w:tcPr>
            <w:tcW w:w="3440" w:type="dxa"/>
            <w:vAlign w:val="bottom"/>
            <w:gridSpan w:val="3"/>
          </w:tcPr>
          <w:p>
            <w:pPr>
              <w:spacing w:after="0" w:line="155" w:lineRule="exact"/>
              <w:rPr>
                <w:sz w:val="20"/>
                <w:szCs w:val="20"/>
                <w:color w:val="auto"/>
              </w:rPr>
            </w:pPr>
            <w:r>
              <w:rPr>
                <w:rFonts w:ascii="Arial" w:cs="Arial" w:eastAsia="Arial" w:hAnsi="Arial"/>
                <w:sz w:val="14"/>
                <w:szCs w:val="14"/>
                <w:color w:val="auto"/>
              </w:rPr>
              <w:t>- 376,000 SF of office</w:t>
            </w:r>
          </w:p>
        </w:tc>
        <w:tc>
          <w:tcPr>
            <w:tcW w:w="840" w:type="dxa"/>
            <w:vAlign w:val="bottom"/>
          </w:tcPr>
          <w:p>
            <w:pPr>
              <w:jc w:val="center"/>
              <w:ind w:left="48"/>
              <w:spacing w:after="0" w:line="155" w:lineRule="exact"/>
              <w:rPr>
                <w:sz w:val="20"/>
                <w:szCs w:val="20"/>
                <w:color w:val="auto"/>
              </w:rPr>
            </w:pPr>
            <w:r>
              <w:rPr>
                <w:rFonts w:ascii="Arial" w:cs="Arial" w:eastAsia="Arial" w:hAnsi="Arial"/>
                <w:sz w:val="14"/>
                <w:szCs w:val="14"/>
                <w:color w:val="auto"/>
                <w:w w:val="97"/>
              </w:rPr>
              <w:t>6-7%</w:t>
            </w:r>
          </w:p>
        </w:tc>
        <w:tc>
          <w:tcPr>
            <w:tcW w:w="840" w:type="dxa"/>
            <w:vAlign w:val="bottom"/>
          </w:tcPr>
          <w:p>
            <w:pPr>
              <w:jc w:val="center"/>
              <w:spacing w:after="0" w:line="155" w:lineRule="exact"/>
              <w:rPr>
                <w:sz w:val="20"/>
                <w:szCs w:val="20"/>
                <w:color w:val="auto"/>
              </w:rPr>
            </w:pPr>
            <w:r>
              <w:rPr>
                <w:rFonts w:ascii="Arial" w:cs="Arial" w:eastAsia="Arial" w:hAnsi="Arial"/>
                <w:sz w:val="14"/>
                <w:szCs w:val="14"/>
                <w:color w:val="auto"/>
                <w:w w:val="92"/>
              </w:rPr>
              <w:t>$250 - 270</w:t>
            </w:r>
          </w:p>
        </w:tc>
        <w:tc>
          <w:tcPr>
            <w:tcW w:w="780" w:type="dxa"/>
            <w:vAlign w:val="bottom"/>
          </w:tcPr>
          <w:p>
            <w:pPr>
              <w:jc w:val="center"/>
              <w:spacing w:after="0" w:line="155" w:lineRule="exact"/>
              <w:rPr>
                <w:sz w:val="20"/>
                <w:szCs w:val="20"/>
                <w:color w:val="auto"/>
              </w:rPr>
            </w:pPr>
            <w:r>
              <w:rPr>
                <w:rFonts w:ascii="Arial" w:cs="Arial" w:eastAsia="Arial" w:hAnsi="Arial"/>
                <w:sz w:val="14"/>
                <w:szCs w:val="14"/>
                <w:color w:val="auto"/>
                <w:w w:val="89"/>
              </w:rPr>
              <w:t>$166</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00" w:type="dxa"/>
            <w:vAlign w:val="bottom"/>
          </w:tcPr>
          <w:p>
            <w:pPr>
              <w:ind w:left="20"/>
              <w:spacing w:after="0" w:line="155" w:lineRule="exact"/>
              <w:rPr>
                <w:sz w:val="20"/>
                <w:szCs w:val="20"/>
                <w:color w:val="auto"/>
              </w:rPr>
            </w:pPr>
            <w:r>
              <w:rPr>
                <w:rFonts w:ascii="Arial" w:cs="Arial" w:eastAsia="Arial" w:hAnsi="Arial"/>
                <w:sz w:val="14"/>
                <w:szCs w:val="14"/>
                <w:color w:val="auto"/>
              </w:rPr>
              <w:t>Opening projected to begin in 2022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40" w:type="dxa"/>
            <w:vAlign w:val="bottom"/>
            <w:gridSpan w:val="3"/>
          </w:tcPr>
          <w:p>
            <w:pPr>
              <w:spacing w:after="0"/>
              <w:rPr>
                <w:sz w:val="20"/>
                <w:szCs w:val="20"/>
                <w:color w:val="auto"/>
              </w:rPr>
            </w:pPr>
            <w:r>
              <w:rPr>
                <w:rFonts w:ascii="Arial" w:cs="Arial" w:eastAsia="Arial" w:hAnsi="Arial"/>
                <w:sz w:val="14"/>
                <w:szCs w:val="14"/>
                <w:color w:val="auto"/>
              </w:rPr>
              <w:t>- 1,750 parking spaces</w:t>
            </w: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Future Phases</w:t>
            </w:r>
          </w:p>
        </w:tc>
        <w:tc>
          <w:tcPr>
            <w:tcW w:w="344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-321,000 SF of commercial</w:t>
            </w:r>
          </w:p>
        </w:tc>
        <w:tc>
          <w:tcPr>
            <w:tcW w:w="840" w:type="dxa"/>
            <w:vAlign w:val="bottom"/>
            <w:shd w:val="clear" w:color="auto" w:fill="CCEEFF"/>
          </w:tcPr>
          <w:p>
            <w:pPr>
              <w:jc w:val="center"/>
              <w:ind w:left="48"/>
              <w:spacing w:after="0" w:line="139" w:lineRule="exact"/>
              <w:rPr>
                <w:sz w:val="20"/>
                <w:szCs w:val="20"/>
                <w:color w:val="auto"/>
              </w:rPr>
            </w:pPr>
            <w:r>
              <w:rPr>
                <w:rFonts w:ascii="Arial" w:cs="Arial" w:eastAsia="Arial" w:hAnsi="Arial"/>
                <w:sz w:val="14"/>
                <w:szCs w:val="14"/>
                <w:color w:val="auto"/>
                <w:w w:val="99"/>
              </w:rPr>
              <w:t>TBD</w:t>
            </w:r>
          </w:p>
        </w:tc>
        <w:tc>
          <w:tcPr>
            <w:tcW w:w="8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rPr>
              <w:t>TBD</w:t>
            </w: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rPr>
              <w:t>-395 residential units</w:t>
            </w:r>
          </w:p>
        </w:tc>
        <w:tc>
          <w:tcPr>
            <w:tcW w:w="8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-604,000 SF of commercial at Santana West</w:t>
            </w:r>
          </w:p>
        </w:tc>
        <w:tc>
          <w:tcPr>
            <w:tcW w:w="8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42" w:lineRule="exact"/>
        <w:rPr>
          <w:sz w:val="20"/>
          <w:szCs w:val="20"/>
          <w:color w:val="auto"/>
        </w:rPr>
      </w:pPr>
    </w:p>
    <w:p>
      <w:pPr>
        <w:ind w:left="360" w:right="120" w:hanging="334"/>
        <w:spacing w:after="0" w:line="260" w:lineRule="auto"/>
        <w:tabs>
          <w:tab w:leader="none" w:pos="3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Anticipated opening dates, total cost, and projected return on investment (ROI)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ind w:left="360" w:hanging="334"/>
        <w:spacing w:after="0"/>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Projected ROI for development projects reflects the unleveraged Property Operating Income (POI) generated by the development and is calculated as POI divided by cost.</w:t>
      </w:r>
    </w:p>
    <w:p>
      <w:pPr>
        <w:spacing w:after="0" w:line="28" w:lineRule="exact"/>
        <w:rPr>
          <w:rFonts w:ascii="Arial" w:cs="Arial" w:eastAsia="Arial" w:hAnsi="Arial"/>
          <w:sz w:val="14"/>
          <w:szCs w:val="14"/>
          <w:color w:val="auto"/>
        </w:rPr>
      </w:pPr>
    </w:p>
    <w:p>
      <w:pPr>
        <w:ind w:left="360" w:right="220" w:hanging="334"/>
        <w:spacing w:after="0" w:line="236" w:lineRule="auto"/>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Projected costs for Assembly Row and Pike &amp; Rose include an allocation of infrastructure costs for the entire project. Phase I of Santana West includes an allocation of infrastructure for the Santana West site.</w:t>
      </w:r>
    </w:p>
    <w:p>
      <w:pPr>
        <w:spacing w:after="0" w:line="7" w:lineRule="exact"/>
        <w:rPr>
          <w:rFonts w:ascii="Arial" w:cs="Arial" w:eastAsia="Arial" w:hAnsi="Arial"/>
          <w:sz w:val="14"/>
          <w:szCs w:val="14"/>
          <w:color w:val="auto"/>
        </w:rPr>
      </w:pPr>
    </w:p>
    <w:p>
      <w:pPr>
        <w:ind w:left="360" w:right="80" w:hanging="334"/>
        <w:spacing w:after="0" w:line="236" w:lineRule="auto"/>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Federal Realty Investment Trust is leasing 45,000 square feet of office space at a market rent in Pike &amp; Rose Phase III, which delivered in August 2020. Revenue related to this rent will be eliminated in the consolidated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909"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Future Redevelopment Opportunities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2021</w:t>
      </w:r>
    </w:p>
    <w:p>
      <w:pPr>
        <w:spacing w:after="0" w:line="293" w:lineRule="exact"/>
        <w:rPr>
          <w:sz w:val="20"/>
          <w:szCs w:val="20"/>
          <w:color w:val="auto"/>
        </w:rPr>
      </w:pPr>
    </w:p>
    <w:p>
      <w:pPr>
        <w:ind w:left="20" w:right="160"/>
        <w:spacing w:after="0" w:line="225" w:lineRule="auto"/>
        <w:rPr>
          <w:sz w:val="20"/>
          <w:szCs w:val="20"/>
          <w:color w:val="auto"/>
        </w:rPr>
      </w:pPr>
      <w:r>
        <w:rPr>
          <w:rFonts w:ascii="Arial" w:cs="Arial" w:eastAsia="Arial" w:hAnsi="Arial"/>
          <w:sz w:val="16"/>
          <w:szCs w:val="16"/>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265" w:lineRule="exact"/>
        <w:rPr>
          <w:sz w:val="20"/>
          <w:szCs w:val="20"/>
          <w:color w:val="auto"/>
        </w:rPr>
      </w:pPr>
    </w:p>
    <w:p>
      <w:pPr>
        <w:ind w:left="20" w:right="760"/>
        <w:spacing w:after="0" w:line="245"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48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Escondido Promenade</w:t>
            </w:r>
          </w:p>
        </w:tc>
        <w:tc>
          <w:tcPr>
            <w:tcW w:w="22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Escondido, CA</w:t>
            </w:r>
          </w:p>
        </w:tc>
        <w:tc>
          <w:tcPr>
            <w:tcW w:w="2640" w:type="dxa"/>
            <w:vAlign w:val="bottom"/>
            <w:shd w:val="clear" w:color="auto" w:fill="CCEEFF"/>
          </w:tcPr>
          <w:p>
            <w:pPr>
              <w:ind w:left="520"/>
              <w:spacing w:after="0"/>
              <w:rPr>
                <w:sz w:val="20"/>
                <w:szCs w:val="20"/>
                <w:color w:val="auto"/>
              </w:rPr>
            </w:pPr>
            <w:r>
              <w:rPr>
                <w:rFonts w:ascii="Arial" w:cs="Arial" w:eastAsia="Arial" w:hAnsi="Arial"/>
                <w:sz w:val="16"/>
                <w:szCs w:val="16"/>
                <w:b w:val="1"/>
                <w:bCs w:val="1"/>
                <w:color w:val="auto"/>
              </w:rPr>
              <w:t>Pan Am</w:t>
            </w:r>
          </w:p>
        </w:tc>
        <w:tc>
          <w:tcPr>
            <w:tcW w:w="38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Fairfax, VA</w:t>
            </w:r>
          </w:p>
        </w:tc>
      </w:tr>
      <w:tr>
        <w:trPr>
          <w:trHeight w:val="213"/>
        </w:trPr>
        <w:tc>
          <w:tcPr>
            <w:tcW w:w="2480" w:type="dxa"/>
            <w:vAlign w:val="bottom"/>
          </w:tcPr>
          <w:p>
            <w:pPr>
              <w:ind w:left="420"/>
              <w:spacing w:after="0"/>
              <w:rPr>
                <w:sz w:val="20"/>
                <w:szCs w:val="20"/>
                <w:color w:val="auto"/>
              </w:rPr>
            </w:pPr>
            <w:r>
              <w:rPr>
                <w:rFonts w:ascii="Arial" w:cs="Arial" w:eastAsia="Arial" w:hAnsi="Arial"/>
                <w:sz w:val="16"/>
                <w:szCs w:val="16"/>
                <w:b w:val="1"/>
                <w:bCs w:val="1"/>
                <w:color w:val="auto"/>
              </w:rPr>
              <w:t>Federal Plaza</w:t>
            </w:r>
          </w:p>
        </w:tc>
        <w:tc>
          <w:tcPr>
            <w:tcW w:w="2240" w:type="dxa"/>
            <w:vAlign w:val="bottom"/>
          </w:tcPr>
          <w:p>
            <w:pPr>
              <w:ind w:left="500"/>
              <w:spacing w:after="0"/>
              <w:rPr>
                <w:sz w:val="20"/>
                <w:szCs w:val="20"/>
                <w:color w:val="auto"/>
              </w:rPr>
            </w:pPr>
            <w:r>
              <w:rPr>
                <w:rFonts w:ascii="Arial" w:cs="Arial" w:eastAsia="Arial" w:hAnsi="Arial"/>
                <w:sz w:val="16"/>
                <w:szCs w:val="16"/>
                <w:color w:val="auto"/>
              </w:rPr>
              <w:t>Rockville, MD</w:t>
            </w:r>
          </w:p>
        </w:tc>
        <w:tc>
          <w:tcPr>
            <w:tcW w:w="2640" w:type="dxa"/>
            <w:vAlign w:val="bottom"/>
          </w:tcPr>
          <w:p>
            <w:pPr>
              <w:ind w:left="520"/>
              <w:spacing w:after="0"/>
              <w:rPr>
                <w:sz w:val="20"/>
                <w:szCs w:val="20"/>
                <w:color w:val="auto"/>
              </w:rPr>
            </w:pPr>
            <w:r>
              <w:rPr>
                <w:rFonts w:ascii="Arial" w:cs="Arial" w:eastAsia="Arial" w:hAnsi="Arial"/>
                <w:sz w:val="16"/>
                <w:szCs w:val="16"/>
                <w:b w:val="1"/>
                <w:bCs w:val="1"/>
                <w:color w:val="auto"/>
              </w:rPr>
              <w:t>Pike 7 Plaza</w:t>
            </w:r>
          </w:p>
        </w:tc>
        <w:tc>
          <w:tcPr>
            <w:tcW w:w="3840" w:type="dxa"/>
            <w:vAlign w:val="bottom"/>
          </w:tcPr>
          <w:p>
            <w:pPr>
              <w:ind w:left="620"/>
              <w:spacing w:after="0"/>
              <w:rPr>
                <w:sz w:val="20"/>
                <w:szCs w:val="20"/>
                <w:color w:val="auto"/>
              </w:rPr>
            </w:pPr>
            <w:r>
              <w:rPr>
                <w:rFonts w:ascii="Arial" w:cs="Arial" w:eastAsia="Arial" w:hAnsi="Arial"/>
                <w:sz w:val="16"/>
                <w:szCs w:val="16"/>
                <w:color w:val="auto"/>
              </w:rPr>
              <w:t>Vienna, VA</w:t>
            </w:r>
          </w:p>
        </w:tc>
      </w:tr>
      <w:tr>
        <w:trPr>
          <w:trHeight w:val="219"/>
        </w:trPr>
        <w:tc>
          <w:tcPr>
            <w:tcW w:w="248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Fresh Meadows</w:t>
            </w:r>
          </w:p>
        </w:tc>
        <w:tc>
          <w:tcPr>
            <w:tcW w:w="22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Queens, NY</w:t>
            </w:r>
          </w:p>
        </w:tc>
        <w:tc>
          <w:tcPr>
            <w:tcW w:w="2640" w:type="dxa"/>
            <w:vAlign w:val="bottom"/>
            <w:shd w:val="clear" w:color="auto" w:fill="CCEEFF"/>
          </w:tcPr>
          <w:p>
            <w:pPr>
              <w:ind w:left="520"/>
              <w:spacing w:after="0"/>
              <w:rPr>
                <w:sz w:val="20"/>
                <w:szCs w:val="20"/>
                <w:color w:val="auto"/>
              </w:rPr>
            </w:pPr>
            <w:r>
              <w:rPr>
                <w:rFonts w:ascii="Arial" w:cs="Arial" w:eastAsia="Arial" w:hAnsi="Arial"/>
                <w:sz w:val="16"/>
                <w:szCs w:val="16"/>
                <w:b w:val="1"/>
                <w:bCs w:val="1"/>
                <w:color w:val="auto"/>
              </w:rPr>
              <w:t>Sylmar Towne Center</w:t>
            </w:r>
          </w:p>
        </w:tc>
        <w:tc>
          <w:tcPr>
            <w:tcW w:w="38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Sylmar, CA</w:t>
            </w:r>
          </w:p>
        </w:tc>
      </w:tr>
      <w:tr>
        <w:trPr>
          <w:trHeight w:val="213"/>
        </w:trPr>
        <w:tc>
          <w:tcPr>
            <w:tcW w:w="2480" w:type="dxa"/>
            <w:vAlign w:val="bottom"/>
          </w:tcPr>
          <w:p>
            <w:pPr>
              <w:ind w:left="420"/>
              <w:spacing w:after="0"/>
              <w:rPr>
                <w:sz w:val="20"/>
                <w:szCs w:val="20"/>
                <w:color w:val="auto"/>
              </w:rPr>
            </w:pPr>
            <w:r>
              <w:rPr>
                <w:rFonts w:ascii="Arial" w:cs="Arial" w:eastAsia="Arial" w:hAnsi="Arial"/>
                <w:sz w:val="16"/>
                <w:szCs w:val="16"/>
                <w:b w:val="1"/>
                <w:bCs w:val="1"/>
                <w:color w:val="auto"/>
              </w:rPr>
              <w:t>Mercer Mall</w:t>
            </w:r>
          </w:p>
        </w:tc>
        <w:tc>
          <w:tcPr>
            <w:tcW w:w="2240" w:type="dxa"/>
            <w:vAlign w:val="bottom"/>
          </w:tcPr>
          <w:p>
            <w:pPr>
              <w:ind w:left="500"/>
              <w:spacing w:after="0"/>
              <w:rPr>
                <w:sz w:val="20"/>
                <w:szCs w:val="20"/>
                <w:color w:val="auto"/>
              </w:rPr>
            </w:pPr>
            <w:r>
              <w:rPr>
                <w:rFonts w:ascii="Arial" w:cs="Arial" w:eastAsia="Arial" w:hAnsi="Arial"/>
                <w:sz w:val="16"/>
                <w:szCs w:val="16"/>
                <w:color w:val="auto"/>
              </w:rPr>
              <w:t>Lawrenceville, NJ</w:t>
            </w:r>
          </w:p>
        </w:tc>
        <w:tc>
          <w:tcPr>
            <w:tcW w:w="264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19"/>
        </w:trPr>
        <w:tc>
          <w:tcPr>
            <w:tcW w:w="248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3840" w:type="dxa"/>
            <w:vAlign w:val="bottom"/>
            <w:shd w:val="clear" w:color="auto" w:fill="CCEEFF"/>
          </w:tcPr>
          <w:p>
            <w:pPr>
              <w:spacing w:after="0"/>
              <w:rPr>
                <w:sz w:val="19"/>
                <w:szCs w:val="19"/>
                <w:color w:val="auto"/>
              </w:rPr>
            </w:pPr>
          </w:p>
        </w:tc>
      </w:tr>
    </w:tbl>
    <w:p>
      <w:pPr>
        <w:ind w:left="20" w:right="320"/>
        <w:spacing w:after="0" w:line="245"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more productive uses for the property.</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28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Barracks Road</w:t>
            </w:r>
          </w:p>
        </w:tc>
        <w:tc>
          <w:tcPr>
            <w:tcW w:w="24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Charlottesville, VA</w:t>
            </w:r>
          </w:p>
        </w:tc>
        <w:tc>
          <w:tcPr>
            <w:tcW w:w="262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Grossmont Center</w:t>
            </w:r>
          </w:p>
        </w:tc>
        <w:tc>
          <w:tcPr>
            <w:tcW w:w="38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La Mesa, CA</w:t>
            </w:r>
          </w:p>
        </w:tc>
      </w:tr>
      <w:tr>
        <w:trPr>
          <w:trHeight w:val="213"/>
        </w:trPr>
        <w:tc>
          <w:tcPr>
            <w:tcW w:w="2280" w:type="dxa"/>
            <w:vAlign w:val="bottom"/>
          </w:tcPr>
          <w:p>
            <w:pPr>
              <w:ind w:left="420"/>
              <w:spacing w:after="0"/>
              <w:rPr>
                <w:sz w:val="20"/>
                <w:szCs w:val="20"/>
                <w:color w:val="auto"/>
              </w:rPr>
            </w:pPr>
            <w:r>
              <w:rPr>
                <w:rFonts w:ascii="Arial" w:cs="Arial" w:eastAsia="Arial" w:hAnsi="Arial"/>
                <w:sz w:val="16"/>
                <w:szCs w:val="16"/>
                <w:b w:val="1"/>
                <w:bCs w:val="1"/>
                <w:color w:val="auto"/>
              </w:rPr>
              <w:t>Bethesda Row</w:t>
            </w:r>
          </w:p>
        </w:tc>
        <w:tc>
          <w:tcPr>
            <w:tcW w:w="2460" w:type="dxa"/>
            <w:vAlign w:val="bottom"/>
          </w:tcPr>
          <w:p>
            <w:pPr>
              <w:ind w:left="700"/>
              <w:spacing w:after="0"/>
              <w:rPr>
                <w:sz w:val="20"/>
                <w:szCs w:val="20"/>
                <w:color w:val="auto"/>
              </w:rPr>
            </w:pPr>
            <w:r>
              <w:rPr>
                <w:rFonts w:ascii="Arial" w:cs="Arial" w:eastAsia="Arial" w:hAnsi="Arial"/>
                <w:sz w:val="16"/>
                <w:szCs w:val="16"/>
                <w:color w:val="auto"/>
              </w:rPr>
              <w:t>Bethesda, MD</w:t>
            </w:r>
          </w:p>
        </w:tc>
        <w:tc>
          <w:tcPr>
            <w:tcW w:w="2620" w:type="dxa"/>
            <w:vAlign w:val="bottom"/>
          </w:tcPr>
          <w:p>
            <w:pPr>
              <w:ind w:left="500"/>
              <w:spacing w:after="0"/>
              <w:rPr>
                <w:sz w:val="20"/>
                <w:szCs w:val="20"/>
                <w:color w:val="auto"/>
              </w:rPr>
            </w:pPr>
            <w:r>
              <w:rPr>
                <w:rFonts w:ascii="Arial" w:cs="Arial" w:eastAsia="Arial" w:hAnsi="Arial"/>
                <w:sz w:val="16"/>
                <w:szCs w:val="16"/>
                <w:b w:val="1"/>
                <w:bCs w:val="1"/>
                <w:color w:val="auto"/>
              </w:rPr>
              <w:t>Hastings Ranch Plaza</w:t>
            </w:r>
          </w:p>
        </w:tc>
        <w:tc>
          <w:tcPr>
            <w:tcW w:w="3840" w:type="dxa"/>
            <w:vAlign w:val="bottom"/>
          </w:tcPr>
          <w:p>
            <w:pPr>
              <w:ind w:left="620"/>
              <w:spacing w:after="0"/>
              <w:rPr>
                <w:sz w:val="20"/>
                <w:szCs w:val="20"/>
                <w:color w:val="auto"/>
              </w:rPr>
            </w:pPr>
            <w:r>
              <w:rPr>
                <w:rFonts w:ascii="Arial" w:cs="Arial" w:eastAsia="Arial" w:hAnsi="Arial"/>
                <w:sz w:val="16"/>
                <w:szCs w:val="16"/>
                <w:color w:val="auto"/>
              </w:rPr>
              <w:t>Pasadena, CA</w:t>
            </w:r>
          </w:p>
        </w:tc>
      </w:tr>
      <w:tr>
        <w:trPr>
          <w:trHeight w:val="219"/>
        </w:trPr>
        <w:tc>
          <w:tcPr>
            <w:tcW w:w="228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Dedham Plaza</w:t>
            </w:r>
          </w:p>
        </w:tc>
        <w:tc>
          <w:tcPr>
            <w:tcW w:w="24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Dedham, MA</w:t>
            </w:r>
          </w:p>
        </w:tc>
        <w:tc>
          <w:tcPr>
            <w:tcW w:w="262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Huntington</w:t>
            </w:r>
          </w:p>
        </w:tc>
        <w:tc>
          <w:tcPr>
            <w:tcW w:w="38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Huntington, NY</w:t>
            </w:r>
          </w:p>
        </w:tc>
      </w:tr>
      <w:tr>
        <w:trPr>
          <w:trHeight w:val="213"/>
        </w:trPr>
        <w:tc>
          <w:tcPr>
            <w:tcW w:w="2280" w:type="dxa"/>
            <w:vAlign w:val="bottom"/>
          </w:tcPr>
          <w:p>
            <w:pPr>
              <w:ind w:left="420"/>
              <w:spacing w:after="0"/>
              <w:rPr>
                <w:sz w:val="20"/>
                <w:szCs w:val="20"/>
                <w:color w:val="auto"/>
              </w:rPr>
            </w:pPr>
            <w:r>
              <w:rPr>
                <w:rFonts w:ascii="Arial" w:cs="Arial" w:eastAsia="Arial" w:hAnsi="Arial"/>
                <w:sz w:val="16"/>
                <w:szCs w:val="16"/>
                <w:b w:val="1"/>
                <w:bCs w:val="1"/>
                <w:color w:val="auto"/>
              </w:rPr>
              <w:t>Fairfax Junction</w:t>
            </w:r>
          </w:p>
        </w:tc>
        <w:tc>
          <w:tcPr>
            <w:tcW w:w="2460" w:type="dxa"/>
            <w:vAlign w:val="bottom"/>
          </w:tcPr>
          <w:p>
            <w:pPr>
              <w:ind w:left="700"/>
              <w:spacing w:after="0"/>
              <w:rPr>
                <w:sz w:val="20"/>
                <w:szCs w:val="20"/>
                <w:color w:val="auto"/>
              </w:rPr>
            </w:pPr>
            <w:r>
              <w:rPr>
                <w:rFonts w:ascii="Arial" w:cs="Arial" w:eastAsia="Arial" w:hAnsi="Arial"/>
                <w:sz w:val="16"/>
                <w:szCs w:val="16"/>
                <w:color w:val="auto"/>
              </w:rPr>
              <w:t>Fairfax, VA</w:t>
            </w:r>
          </w:p>
        </w:tc>
        <w:tc>
          <w:tcPr>
            <w:tcW w:w="2620" w:type="dxa"/>
            <w:vAlign w:val="bottom"/>
          </w:tcPr>
          <w:p>
            <w:pPr>
              <w:ind w:left="500"/>
              <w:spacing w:after="0"/>
              <w:rPr>
                <w:sz w:val="20"/>
                <w:szCs w:val="20"/>
                <w:color w:val="auto"/>
              </w:rPr>
            </w:pPr>
            <w:r>
              <w:rPr>
                <w:rFonts w:ascii="Arial" w:cs="Arial" w:eastAsia="Arial" w:hAnsi="Arial"/>
                <w:sz w:val="16"/>
                <w:szCs w:val="16"/>
                <w:b w:val="1"/>
                <w:bCs w:val="1"/>
                <w:color w:val="auto"/>
              </w:rPr>
              <w:t>Riverpoint Center</w:t>
            </w:r>
          </w:p>
        </w:tc>
        <w:tc>
          <w:tcPr>
            <w:tcW w:w="3840" w:type="dxa"/>
            <w:vAlign w:val="bottom"/>
          </w:tcPr>
          <w:p>
            <w:pPr>
              <w:ind w:left="620"/>
              <w:spacing w:after="0"/>
              <w:rPr>
                <w:sz w:val="20"/>
                <w:szCs w:val="20"/>
                <w:color w:val="auto"/>
              </w:rPr>
            </w:pPr>
            <w:r>
              <w:rPr>
                <w:rFonts w:ascii="Arial" w:cs="Arial" w:eastAsia="Arial" w:hAnsi="Arial"/>
                <w:sz w:val="16"/>
                <w:szCs w:val="16"/>
                <w:color w:val="auto"/>
              </w:rPr>
              <w:t>Chicago, IL</w:t>
            </w:r>
          </w:p>
        </w:tc>
      </w:tr>
      <w:tr>
        <w:trPr>
          <w:trHeight w:val="219"/>
        </w:trPr>
        <w:tc>
          <w:tcPr>
            <w:tcW w:w="228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Fourth Street</w:t>
            </w:r>
          </w:p>
        </w:tc>
        <w:tc>
          <w:tcPr>
            <w:tcW w:w="24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Berkeley, CA</w:t>
            </w:r>
          </w:p>
        </w:tc>
        <w:tc>
          <w:tcPr>
            <w:tcW w:w="262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Wildwood</w:t>
            </w:r>
          </w:p>
        </w:tc>
        <w:tc>
          <w:tcPr>
            <w:tcW w:w="38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Bethesda, MD</w:t>
            </w:r>
          </w:p>
        </w:tc>
      </w:tr>
      <w:tr>
        <w:trPr>
          <w:trHeight w:val="213"/>
        </w:trPr>
        <w:tc>
          <w:tcPr>
            <w:tcW w:w="2280" w:type="dxa"/>
            <w:vAlign w:val="bottom"/>
          </w:tcPr>
          <w:p>
            <w:pPr>
              <w:ind w:left="420"/>
              <w:spacing w:after="0"/>
              <w:rPr>
                <w:sz w:val="20"/>
                <w:szCs w:val="20"/>
                <w:color w:val="auto"/>
              </w:rPr>
            </w:pPr>
            <w:r>
              <w:rPr>
                <w:rFonts w:ascii="Arial" w:cs="Arial" w:eastAsia="Arial" w:hAnsi="Arial"/>
                <w:sz w:val="16"/>
                <w:szCs w:val="16"/>
                <w:b w:val="1"/>
                <w:bCs w:val="1"/>
                <w:color w:val="auto"/>
              </w:rPr>
              <w:t>Fresh Meadows</w:t>
            </w:r>
          </w:p>
        </w:tc>
        <w:tc>
          <w:tcPr>
            <w:tcW w:w="2460" w:type="dxa"/>
            <w:vAlign w:val="bottom"/>
          </w:tcPr>
          <w:p>
            <w:pPr>
              <w:ind w:left="700"/>
              <w:spacing w:after="0"/>
              <w:rPr>
                <w:sz w:val="20"/>
                <w:szCs w:val="20"/>
                <w:color w:val="auto"/>
              </w:rPr>
            </w:pPr>
            <w:r>
              <w:rPr>
                <w:rFonts w:ascii="Arial" w:cs="Arial" w:eastAsia="Arial" w:hAnsi="Arial"/>
                <w:sz w:val="16"/>
                <w:szCs w:val="16"/>
                <w:color w:val="auto"/>
              </w:rPr>
              <w:t>Queens, NY</w:t>
            </w:r>
          </w:p>
        </w:tc>
        <w:tc>
          <w:tcPr>
            <w:tcW w:w="2620" w:type="dxa"/>
            <w:vAlign w:val="bottom"/>
          </w:tcPr>
          <w:p>
            <w:pPr>
              <w:ind w:left="500"/>
              <w:spacing w:after="0"/>
              <w:rPr>
                <w:sz w:val="20"/>
                <w:szCs w:val="20"/>
                <w:color w:val="auto"/>
              </w:rPr>
            </w:pPr>
            <w:r>
              <w:rPr>
                <w:rFonts w:ascii="Arial" w:cs="Arial" w:eastAsia="Arial" w:hAnsi="Arial"/>
                <w:sz w:val="16"/>
                <w:szCs w:val="16"/>
                <w:b w:val="1"/>
                <w:bCs w:val="1"/>
                <w:color w:val="auto"/>
              </w:rPr>
              <w:t>Willow Grove</w:t>
            </w:r>
          </w:p>
        </w:tc>
        <w:tc>
          <w:tcPr>
            <w:tcW w:w="3840" w:type="dxa"/>
            <w:vAlign w:val="bottom"/>
          </w:tcPr>
          <w:p>
            <w:pPr>
              <w:ind w:left="620"/>
              <w:spacing w:after="0"/>
              <w:rPr>
                <w:sz w:val="20"/>
                <w:szCs w:val="20"/>
                <w:color w:val="auto"/>
              </w:rPr>
            </w:pPr>
            <w:r>
              <w:rPr>
                <w:rFonts w:ascii="Arial" w:cs="Arial" w:eastAsia="Arial" w:hAnsi="Arial"/>
                <w:sz w:val="16"/>
                <w:szCs w:val="16"/>
                <w:color w:val="auto"/>
              </w:rPr>
              <w:t>Willow Grove, PA</w:t>
            </w:r>
          </w:p>
        </w:tc>
      </w:tr>
      <w:tr>
        <w:trPr>
          <w:trHeight w:val="219"/>
        </w:trPr>
        <w:tc>
          <w:tcPr>
            <w:tcW w:w="228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3840" w:type="dxa"/>
            <w:vAlign w:val="bottom"/>
            <w:shd w:val="clear" w:color="auto" w:fill="CCEEFF"/>
          </w:tcPr>
          <w:p>
            <w:pPr>
              <w:spacing w:after="0"/>
              <w:rPr>
                <w:sz w:val="19"/>
                <w:szCs w:val="19"/>
                <w:color w:val="auto"/>
              </w:rPr>
            </w:pPr>
          </w:p>
        </w:tc>
      </w:tr>
    </w:tbl>
    <w:p>
      <w:pPr>
        <w:ind w:left="20"/>
        <w:spacing w:after="0"/>
        <w:rPr>
          <w:sz w:val="20"/>
          <w:szCs w:val="20"/>
          <w:color w:val="auto"/>
        </w:rPr>
      </w:pPr>
      <w:r>
        <w:rPr>
          <w:rFonts w:ascii="Arial" w:cs="Arial" w:eastAsia="Arial" w:hAnsi="Arial"/>
          <w:sz w:val="16"/>
          <w:szCs w:val="16"/>
          <w:b w:val="1"/>
          <w:bCs w:val="1"/>
          <w:color w:val="auto"/>
        </w:rPr>
        <w:t>Residential Opportunities - Opportunity to add residential units to existing retail and mixed-use properties.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Barracks Road</w:t>
            </w:r>
          </w:p>
        </w:tc>
        <w:tc>
          <w:tcPr>
            <w:tcW w:w="1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Charlottesville, VA</w:t>
            </w:r>
          </w:p>
        </w:tc>
        <w:tc>
          <w:tcPr>
            <w:tcW w:w="298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Village at Shirlington</w:t>
            </w:r>
          </w:p>
        </w:tc>
        <w:tc>
          <w:tcPr>
            <w:tcW w:w="34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Arlington, VA</w:t>
            </w:r>
          </w:p>
        </w:tc>
      </w:tr>
      <w:tr>
        <w:trPr>
          <w:trHeight w:val="213"/>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Bala Cynwyd</w:t>
            </w:r>
          </w:p>
        </w:tc>
        <w:tc>
          <w:tcPr>
            <w:tcW w:w="1880" w:type="dxa"/>
            <w:vAlign w:val="bottom"/>
          </w:tcPr>
          <w:p>
            <w:pPr>
              <w:ind w:left="120"/>
              <w:spacing w:after="0"/>
              <w:rPr>
                <w:sz w:val="20"/>
                <w:szCs w:val="20"/>
                <w:color w:val="auto"/>
              </w:rPr>
            </w:pPr>
            <w:r>
              <w:rPr>
                <w:rFonts w:ascii="Arial" w:cs="Arial" w:eastAsia="Arial" w:hAnsi="Arial"/>
                <w:sz w:val="16"/>
                <w:szCs w:val="16"/>
                <w:color w:val="auto"/>
              </w:rPr>
              <w:t>Bala Cynwyd, PA</w:t>
            </w:r>
          </w:p>
        </w:tc>
        <w:tc>
          <w:tcPr>
            <w:tcW w:w="298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98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r>
      <w:tr>
        <w:trPr>
          <w:trHeight w:val="213"/>
        </w:trPr>
        <w:tc>
          <w:tcPr>
            <w:tcW w:w="2860" w:type="dxa"/>
            <w:vAlign w:val="bottom"/>
            <w:gridSpan w:val="3"/>
          </w:tcPr>
          <w:p>
            <w:pPr>
              <w:ind w:left="20"/>
              <w:spacing w:after="0"/>
              <w:rPr>
                <w:sz w:val="20"/>
                <w:szCs w:val="20"/>
                <w:color w:val="auto"/>
              </w:rPr>
            </w:pPr>
            <w:r>
              <w:rPr>
                <w:rFonts w:ascii="Arial" w:cs="Arial" w:eastAsia="Arial" w:hAnsi="Arial"/>
                <w:sz w:val="16"/>
                <w:szCs w:val="16"/>
                <w:b w:val="1"/>
                <w:bCs w:val="1"/>
                <w:color w:val="auto"/>
                <w:w w:val="96"/>
              </w:rPr>
              <w:t>Longer Term Mixed-Use Opportunities</w:t>
            </w:r>
          </w:p>
        </w:tc>
        <w:tc>
          <w:tcPr>
            <w:tcW w:w="18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Assembly Row (1)</w:t>
            </w:r>
          </w:p>
        </w:tc>
        <w:tc>
          <w:tcPr>
            <w:tcW w:w="1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Somerville, MA</w:t>
            </w:r>
          </w:p>
        </w:tc>
        <w:tc>
          <w:tcPr>
            <w:tcW w:w="298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Pike &amp; Rose (2)</w:t>
            </w:r>
          </w:p>
        </w:tc>
        <w:tc>
          <w:tcPr>
            <w:tcW w:w="34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North Bethesda, MD</w:t>
            </w:r>
          </w:p>
        </w:tc>
      </w:tr>
      <w:tr>
        <w:trPr>
          <w:trHeight w:val="213"/>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Bala Cynwyd</w:t>
            </w:r>
          </w:p>
        </w:tc>
        <w:tc>
          <w:tcPr>
            <w:tcW w:w="1880" w:type="dxa"/>
            <w:vAlign w:val="bottom"/>
          </w:tcPr>
          <w:p>
            <w:pPr>
              <w:ind w:left="120"/>
              <w:spacing w:after="0"/>
              <w:rPr>
                <w:sz w:val="20"/>
                <w:szCs w:val="20"/>
                <w:color w:val="auto"/>
              </w:rPr>
            </w:pPr>
            <w:r>
              <w:rPr>
                <w:rFonts w:ascii="Arial" w:cs="Arial" w:eastAsia="Arial" w:hAnsi="Arial"/>
                <w:sz w:val="16"/>
                <w:szCs w:val="16"/>
                <w:color w:val="auto"/>
              </w:rPr>
              <w:t>Bala Cynwyd, PA</w:t>
            </w:r>
          </w:p>
        </w:tc>
        <w:tc>
          <w:tcPr>
            <w:tcW w:w="2980" w:type="dxa"/>
            <w:vAlign w:val="bottom"/>
          </w:tcPr>
          <w:p>
            <w:pPr>
              <w:ind w:left="500"/>
              <w:spacing w:after="0"/>
              <w:rPr>
                <w:sz w:val="20"/>
                <w:szCs w:val="20"/>
                <w:color w:val="auto"/>
              </w:rPr>
            </w:pPr>
            <w:r>
              <w:rPr>
                <w:rFonts w:ascii="Arial" w:cs="Arial" w:eastAsia="Arial" w:hAnsi="Arial"/>
                <w:sz w:val="16"/>
                <w:szCs w:val="16"/>
                <w:b w:val="1"/>
                <w:bCs w:val="1"/>
                <w:color w:val="auto"/>
              </w:rPr>
              <w:t>Santana Row (3)</w:t>
            </w:r>
          </w:p>
        </w:tc>
        <w:tc>
          <w:tcPr>
            <w:tcW w:w="3480" w:type="dxa"/>
            <w:vAlign w:val="bottom"/>
          </w:tcPr>
          <w:p>
            <w:pPr>
              <w:ind w:left="260"/>
              <w:spacing w:after="0"/>
              <w:rPr>
                <w:sz w:val="20"/>
                <w:szCs w:val="20"/>
                <w:color w:val="auto"/>
              </w:rPr>
            </w:pPr>
            <w:r>
              <w:rPr>
                <w:rFonts w:ascii="Arial" w:cs="Arial" w:eastAsia="Arial" w:hAnsi="Arial"/>
                <w:sz w:val="16"/>
                <w:szCs w:val="16"/>
                <w:color w:val="auto"/>
              </w:rPr>
              <w:t>San Jose, CA</w:t>
            </w:r>
          </w:p>
        </w:tc>
      </w:tr>
      <w:tr>
        <w:trPr>
          <w:trHeight w:val="219"/>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Pike 7 Plaza</w:t>
            </w:r>
          </w:p>
        </w:tc>
        <w:tc>
          <w:tcPr>
            <w:tcW w:w="1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Vienna, VA</w:t>
            </w:r>
          </w:p>
        </w:tc>
        <w:tc>
          <w:tcPr>
            <w:tcW w:w="298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Santana Row - Santana West (3)</w:t>
            </w:r>
          </w:p>
        </w:tc>
        <w:tc>
          <w:tcPr>
            <w:tcW w:w="34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San Jose, CA</w:t>
            </w: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149"/>
        </w:trPr>
        <w:tc>
          <w:tcPr>
            <w:tcW w:w="4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88"/>
              </w:rPr>
              <w:t>Notes:</w:t>
            </w:r>
          </w:p>
        </w:tc>
        <w:tc>
          <w:tcPr>
            <w:tcW w:w="246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r>
      <w:tr>
        <w:trPr>
          <w:trHeight w:val="186"/>
        </w:trPr>
        <w:tc>
          <w:tcPr>
            <w:tcW w:w="400" w:type="dxa"/>
            <w:vAlign w:val="bottom"/>
            <w:gridSpan w:val="2"/>
          </w:tcPr>
          <w:p>
            <w:pPr>
              <w:ind w:left="20"/>
              <w:spacing w:after="0"/>
              <w:rPr>
                <w:sz w:val="20"/>
                <w:szCs w:val="20"/>
                <w:color w:val="auto"/>
              </w:rPr>
            </w:pPr>
            <w:r>
              <w:rPr>
                <w:rFonts w:ascii="Arial" w:cs="Arial" w:eastAsia="Arial" w:hAnsi="Arial"/>
                <w:sz w:val="14"/>
                <w:szCs w:val="14"/>
                <w:color w:val="auto"/>
              </w:rPr>
              <w:t>(1)</w:t>
            </w:r>
          </w:p>
        </w:tc>
        <w:tc>
          <w:tcPr>
            <w:tcW w:w="2460" w:type="dxa"/>
            <w:vAlign w:val="bottom"/>
          </w:tcPr>
          <w:p>
            <w:pPr>
              <w:ind w:left="20"/>
              <w:spacing w:after="0"/>
              <w:rPr>
                <w:sz w:val="20"/>
                <w:szCs w:val="20"/>
                <w:color w:val="auto"/>
              </w:rPr>
            </w:pPr>
            <w:r>
              <w:rPr>
                <w:rFonts w:ascii="Arial" w:cs="Arial" w:eastAsia="Arial" w:hAnsi="Arial"/>
                <w:sz w:val="14"/>
                <w:szCs w:val="14"/>
                <w:color w:val="auto"/>
              </w:rPr>
              <w:t>Assembly Row</w:t>
            </w:r>
          </w:p>
        </w:tc>
        <w:tc>
          <w:tcPr>
            <w:tcW w:w="8340" w:type="dxa"/>
            <w:vAlign w:val="bottom"/>
            <w:gridSpan w:val="3"/>
          </w:tcPr>
          <w:p>
            <w:pPr>
              <w:ind w:left="120"/>
              <w:spacing w:after="0"/>
              <w:rPr>
                <w:sz w:val="20"/>
                <w:szCs w:val="20"/>
                <w:color w:val="auto"/>
              </w:rPr>
            </w:pPr>
            <w:r>
              <w:rPr>
                <w:rFonts w:ascii="Arial" w:cs="Arial" w:eastAsia="Arial" w:hAnsi="Arial"/>
                <w:sz w:val="14"/>
                <w:szCs w:val="14"/>
                <w:color w:val="auto"/>
                <w:w w:val="95"/>
              </w:rPr>
              <w:t>Remaining entitlements after Phase III include approximately 1.5 million square feet of commercial-use buildings and 329 residential units.</w:t>
            </w:r>
          </w:p>
        </w:tc>
      </w:tr>
      <w:tr>
        <w:trPr>
          <w:trHeight w:val="192"/>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w:t>
            </w:r>
          </w:p>
        </w:tc>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Pike &amp; Rose</w:t>
            </w:r>
          </w:p>
        </w:tc>
        <w:tc>
          <w:tcPr>
            <w:tcW w:w="83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96"/>
              </w:rPr>
              <w:t>Remaining entitlements after Phase III include approximately 740,000 square feet of commercial-use buildings, and 741 residential units.</w:t>
            </w:r>
          </w:p>
        </w:tc>
      </w:tr>
      <w:tr>
        <w:trPr>
          <w:trHeight w:val="135"/>
        </w:trPr>
        <w:tc>
          <w:tcPr>
            <w:tcW w:w="4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(3)</w:t>
            </w:r>
          </w:p>
        </w:tc>
        <w:tc>
          <w:tcPr>
            <w:tcW w:w="2460" w:type="dxa"/>
            <w:vAlign w:val="bottom"/>
          </w:tcPr>
          <w:p>
            <w:pPr>
              <w:ind w:left="20"/>
              <w:spacing w:after="0" w:line="135" w:lineRule="exact"/>
              <w:rPr>
                <w:sz w:val="20"/>
                <w:szCs w:val="20"/>
                <w:color w:val="auto"/>
              </w:rPr>
            </w:pPr>
            <w:r>
              <w:rPr>
                <w:rFonts w:ascii="Arial" w:cs="Arial" w:eastAsia="Arial" w:hAnsi="Arial"/>
                <w:sz w:val="14"/>
                <w:szCs w:val="14"/>
                <w:color w:val="auto"/>
              </w:rPr>
              <w:t>Santana Row</w:t>
            </w:r>
          </w:p>
        </w:tc>
        <w:tc>
          <w:tcPr>
            <w:tcW w:w="8340" w:type="dxa"/>
            <w:vAlign w:val="bottom"/>
            <w:gridSpan w:val="3"/>
          </w:tcPr>
          <w:p>
            <w:pPr>
              <w:ind w:left="120"/>
              <w:spacing w:after="0" w:line="135" w:lineRule="exact"/>
              <w:rPr>
                <w:sz w:val="20"/>
                <w:szCs w:val="20"/>
                <w:color w:val="auto"/>
              </w:rPr>
            </w:pPr>
            <w:r>
              <w:rPr>
                <w:rFonts w:ascii="Arial" w:cs="Arial" w:eastAsia="Arial" w:hAnsi="Arial"/>
                <w:sz w:val="14"/>
                <w:szCs w:val="14"/>
                <w:color w:val="auto"/>
                <w:w w:val="95"/>
              </w:rPr>
              <w:t>Remaining entitlements include approximately 321,000 square feet of commercial space and 395 residential units, as well as approximately</w:t>
            </w:r>
          </w:p>
        </w:tc>
      </w:tr>
      <w:tr>
        <w:trPr>
          <w:trHeight w:val="182"/>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860" w:type="dxa"/>
            <w:vAlign w:val="bottom"/>
            <w:gridSpan w:val="2"/>
          </w:tcPr>
          <w:p>
            <w:pPr>
              <w:ind w:left="120"/>
              <w:spacing w:after="0"/>
              <w:rPr>
                <w:sz w:val="20"/>
                <w:szCs w:val="20"/>
                <w:color w:val="auto"/>
              </w:rPr>
            </w:pPr>
            <w:r>
              <w:rPr>
                <w:rFonts w:ascii="Arial" w:cs="Arial" w:eastAsia="Arial" w:hAnsi="Arial"/>
                <w:sz w:val="14"/>
                <w:szCs w:val="14"/>
                <w:color w:val="auto"/>
              </w:rPr>
              <w:t>604,000 square feet of commercial space at Santana West.</w:t>
            </w:r>
          </w:p>
        </w:tc>
        <w:tc>
          <w:tcPr>
            <w:tcW w:w="34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340" w:top="1030" w:right="359" w:bottom="1440" w:gutter="0" w:footer="0" w:header="0"/>
        </w:sectPr>
      </w:pPr>
    </w:p>
    <w:bookmarkStart w:id="22" w:name="page23"/>
    <w:bookmarkEnd w:id="22"/>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Property Acquisitions, Disposition, and Other Transactions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June 30, 2021</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Property Acquisitions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4"/>
              </w:rPr>
              <w:t>Joint</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Venture</w:t>
            </w:r>
          </w:p>
        </w:tc>
        <w:tc>
          <w:tcPr>
            <w:tcW w:w="240" w:type="dxa"/>
            <w:vAlign w:val="bottom"/>
          </w:tcPr>
          <w:p>
            <w:pPr>
              <w:spacing w:after="0"/>
              <w:rPr>
                <w:sz w:val="14"/>
                <w:szCs w:val="14"/>
                <w:color w:val="auto"/>
              </w:rPr>
            </w:pPr>
          </w:p>
        </w:tc>
        <w:tc>
          <w:tcPr>
            <w:tcW w:w="680" w:type="dxa"/>
            <w:vAlign w:val="bottom"/>
            <w:vMerge w:val="restart"/>
          </w:tcPr>
          <w:p>
            <w:pPr>
              <w:jc w:val="right"/>
              <w:ind w:right="156"/>
              <w:spacing w:after="0"/>
              <w:rPr>
                <w:sz w:val="20"/>
                <w:szCs w:val="20"/>
                <w:color w:val="auto"/>
              </w:rPr>
            </w:pPr>
            <w:r>
              <w:rPr>
                <w:rFonts w:ascii="Arial" w:cs="Arial" w:eastAsia="Arial" w:hAnsi="Arial"/>
                <w:sz w:val="16"/>
                <w:szCs w:val="16"/>
                <w:b w:val="1"/>
                <w:bCs w:val="1"/>
                <w:color w:val="auto"/>
                <w:w w:val="90"/>
              </w:rPr>
              <w:t>Gross</w:t>
            </w:r>
          </w:p>
        </w:tc>
        <w:tc>
          <w:tcPr>
            <w:tcW w:w="3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Date</w:t>
            </w:r>
          </w:p>
        </w:tc>
        <w:tc>
          <w:tcPr>
            <w:tcW w:w="180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Property</w:t>
            </w:r>
          </w:p>
        </w:tc>
        <w:tc>
          <w:tcPr>
            <w:tcW w:w="170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City/State</w:t>
            </w:r>
          </w:p>
        </w:tc>
        <w:tc>
          <w:tcPr>
            <w:tcW w:w="1240" w:type="dxa"/>
            <w:vAlign w:val="bottom"/>
            <w:vMerge w:val="restart"/>
          </w:tcPr>
          <w:p>
            <w:pPr>
              <w:jc w:val="right"/>
              <w:ind w:right="358"/>
              <w:spacing w:after="0"/>
              <w:rPr>
                <w:sz w:val="20"/>
                <w:szCs w:val="20"/>
                <w:color w:val="auto"/>
              </w:rPr>
            </w:pPr>
            <w:r>
              <w:rPr>
                <w:rFonts w:ascii="Arial" w:cs="Arial" w:eastAsia="Arial" w:hAnsi="Arial"/>
                <w:sz w:val="16"/>
                <w:szCs w:val="16"/>
                <w:b w:val="1"/>
                <w:bCs w:val="1"/>
                <w:color w:val="auto"/>
              </w:rPr>
              <w:t>GLA</w:t>
            </w:r>
          </w:p>
        </w:tc>
        <w:tc>
          <w:tcPr>
            <w:tcW w:w="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Interest</w:t>
            </w:r>
          </w:p>
        </w:tc>
        <w:tc>
          <w:tcPr>
            <w:tcW w:w="2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6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Principal Tenants</w:t>
            </w:r>
          </w:p>
        </w:tc>
        <w:tc>
          <w:tcPr>
            <w:tcW w:w="0" w:type="dxa"/>
            <w:vAlign w:val="bottom"/>
          </w:tcPr>
          <w:p>
            <w:pPr>
              <w:spacing w:after="0"/>
              <w:rPr>
                <w:sz w:val="1"/>
                <w:szCs w:val="1"/>
                <w:color w:val="auto"/>
              </w:rPr>
            </w:pPr>
          </w:p>
        </w:tc>
      </w:tr>
      <w:tr>
        <w:trPr>
          <w:trHeight w:val="213"/>
        </w:trPr>
        <w:tc>
          <w:tcPr>
            <w:tcW w:w="1220" w:type="dxa"/>
            <w:vAlign w:val="bottom"/>
            <w:tcBorders>
              <w:bottom w:val="single" w:sz="8" w:color="auto"/>
            </w:tcBorders>
            <w:vMerge w:val="continue"/>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6"/>
              <w:spacing w:after="0"/>
              <w:rPr>
                <w:sz w:val="20"/>
                <w:szCs w:val="20"/>
                <w:color w:val="auto"/>
              </w:rPr>
            </w:pPr>
            <w:r>
              <w:rPr>
                <w:rFonts w:ascii="Arial" w:cs="Arial" w:eastAsia="Arial" w:hAnsi="Arial"/>
                <w:sz w:val="16"/>
                <w:szCs w:val="16"/>
                <w:b w:val="1"/>
                <w:bCs w:val="1"/>
                <w:color w:val="auto"/>
                <w:w w:val="98"/>
              </w:rPr>
              <w:t>Value</w:t>
            </w:r>
          </w:p>
        </w:tc>
        <w:tc>
          <w:tcPr>
            <w:tcW w:w="3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40" w:type="dxa"/>
            <w:vAlign w:val="bottom"/>
          </w:tcPr>
          <w:p>
            <w:pPr>
              <w:jc w:val="right"/>
              <w:ind w:right="78"/>
              <w:spacing w:after="0"/>
              <w:rPr>
                <w:sz w:val="20"/>
                <w:szCs w:val="20"/>
                <w:color w:val="auto"/>
              </w:rPr>
            </w:pPr>
            <w:r>
              <w:rPr>
                <w:rFonts w:ascii="Arial" w:cs="Arial" w:eastAsia="Arial" w:hAnsi="Arial"/>
                <w:sz w:val="14"/>
                <w:szCs w:val="14"/>
                <w:b w:val="1"/>
                <w:bCs w:val="1"/>
                <w:color w:val="auto"/>
              </w:rPr>
              <w:t>(in square feet)</w:t>
            </w:r>
          </w:p>
        </w:tc>
        <w:tc>
          <w:tcPr>
            <w:tcW w:w="76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w w:val="99"/>
              </w:rPr>
              <w:t>(in millions)</w:t>
            </w: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April 30, 2021</w:t>
            </w:r>
          </w:p>
        </w:tc>
        <w:tc>
          <w:tcPr>
            <w:tcW w:w="18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Chesterbrook</w:t>
            </w:r>
          </w:p>
        </w:tc>
        <w:tc>
          <w:tcPr>
            <w:tcW w:w="17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McLean, Virginia</w:t>
            </w:r>
          </w:p>
        </w:tc>
        <w:tc>
          <w:tcPr>
            <w:tcW w:w="12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90,000</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80%</w:t>
            </w:r>
          </w:p>
        </w:tc>
        <w:tc>
          <w:tcPr>
            <w:tcW w:w="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32.1</w:t>
            </w:r>
          </w:p>
        </w:tc>
        <w:tc>
          <w:tcPr>
            <w:tcW w:w="3600" w:type="dxa"/>
            <w:vAlign w:val="bottom"/>
            <w:shd w:val="clear" w:color="auto" w:fill="CCEEFF"/>
          </w:tcPr>
          <w:p>
            <w:pPr>
              <w:ind w:left="60"/>
              <w:spacing w:after="0"/>
              <w:rPr>
                <w:sz w:val="20"/>
                <w:szCs w:val="20"/>
                <w:color w:val="auto"/>
              </w:rPr>
            </w:pPr>
            <w:r>
              <w:rPr>
                <w:rFonts w:ascii="Arial" w:cs="Arial" w:eastAsia="Arial" w:hAnsi="Arial"/>
                <w:sz w:val="17"/>
                <w:szCs w:val="17"/>
                <w:color w:val="auto"/>
              </w:rPr>
              <w:t>Safeway / Walgreens / Starbucks</w:t>
            </w:r>
          </w:p>
        </w:tc>
        <w:tc>
          <w:tcPr>
            <w:tcW w:w="0" w:type="dxa"/>
            <w:vAlign w:val="bottom"/>
          </w:tcPr>
          <w:p>
            <w:pPr>
              <w:spacing w:after="0"/>
              <w:rPr>
                <w:sz w:val="1"/>
                <w:szCs w:val="1"/>
                <w:color w:val="auto"/>
              </w:rPr>
            </w:pPr>
          </w:p>
        </w:tc>
      </w:tr>
      <w:tr>
        <w:trPr>
          <w:trHeight w:val="223"/>
        </w:trPr>
        <w:tc>
          <w:tcPr>
            <w:tcW w:w="1220" w:type="dxa"/>
            <w:vAlign w:val="bottom"/>
          </w:tcPr>
          <w:p>
            <w:pPr>
              <w:ind w:left="20"/>
              <w:spacing w:after="0"/>
              <w:rPr>
                <w:sz w:val="20"/>
                <w:szCs w:val="20"/>
                <w:color w:val="auto"/>
              </w:rPr>
            </w:pPr>
            <w:r>
              <w:rPr>
                <w:rFonts w:ascii="Arial" w:cs="Arial" w:eastAsia="Arial" w:hAnsi="Arial"/>
                <w:sz w:val="17"/>
                <w:szCs w:val="17"/>
                <w:color w:val="auto"/>
              </w:rPr>
              <w:t>June 1, 2021</w:t>
            </w:r>
          </w:p>
        </w:tc>
        <w:tc>
          <w:tcPr>
            <w:tcW w:w="1800" w:type="dxa"/>
            <w:vAlign w:val="bottom"/>
          </w:tcPr>
          <w:p>
            <w:pPr>
              <w:ind w:left="100"/>
              <w:spacing w:after="0"/>
              <w:rPr>
                <w:sz w:val="20"/>
                <w:szCs w:val="20"/>
                <w:color w:val="auto"/>
              </w:rPr>
            </w:pPr>
            <w:r>
              <w:rPr>
                <w:rFonts w:ascii="Arial" w:cs="Arial" w:eastAsia="Arial" w:hAnsi="Arial"/>
                <w:sz w:val="17"/>
                <w:szCs w:val="17"/>
                <w:color w:val="auto"/>
              </w:rPr>
              <w:t>Grossmont Center</w:t>
            </w:r>
          </w:p>
        </w:tc>
        <w:tc>
          <w:tcPr>
            <w:tcW w:w="1700" w:type="dxa"/>
            <w:vAlign w:val="bottom"/>
          </w:tcPr>
          <w:p>
            <w:pPr>
              <w:ind w:left="160"/>
              <w:spacing w:after="0"/>
              <w:rPr>
                <w:sz w:val="20"/>
                <w:szCs w:val="20"/>
                <w:color w:val="auto"/>
              </w:rPr>
            </w:pPr>
            <w:r>
              <w:rPr>
                <w:rFonts w:ascii="Arial" w:cs="Arial" w:eastAsia="Arial" w:hAnsi="Arial"/>
                <w:sz w:val="17"/>
                <w:szCs w:val="17"/>
                <w:color w:val="auto"/>
              </w:rPr>
              <w:t>La Mesa, California</w:t>
            </w:r>
          </w:p>
        </w:tc>
        <w:tc>
          <w:tcPr>
            <w:tcW w:w="1240" w:type="dxa"/>
            <w:vAlign w:val="bottom"/>
          </w:tcPr>
          <w:p>
            <w:pPr>
              <w:jc w:val="right"/>
              <w:ind w:right="38"/>
              <w:spacing w:after="0"/>
              <w:rPr>
                <w:sz w:val="20"/>
                <w:szCs w:val="20"/>
                <w:color w:val="auto"/>
              </w:rPr>
            </w:pPr>
            <w:r>
              <w:rPr>
                <w:rFonts w:ascii="Arial" w:cs="Arial" w:eastAsia="Arial" w:hAnsi="Arial"/>
                <w:sz w:val="17"/>
                <w:szCs w:val="17"/>
                <w:color w:val="auto"/>
              </w:rPr>
              <w:t>933,000</w:t>
            </w:r>
          </w:p>
        </w:tc>
        <w:tc>
          <w:tcPr>
            <w:tcW w:w="760" w:type="dxa"/>
            <w:vAlign w:val="bottom"/>
          </w:tcPr>
          <w:p>
            <w:pPr>
              <w:jc w:val="center"/>
              <w:spacing w:after="0"/>
              <w:rPr>
                <w:sz w:val="20"/>
                <w:szCs w:val="20"/>
                <w:color w:val="auto"/>
              </w:rPr>
            </w:pPr>
            <w:r>
              <w:rPr>
                <w:rFonts w:ascii="Arial" w:cs="Arial" w:eastAsia="Arial" w:hAnsi="Arial"/>
                <w:sz w:val="17"/>
                <w:szCs w:val="17"/>
                <w:color w:val="auto"/>
                <w:w w:val="93"/>
              </w:rPr>
              <w:t>60%</w:t>
            </w:r>
          </w:p>
        </w:tc>
        <w:tc>
          <w:tcPr>
            <w:tcW w:w="240" w:type="dxa"/>
            <w:vAlign w:val="bottom"/>
          </w:tcPr>
          <w:p>
            <w:pPr>
              <w:ind w:left="120"/>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36"/>
              <w:spacing w:after="0"/>
              <w:rPr>
                <w:sz w:val="20"/>
                <w:szCs w:val="20"/>
                <w:color w:val="auto"/>
              </w:rPr>
            </w:pPr>
            <w:r>
              <w:rPr>
                <w:rFonts w:ascii="Arial" w:cs="Arial" w:eastAsia="Arial" w:hAnsi="Arial"/>
                <w:sz w:val="17"/>
                <w:szCs w:val="17"/>
                <w:color w:val="auto"/>
              </w:rPr>
              <w:t>175.0</w:t>
            </w:r>
          </w:p>
        </w:tc>
        <w:tc>
          <w:tcPr>
            <w:tcW w:w="3600" w:type="dxa"/>
            <w:vAlign w:val="bottom"/>
          </w:tcPr>
          <w:p>
            <w:pPr>
              <w:ind w:left="60"/>
              <w:spacing w:after="0"/>
              <w:rPr>
                <w:sz w:val="20"/>
                <w:szCs w:val="20"/>
                <w:color w:val="auto"/>
              </w:rPr>
            </w:pPr>
            <w:r>
              <w:rPr>
                <w:rFonts w:ascii="Arial" w:cs="Arial" w:eastAsia="Arial" w:hAnsi="Arial"/>
                <w:sz w:val="17"/>
                <w:szCs w:val="17"/>
                <w:color w:val="auto"/>
                <w:w w:val="93"/>
              </w:rPr>
              <w:t>Target / Walmart / Macy’s / Barnes &amp; Noble / CVS</w:t>
            </w:r>
          </w:p>
        </w:tc>
        <w:tc>
          <w:tcPr>
            <w:tcW w:w="0" w:type="dxa"/>
            <w:vAlign w:val="bottom"/>
          </w:tcPr>
          <w:p>
            <w:pPr>
              <w:spacing w:after="0"/>
              <w:rPr>
                <w:sz w:val="1"/>
                <w:szCs w:val="1"/>
                <w:color w:val="auto"/>
              </w:rPr>
            </w:pPr>
          </w:p>
        </w:tc>
      </w:tr>
      <w:tr>
        <w:trPr>
          <w:trHeight w:val="169"/>
        </w:trPr>
        <w:tc>
          <w:tcPr>
            <w:tcW w:w="122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June 14, 2021</w:t>
            </w:r>
          </w:p>
        </w:tc>
        <w:tc>
          <w:tcPr>
            <w:tcW w:w="1800" w:type="dxa"/>
            <w:vAlign w:val="bottom"/>
            <w:shd w:val="clear" w:color="auto" w:fill="CCEEFF"/>
          </w:tcPr>
          <w:p>
            <w:pPr>
              <w:ind w:left="100"/>
              <w:spacing w:after="0" w:line="169" w:lineRule="exact"/>
              <w:rPr>
                <w:sz w:val="20"/>
                <w:szCs w:val="20"/>
                <w:color w:val="auto"/>
              </w:rPr>
            </w:pPr>
            <w:r>
              <w:rPr>
                <w:rFonts w:ascii="Arial" w:cs="Arial" w:eastAsia="Arial" w:hAnsi="Arial"/>
                <w:sz w:val="17"/>
                <w:szCs w:val="17"/>
                <w:color w:val="auto"/>
                <w:w w:val="97"/>
              </w:rPr>
              <w:t>Camelback Colonnade</w:t>
            </w:r>
          </w:p>
        </w:tc>
        <w:tc>
          <w:tcPr>
            <w:tcW w:w="1700" w:type="dxa"/>
            <w:vAlign w:val="bottom"/>
            <w:shd w:val="clear" w:color="auto" w:fill="CCEEFF"/>
          </w:tcPr>
          <w:p>
            <w:pPr>
              <w:ind w:left="160"/>
              <w:spacing w:after="0" w:line="169" w:lineRule="exact"/>
              <w:rPr>
                <w:sz w:val="20"/>
                <w:szCs w:val="20"/>
                <w:color w:val="auto"/>
              </w:rPr>
            </w:pPr>
            <w:r>
              <w:rPr>
                <w:rFonts w:ascii="Arial" w:cs="Arial" w:eastAsia="Arial" w:hAnsi="Arial"/>
                <w:sz w:val="17"/>
                <w:szCs w:val="17"/>
                <w:color w:val="auto"/>
              </w:rPr>
              <w:t>Phoenix, Arizona</w:t>
            </w:r>
          </w:p>
        </w:tc>
        <w:tc>
          <w:tcPr>
            <w:tcW w:w="1240" w:type="dxa"/>
            <w:vAlign w:val="bottom"/>
            <w:shd w:val="clear" w:color="auto" w:fill="CCEEFF"/>
          </w:tcPr>
          <w:p>
            <w:pPr>
              <w:jc w:val="right"/>
              <w:ind w:right="38"/>
              <w:spacing w:after="0" w:line="169" w:lineRule="exact"/>
              <w:rPr>
                <w:sz w:val="20"/>
                <w:szCs w:val="20"/>
                <w:color w:val="auto"/>
              </w:rPr>
            </w:pPr>
            <w:r>
              <w:rPr>
                <w:rFonts w:ascii="Arial" w:cs="Arial" w:eastAsia="Arial" w:hAnsi="Arial"/>
                <w:sz w:val="17"/>
                <w:szCs w:val="17"/>
                <w:color w:val="auto"/>
              </w:rPr>
              <w:t>642,000</w:t>
            </w:r>
          </w:p>
        </w:tc>
        <w:tc>
          <w:tcPr>
            <w:tcW w:w="760" w:type="dxa"/>
            <w:vAlign w:val="bottom"/>
            <w:shd w:val="clear" w:color="auto" w:fill="CCEEFF"/>
          </w:tcPr>
          <w:p>
            <w:pPr>
              <w:jc w:val="center"/>
              <w:spacing w:after="0" w:line="169" w:lineRule="exact"/>
              <w:rPr>
                <w:sz w:val="20"/>
                <w:szCs w:val="20"/>
                <w:color w:val="auto"/>
              </w:rPr>
            </w:pPr>
            <w:r>
              <w:rPr>
                <w:rFonts w:ascii="Arial" w:cs="Arial" w:eastAsia="Arial" w:hAnsi="Arial"/>
                <w:sz w:val="17"/>
                <w:szCs w:val="17"/>
                <w:color w:val="auto"/>
                <w:w w:val="93"/>
              </w:rPr>
              <w:t>98%</w:t>
            </w:r>
          </w:p>
        </w:tc>
        <w:tc>
          <w:tcPr>
            <w:tcW w:w="240" w:type="dxa"/>
            <w:vAlign w:val="bottom"/>
            <w:shd w:val="clear" w:color="auto" w:fill="CCEEFF"/>
          </w:tcPr>
          <w:p>
            <w:pPr>
              <w:ind w:left="120"/>
              <w:spacing w:after="0" w:line="16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36"/>
              <w:spacing w:after="0" w:line="169" w:lineRule="exact"/>
              <w:rPr>
                <w:sz w:val="20"/>
                <w:szCs w:val="20"/>
                <w:color w:val="auto"/>
              </w:rPr>
            </w:pPr>
            <w:r>
              <w:rPr>
                <w:rFonts w:ascii="Arial" w:cs="Arial" w:eastAsia="Arial" w:hAnsi="Arial"/>
                <w:sz w:val="17"/>
                <w:szCs w:val="17"/>
                <w:color w:val="auto"/>
              </w:rPr>
              <w:t>162.5</w:t>
            </w:r>
          </w:p>
        </w:tc>
        <w:tc>
          <w:tcPr>
            <w:tcW w:w="3600" w:type="dxa"/>
            <w:vAlign w:val="bottom"/>
            <w:shd w:val="clear" w:color="auto" w:fill="CCEEFF"/>
          </w:tcPr>
          <w:p>
            <w:pPr>
              <w:ind w:left="60"/>
              <w:spacing w:after="0" w:line="169" w:lineRule="exact"/>
              <w:rPr>
                <w:sz w:val="20"/>
                <w:szCs w:val="20"/>
                <w:color w:val="auto"/>
              </w:rPr>
            </w:pPr>
            <w:r>
              <w:rPr>
                <w:rFonts w:ascii="Arial" w:cs="Arial" w:eastAsia="Arial" w:hAnsi="Arial"/>
                <w:sz w:val="17"/>
                <w:szCs w:val="17"/>
                <w:color w:val="auto"/>
                <w:w w:val="99"/>
              </w:rPr>
              <w:t>Fry's Food &amp; Drug / Floor &amp; Décor / Marshalls /</w:t>
            </w: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0" w:type="dxa"/>
            <w:vAlign w:val="bottom"/>
            <w:shd w:val="clear" w:color="auto" w:fill="CCEEFF"/>
          </w:tcPr>
          <w:p>
            <w:pPr>
              <w:ind w:left="60"/>
              <w:spacing w:after="0" w:line="162" w:lineRule="exact"/>
              <w:rPr>
                <w:sz w:val="20"/>
                <w:szCs w:val="20"/>
                <w:color w:val="auto"/>
              </w:rPr>
            </w:pPr>
            <w:r>
              <w:rPr>
                <w:rFonts w:ascii="Arial" w:cs="Arial" w:eastAsia="Arial" w:hAnsi="Arial"/>
                <w:sz w:val="17"/>
                <w:szCs w:val="17"/>
                <w:color w:val="auto"/>
                <w:w w:val="96"/>
              </w:rPr>
              <w:t>Old Navy / Best Buy / Michaels / Nordstrom Last</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0" w:type="dxa"/>
            <w:vAlign w:val="bottom"/>
            <w:shd w:val="clear" w:color="auto" w:fill="CCEEFF"/>
          </w:tcPr>
          <w:p>
            <w:pPr>
              <w:ind w:left="60"/>
              <w:spacing w:after="0"/>
              <w:rPr>
                <w:sz w:val="20"/>
                <w:szCs w:val="20"/>
                <w:color w:val="auto"/>
              </w:rPr>
            </w:pPr>
            <w:r>
              <w:rPr>
                <w:rFonts w:ascii="Arial" w:cs="Arial" w:eastAsia="Arial" w:hAnsi="Arial"/>
                <w:sz w:val="17"/>
                <w:szCs w:val="17"/>
                <w:color w:val="auto"/>
              </w:rPr>
              <w:t>Chance / Bed Bath &amp; Beyond / Ulta</w:t>
            </w:r>
          </w:p>
        </w:tc>
        <w:tc>
          <w:tcPr>
            <w:tcW w:w="0" w:type="dxa"/>
            <w:vAlign w:val="bottom"/>
          </w:tcPr>
          <w:p>
            <w:pPr>
              <w:spacing w:after="0"/>
              <w:rPr>
                <w:sz w:val="1"/>
                <w:szCs w:val="1"/>
                <w:color w:val="auto"/>
              </w:rPr>
            </w:pPr>
          </w:p>
        </w:tc>
      </w:tr>
      <w:tr>
        <w:trPr>
          <w:trHeight w:val="216"/>
        </w:trPr>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June 14, 2021</w:t>
            </w:r>
          </w:p>
        </w:tc>
        <w:tc>
          <w:tcPr>
            <w:tcW w:w="1800" w:type="dxa"/>
            <w:vAlign w:val="bottom"/>
          </w:tcPr>
          <w:p>
            <w:pPr>
              <w:ind w:left="100"/>
              <w:spacing w:after="0"/>
              <w:rPr>
                <w:sz w:val="20"/>
                <w:szCs w:val="20"/>
                <w:color w:val="auto"/>
              </w:rPr>
            </w:pPr>
            <w:r>
              <w:rPr>
                <w:rFonts w:ascii="Arial" w:cs="Arial" w:eastAsia="Arial" w:hAnsi="Arial"/>
                <w:sz w:val="17"/>
                <w:szCs w:val="17"/>
                <w:color w:val="auto"/>
              </w:rPr>
              <w:t>Hilton Village (2)</w:t>
            </w:r>
          </w:p>
        </w:tc>
        <w:tc>
          <w:tcPr>
            <w:tcW w:w="1700" w:type="dxa"/>
            <w:vAlign w:val="bottom"/>
          </w:tcPr>
          <w:p>
            <w:pPr>
              <w:ind w:left="160"/>
              <w:spacing w:after="0"/>
              <w:rPr>
                <w:sz w:val="20"/>
                <w:szCs w:val="20"/>
                <w:color w:val="auto"/>
              </w:rPr>
            </w:pPr>
            <w:r>
              <w:rPr>
                <w:rFonts w:ascii="Arial" w:cs="Arial" w:eastAsia="Arial" w:hAnsi="Arial"/>
                <w:sz w:val="17"/>
                <w:szCs w:val="17"/>
                <w:color w:val="auto"/>
              </w:rPr>
              <w:t>Scottsdale, Arizona</w:t>
            </w:r>
          </w:p>
        </w:tc>
        <w:tc>
          <w:tcPr>
            <w:tcW w:w="1240" w:type="dxa"/>
            <w:vAlign w:val="bottom"/>
          </w:tcPr>
          <w:p>
            <w:pPr>
              <w:jc w:val="right"/>
              <w:ind w:right="38"/>
              <w:spacing w:after="0"/>
              <w:rPr>
                <w:sz w:val="20"/>
                <w:szCs w:val="20"/>
                <w:color w:val="auto"/>
              </w:rPr>
            </w:pPr>
            <w:r>
              <w:rPr>
                <w:rFonts w:ascii="Arial" w:cs="Arial" w:eastAsia="Arial" w:hAnsi="Arial"/>
                <w:sz w:val="17"/>
                <w:szCs w:val="17"/>
                <w:color w:val="auto"/>
              </w:rPr>
              <w:t>93,000</w:t>
            </w:r>
          </w:p>
        </w:tc>
        <w:tc>
          <w:tcPr>
            <w:tcW w:w="760" w:type="dxa"/>
            <w:vAlign w:val="bottom"/>
          </w:tcPr>
          <w:p>
            <w:pPr>
              <w:jc w:val="center"/>
              <w:spacing w:after="0"/>
              <w:rPr>
                <w:sz w:val="20"/>
                <w:szCs w:val="20"/>
                <w:color w:val="auto"/>
              </w:rPr>
            </w:pPr>
            <w:r>
              <w:rPr>
                <w:rFonts w:ascii="Arial" w:cs="Arial" w:eastAsia="Arial" w:hAnsi="Arial"/>
                <w:sz w:val="17"/>
                <w:szCs w:val="17"/>
                <w:color w:val="auto"/>
                <w:w w:val="93"/>
              </w:rPr>
              <w:t>98%</w:t>
            </w:r>
          </w:p>
        </w:tc>
        <w:tc>
          <w:tcPr>
            <w:tcW w:w="240" w:type="dxa"/>
            <w:vAlign w:val="bottom"/>
          </w:tcPr>
          <w:p>
            <w:pPr>
              <w:ind w:left="120"/>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36"/>
              <w:spacing w:after="0"/>
              <w:rPr>
                <w:sz w:val="20"/>
                <w:szCs w:val="20"/>
                <w:color w:val="auto"/>
              </w:rPr>
            </w:pPr>
            <w:r>
              <w:rPr>
                <w:rFonts w:ascii="Arial" w:cs="Arial" w:eastAsia="Arial" w:hAnsi="Arial"/>
                <w:sz w:val="17"/>
                <w:szCs w:val="17"/>
                <w:color w:val="auto"/>
              </w:rPr>
              <w:t>37.5</w:t>
            </w:r>
          </w:p>
        </w:tc>
        <w:tc>
          <w:tcPr>
            <w:tcW w:w="3600" w:type="dxa"/>
            <w:vAlign w:val="bottom"/>
          </w:tcPr>
          <w:p>
            <w:pPr>
              <w:ind w:left="60"/>
              <w:spacing w:after="0"/>
              <w:rPr>
                <w:sz w:val="20"/>
                <w:szCs w:val="20"/>
                <w:color w:val="auto"/>
              </w:rPr>
            </w:pPr>
            <w:r>
              <w:rPr>
                <w:rFonts w:ascii="Arial" w:cs="Arial" w:eastAsia="Arial" w:hAnsi="Arial"/>
                <w:sz w:val="17"/>
                <w:szCs w:val="17"/>
                <w:color w:val="auto"/>
              </w:rPr>
              <w:t>CVS / Chase / Wells Fargo / Houston's</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220" w:hanging="332"/>
        <w:spacing w:after="0" w:line="273" w:lineRule="auto"/>
        <w:tabs>
          <w:tab w:leader="none" w:pos="337" w:val="left"/>
        </w:tabs>
        <w:numPr>
          <w:ilvl w:val="0"/>
          <w:numId w:val="18"/>
        </w:numPr>
        <w:rPr>
          <w:rFonts w:ascii="Arial" w:cs="Arial" w:eastAsia="Arial" w:hAnsi="Arial"/>
          <w:sz w:val="17"/>
          <w:szCs w:val="17"/>
          <w:color w:val="auto"/>
        </w:rPr>
      </w:pPr>
      <w:r>
        <w:rPr>
          <w:rFonts w:ascii="Arial" w:cs="Arial" w:eastAsia="Arial" w:hAnsi="Arial"/>
          <w:sz w:val="18"/>
          <w:szCs w:val="18"/>
          <w:color w:val="auto"/>
        </w:rPr>
        <w:t>These acquisitions were completed through newly formed joint ventures, for which we own the controlling interest listed above, and therefore, these properties are consolidated in our financial statements.</w:t>
      </w:r>
    </w:p>
    <w:p>
      <w:pPr>
        <w:spacing w:after="0" w:line="1" w:lineRule="exact"/>
        <w:rPr>
          <w:rFonts w:ascii="Arial" w:cs="Arial" w:eastAsia="Arial" w:hAnsi="Arial"/>
          <w:sz w:val="17"/>
          <w:szCs w:val="17"/>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land is controlled under a long-term ground lease that expires on December 31, 2076.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Disposition</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Date</w:t>
            </w:r>
          </w:p>
        </w:tc>
        <w:tc>
          <w:tcPr>
            <w:tcW w:w="262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Property</w:t>
            </w:r>
          </w:p>
        </w:tc>
        <w:tc>
          <w:tcPr>
            <w:tcW w:w="14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City/State</w:t>
            </w:r>
          </w:p>
        </w:tc>
        <w:tc>
          <w:tcPr>
            <w:tcW w:w="460" w:type="dxa"/>
            <w:vAlign w:val="bottom"/>
            <w:tcBorders>
              <w:bottom w:val="single" w:sz="8" w:color="auto"/>
            </w:tcBorders>
          </w:tcPr>
          <w:p>
            <w:pPr>
              <w:spacing w:after="0"/>
              <w:rPr>
                <w:sz w:val="18"/>
                <w:szCs w:val="18"/>
                <w:color w:val="auto"/>
              </w:rPr>
            </w:pPr>
          </w:p>
        </w:tc>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Sales Price</w:t>
            </w:r>
          </w:p>
        </w:tc>
      </w:tr>
      <w:tr>
        <w:trPr>
          <w:trHeight w:val="184"/>
        </w:trPr>
        <w:tc>
          <w:tcPr>
            <w:tcW w:w="8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9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r>
      <w:tr>
        <w:trPr>
          <w:trHeight w:val="163"/>
        </w:trPr>
        <w:tc>
          <w:tcPr>
            <w:tcW w:w="346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7"/>
                <w:szCs w:val="17"/>
                <w:color w:val="auto"/>
                <w:w w:val="98"/>
              </w:rPr>
              <w:t>March 19, 2021   Graham Park Plaza (portion)</w:t>
            </w:r>
          </w:p>
        </w:tc>
        <w:tc>
          <w:tcPr>
            <w:tcW w:w="1400" w:type="dxa"/>
            <w:vAlign w:val="bottom"/>
            <w:shd w:val="clear" w:color="auto" w:fill="CCEEFF"/>
          </w:tcPr>
          <w:p>
            <w:pPr>
              <w:ind w:left="140"/>
              <w:spacing w:after="0" w:line="163" w:lineRule="exact"/>
              <w:rPr>
                <w:sz w:val="20"/>
                <w:szCs w:val="20"/>
                <w:color w:val="auto"/>
              </w:rPr>
            </w:pPr>
            <w:r>
              <w:rPr>
                <w:rFonts w:ascii="Arial" w:cs="Arial" w:eastAsia="Arial" w:hAnsi="Arial"/>
                <w:sz w:val="17"/>
                <w:szCs w:val="17"/>
                <w:color w:val="auto"/>
              </w:rPr>
              <w:t>Falls Church,</w:t>
            </w:r>
          </w:p>
        </w:tc>
        <w:tc>
          <w:tcPr>
            <w:tcW w:w="460" w:type="dxa"/>
            <w:vAlign w:val="bottom"/>
            <w:shd w:val="clear" w:color="auto" w:fill="CCEEFF"/>
          </w:tcPr>
          <w:p>
            <w:pPr>
              <w:jc w:val="right"/>
              <w:spacing w:after="0" w:line="163" w:lineRule="exact"/>
              <w:rPr>
                <w:sz w:val="20"/>
                <w:szCs w:val="20"/>
                <w:color w:val="auto"/>
              </w:rPr>
            </w:pPr>
            <w:r>
              <w:rPr>
                <w:rFonts w:ascii="Arial" w:cs="Arial" w:eastAsia="Arial" w:hAnsi="Arial"/>
                <w:sz w:val="17"/>
                <w:szCs w:val="17"/>
                <w:color w:val="auto"/>
              </w:rPr>
              <w:t>$</w:t>
            </w:r>
          </w:p>
        </w:tc>
        <w:tc>
          <w:tcPr>
            <w:tcW w:w="5920" w:type="dxa"/>
            <w:vAlign w:val="bottom"/>
            <w:shd w:val="clear" w:color="auto" w:fill="CCEEFF"/>
          </w:tcPr>
          <w:p>
            <w:pPr>
              <w:jc w:val="right"/>
              <w:ind w:right="4981"/>
              <w:spacing w:after="0" w:line="163" w:lineRule="exact"/>
              <w:rPr>
                <w:sz w:val="20"/>
                <w:szCs w:val="20"/>
                <w:color w:val="auto"/>
              </w:rPr>
            </w:pPr>
            <w:r>
              <w:rPr>
                <w:rFonts w:ascii="Arial" w:cs="Arial" w:eastAsia="Arial" w:hAnsi="Arial"/>
                <w:sz w:val="17"/>
                <w:szCs w:val="17"/>
                <w:color w:val="auto"/>
              </w:rPr>
              <w:t>20.3</w:t>
            </w:r>
          </w:p>
        </w:tc>
      </w:tr>
      <w:tr>
        <w:trPr>
          <w:trHeight w:val="216"/>
        </w:trPr>
        <w:tc>
          <w:tcPr>
            <w:tcW w:w="8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Virginia</w:t>
            </w:r>
          </w:p>
        </w:tc>
        <w:tc>
          <w:tcPr>
            <w:tcW w:w="46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Transactions</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May 11, 2021, two of our outstanding mortgage notes receivable were repaid. Including interest, the net proceeds were $33.8 million. As a result of the transaction, our mortgage notes receivable, net of valuation allowance, decreased $30.3 million.</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Date</w:t>
            </w:r>
          </w:p>
        </w:tc>
        <w:tc>
          <w:tcPr>
            <w:tcW w:w="236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Type</w:t>
            </w:r>
          </w:p>
        </w:tc>
        <w:tc>
          <w:tcPr>
            <w:tcW w:w="140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Property</w:t>
            </w:r>
          </w:p>
        </w:tc>
        <w:tc>
          <w:tcPr>
            <w:tcW w:w="182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City/State</w:t>
            </w:r>
          </w:p>
        </w:tc>
        <w:tc>
          <w:tcPr>
            <w:tcW w:w="320" w:type="dxa"/>
            <w:vAlign w:val="bottom"/>
          </w:tcPr>
          <w:p>
            <w:pPr>
              <w:spacing w:after="0"/>
              <w:rPr>
                <w:sz w:val="16"/>
                <w:szCs w:val="16"/>
                <w:color w:val="auto"/>
              </w:rPr>
            </w:pPr>
          </w:p>
        </w:tc>
        <w:tc>
          <w:tcPr>
            <w:tcW w:w="860" w:type="dxa"/>
            <w:vAlign w:val="bottom"/>
          </w:tcPr>
          <w:p>
            <w:pPr>
              <w:jc w:val="center"/>
              <w:ind w:right="19"/>
              <w:spacing w:after="0"/>
              <w:rPr>
                <w:sz w:val="20"/>
                <w:szCs w:val="20"/>
                <w:color w:val="auto"/>
              </w:rPr>
            </w:pPr>
            <w:r>
              <w:rPr>
                <w:rFonts w:ascii="Arial" w:cs="Arial" w:eastAsia="Arial" w:hAnsi="Arial"/>
                <w:sz w:val="16"/>
                <w:szCs w:val="16"/>
                <w:b w:val="1"/>
                <w:bCs w:val="1"/>
                <w:color w:val="auto"/>
                <w:w w:val="88"/>
              </w:rPr>
              <w:t>Purchase</w:t>
            </w: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220" w:type="dxa"/>
            <w:vAlign w:val="bottom"/>
            <w:tcBorders>
              <w:bottom w:val="single" w:sz="8" w:color="auto"/>
            </w:tcBorders>
            <w:vMerge w:val="continue"/>
          </w:tcPr>
          <w:p>
            <w:pPr>
              <w:spacing w:after="0"/>
              <w:rPr>
                <w:sz w:val="18"/>
                <w:szCs w:val="18"/>
                <w:color w:val="auto"/>
              </w:rPr>
            </w:pPr>
          </w:p>
        </w:tc>
        <w:tc>
          <w:tcPr>
            <w:tcW w:w="236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1"/>
              </w:rPr>
              <w:t>Price</w:t>
            </w:r>
          </w:p>
        </w:tc>
        <w:tc>
          <w:tcPr>
            <w:tcW w:w="3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3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20" w:type="dxa"/>
            <w:vAlign w:val="bottom"/>
            <w:shd w:val="clear" w:color="auto" w:fill="CCEEFF"/>
          </w:tcPr>
          <w:p>
            <w:pPr>
              <w:ind w:left="20"/>
              <w:spacing w:after="0" w:line="163" w:lineRule="exact"/>
              <w:rPr>
                <w:sz w:val="20"/>
                <w:szCs w:val="20"/>
                <w:color w:val="auto"/>
              </w:rPr>
            </w:pPr>
            <w:r>
              <w:rPr>
                <w:rFonts w:ascii="Arial" w:cs="Arial" w:eastAsia="Arial" w:hAnsi="Arial"/>
                <w:sz w:val="17"/>
                <w:szCs w:val="17"/>
                <w:color w:val="auto"/>
                <w:w w:val="96"/>
              </w:rPr>
              <w:t>January 4, 2021</w:t>
            </w:r>
          </w:p>
        </w:tc>
        <w:tc>
          <w:tcPr>
            <w:tcW w:w="2360" w:type="dxa"/>
            <w:vAlign w:val="bottom"/>
            <w:shd w:val="clear" w:color="auto" w:fill="CCEEFF"/>
          </w:tcPr>
          <w:p>
            <w:pPr>
              <w:ind w:left="120"/>
              <w:spacing w:after="0" w:line="163" w:lineRule="exact"/>
              <w:rPr>
                <w:sz w:val="20"/>
                <w:szCs w:val="20"/>
                <w:color w:val="auto"/>
              </w:rPr>
            </w:pPr>
            <w:r>
              <w:rPr>
                <w:rFonts w:ascii="Arial" w:cs="Arial" w:eastAsia="Arial" w:hAnsi="Arial"/>
                <w:sz w:val="17"/>
                <w:szCs w:val="17"/>
                <w:color w:val="auto"/>
              </w:rPr>
              <w:t>Acquisition of partner interest</w:t>
            </w:r>
          </w:p>
        </w:tc>
        <w:tc>
          <w:tcPr>
            <w:tcW w:w="1400" w:type="dxa"/>
            <w:vAlign w:val="bottom"/>
            <w:shd w:val="clear" w:color="auto" w:fill="CCEEFF"/>
          </w:tcPr>
          <w:p>
            <w:pPr>
              <w:ind w:left="180"/>
              <w:spacing w:after="0" w:line="163" w:lineRule="exact"/>
              <w:rPr>
                <w:sz w:val="20"/>
                <w:szCs w:val="20"/>
                <w:color w:val="auto"/>
              </w:rPr>
            </w:pPr>
            <w:r>
              <w:rPr>
                <w:rFonts w:ascii="Arial" w:cs="Arial" w:eastAsia="Arial" w:hAnsi="Arial"/>
                <w:sz w:val="17"/>
                <w:szCs w:val="17"/>
                <w:color w:val="auto"/>
              </w:rPr>
              <w:t>Pike &amp; Rose</w:t>
            </w:r>
          </w:p>
        </w:tc>
        <w:tc>
          <w:tcPr>
            <w:tcW w:w="1820" w:type="dxa"/>
            <w:vAlign w:val="bottom"/>
            <w:shd w:val="clear" w:color="auto" w:fill="CCEEFF"/>
          </w:tcPr>
          <w:p>
            <w:pPr>
              <w:ind w:left="220"/>
              <w:spacing w:after="0" w:line="163" w:lineRule="exact"/>
              <w:rPr>
                <w:sz w:val="20"/>
                <w:szCs w:val="20"/>
                <w:color w:val="auto"/>
              </w:rPr>
            </w:pPr>
            <w:r>
              <w:rPr>
                <w:rFonts w:ascii="Arial" w:cs="Arial" w:eastAsia="Arial" w:hAnsi="Arial"/>
                <w:sz w:val="17"/>
                <w:szCs w:val="17"/>
                <w:color w:val="auto"/>
              </w:rPr>
              <w:t>North Bethesda,</w:t>
            </w:r>
          </w:p>
        </w:tc>
        <w:tc>
          <w:tcPr>
            <w:tcW w:w="320" w:type="dxa"/>
            <w:vAlign w:val="bottom"/>
            <w:shd w:val="clear" w:color="auto" w:fill="CCEEFF"/>
          </w:tcPr>
          <w:p>
            <w:pPr>
              <w:jc w:val="right"/>
              <w:spacing w:after="0" w:line="163"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line="163" w:lineRule="exact"/>
              <w:rPr>
                <w:sz w:val="20"/>
                <w:szCs w:val="20"/>
                <w:color w:val="auto"/>
              </w:rPr>
            </w:pPr>
            <w:r>
              <w:rPr>
                <w:rFonts w:ascii="Arial" w:cs="Arial" w:eastAsia="Arial" w:hAnsi="Arial"/>
                <w:sz w:val="17"/>
                <w:szCs w:val="17"/>
                <w:color w:val="auto"/>
              </w:rPr>
              <w:t>2.3</w:t>
            </w:r>
          </w:p>
        </w:tc>
        <w:tc>
          <w:tcPr>
            <w:tcW w:w="3260" w:type="dxa"/>
            <w:vAlign w:val="bottom"/>
            <w:shd w:val="clear" w:color="auto" w:fill="CCEEFF"/>
          </w:tcPr>
          <w:p>
            <w:pPr>
              <w:jc w:val="right"/>
              <w:ind w:right="2915"/>
              <w:spacing w:after="0" w:line="163"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(hotel)</w:t>
            </w:r>
          </w:p>
        </w:tc>
        <w:tc>
          <w:tcPr>
            <w:tcW w:w="1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Maryland</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220" w:type="dxa"/>
            <w:vAlign w:val="bottom"/>
          </w:tcPr>
          <w:p>
            <w:pPr>
              <w:ind w:left="20"/>
              <w:spacing w:after="0" w:line="162" w:lineRule="exact"/>
              <w:rPr>
                <w:sz w:val="20"/>
                <w:szCs w:val="20"/>
                <w:color w:val="auto"/>
              </w:rPr>
            </w:pPr>
            <w:r>
              <w:rPr>
                <w:rFonts w:ascii="Arial" w:cs="Arial" w:eastAsia="Arial" w:hAnsi="Arial"/>
                <w:sz w:val="17"/>
                <w:szCs w:val="17"/>
                <w:color w:val="auto"/>
              </w:rPr>
              <w:t>February 22,</w:t>
            </w:r>
          </w:p>
        </w:tc>
        <w:tc>
          <w:tcPr>
            <w:tcW w:w="2360" w:type="dxa"/>
            <w:vAlign w:val="bottom"/>
          </w:tcPr>
          <w:p>
            <w:pPr>
              <w:ind w:left="120"/>
              <w:spacing w:after="0" w:line="162" w:lineRule="exact"/>
              <w:rPr>
                <w:sz w:val="20"/>
                <w:szCs w:val="20"/>
                <w:color w:val="auto"/>
              </w:rPr>
            </w:pPr>
            <w:r>
              <w:rPr>
                <w:rFonts w:ascii="Arial" w:cs="Arial" w:eastAsia="Arial" w:hAnsi="Arial"/>
                <w:sz w:val="17"/>
                <w:szCs w:val="17"/>
                <w:color w:val="auto"/>
              </w:rPr>
              <w:t>Acquisition of fee interest (24</w:t>
            </w:r>
          </w:p>
        </w:tc>
        <w:tc>
          <w:tcPr>
            <w:tcW w:w="1400" w:type="dxa"/>
            <w:vAlign w:val="bottom"/>
          </w:tcPr>
          <w:p>
            <w:pPr>
              <w:ind w:left="180"/>
              <w:spacing w:after="0" w:line="162" w:lineRule="exact"/>
              <w:rPr>
                <w:sz w:val="20"/>
                <w:szCs w:val="20"/>
                <w:color w:val="auto"/>
              </w:rPr>
            </w:pPr>
            <w:r>
              <w:rPr>
                <w:rFonts w:ascii="Arial" w:cs="Arial" w:eastAsia="Arial" w:hAnsi="Arial"/>
                <w:sz w:val="17"/>
                <w:szCs w:val="17"/>
                <w:color w:val="auto"/>
              </w:rPr>
              <w:t>Mount Vernon</w:t>
            </w:r>
          </w:p>
        </w:tc>
        <w:tc>
          <w:tcPr>
            <w:tcW w:w="1820" w:type="dxa"/>
            <w:vAlign w:val="bottom"/>
            <w:vMerge w:val="restart"/>
          </w:tcPr>
          <w:p>
            <w:pPr>
              <w:ind w:left="220"/>
              <w:spacing w:after="0"/>
              <w:rPr>
                <w:sz w:val="20"/>
                <w:szCs w:val="20"/>
                <w:color w:val="auto"/>
              </w:rPr>
            </w:pPr>
            <w:r>
              <w:rPr>
                <w:rFonts w:ascii="Arial" w:cs="Arial" w:eastAsia="Arial" w:hAnsi="Arial"/>
                <w:sz w:val="17"/>
                <w:szCs w:val="17"/>
                <w:color w:val="auto"/>
              </w:rPr>
              <w:t>Alexandria, Virginia</w:t>
            </w:r>
          </w:p>
        </w:tc>
        <w:tc>
          <w:tcPr>
            <w:tcW w:w="3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5.6</w:t>
            </w:r>
          </w:p>
        </w:tc>
        <w:tc>
          <w:tcPr>
            <w:tcW w:w="3260" w:type="dxa"/>
            <w:vAlign w:val="bottom"/>
            <w:vMerge w:val="restart"/>
          </w:tcPr>
          <w:p>
            <w:pPr>
              <w:jc w:val="right"/>
              <w:ind w:right="2915"/>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6"/>
        </w:trPr>
        <w:tc>
          <w:tcPr>
            <w:tcW w:w="1220" w:type="dxa"/>
            <w:vAlign w:val="bottom"/>
          </w:tcPr>
          <w:p>
            <w:pPr>
              <w:ind w:left="20"/>
              <w:spacing w:after="0"/>
              <w:rPr>
                <w:sz w:val="20"/>
                <w:szCs w:val="20"/>
                <w:color w:val="auto"/>
              </w:rPr>
            </w:pPr>
            <w:r>
              <w:rPr>
                <w:rFonts w:ascii="Arial" w:cs="Arial" w:eastAsia="Arial" w:hAnsi="Arial"/>
                <w:sz w:val="17"/>
                <w:szCs w:val="17"/>
                <w:color w:val="auto"/>
              </w:rPr>
              <w:t>2021</w:t>
            </w:r>
          </w:p>
        </w:tc>
        <w:tc>
          <w:tcPr>
            <w:tcW w:w="2360" w:type="dxa"/>
            <w:vAlign w:val="bottom"/>
          </w:tcPr>
          <w:p>
            <w:pPr>
              <w:ind w:left="120"/>
              <w:spacing w:after="0"/>
              <w:rPr>
                <w:sz w:val="20"/>
                <w:szCs w:val="20"/>
                <w:color w:val="auto"/>
              </w:rPr>
            </w:pPr>
            <w:r>
              <w:rPr>
                <w:rFonts w:ascii="Arial" w:cs="Arial" w:eastAsia="Arial" w:hAnsi="Arial"/>
                <w:sz w:val="17"/>
                <w:szCs w:val="17"/>
                <w:color w:val="auto"/>
              </w:rPr>
              <w:t>acres)</w:t>
            </w:r>
          </w:p>
        </w:tc>
        <w:tc>
          <w:tcPr>
            <w:tcW w:w="1400" w:type="dxa"/>
            <w:vAlign w:val="bottom"/>
          </w:tcPr>
          <w:p>
            <w:pPr>
              <w:ind w:left="180"/>
              <w:spacing w:after="0"/>
              <w:rPr>
                <w:sz w:val="20"/>
                <w:szCs w:val="20"/>
                <w:color w:val="auto"/>
              </w:rPr>
            </w:pPr>
            <w:r>
              <w:rPr>
                <w:rFonts w:ascii="Arial" w:cs="Arial" w:eastAsia="Arial" w:hAnsi="Arial"/>
                <w:sz w:val="17"/>
                <w:szCs w:val="17"/>
                <w:color w:val="auto"/>
              </w:rPr>
              <w:t>Plaza</w:t>
            </w:r>
          </w:p>
        </w:tc>
        <w:tc>
          <w:tcPr>
            <w:tcW w:w="182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3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280" w:hanging="332"/>
        <w:spacing w:after="0" w:line="266" w:lineRule="auto"/>
        <w:tabs>
          <w:tab w:leader="none" w:pos="337" w:val="left"/>
        </w:tabs>
        <w:numPr>
          <w:ilvl w:val="0"/>
          <w:numId w:val="19"/>
        </w:numPr>
        <w:rPr>
          <w:rFonts w:ascii="Arial" w:cs="Arial" w:eastAsia="Arial" w:hAnsi="Arial"/>
          <w:sz w:val="17"/>
          <w:szCs w:val="17"/>
          <w:color w:val="auto"/>
        </w:rPr>
      </w:pPr>
      <w:r>
        <w:rPr>
          <w:rFonts w:ascii="Arial" w:cs="Arial" w:eastAsia="Arial" w:hAnsi="Arial"/>
          <w:sz w:val="18"/>
          <w:szCs w:val="18"/>
          <w:color w:val="auto"/>
        </w:rPr>
        <w:t>We acquired our partner's 20% interest; and consequently, now own 100% of the hotel and consolidated the asset. Additionally, we repaid the $31.5 million mortgage loan encumbering the hotel.</w:t>
      </w: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now own the entire fee interest on this property.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026"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4"/>
              </w:rPr>
              <w:t>Real</w:t>
            </w: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Mortgage/Finance</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Residential</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8"/>
              </w:rPr>
              <w:t>Grocery</w:t>
            </w:r>
          </w:p>
        </w:tc>
        <w:tc>
          <w:tcPr>
            <w:tcW w:w="82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Grocery</w:t>
            </w: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Property Name</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980" w:type="dxa"/>
            <w:vAlign w:val="bottom"/>
            <w:vMerge w:val="restart"/>
          </w:tcPr>
          <w:p>
            <w:pPr>
              <w:ind w:left="400"/>
              <w:spacing w:after="0"/>
              <w:rPr>
                <w:sz w:val="20"/>
                <w:szCs w:val="20"/>
                <w:color w:val="auto"/>
              </w:rPr>
            </w:pPr>
            <w:r>
              <w:rPr>
                <w:rFonts w:ascii="Arial" w:cs="Arial" w:eastAsia="Arial" w:hAnsi="Arial"/>
                <w:sz w:val="13"/>
                <w:szCs w:val="13"/>
                <w:b w:val="1"/>
                <w:bCs w:val="1"/>
                <w:color w:val="auto"/>
              </w:rPr>
              <w:t>MSA Description</w:t>
            </w:r>
          </w:p>
        </w:tc>
        <w:tc>
          <w:tcPr>
            <w:tcW w:w="6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4"/>
              </w:rPr>
              <w:t>Estate at</w:t>
            </w:r>
          </w:p>
        </w:tc>
        <w:tc>
          <w:tcPr>
            <w:tcW w:w="104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7"/>
              </w:rPr>
              <w:t>Lease Liabilities</w:t>
            </w:r>
          </w:p>
        </w:tc>
        <w:tc>
          <w:tcPr>
            <w:tcW w:w="5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3"/>
              </w:rPr>
              <w:t>Acreage</w:t>
            </w:r>
          </w:p>
        </w:tc>
        <w:tc>
          <w:tcPr>
            <w:tcW w:w="7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GLA (3)</w:t>
            </w: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b w:val="1"/>
                <w:bCs w:val="1"/>
                <w:color w:val="auto"/>
                <w:w w:val="98"/>
              </w:rPr>
              <w:t>Leased</w:t>
            </w:r>
          </w:p>
        </w:tc>
        <w:tc>
          <w:tcPr>
            <w:tcW w:w="680" w:type="dxa"/>
            <w:vAlign w:val="bottom"/>
            <w:vMerge w:val="continue"/>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Anchor</w:t>
            </w:r>
          </w:p>
        </w:tc>
        <w:tc>
          <w:tcPr>
            <w:tcW w:w="820" w:type="dxa"/>
            <w:vAlign w:val="bottom"/>
            <w:vMerge w:val="continue"/>
          </w:tcPr>
          <w:p>
            <w:pPr>
              <w:spacing w:after="0"/>
              <w:rPr>
                <w:sz w:val="10"/>
                <w:szCs w:val="10"/>
                <w:color w:val="auto"/>
              </w:rPr>
            </w:pPr>
          </w:p>
        </w:tc>
        <w:tc>
          <w:tcPr>
            <w:tcW w:w="20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Other Retail Tenants</w:t>
            </w: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Cost (1)</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99"/>
              <w:spacing w:after="0"/>
              <w:rPr>
                <w:sz w:val="20"/>
                <w:szCs w:val="20"/>
                <w:color w:val="auto"/>
              </w:rPr>
            </w:pPr>
            <w:r>
              <w:rPr>
                <w:rFonts w:ascii="Arial" w:cs="Arial" w:eastAsia="Arial" w:hAnsi="Arial"/>
                <w:sz w:val="13"/>
                <w:szCs w:val="13"/>
                <w:b w:val="1"/>
                <w:bCs w:val="1"/>
                <w:color w:val="auto"/>
              </w:rPr>
              <w:t>(2)</w:t>
            </w:r>
          </w:p>
        </w:tc>
        <w:tc>
          <w:tcPr>
            <w:tcW w:w="520" w:type="dxa"/>
            <w:vAlign w:val="bottom"/>
            <w:tcBorders>
              <w:bottom w:val="single" w:sz="8" w:color="auto"/>
            </w:tcBorders>
            <w:gridSpan w:val="2"/>
            <w:vMerge w:val="continue"/>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(3)</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Units</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Anchor</w:t>
            </w:r>
          </w:p>
        </w:tc>
        <w:tc>
          <w:tcPr>
            <w:tcW w:w="2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620" w:type="dxa"/>
            <w:vAlign w:val="bottom"/>
          </w:tcPr>
          <w:p>
            <w:pPr>
              <w:jc w:val="center"/>
              <w:spacing w:after="0" w:line="111" w:lineRule="exact"/>
              <w:rPr>
                <w:sz w:val="20"/>
                <w:szCs w:val="20"/>
                <w:color w:val="auto"/>
              </w:rPr>
            </w:pPr>
            <w:r>
              <w:rPr>
                <w:rFonts w:ascii="Arial" w:cs="Arial" w:eastAsia="Arial" w:hAnsi="Arial"/>
                <w:sz w:val="11"/>
                <w:szCs w:val="11"/>
                <w:color w:val="auto"/>
                <w:w w:val="97"/>
              </w:rPr>
              <w:t>(in</w:t>
            </w:r>
          </w:p>
        </w:tc>
        <w:tc>
          <w:tcPr>
            <w:tcW w:w="160" w:type="dxa"/>
            <w:vAlign w:val="bottom"/>
          </w:tcPr>
          <w:p>
            <w:pPr>
              <w:spacing w:after="0"/>
              <w:rPr>
                <w:sz w:val="9"/>
                <w:szCs w:val="9"/>
                <w:color w:val="auto"/>
              </w:rPr>
            </w:pPr>
          </w:p>
        </w:tc>
        <w:tc>
          <w:tcPr>
            <w:tcW w:w="880" w:type="dxa"/>
            <w:vAlign w:val="bottom"/>
            <w:vMerge w:val="restart"/>
          </w:tcPr>
          <w:p>
            <w:pPr>
              <w:jc w:val="center"/>
              <w:ind w:right="79"/>
              <w:spacing w:after="0"/>
              <w:rPr>
                <w:sz w:val="20"/>
                <w:szCs w:val="20"/>
                <w:color w:val="auto"/>
              </w:rPr>
            </w:pPr>
            <w:r>
              <w:rPr>
                <w:rFonts w:ascii="Arial" w:cs="Arial" w:eastAsia="Arial" w:hAnsi="Arial"/>
                <w:sz w:val="11"/>
                <w:szCs w:val="11"/>
                <w:color w:val="auto"/>
                <w:w w:val="88"/>
              </w:rPr>
              <w:t>(in thousands)</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1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b w:val="1"/>
                <w:bCs w:val="1"/>
                <w:color w:val="auto"/>
              </w:rPr>
              <w:t>California</w:t>
            </w: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Borders>
              <w:top w:val="single" w:sz="8" w:color="CCEEFF"/>
            </w:tcBorders>
          </w:tcPr>
          <w:p>
            <w:pPr>
              <w:spacing w:after="0"/>
              <w:rPr>
                <w:sz w:val="10"/>
                <w:szCs w:val="10"/>
                <w:color w:val="auto"/>
              </w:rPr>
            </w:pPr>
          </w:p>
        </w:tc>
        <w:tc>
          <w:tcPr>
            <w:tcW w:w="620" w:type="dxa"/>
            <w:vAlign w:val="bottom"/>
            <w:tcBorders>
              <w:top w:val="single" w:sz="8" w:color="auto"/>
            </w:tcBorders>
          </w:tcPr>
          <w:p>
            <w:pPr>
              <w:spacing w:after="0" w:line="122" w:lineRule="exact"/>
              <w:rPr>
                <w:sz w:val="20"/>
                <w:szCs w:val="20"/>
                <w:color w:val="auto"/>
              </w:rPr>
            </w:pPr>
            <w:r>
              <w:rPr>
                <w:rFonts w:ascii="Arial" w:cs="Arial" w:eastAsia="Arial" w:hAnsi="Arial"/>
                <w:sz w:val="13"/>
                <w:szCs w:val="13"/>
                <w:color w:val="auto"/>
              </w:rPr>
              <w:t>Azalea</w:t>
            </w:r>
          </w:p>
        </w:tc>
        <w:tc>
          <w:tcPr>
            <w:tcW w:w="50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3"/>
                <w:szCs w:val="13"/>
                <w:color w:val="auto"/>
              </w:rPr>
              <w:t>(4)</w:t>
            </w:r>
          </w:p>
        </w:tc>
        <w:tc>
          <w:tcPr>
            <w:tcW w:w="2300" w:type="dxa"/>
            <w:vAlign w:val="bottom"/>
            <w:tcBorders>
              <w:top w:val="single" w:sz="8" w:color="CCEEFF"/>
            </w:tcBorders>
            <w:gridSpan w:val="2"/>
          </w:tcPr>
          <w:p>
            <w:pPr>
              <w:ind w:left="80"/>
              <w:spacing w:after="0" w:line="122" w:lineRule="exact"/>
              <w:rPr>
                <w:sz w:val="20"/>
                <w:szCs w:val="20"/>
                <w:color w:val="auto"/>
              </w:rPr>
            </w:pPr>
            <w:r>
              <w:rPr>
                <w:rFonts w:ascii="Arial" w:cs="Arial" w:eastAsia="Arial" w:hAnsi="Arial"/>
                <w:sz w:val="13"/>
                <w:szCs w:val="13"/>
                <w:color w:val="auto"/>
                <w:w w:val="97"/>
              </w:rPr>
              <w:t>Los Angeles-Long Beach-Anaheim, CA</w:t>
            </w:r>
          </w:p>
        </w:tc>
        <w:tc>
          <w:tcPr>
            <w:tcW w:w="62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3"/>
                <w:szCs w:val="13"/>
                <w:color w:val="auto"/>
                <w:w w:val="91"/>
              </w:rPr>
              <w:t>$  107,516</w:t>
            </w:r>
          </w:p>
        </w:tc>
        <w:tc>
          <w:tcPr>
            <w:tcW w:w="160" w:type="dxa"/>
            <w:vAlign w:val="bottom"/>
            <w:tcBorders>
              <w:top w:val="single" w:sz="8" w:color="CCEEFF"/>
            </w:tcBorders>
          </w:tcPr>
          <w:p>
            <w:pPr>
              <w:jc w:val="right"/>
              <w:ind w:right="17"/>
              <w:spacing w:after="0" w:line="122"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3"/>
                <w:szCs w:val="13"/>
                <w:color w:val="auto"/>
              </w:rPr>
              <w:t>40,000</w:t>
            </w:r>
          </w:p>
        </w:tc>
        <w:tc>
          <w:tcPr>
            <w:tcW w:w="44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3"/>
                <w:szCs w:val="13"/>
                <w:color w:val="auto"/>
              </w:rPr>
              <w:t>22</w:t>
            </w:r>
          </w:p>
        </w:tc>
        <w:tc>
          <w:tcPr>
            <w:tcW w:w="80" w:type="dxa"/>
            <w:vAlign w:val="bottom"/>
            <w:tcBorders>
              <w:top w:val="single" w:sz="8" w:color="CCEEFF"/>
            </w:tcBorders>
          </w:tcPr>
          <w:p>
            <w:pPr>
              <w:spacing w:after="0"/>
              <w:rPr>
                <w:sz w:val="10"/>
                <w:szCs w:val="10"/>
                <w:color w:val="auto"/>
              </w:rPr>
            </w:pPr>
          </w:p>
        </w:tc>
        <w:tc>
          <w:tcPr>
            <w:tcW w:w="64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3"/>
                <w:szCs w:val="13"/>
                <w:color w:val="auto"/>
              </w:rPr>
              <w:t>223,000</w:t>
            </w:r>
          </w:p>
        </w:tc>
        <w:tc>
          <w:tcPr>
            <w:tcW w:w="80" w:type="dxa"/>
            <w:vAlign w:val="bottom"/>
            <w:tcBorders>
              <w:top w:val="single" w:sz="8" w:color="CCEEFF"/>
            </w:tcBorders>
          </w:tcPr>
          <w:p>
            <w:pPr>
              <w:spacing w:after="0"/>
              <w:rPr>
                <w:sz w:val="10"/>
                <w:szCs w:val="10"/>
                <w:color w:val="auto"/>
              </w:rPr>
            </w:pPr>
          </w:p>
        </w:tc>
        <w:tc>
          <w:tcPr>
            <w:tcW w:w="54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3"/>
                <w:szCs w:val="13"/>
                <w:color w:val="auto"/>
              </w:rPr>
              <w:t>99 %</w:t>
            </w:r>
          </w:p>
        </w:tc>
        <w:tc>
          <w:tcPr>
            <w:tcW w:w="680" w:type="dxa"/>
            <w:vAlign w:val="bottom"/>
            <w:tcBorders>
              <w:top w:val="single" w:sz="8" w:color="CCEEFF"/>
            </w:tcBorders>
          </w:tcPr>
          <w:p>
            <w:pPr>
              <w:spacing w:after="0"/>
              <w:rPr>
                <w:sz w:val="10"/>
                <w:szCs w:val="10"/>
                <w:color w:val="auto"/>
              </w:rPr>
            </w:pPr>
          </w:p>
        </w:tc>
        <w:tc>
          <w:tcPr>
            <w:tcW w:w="540" w:type="dxa"/>
            <w:vAlign w:val="bottom"/>
            <w:tcBorders>
              <w:top w:val="single" w:sz="8" w:color="CCEEFF"/>
            </w:tcBorders>
          </w:tcPr>
          <w:p>
            <w:pPr>
              <w:spacing w:after="0"/>
              <w:rPr>
                <w:sz w:val="10"/>
                <w:szCs w:val="10"/>
                <w:color w:val="auto"/>
              </w:rPr>
            </w:pPr>
          </w:p>
        </w:tc>
        <w:tc>
          <w:tcPr>
            <w:tcW w:w="820" w:type="dxa"/>
            <w:vAlign w:val="bottom"/>
            <w:tcBorders>
              <w:top w:val="single" w:sz="8" w:color="CCEEFF"/>
            </w:tcBorders>
          </w:tcPr>
          <w:p>
            <w:pPr>
              <w:spacing w:after="0"/>
              <w:rPr>
                <w:sz w:val="10"/>
                <w:szCs w:val="10"/>
                <w:color w:val="auto"/>
              </w:rPr>
            </w:pPr>
          </w:p>
        </w:tc>
        <w:tc>
          <w:tcPr>
            <w:tcW w:w="2020" w:type="dxa"/>
            <w:vAlign w:val="bottom"/>
            <w:tcBorders>
              <w:top w:val="single" w:sz="8" w:color="CCEEFF"/>
            </w:tcBorders>
          </w:tcPr>
          <w:p>
            <w:pPr>
              <w:ind w:left="40"/>
              <w:spacing w:after="0" w:line="122" w:lineRule="exact"/>
              <w:rPr>
                <w:sz w:val="20"/>
                <w:szCs w:val="20"/>
                <w:color w:val="auto"/>
              </w:rPr>
            </w:pPr>
            <w:r>
              <w:rPr>
                <w:rFonts w:ascii="Arial" w:cs="Arial" w:eastAsia="Arial" w:hAnsi="Arial"/>
                <w:sz w:val="13"/>
                <w:szCs w:val="13"/>
                <w:color w:val="auto"/>
                <w:w w:val="90"/>
              </w:rPr>
              <w:t>Marshalls / Ross Dress for Less / Ulta</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Arial" w:cs="Arial" w:eastAsia="Arial" w:hAnsi="Arial"/>
                <w:sz w:val="13"/>
                <w:szCs w:val="13"/>
                <w:color w:val="auto"/>
              </w:rPr>
              <w:t>/ Michaels</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Bell Gardens</w:t>
            </w:r>
          </w:p>
        </w:tc>
        <w:tc>
          <w:tcPr>
            <w:tcW w:w="3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230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97"/>
              </w:rPr>
              <w:t>Los Angeles-Long Beach-Anaheim, CA</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111,281</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12,269</w:t>
            </w: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330,000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92 %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67,000</w:t>
            </w:r>
          </w:p>
        </w:tc>
        <w:tc>
          <w:tcPr>
            <w:tcW w:w="8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Food 4 Less</w:t>
            </w: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Marshalls / Ross Dress for Less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Bob's Discount Furniture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Arial" w:cs="Arial" w:eastAsia="Arial" w:hAnsi="Arial"/>
                <w:sz w:val="13"/>
                <w:szCs w:val="13"/>
                <w:color w:val="auto"/>
              </w:rPr>
              <w:t>Colorado Blvd</w:t>
            </w:r>
          </w:p>
        </w:tc>
        <w:tc>
          <w:tcPr>
            <w:tcW w:w="300" w:type="dxa"/>
            <w:vAlign w:val="bottom"/>
          </w:tcPr>
          <w:p>
            <w:pPr>
              <w:spacing w:after="0"/>
              <w:rPr>
                <w:sz w:val="10"/>
                <w:szCs w:val="10"/>
                <w:color w:val="auto"/>
              </w:rPr>
            </w:pPr>
          </w:p>
        </w:tc>
        <w:tc>
          <w:tcPr>
            <w:tcW w:w="2300" w:type="dxa"/>
            <w:vAlign w:val="bottom"/>
            <w:gridSpan w:val="2"/>
          </w:tcPr>
          <w:p>
            <w:pPr>
              <w:ind w:left="80"/>
              <w:spacing w:after="0" w:line="122" w:lineRule="exact"/>
              <w:rPr>
                <w:sz w:val="20"/>
                <w:szCs w:val="20"/>
                <w:color w:val="auto"/>
              </w:rPr>
            </w:pPr>
            <w:r>
              <w:rPr>
                <w:rFonts w:ascii="Arial" w:cs="Arial" w:eastAsia="Arial" w:hAnsi="Arial"/>
                <w:sz w:val="13"/>
                <w:szCs w:val="13"/>
                <w:color w:val="auto"/>
                <w:w w:val="97"/>
              </w:rPr>
              <w:t>Los Angeles-Long Beach-Anaheim, CA</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13,309</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42,000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88 %</w:t>
            </w: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Banana Republic / True Foods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Arial" w:cs="Arial" w:eastAsia="Arial" w:hAnsi="Arial"/>
                <w:sz w:val="13"/>
                <w:szCs w:val="13"/>
                <w:color w:val="auto"/>
              </w:rPr>
              <w:t>Kitchen</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Crow Canyon</w:t>
            </w:r>
          </w:p>
        </w:tc>
        <w:tc>
          <w:tcPr>
            <w:tcW w:w="300" w:type="dxa"/>
            <w:vAlign w:val="bottom"/>
            <w:shd w:val="clear" w:color="auto" w:fill="CCEEFF"/>
          </w:tcPr>
          <w:p>
            <w:pPr>
              <w:spacing w:after="0"/>
              <w:rPr>
                <w:sz w:val="11"/>
                <w:szCs w:val="11"/>
                <w:color w:val="auto"/>
              </w:rPr>
            </w:pPr>
          </w:p>
        </w:tc>
        <w:tc>
          <w:tcPr>
            <w:tcW w:w="230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rPr>
              <w:t>San Francisco-Oakland-Hayward, CA</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90,611</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243,000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94 %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32,000</w:t>
            </w:r>
          </w:p>
        </w:tc>
        <w:tc>
          <w:tcPr>
            <w:tcW w:w="8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Sprouts</w:t>
            </w: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Total Wine &amp; More / Rite Aid</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Commons</w:t>
            </w: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Arial" w:cs="Arial" w:eastAsia="Arial" w:hAnsi="Arial"/>
                <w:sz w:val="13"/>
                <w:szCs w:val="13"/>
                <w:color w:val="auto"/>
              </w:rPr>
              <w:t>East Bay Bridge</w:t>
            </w:r>
          </w:p>
        </w:tc>
        <w:tc>
          <w:tcPr>
            <w:tcW w:w="300" w:type="dxa"/>
            <w:vAlign w:val="bottom"/>
          </w:tcPr>
          <w:p>
            <w:pPr>
              <w:spacing w:after="0"/>
              <w:rPr>
                <w:sz w:val="10"/>
                <w:szCs w:val="10"/>
                <w:color w:val="auto"/>
              </w:rPr>
            </w:pPr>
          </w:p>
        </w:tc>
        <w:tc>
          <w:tcPr>
            <w:tcW w:w="2300" w:type="dxa"/>
            <w:vAlign w:val="bottom"/>
            <w:gridSpan w:val="2"/>
          </w:tcPr>
          <w:p>
            <w:pPr>
              <w:ind w:left="80"/>
              <w:spacing w:after="0" w:line="122" w:lineRule="exact"/>
              <w:rPr>
                <w:sz w:val="20"/>
                <w:szCs w:val="20"/>
                <w:color w:val="auto"/>
              </w:rPr>
            </w:pPr>
            <w:r>
              <w:rPr>
                <w:rFonts w:ascii="Arial" w:cs="Arial" w:eastAsia="Arial" w:hAnsi="Arial"/>
                <w:sz w:val="13"/>
                <w:szCs w:val="13"/>
                <w:color w:val="auto"/>
              </w:rPr>
              <w:t>San Francisco-Oakland-Hayward, CA</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179,450</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32</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440,000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99 %</w:t>
            </w:r>
          </w:p>
        </w:tc>
        <w:tc>
          <w:tcPr>
            <w:tcW w:w="6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90"/>
              </w:rPr>
              <w:t>59,000</w:t>
            </w:r>
          </w:p>
        </w:tc>
        <w:tc>
          <w:tcPr>
            <w:tcW w:w="820" w:type="dxa"/>
            <w:vAlign w:val="bottom"/>
          </w:tcPr>
          <w:p>
            <w:pPr>
              <w:ind w:left="60"/>
              <w:spacing w:after="0" w:line="122" w:lineRule="exact"/>
              <w:rPr>
                <w:sz w:val="20"/>
                <w:szCs w:val="20"/>
                <w:color w:val="auto"/>
              </w:rPr>
            </w:pPr>
            <w:r>
              <w:rPr>
                <w:rFonts w:ascii="Arial" w:cs="Arial" w:eastAsia="Arial" w:hAnsi="Arial"/>
                <w:sz w:val="13"/>
                <w:szCs w:val="13"/>
                <w:color w:val="auto"/>
              </w:rPr>
              <w:t>Pak-N-Save</w:t>
            </w: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Home Depot / Target / Nordstrom</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Arial" w:cs="Arial" w:eastAsia="Arial" w:hAnsi="Arial"/>
                <w:sz w:val="13"/>
                <w:szCs w:val="13"/>
                <w:color w:val="auto"/>
              </w:rPr>
              <w:t>Rack</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Escondido</w:t>
            </w:r>
          </w:p>
        </w:tc>
        <w:tc>
          <w:tcPr>
            <w:tcW w:w="3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230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rPr>
              <w:t>San Diego-Carlsbad, CA</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54,560</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298,000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94 %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TJ Maxx / Dick’s Sporting Goods /</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Promenade</w:t>
            </w: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2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w w:val="89"/>
              </w:rPr>
              <w:t>Ross Dress For Less / Bob's Discount</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Furniture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3"/>
                <w:szCs w:val="13"/>
                <w:color w:val="auto"/>
              </w:rPr>
              <w:t>Fourth Street</w:t>
            </w:r>
          </w:p>
        </w:tc>
        <w:tc>
          <w:tcPr>
            <w:tcW w:w="300" w:type="dxa"/>
            <w:vAlign w:val="bottom"/>
          </w:tcPr>
          <w:p>
            <w:pPr>
              <w:jc w:val="right"/>
              <w:spacing w:after="0"/>
              <w:rPr>
                <w:sz w:val="20"/>
                <w:szCs w:val="20"/>
                <w:color w:val="auto"/>
              </w:rPr>
            </w:pPr>
            <w:r>
              <w:rPr>
                <w:rFonts w:ascii="Arial" w:cs="Arial" w:eastAsia="Arial" w:hAnsi="Arial"/>
                <w:sz w:val="13"/>
                <w:szCs w:val="13"/>
                <w:color w:val="auto"/>
              </w:rPr>
              <w:t>(4)</w:t>
            </w:r>
          </w:p>
        </w:tc>
        <w:tc>
          <w:tcPr>
            <w:tcW w:w="2300" w:type="dxa"/>
            <w:vAlign w:val="bottom"/>
            <w:gridSpan w:val="2"/>
          </w:tcPr>
          <w:p>
            <w:pPr>
              <w:ind w:left="80"/>
              <w:spacing w:after="0"/>
              <w:rPr>
                <w:sz w:val="20"/>
                <w:szCs w:val="20"/>
                <w:color w:val="auto"/>
              </w:rPr>
            </w:pPr>
            <w:r>
              <w:rPr>
                <w:rFonts w:ascii="Arial" w:cs="Arial" w:eastAsia="Arial" w:hAnsi="Arial"/>
                <w:sz w:val="13"/>
                <w:szCs w:val="13"/>
                <w:color w:val="auto"/>
              </w:rPr>
              <w:t>San Francisco-Oakland-Hayward, CA</w:t>
            </w:r>
          </w:p>
        </w:tc>
        <w:tc>
          <w:tcPr>
            <w:tcW w:w="620" w:type="dxa"/>
            <w:vAlign w:val="bottom"/>
          </w:tcPr>
          <w:p>
            <w:pPr>
              <w:jc w:val="right"/>
              <w:spacing w:after="0"/>
              <w:rPr>
                <w:sz w:val="20"/>
                <w:szCs w:val="20"/>
                <w:color w:val="auto"/>
              </w:rPr>
            </w:pPr>
            <w:r>
              <w:rPr>
                <w:rFonts w:ascii="Arial" w:cs="Arial" w:eastAsia="Arial" w:hAnsi="Arial"/>
                <w:sz w:val="13"/>
                <w:szCs w:val="13"/>
                <w:color w:val="auto"/>
              </w:rPr>
              <w:t>27,195</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71,000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78 %</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Arial" w:cs="Arial" w:eastAsia="Arial" w:hAnsi="Arial"/>
                <w:sz w:val="13"/>
                <w:szCs w:val="13"/>
                <w:color w:val="auto"/>
              </w:rPr>
              <w:t>CB2</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Freedom Plaza</w:t>
            </w:r>
          </w:p>
        </w:tc>
        <w:tc>
          <w:tcPr>
            <w:tcW w:w="3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230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97"/>
              </w:rPr>
              <w:t>Los Angeles-Long Beach-Anaheim, CA</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41,192</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101,000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31,000</w:t>
            </w:r>
          </w:p>
        </w:tc>
        <w:tc>
          <w:tcPr>
            <w:tcW w:w="8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w w:val="93"/>
              </w:rPr>
              <w:t>Smart &amp; Final</w:t>
            </w: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2"/>
              </w:rPr>
              <w:t>Nike / Blink Fitness / Ross Dress For</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Less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3"/>
                <w:szCs w:val="13"/>
                <w:color w:val="auto"/>
              </w:rPr>
              <w:t>Grossmont Center</w:t>
            </w:r>
          </w:p>
        </w:tc>
        <w:tc>
          <w:tcPr>
            <w:tcW w:w="300" w:type="dxa"/>
            <w:vAlign w:val="bottom"/>
          </w:tcPr>
          <w:p>
            <w:pPr>
              <w:jc w:val="right"/>
              <w:spacing w:after="0"/>
              <w:rPr>
                <w:sz w:val="20"/>
                <w:szCs w:val="20"/>
                <w:color w:val="auto"/>
              </w:rPr>
            </w:pPr>
            <w:r>
              <w:rPr>
                <w:rFonts w:ascii="Arial" w:cs="Arial" w:eastAsia="Arial" w:hAnsi="Arial"/>
                <w:sz w:val="13"/>
                <w:szCs w:val="13"/>
                <w:color w:val="auto"/>
              </w:rPr>
              <w:t>(4)</w:t>
            </w:r>
          </w:p>
        </w:tc>
        <w:tc>
          <w:tcPr>
            <w:tcW w:w="2300" w:type="dxa"/>
            <w:vAlign w:val="bottom"/>
            <w:gridSpan w:val="2"/>
          </w:tcPr>
          <w:p>
            <w:pPr>
              <w:ind w:left="80"/>
              <w:spacing w:after="0"/>
              <w:rPr>
                <w:sz w:val="20"/>
                <w:szCs w:val="20"/>
                <w:color w:val="auto"/>
              </w:rPr>
            </w:pPr>
            <w:r>
              <w:rPr>
                <w:rFonts w:ascii="Arial" w:cs="Arial" w:eastAsia="Arial" w:hAnsi="Arial"/>
                <w:sz w:val="13"/>
                <w:szCs w:val="13"/>
                <w:color w:val="auto"/>
              </w:rPr>
              <w:t>San Diego-Carlsbad, CA</w:t>
            </w:r>
          </w:p>
        </w:tc>
        <w:tc>
          <w:tcPr>
            <w:tcW w:w="620" w:type="dxa"/>
            <w:vAlign w:val="bottom"/>
          </w:tcPr>
          <w:p>
            <w:pPr>
              <w:jc w:val="right"/>
              <w:spacing w:after="0"/>
              <w:rPr>
                <w:sz w:val="20"/>
                <w:szCs w:val="20"/>
                <w:color w:val="auto"/>
              </w:rPr>
            </w:pPr>
            <w:r>
              <w:rPr>
                <w:rFonts w:ascii="Arial" w:cs="Arial" w:eastAsia="Arial" w:hAnsi="Arial"/>
                <w:sz w:val="13"/>
                <w:szCs w:val="13"/>
                <w:color w:val="auto"/>
              </w:rPr>
              <w:t>175,775</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64</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933,000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99 %</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Arial" w:cs="Arial" w:eastAsia="Arial" w:hAnsi="Arial"/>
                <w:sz w:val="13"/>
                <w:szCs w:val="13"/>
                <w:color w:val="auto"/>
              </w:rPr>
              <w:t>Target / Walmart / Macy’s / CVS</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Hastings Ranch</w:t>
            </w:r>
          </w:p>
        </w:tc>
        <w:tc>
          <w:tcPr>
            <w:tcW w:w="300" w:type="dxa"/>
            <w:vAlign w:val="bottom"/>
            <w:shd w:val="clear" w:color="auto" w:fill="CCEEFF"/>
          </w:tcPr>
          <w:p>
            <w:pPr>
              <w:spacing w:after="0"/>
              <w:rPr>
                <w:sz w:val="11"/>
                <w:szCs w:val="11"/>
                <w:color w:val="auto"/>
              </w:rPr>
            </w:pPr>
          </w:p>
        </w:tc>
        <w:tc>
          <w:tcPr>
            <w:tcW w:w="230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97"/>
              </w:rPr>
              <w:t>Los Angeles-Long Beach-Anaheim, CA</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25,471</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273,000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88"/>
              </w:rPr>
              <w:t>Marshalls / HomeGoods / CVS / Sears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Plaza</w:t>
            </w: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3"/>
                <w:szCs w:val="13"/>
                <w:color w:val="auto"/>
              </w:rPr>
              <w:t>Hollywood Blvd</w:t>
            </w:r>
          </w:p>
        </w:tc>
        <w:tc>
          <w:tcPr>
            <w:tcW w:w="300" w:type="dxa"/>
            <w:vAlign w:val="bottom"/>
          </w:tcPr>
          <w:p>
            <w:pPr>
              <w:spacing w:after="0"/>
              <w:rPr>
                <w:sz w:val="14"/>
                <w:szCs w:val="14"/>
                <w:color w:val="auto"/>
              </w:rPr>
            </w:pPr>
          </w:p>
        </w:tc>
        <w:tc>
          <w:tcPr>
            <w:tcW w:w="2300" w:type="dxa"/>
            <w:vAlign w:val="bottom"/>
            <w:gridSpan w:val="2"/>
          </w:tcPr>
          <w:p>
            <w:pPr>
              <w:ind w:left="80"/>
              <w:spacing w:after="0"/>
              <w:rPr>
                <w:sz w:val="20"/>
                <w:szCs w:val="20"/>
                <w:color w:val="auto"/>
              </w:rPr>
            </w:pPr>
            <w:r>
              <w:rPr>
                <w:rFonts w:ascii="Arial" w:cs="Arial" w:eastAsia="Arial" w:hAnsi="Arial"/>
                <w:sz w:val="13"/>
                <w:szCs w:val="13"/>
                <w:color w:val="auto"/>
                <w:w w:val="97"/>
              </w:rPr>
              <w:t>Los Angeles-Long Beach-Anaheim, CA</w:t>
            </w:r>
          </w:p>
        </w:tc>
        <w:tc>
          <w:tcPr>
            <w:tcW w:w="620" w:type="dxa"/>
            <w:vAlign w:val="bottom"/>
          </w:tcPr>
          <w:p>
            <w:pPr>
              <w:jc w:val="right"/>
              <w:spacing w:after="0"/>
              <w:rPr>
                <w:sz w:val="20"/>
                <w:szCs w:val="20"/>
                <w:color w:val="auto"/>
              </w:rPr>
            </w:pPr>
            <w:r>
              <w:rPr>
                <w:rFonts w:ascii="Arial" w:cs="Arial" w:eastAsia="Arial" w:hAnsi="Arial"/>
                <w:sz w:val="13"/>
                <w:szCs w:val="13"/>
                <w:color w:val="auto"/>
              </w:rPr>
              <w:t>61,809</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181,000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86 %</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Arial" w:cs="Arial" w:eastAsia="Arial" w:hAnsi="Arial"/>
                <w:sz w:val="13"/>
                <w:szCs w:val="13"/>
                <w:color w:val="auto"/>
              </w:rPr>
              <w:t>Target / Marshalls / L.A. Fitness</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Kings Court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3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San Jose-Sunnyvale-Santa Clara, CA</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11,610</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81,000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31,000</w:t>
            </w:r>
          </w:p>
        </w:tc>
        <w:tc>
          <w:tcPr>
            <w:tcW w:w="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Lunardi's</w:t>
            </w: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Arial" w:cs="Arial" w:eastAsia="Arial" w:hAnsi="Arial"/>
                <w:sz w:val="13"/>
                <w:szCs w:val="13"/>
                <w:color w:val="auto"/>
              </w:rPr>
              <w:t>Old Town Center</w:t>
            </w:r>
          </w:p>
        </w:tc>
        <w:tc>
          <w:tcPr>
            <w:tcW w:w="300" w:type="dxa"/>
            <w:vAlign w:val="bottom"/>
          </w:tcPr>
          <w:p>
            <w:pPr>
              <w:spacing w:after="0"/>
              <w:rPr>
                <w:sz w:val="10"/>
                <w:szCs w:val="10"/>
                <w:color w:val="auto"/>
              </w:rPr>
            </w:pPr>
          </w:p>
        </w:tc>
        <w:tc>
          <w:tcPr>
            <w:tcW w:w="2300" w:type="dxa"/>
            <w:vAlign w:val="bottom"/>
            <w:gridSpan w:val="2"/>
          </w:tcPr>
          <w:p>
            <w:pPr>
              <w:ind w:left="80"/>
              <w:spacing w:after="0" w:line="122" w:lineRule="exact"/>
              <w:rPr>
                <w:sz w:val="20"/>
                <w:szCs w:val="20"/>
                <w:color w:val="auto"/>
              </w:rPr>
            </w:pPr>
            <w:r>
              <w:rPr>
                <w:rFonts w:ascii="Arial" w:cs="Arial" w:eastAsia="Arial" w:hAnsi="Arial"/>
                <w:sz w:val="13"/>
                <w:szCs w:val="13"/>
                <w:color w:val="auto"/>
              </w:rPr>
              <w:t>San Jose-Sunnyvale-Santa Clara, CA</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38,169</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8</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97,000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90 %</w:t>
            </w: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w w:val="99"/>
              </w:rPr>
              <w:t>Anthropologie / Banana Republic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Arial" w:cs="Arial" w:eastAsia="Arial" w:hAnsi="Arial"/>
                <w:sz w:val="13"/>
                <w:szCs w:val="13"/>
                <w:color w:val="auto"/>
              </w:rPr>
              <w:t>Gap</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Olivo at Mission</w:t>
            </w:r>
          </w:p>
        </w:tc>
        <w:tc>
          <w:tcPr>
            <w:tcW w:w="3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230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97"/>
              </w:rPr>
              <w:t>Los Angeles-Long Beach-Anaheim, CA</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81,718</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155,000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89"/>
              </w:rPr>
              <w:t>Target / 24 Hour Fitness / Ross Dress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Hills</w:t>
            </w: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For Less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3"/>
                <w:szCs w:val="13"/>
                <w:color w:val="auto"/>
              </w:rPr>
              <w:t>Plaza Del Sol</w:t>
            </w:r>
          </w:p>
        </w:tc>
        <w:tc>
          <w:tcPr>
            <w:tcW w:w="300" w:type="dxa"/>
            <w:vAlign w:val="bottom"/>
          </w:tcPr>
          <w:p>
            <w:pPr>
              <w:jc w:val="right"/>
              <w:spacing w:after="0"/>
              <w:rPr>
                <w:sz w:val="20"/>
                <w:szCs w:val="20"/>
                <w:color w:val="auto"/>
              </w:rPr>
            </w:pPr>
            <w:r>
              <w:rPr>
                <w:rFonts w:ascii="Arial" w:cs="Arial" w:eastAsia="Arial" w:hAnsi="Arial"/>
                <w:sz w:val="13"/>
                <w:szCs w:val="13"/>
                <w:color w:val="auto"/>
              </w:rPr>
              <w:t>(4)</w:t>
            </w:r>
          </w:p>
        </w:tc>
        <w:tc>
          <w:tcPr>
            <w:tcW w:w="2300" w:type="dxa"/>
            <w:vAlign w:val="bottom"/>
            <w:gridSpan w:val="2"/>
          </w:tcPr>
          <w:p>
            <w:pPr>
              <w:ind w:left="80"/>
              <w:spacing w:after="0"/>
              <w:rPr>
                <w:sz w:val="20"/>
                <w:szCs w:val="20"/>
                <w:color w:val="auto"/>
              </w:rPr>
            </w:pPr>
            <w:r>
              <w:rPr>
                <w:rFonts w:ascii="Arial" w:cs="Arial" w:eastAsia="Arial" w:hAnsi="Arial"/>
                <w:sz w:val="13"/>
                <w:szCs w:val="13"/>
                <w:color w:val="auto"/>
                <w:w w:val="97"/>
              </w:rPr>
              <w:t>Los Angeles-Long Beach-Anaheim, CA</w:t>
            </w:r>
          </w:p>
        </w:tc>
        <w:tc>
          <w:tcPr>
            <w:tcW w:w="620" w:type="dxa"/>
            <w:vAlign w:val="bottom"/>
          </w:tcPr>
          <w:p>
            <w:pPr>
              <w:jc w:val="right"/>
              <w:spacing w:after="0"/>
              <w:rPr>
                <w:sz w:val="20"/>
                <w:szCs w:val="20"/>
                <w:color w:val="auto"/>
              </w:rPr>
            </w:pPr>
            <w:r>
              <w:rPr>
                <w:rFonts w:ascii="Arial" w:cs="Arial" w:eastAsia="Arial" w:hAnsi="Arial"/>
                <w:sz w:val="13"/>
                <w:szCs w:val="13"/>
                <w:color w:val="auto"/>
              </w:rPr>
              <w:t>17,864</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7,943</w:t>
            </w:r>
          </w:p>
        </w:tc>
        <w:tc>
          <w:tcPr>
            <w:tcW w:w="44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48,000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93 %</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99"/>
              </w:rPr>
              <w:t>Plaza El Segundo /</w:t>
            </w:r>
          </w:p>
        </w:tc>
        <w:tc>
          <w:tcPr>
            <w:tcW w:w="3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230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97"/>
              </w:rPr>
              <w:t>Los Angeles-Long Beach-Anaheim, CA</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297,086</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125,000</w:t>
            </w: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500,000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92 %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66,000</w:t>
            </w:r>
          </w:p>
        </w:tc>
        <w:tc>
          <w:tcPr>
            <w:tcW w:w="8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w w:val="96"/>
              </w:rPr>
              <w:t>Whole Foods</w:t>
            </w: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Nordstrom Rack / HomeGoods /</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The Point</w:t>
            </w: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2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Dick's Sporting Goods / Multiple</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Restaurants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3"/>
                <w:szCs w:val="13"/>
                <w:color w:val="auto"/>
                <w:w w:val="96"/>
              </w:rPr>
              <w:t>San Antonio Center</w:t>
            </w:r>
          </w:p>
        </w:tc>
        <w:tc>
          <w:tcPr>
            <w:tcW w:w="300" w:type="dxa"/>
            <w:vAlign w:val="bottom"/>
          </w:tcPr>
          <w:p>
            <w:pPr>
              <w:jc w:val="right"/>
              <w:spacing w:after="0"/>
              <w:rPr>
                <w:sz w:val="20"/>
                <w:szCs w:val="20"/>
                <w:color w:val="auto"/>
              </w:rPr>
            </w:pPr>
            <w:r>
              <w:rPr>
                <w:rFonts w:ascii="Arial" w:cs="Arial" w:eastAsia="Arial" w:hAnsi="Arial"/>
                <w:sz w:val="13"/>
                <w:szCs w:val="13"/>
                <w:color w:val="auto"/>
              </w:rPr>
              <w:t>(6)</w:t>
            </w:r>
          </w:p>
        </w:tc>
        <w:tc>
          <w:tcPr>
            <w:tcW w:w="2300" w:type="dxa"/>
            <w:vAlign w:val="bottom"/>
            <w:gridSpan w:val="2"/>
          </w:tcPr>
          <w:p>
            <w:pPr>
              <w:ind w:left="80"/>
              <w:spacing w:after="0"/>
              <w:rPr>
                <w:sz w:val="20"/>
                <w:szCs w:val="20"/>
                <w:color w:val="auto"/>
              </w:rPr>
            </w:pPr>
            <w:r>
              <w:rPr>
                <w:rFonts w:ascii="Arial" w:cs="Arial" w:eastAsia="Arial" w:hAnsi="Arial"/>
                <w:sz w:val="13"/>
                <w:szCs w:val="13"/>
                <w:color w:val="auto"/>
              </w:rPr>
              <w:t>San Jose-Sunnyvale-Santa Clara, CA</w:t>
            </w:r>
          </w:p>
        </w:tc>
        <w:tc>
          <w:tcPr>
            <w:tcW w:w="620" w:type="dxa"/>
            <w:vAlign w:val="bottom"/>
          </w:tcPr>
          <w:p>
            <w:pPr>
              <w:jc w:val="right"/>
              <w:spacing w:after="0"/>
              <w:rPr>
                <w:sz w:val="20"/>
                <w:szCs w:val="20"/>
                <w:color w:val="auto"/>
              </w:rPr>
            </w:pPr>
            <w:r>
              <w:rPr>
                <w:rFonts w:ascii="Arial" w:cs="Arial" w:eastAsia="Arial" w:hAnsi="Arial"/>
                <w:sz w:val="13"/>
                <w:szCs w:val="13"/>
                <w:color w:val="auto"/>
              </w:rPr>
              <w:t>47,701</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212,000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98 %</w:t>
            </w:r>
          </w:p>
        </w:tc>
        <w:tc>
          <w:tcPr>
            <w:tcW w:w="6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5"/>
              </w:rPr>
              <w:t>11,000</w:t>
            </w:r>
          </w:p>
        </w:tc>
        <w:tc>
          <w:tcPr>
            <w:tcW w:w="820" w:type="dxa"/>
            <w:vAlign w:val="bottom"/>
          </w:tcPr>
          <w:p>
            <w:pPr>
              <w:ind w:left="60"/>
              <w:spacing w:after="0"/>
              <w:rPr>
                <w:sz w:val="20"/>
                <w:szCs w:val="20"/>
                <w:color w:val="auto"/>
              </w:rPr>
            </w:pPr>
            <w:r>
              <w:rPr>
                <w:rFonts w:ascii="Arial" w:cs="Arial" w:eastAsia="Arial" w:hAnsi="Arial"/>
                <w:sz w:val="13"/>
                <w:szCs w:val="13"/>
                <w:color w:val="auto"/>
              </w:rPr>
              <w:t>Trader Joe's</w:t>
            </w:r>
          </w:p>
        </w:tc>
        <w:tc>
          <w:tcPr>
            <w:tcW w:w="2020" w:type="dxa"/>
            <w:vAlign w:val="bottom"/>
          </w:tcPr>
          <w:p>
            <w:pPr>
              <w:ind w:left="40"/>
              <w:spacing w:after="0"/>
              <w:rPr>
                <w:sz w:val="20"/>
                <w:szCs w:val="20"/>
                <w:color w:val="auto"/>
              </w:rPr>
            </w:pPr>
            <w:r>
              <w:rPr>
                <w:rFonts w:ascii="Arial" w:cs="Arial" w:eastAsia="Arial" w:hAnsi="Arial"/>
                <w:sz w:val="13"/>
                <w:szCs w:val="13"/>
                <w:color w:val="auto"/>
              </w:rPr>
              <w:t>Walmart / 24 Hour Fitness</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Santana Row</w:t>
            </w:r>
          </w:p>
        </w:tc>
        <w:tc>
          <w:tcPr>
            <w:tcW w:w="300" w:type="dxa"/>
            <w:vAlign w:val="bottom"/>
            <w:shd w:val="clear" w:color="auto" w:fill="CCEEFF"/>
          </w:tcPr>
          <w:p>
            <w:pPr>
              <w:spacing w:after="0"/>
              <w:rPr>
                <w:sz w:val="11"/>
                <w:szCs w:val="11"/>
                <w:color w:val="auto"/>
              </w:rPr>
            </w:pPr>
          </w:p>
        </w:tc>
        <w:tc>
          <w:tcPr>
            <w:tcW w:w="230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rPr>
              <w:t>San Jose-Sunnyvale-Santa Clara, CA</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1,212,440</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45</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1,201,000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96 %</w:t>
            </w:r>
          </w:p>
        </w:tc>
        <w:tc>
          <w:tcPr>
            <w:tcW w:w="68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662</w:t>
            </w:r>
          </w:p>
        </w:tc>
        <w:tc>
          <w:tcPr>
            <w:tcW w:w="5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Crate &amp; Barrel / H&amp;M / Best Buy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Multiple Restaurants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Arial" w:cs="Arial" w:eastAsia="Arial" w:hAnsi="Arial"/>
                <w:sz w:val="13"/>
                <w:szCs w:val="13"/>
                <w:color w:val="auto"/>
              </w:rPr>
              <w:t>Sylmar Towne</w:t>
            </w:r>
          </w:p>
        </w:tc>
        <w:tc>
          <w:tcPr>
            <w:tcW w:w="300" w:type="dxa"/>
            <w:vAlign w:val="bottom"/>
          </w:tcPr>
          <w:p>
            <w:pPr>
              <w:jc w:val="right"/>
              <w:spacing w:after="0" w:line="122" w:lineRule="exact"/>
              <w:rPr>
                <w:sz w:val="20"/>
                <w:szCs w:val="20"/>
                <w:color w:val="auto"/>
              </w:rPr>
            </w:pPr>
            <w:r>
              <w:rPr>
                <w:rFonts w:ascii="Arial" w:cs="Arial" w:eastAsia="Arial" w:hAnsi="Arial"/>
                <w:sz w:val="13"/>
                <w:szCs w:val="13"/>
                <w:color w:val="auto"/>
              </w:rPr>
              <w:t>(4)</w:t>
            </w:r>
          </w:p>
        </w:tc>
        <w:tc>
          <w:tcPr>
            <w:tcW w:w="2300" w:type="dxa"/>
            <w:vAlign w:val="bottom"/>
            <w:gridSpan w:val="2"/>
          </w:tcPr>
          <w:p>
            <w:pPr>
              <w:ind w:left="80"/>
              <w:spacing w:after="0" w:line="122" w:lineRule="exact"/>
              <w:rPr>
                <w:sz w:val="20"/>
                <w:szCs w:val="20"/>
                <w:color w:val="auto"/>
              </w:rPr>
            </w:pPr>
            <w:r>
              <w:rPr>
                <w:rFonts w:ascii="Arial" w:cs="Arial" w:eastAsia="Arial" w:hAnsi="Arial"/>
                <w:sz w:val="13"/>
                <w:szCs w:val="13"/>
                <w:color w:val="auto"/>
                <w:w w:val="97"/>
              </w:rPr>
              <w:t>Los Angeles-Long Beach-Anaheim, CA</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46,123</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12</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148,000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93 %</w:t>
            </w:r>
          </w:p>
        </w:tc>
        <w:tc>
          <w:tcPr>
            <w:tcW w:w="6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90"/>
              </w:rPr>
              <w:t>43,000</w:t>
            </w:r>
          </w:p>
        </w:tc>
        <w:tc>
          <w:tcPr>
            <w:tcW w:w="820" w:type="dxa"/>
            <w:vAlign w:val="bottom"/>
          </w:tcPr>
          <w:p>
            <w:pPr>
              <w:ind w:left="60"/>
              <w:spacing w:after="0" w:line="122" w:lineRule="exact"/>
              <w:rPr>
                <w:sz w:val="20"/>
                <w:szCs w:val="20"/>
                <w:color w:val="auto"/>
              </w:rPr>
            </w:pPr>
            <w:r>
              <w:rPr>
                <w:rFonts w:ascii="Arial" w:cs="Arial" w:eastAsia="Arial" w:hAnsi="Arial"/>
                <w:sz w:val="13"/>
                <w:szCs w:val="13"/>
                <w:color w:val="auto"/>
              </w:rPr>
              <w:t>Food 4 Less</w:t>
            </w: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3"/>
                <w:szCs w:val="13"/>
                <w:color w:val="auto"/>
              </w:rPr>
              <w:t>Center</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Third Street</w:t>
            </w:r>
          </w:p>
        </w:tc>
        <w:tc>
          <w:tcPr>
            <w:tcW w:w="300" w:type="dxa"/>
            <w:vAlign w:val="bottom"/>
            <w:shd w:val="clear" w:color="auto" w:fill="CCEEFF"/>
          </w:tcPr>
          <w:p>
            <w:pPr>
              <w:spacing w:after="0"/>
              <w:rPr>
                <w:sz w:val="11"/>
                <w:szCs w:val="11"/>
                <w:color w:val="auto"/>
              </w:rPr>
            </w:pPr>
          </w:p>
        </w:tc>
        <w:tc>
          <w:tcPr>
            <w:tcW w:w="230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97"/>
              </w:rPr>
              <w:t>Los Angeles-Long Beach-Anaheim, CA</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82,319</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208,000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83 %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adidas / Old Navy / J. Crew</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Promenade</w:t>
            </w: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Arial" w:cs="Arial" w:eastAsia="Arial" w:hAnsi="Arial"/>
                <w:sz w:val="13"/>
                <w:szCs w:val="13"/>
                <w:color w:val="auto"/>
              </w:rPr>
              <w:t>Westgate Center</w:t>
            </w:r>
          </w:p>
        </w:tc>
        <w:tc>
          <w:tcPr>
            <w:tcW w:w="300" w:type="dxa"/>
            <w:vAlign w:val="bottom"/>
          </w:tcPr>
          <w:p>
            <w:pPr>
              <w:spacing w:after="0"/>
              <w:rPr>
                <w:sz w:val="10"/>
                <w:szCs w:val="10"/>
                <w:color w:val="auto"/>
              </w:rPr>
            </w:pPr>
          </w:p>
        </w:tc>
        <w:tc>
          <w:tcPr>
            <w:tcW w:w="2300" w:type="dxa"/>
            <w:vAlign w:val="bottom"/>
            <w:gridSpan w:val="2"/>
          </w:tcPr>
          <w:p>
            <w:pPr>
              <w:ind w:left="80"/>
              <w:spacing w:after="0" w:line="122" w:lineRule="exact"/>
              <w:rPr>
                <w:sz w:val="20"/>
                <w:szCs w:val="20"/>
                <w:color w:val="auto"/>
              </w:rPr>
            </w:pPr>
            <w:r>
              <w:rPr>
                <w:rFonts w:ascii="Arial" w:cs="Arial" w:eastAsia="Arial" w:hAnsi="Arial"/>
                <w:sz w:val="13"/>
                <w:szCs w:val="13"/>
                <w:color w:val="auto"/>
              </w:rPr>
              <w:t>San Jose-Sunnyvale-Santa Clara, CA</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158,132</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44</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648,000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97 %</w:t>
            </w: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Target / Nordstrom Rack / Nike</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Factory / TJ Maxx</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30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Total California</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2,881,331</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6,433,000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95 %</w:t>
            </w: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gridSpan w:val="3"/>
          </w:tcPr>
          <w:p>
            <w:pPr>
              <w:spacing w:after="0"/>
              <w:rPr>
                <w:sz w:val="14"/>
                <w:szCs w:val="14"/>
                <w:color w:val="auto"/>
              </w:rPr>
            </w:pPr>
          </w:p>
        </w:tc>
        <w:tc>
          <w:tcPr>
            <w:tcW w:w="1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720" w:type="dxa"/>
            <w:vAlign w:val="bottom"/>
            <w:gridSpan w:val="5"/>
            <w:shd w:val="clear" w:color="auto" w:fill="CCEEFF"/>
          </w:tcPr>
          <w:p>
            <w:pPr>
              <w:ind w:left="60"/>
              <w:spacing w:after="0" w:line="135" w:lineRule="exact"/>
              <w:rPr>
                <w:sz w:val="20"/>
                <w:szCs w:val="20"/>
                <w:color w:val="auto"/>
              </w:rPr>
            </w:pPr>
            <w:r>
              <w:rPr>
                <w:rFonts w:ascii="Arial" w:cs="Arial" w:eastAsia="Arial" w:hAnsi="Arial"/>
                <w:sz w:val="13"/>
                <w:szCs w:val="13"/>
                <w:b w:val="1"/>
                <w:bCs w:val="1"/>
                <w:color w:val="auto"/>
              </w:rPr>
              <w:t>Washington Metropolitan Area</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Arial" w:cs="Arial" w:eastAsia="Arial" w:hAnsi="Arial"/>
                <w:sz w:val="13"/>
                <w:szCs w:val="13"/>
                <w:color w:val="auto"/>
              </w:rPr>
              <w:t>Barcroft Plaza</w:t>
            </w:r>
          </w:p>
        </w:tc>
        <w:tc>
          <w:tcPr>
            <w:tcW w:w="300" w:type="dxa"/>
            <w:vAlign w:val="bottom"/>
          </w:tcPr>
          <w:p>
            <w:pPr>
              <w:spacing w:after="0"/>
              <w:rPr>
                <w:sz w:val="10"/>
                <w:szCs w:val="10"/>
                <w:color w:val="auto"/>
              </w:rPr>
            </w:pPr>
          </w:p>
        </w:tc>
        <w:tc>
          <w:tcPr>
            <w:tcW w:w="2300" w:type="dxa"/>
            <w:vAlign w:val="bottom"/>
            <w:gridSpan w:val="2"/>
          </w:tcPr>
          <w:p>
            <w:pPr>
              <w:ind w:left="80"/>
              <w:spacing w:after="0" w:line="122"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49,695</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10</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113,000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94 %</w:t>
            </w:r>
          </w:p>
        </w:tc>
        <w:tc>
          <w:tcPr>
            <w:tcW w:w="6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90"/>
              </w:rPr>
              <w:t>46,000</w:t>
            </w:r>
          </w:p>
        </w:tc>
        <w:tc>
          <w:tcPr>
            <w:tcW w:w="820" w:type="dxa"/>
            <w:vAlign w:val="bottom"/>
          </w:tcPr>
          <w:p>
            <w:pPr>
              <w:ind w:left="60"/>
              <w:spacing w:after="0" w:line="122" w:lineRule="exact"/>
              <w:rPr>
                <w:sz w:val="20"/>
                <w:szCs w:val="20"/>
                <w:color w:val="auto"/>
              </w:rPr>
            </w:pPr>
            <w:r>
              <w:rPr>
                <w:rFonts w:ascii="Arial" w:cs="Arial" w:eastAsia="Arial" w:hAnsi="Arial"/>
                <w:sz w:val="13"/>
                <w:szCs w:val="13"/>
                <w:color w:val="auto"/>
                <w:w w:val="97"/>
              </w:rPr>
              <w:t>Harris Teeter</w:t>
            </w:r>
          </w:p>
        </w:tc>
        <w:tc>
          <w:tcPr>
            <w:tcW w:w="2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2"/>
          </w:tcPr>
          <w:p>
            <w:pPr>
              <w:ind w:left="80"/>
              <w:spacing w:after="0"/>
              <w:rPr>
                <w:sz w:val="20"/>
                <w:szCs w:val="20"/>
                <w:color w:val="auto"/>
              </w:rPr>
            </w:pPr>
            <w:r>
              <w:rPr>
                <w:rFonts w:ascii="Arial" w:cs="Arial" w:eastAsia="Arial" w:hAnsi="Arial"/>
                <w:sz w:val="13"/>
                <w:szCs w:val="13"/>
                <w:color w:val="auto"/>
              </w:rPr>
              <w:t>VA-MD-WV</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Bethesda Row</w:t>
            </w:r>
          </w:p>
        </w:tc>
        <w:tc>
          <w:tcPr>
            <w:tcW w:w="300" w:type="dxa"/>
            <w:vAlign w:val="bottom"/>
            <w:shd w:val="clear" w:color="auto" w:fill="CCEEFF"/>
          </w:tcPr>
          <w:p>
            <w:pPr>
              <w:spacing w:after="0"/>
              <w:rPr>
                <w:sz w:val="11"/>
                <w:szCs w:val="11"/>
                <w:color w:val="auto"/>
              </w:rPr>
            </w:pPr>
          </w:p>
        </w:tc>
        <w:tc>
          <w:tcPr>
            <w:tcW w:w="230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247,659</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529,000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93 %</w:t>
            </w:r>
          </w:p>
        </w:tc>
        <w:tc>
          <w:tcPr>
            <w:tcW w:w="68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180</w:t>
            </w: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40,000</w:t>
            </w:r>
          </w:p>
        </w:tc>
        <w:tc>
          <w:tcPr>
            <w:tcW w:w="8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Giant Food</w:t>
            </w: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Apple / Equinox / Anthropologie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3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VA-MD-WV</w:t>
            </w: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Multiple Restaurants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Arial" w:cs="Arial" w:eastAsia="Arial" w:hAnsi="Arial"/>
                <w:sz w:val="13"/>
                <w:szCs w:val="13"/>
                <w:color w:val="auto"/>
              </w:rPr>
              <w:t>Birch &amp; Broad</w:t>
            </w:r>
          </w:p>
        </w:tc>
        <w:tc>
          <w:tcPr>
            <w:tcW w:w="300" w:type="dxa"/>
            <w:vAlign w:val="bottom"/>
          </w:tcPr>
          <w:p>
            <w:pPr>
              <w:spacing w:after="0"/>
              <w:rPr>
                <w:sz w:val="10"/>
                <w:szCs w:val="10"/>
                <w:color w:val="auto"/>
              </w:rPr>
            </w:pPr>
          </w:p>
        </w:tc>
        <w:tc>
          <w:tcPr>
            <w:tcW w:w="2300" w:type="dxa"/>
            <w:vAlign w:val="bottom"/>
            <w:gridSpan w:val="2"/>
          </w:tcPr>
          <w:p>
            <w:pPr>
              <w:ind w:left="80"/>
              <w:spacing w:after="0" w:line="122"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18,818</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10</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144,000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94 %</w:t>
            </w:r>
          </w:p>
        </w:tc>
        <w:tc>
          <w:tcPr>
            <w:tcW w:w="6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90"/>
              </w:rPr>
              <w:t>51,000</w:t>
            </w:r>
          </w:p>
        </w:tc>
        <w:tc>
          <w:tcPr>
            <w:tcW w:w="820" w:type="dxa"/>
            <w:vAlign w:val="bottom"/>
          </w:tcPr>
          <w:p>
            <w:pPr>
              <w:ind w:left="60"/>
              <w:spacing w:after="0" w:line="122" w:lineRule="exact"/>
              <w:rPr>
                <w:sz w:val="20"/>
                <w:szCs w:val="20"/>
                <w:color w:val="auto"/>
              </w:rPr>
            </w:pPr>
            <w:r>
              <w:rPr>
                <w:rFonts w:ascii="Arial" w:cs="Arial" w:eastAsia="Arial" w:hAnsi="Arial"/>
                <w:sz w:val="13"/>
                <w:szCs w:val="13"/>
                <w:color w:val="auto"/>
              </w:rPr>
              <w:t>Giant Food</w:t>
            </w: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CVS / Staples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2"/>
          </w:tcPr>
          <w:p>
            <w:pPr>
              <w:ind w:left="80"/>
              <w:spacing w:after="0"/>
              <w:rPr>
                <w:sz w:val="20"/>
                <w:szCs w:val="20"/>
                <w:color w:val="auto"/>
              </w:rPr>
            </w:pPr>
            <w:r>
              <w:rPr>
                <w:rFonts w:ascii="Arial" w:cs="Arial" w:eastAsia="Arial" w:hAnsi="Arial"/>
                <w:sz w:val="13"/>
                <w:szCs w:val="13"/>
                <w:color w:val="auto"/>
              </w:rPr>
              <w:t>VA-MD-WV</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Chesterbrook</w:t>
            </w:r>
          </w:p>
        </w:tc>
        <w:tc>
          <w:tcPr>
            <w:tcW w:w="3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230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37,781</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90,000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85 %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35,000</w:t>
            </w:r>
          </w:p>
        </w:tc>
        <w:tc>
          <w:tcPr>
            <w:tcW w:w="8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Safeway</w:t>
            </w: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Walgreens / Starbucks</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3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VA-MD-WV</w:t>
            </w: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Arial" w:cs="Arial" w:eastAsia="Arial" w:hAnsi="Arial"/>
                <w:sz w:val="13"/>
                <w:szCs w:val="13"/>
                <w:color w:val="auto"/>
                <w:w w:val="92"/>
              </w:rPr>
              <w:t>Congressional Plaza</w:t>
            </w:r>
          </w:p>
        </w:tc>
        <w:tc>
          <w:tcPr>
            <w:tcW w:w="300" w:type="dxa"/>
            <w:vAlign w:val="bottom"/>
          </w:tcPr>
          <w:p>
            <w:pPr>
              <w:jc w:val="right"/>
              <w:spacing w:after="0" w:line="122" w:lineRule="exact"/>
              <w:rPr>
                <w:sz w:val="20"/>
                <w:szCs w:val="20"/>
                <w:color w:val="auto"/>
              </w:rPr>
            </w:pPr>
            <w:r>
              <w:rPr>
                <w:rFonts w:ascii="Arial" w:cs="Arial" w:eastAsia="Arial" w:hAnsi="Arial"/>
                <w:sz w:val="13"/>
                <w:szCs w:val="13"/>
                <w:color w:val="auto"/>
              </w:rPr>
              <w:t>(4)</w:t>
            </w:r>
          </w:p>
        </w:tc>
        <w:tc>
          <w:tcPr>
            <w:tcW w:w="2300" w:type="dxa"/>
            <w:vAlign w:val="bottom"/>
            <w:gridSpan w:val="2"/>
          </w:tcPr>
          <w:p>
            <w:pPr>
              <w:ind w:left="80"/>
              <w:spacing w:after="0" w:line="122"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106,942</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21</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324,000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90 %</w:t>
            </w:r>
          </w:p>
        </w:tc>
        <w:tc>
          <w:tcPr>
            <w:tcW w:w="680" w:type="dxa"/>
            <w:vAlign w:val="bottom"/>
          </w:tcPr>
          <w:p>
            <w:pPr>
              <w:jc w:val="center"/>
              <w:spacing w:after="0" w:line="122" w:lineRule="exact"/>
              <w:rPr>
                <w:sz w:val="20"/>
                <w:szCs w:val="20"/>
                <w:color w:val="auto"/>
              </w:rPr>
            </w:pPr>
            <w:r>
              <w:rPr>
                <w:rFonts w:ascii="Arial" w:cs="Arial" w:eastAsia="Arial" w:hAnsi="Arial"/>
                <w:sz w:val="13"/>
                <w:szCs w:val="13"/>
                <w:color w:val="auto"/>
                <w:w w:val="82"/>
              </w:rPr>
              <w:t>194</w:t>
            </w: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90"/>
              </w:rPr>
              <w:t>25,000</w:t>
            </w:r>
          </w:p>
        </w:tc>
        <w:tc>
          <w:tcPr>
            <w:tcW w:w="820" w:type="dxa"/>
            <w:vAlign w:val="bottom"/>
          </w:tcPr>
          <w:p>
            <w:pPr>
              <w:ind w:left="60"/>
              <w:spacing w:after="0" w:line="122" w:lineRule="exact"/>
              <w:rPr>
                <w:sz w:val="20"/>
                <w:szCs w:val="20"/>
                <w:color w:val="auto"/>
              </w:rPr>
            </w:pPr>
            <w:r>
              <w:rPr>
                <w:rFonts w:ascii="Arial" w:cs="Arial" w:eastAsia="Arial" w:hAnsi="Arial"/>
                <w:sz w:val="13"/>
                <w:szCs w:val="13"/>
                <w:color w:val="auto"/>
              </w:rPr>
              <w:t>The Fresh</w:t>
            </w: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Buy Buy Baby / Ulta / Barnes &amp;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2"/>
          </w:tcPr>
          <w:p>
            <w:pPr>
              <w:ind w:left="80"/>
              <w:spacing w:after="0"/>
              <w:rPr>
                <w:sz w:val="20"/>
                <w:szCs w:val="20"/>
                <w:color w:val="auto"/>
              </w:rPr>
            </w:pPr>
            <w:r>
              <w:rPr>
                <w:rFonts w:ascii="Arial" w:cs="Arial" w:eastAsia="Arial" w:hAnsi="Arial"/>
                <w:sz w:val="13"/>
                <w:szCs w:val="13"/>
                <w:color w:val="auto"/>
              </w:rPr>
              <w:t>VA-MD-WV</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auto"/>
              </w:rPr>
              <w:t>Market</w:t>
            </w:r>
          </w:p>
        </w:tc>
        <w:tc>
          <w:tcPr>
            <w:tcW w:w="2020" w:type="dxa"/>
            <w:vAlign w:val="bottom"/>
          </w:tcPr>
          <w:p>
            <w:pPr>
              <w:ind w:left="40"/>
              <w:spacing w:after="0"/>
              <w:rPr>
                <w:sz w:val="20"/>
                <w:szCs w:val="20"/>
                <w:color w:val="auto"/>
              </w:rPr>
            </w:pPr>
            <w:r>
              <w:rPr>
                <w:rFonts w:ascii="Arial" w:cs="Arial" w:eastAsia="Arial" w:hAnsi="Arial"/>
                <w:sz w:val="13"/>
                <w:szCs w:val="13"/>
                <w:color w:val="auto"/>
              </w:rPr>
              <w:t>Noble</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Courthouse Center</w:t>
            </w:r>
          </w:p>
        </w:tc>
        <w:tc>
          <w:tcPr>
            <w:tcW w:w="300" w:type="dxa"/>
            <w:vAlign w:val="bottom"/>
            <w:shd w:val="clear" w:color="auto" w:fill="CCEEFF"/>
          </w:tcPr>
          <w:p>
            <w:pPr>
              <w:spacing w:after="0"/>
              <w:rPr>
                <w:sz w:val="11"/>
                <w:szCs w:val="11"/>
                <w:color w:val="auto"/>
              </w:rPr>
            </w:pPr>
          </w:p>
        </w:tc>
        <w:tc>
          <w:tcPr>
            <w:tcW w:w="230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7,101</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37,000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76 %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3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VA-MD-WV</w:t>
            </w: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Arial" w:cs="Arial" w:eastAsia="Arial" w:hAnsi="Arial"/>
                <w:sz w:val="13"/>
                <w:szCs w:val="13"/>
                <w:color w:val="auto"/>
              </w:rPr>
              <w:t>Fairfax Junction</w:t>
            </w:r>
          </w:p>
        </w:tc>
        <w:tc>
          <w:tcPr>
            <w:tcW w:w="300" w:type="dxa"/>
            <w:vAlign w:val="bottom"/>
          </w:tcPr>
          <w:p>
            <w:pPr>
              <w:jc w:val="right"/>
              <w:spacing w:after="0" w:line="122" w:lineRule="exact"/>
              <w:rPr>
                <w:sz w:val="20"/>
                <w:szCs w:val="20"/>
                <w:color w:val="auto"/>
              </w:rPr>
            </w:pPr>
            <w:r>
              <w:rPr>
                <w:rFonts w:ascii="Arial" w:cs="Arial" w:eastAsia="Arial" w:hAnsi="Arial"/>
                <w:sz w:val="13"/>
                <w:szCs w:val="13"/>
                <w:color w:val="auto"/>
              </w:rPr>
              <w:t>(6)</w:t>
            </w:r>
          </w:p>
        </w:tc>
        <w:tc>
          <w:tcPr>
            <w:tcW w:w="2300" w:type="dxa"/>
            <w:vAlign w:val="bottom"/>
            <w:gridSpan w:val="2"/>
          </w:tcPr>
          <w:p>
            <w:pPr>
              <w:ind w:left="80"/>
              <w:spacing w:after="0" w:line="122"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41,283</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11</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124,000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97 %</w:t>
            </w:r>
          </w:p>
        </w:tc>
        <w:tc>
          <w:tcPr>
            <w:tcW w:w="6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90"/>
              </w:rPr>
              <w:t>23,000</w:t>
            </w:r>
          </w:p>
        </w:tc>
        <w:tc>
          <w:tcPr>
            <w:tcW w:w="820" w:type="dxa"/>
            <w:vAlign w:val="bottom"/>
          </w:tcPr>
          <w:p>
            <w:pPr>
              <w:ind w:left="60"/>
              <w:spacing w:after="0" w:line="122" w:lineRule="exact"/>
              <w:rPr>
                <w:sz w:val="20"/>
                <w:szCs w:val="20"/>
                <w:color w:val="auto"/>
              </w:rPr>
            </w:pPr>
            <w:r>
              <w:rPr>
                <w:rFonts w:ascii="Arial" w:cs="Arial" w:eastAsia="Arial" w:hAnsi="Arial"/>
                <w:sz w:val="13"/>
                <w:szCs w:val="13"/>
                <w:color w:val="auto"/>
              </w:rPr>
              <w:t>Aldi</w:t>
            </w: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CVS / Planet Fitness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2"/>
          </w:tcPr>
          <w:p>
            <w:pPr>
              <w:ind w:left="80"/>
              <w:spacing w:after="0"/>
              <w:rPr>
                <w:sz w:val="20"/>
                <w:szCs w:val="20"/>
                <w:color w:val="auto"/>
              </w:rPr>
            </w:pPr>
            <w:r>
              <w:rPr>
                <w:rFonts w:ascii="Arial" w:cs="Arial" w:eastAsia="Arial" w:hAnsi="Arial"/>
                <w:sz w:val="13"/>
                <w:szCs w:val="13"/>
                <w:color w:val="auto"/>
              </w:rPr>
              <w:t>VA-MD-WV</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Federal Plaza</w:t>
            </w:r>
          </w:p>
        </w:tc>
        <w:tc>
          <w:tcPr>
            <w:tcW w:w="300" w:type="dxa"/>
            <w:vAlign w:val="bottom"/>
            <w:shd w:val="clear" w:color="auto" w:fill="CCEEFF"/>
          </w:tcPr>
          <w:p>
            <w:pPr>
              <w:spacing w:after="0"/>
              <w:rPr>
                <w:sz w:val="11"/>
                <w:szCs w:val="11"/>
                <w:color w:val="auto"/>
              </w:rPr>
            </w:pPr>
          </w:p>
        </w:tc>
        <w:tc>
          <w:tcPr>
            <w:tcW w:w="230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70,875</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249,000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14,000</w:t>
            </w:r>
          </w:p>
        </w:tc>
        <w:tc>
          <w:tcPr>
            <w:tcW w:w="8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Trader Joe's</w:t>
            </w: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2"/>
              </w:rPr>
              <w:t>TJ Maxx / Micro Center / Ross Dress</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3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VA-MD-WV</w:t>
            </w: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For Less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030"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4"/>
              </w:rPr>
              <w:t>Real</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9"/>
              </w:rPr>
              <w:t>Mortgage/Finance</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Residential</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8"/>
              </w:rPr>
              <w:t>Grocery</w:t>
            </w:r>
          </w:p>
        </w:tc>
        <w:tc>
          <w:tcPr>
            <w:tcW w:w="84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Grocery</w:t>
            </w: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vMerge w:val="restart"/>
          </w:tcPr>
          <w:p>
            <w:pPr>
              <w:ind w:left="100"/>
              <w:spacing w:after="0"/>
              <w:rPr>
                <w:sz w:val="20"/>
                <w:szCs w:val="20"/>
                <w:color w:val="auto"/>
              </w:rPr>
            </w:pPr>
            <w:r>
              <w:rPr>
                <w:rFonts w:ascii="Arial" w:cs="Arial" w:eastAsia="Arial" w:hAnsi="Arial"/>
                <w:sz w:val="13"/>
                <w:szCs w:val="13"/>
                <w:b w:val="1"/>
                <w:bCs w:val="1"/>
                <w:color w:val="auto"/>
                <w:w w:val="99"/>
              </w:rPr>
              <w:t>Property Name</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60" w:type="dxa"/>
            <w:vAlign w:val="bottom"/>
            <w:vMerge w:val="restart"/>
          </w:tcPr>
          <w:p>
            <w:pPr>
              <w:ind w:left="680"/>
              <w:spacing w:after="0"/>
              <w:rPr>
                <w:sz w:val="20"/>
                <w:szCs w:val="20"/>
                <w:color w:val="auto"/>
              </w:rPr>
            </w:pPr>
            <w:r>
              <w:rPr>
                <w:rFonts w:ascii="Arial" w:cs="Arial" w:eastAsia="Arial" w:hAnsi="Arial"/>
                <w:sz w:val="13"/>
                <w:szCs w:val="13"/>
                <w:b w:val="1"/>
                <w:bCs w:val="1"/>
                <w:color w:val="auto"/>
              </w:rPr>
              <w:t>MSA Description</w:t>
            </w:r>
          </w:p>
        </w:tc>
        <w:tc>
          <w:tcPr>
            <w:tcW w:w="6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4"/>
              </w:rPr>
              <w:t>Estate at</w:t>
            </w:r>
          </w:p>
        </w:tc>
        <w:tc>
          <w:tcPr>
            <w:tcW w:w="10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Lease Liabilities</w:t>
            </w:r>
          </w:p>
        </w:tc>
        <w:tc>
          <w:tcPr>
            <w:tcW w:w="5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3"/>
              </w:rPr>
              <w:t>Acreage</w:t>
            </w:r>
          </w:p>
        </w:tc>
        <w:tc>
          <w:tcPr>
            <w:tcW w:w="7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GLA (3)</w:t>
            </w: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b w:val="1"/>
                <w:bCs w:val="1"/>
                <w:color w:val="auto"/>
                <w:w w:val="98"/>
              </w:rPr>
              <w:t>Leased</w:t>
            </w:r>
          </w:p>
        </w:tc>
        <w:tc>
          <w:tcPr>
            <w:tcW w:w="680" w:type="dxa"/>
            <w:vAlign w:val="bottom"/>
            <w:vMerge w:val="continue"/>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Anchor</w:t>
            </w:r>
          </w:p>
        </w:tc>
        <w:tc>
          <w:tcPr>
            <w:tcW w:w="840" w:type="dxa"/>
            <w:vAlign w:val="bottom"/>
            <w:vMerge w:val="continue"/>
          </w:tcPr>
          <w:p>
            <w:pPr>
              <w:spacing w:after="0"/>
              <w:rPr>
                <w:sz w:val="10"/>
                <w:szCs w:val="10"/>
                <w:color w:val="auto"/>
              </w:rPr>
            </w:pPr>
          </w:p>
        </w:tc>
        <w:tc>
          <w:tcPr>
            <w:tcW w:w="200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Other Retail Tenants</w:t>
            </w: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Cost (1)</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520" w:type="dxa"/>
            <w:vAlign w:val="bottom"/>
            <w:tcBorders>
              <w:bottom w:val="single" w:sz="8" w:color="auto"/>
            </w:tcBorders>
            <w:gridSpan w:val="2"/>
            <w:vMerge w:val="continue"/>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(3)</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Units</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Anchor</w:t>
            </w:r>
          </w:p>
        </w:tc>
        <w:tc>
          <w:tcPr>
            <w:tcW w:w="2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620" w:type="dxa"/>
            <w:vAlign w:val="bottom"/>
          </w:tcPr>
          <w:p>
            <w:pPr>
              <w:jc w:val="center"/>
              <w:spacing w:after="0" w:line="111" w:lineRule="exact"/>
              <w:rPr>
                <w:sz w:val="20"/>
                <w:szCs w:val="20"/>
                <w:color w:val="auto"/>
              </w:rPr>
            </w:pPr>
            <w:r>
              <w:rPr>
                <w:rFonts w:ascii="Arial" w:cs="Arial" w:eastAsia="Arial" w:hAnsi="Arial"/>
                <w:sz w:val="11"/>
                <w:szCs w:val="11"/>
                <w:color w:val="auto"/>
                <w:w w:val="97"/>
              </w:rPr>
              <w:t>(in</w:t>
            </w:r>
          </w:p>
        </w:tc>
        <w:tc>
          <w:tcPr>
            <w:tcW w:w="1040" w:type="dxa"/>
            <w:vAlign w:val="bottom"/>
            <w:vMerge w:val="restart"/>
          </w:tcPr>
          <w:p>
            <w:pPr>
              <w:jc w:val="center"/>
              <w:spacing w:after="0"/>
              <w:rPr>
                <w:sz w:val="20"/>
                <w:szCs w:val="20"/>
                <w:color w:val="auto"/>
              </w:rPr>
            </w:pPr>
            <w:r>
              <w:rPr>
                <w:rFonts w:ascii="Arial" w:cs="Arial" w:eastAsia="Arial" w:hAnsi="Arial"/>
                <w:sz w:val="11"/>
                <w:szCs w:val="11"/>
                <w:color w:val="auto"/>
                <w:w w:val="88"/>
              </w:rPr>
              <w:t>(in thousands)</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104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40" w:type="dxa"/>
            <w:vAlign w:val="bottom"/>
          </w:tcPr>
          <w:p>
            <w:pPr>
              <w:spacing w:after="0" w:line="144" w:lineRule="exact"/>
              <w:rPr>
                <w:sz w:val="20"/>
                <w:szCs w:val="20"/>
                <w:color w:val="auto"/>
              </w:rPr>
            </w:pPr>
            <w:r>
              <w:rPr>
                <w:rFonts w:ascii="Arial" w:cs="Arial" w:eastAsia="Arial" w:hAnsi="Arial"/>
                <w:sz w:val="13"/>
                <w:szCs w:val="13"/>
                <w:color w:val="auto"/>
                <w:w w:val="98"/>
              </w:rPr>
              <w:t>Friendship Center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60" w:type="dxa"/>
            <w:vAlign w:val="bottom"/>
          </w:tcPr>
          <w:p>
            <w:pPr>
              <w:ind w:left="40"/>
              <w:spacing w:after="0" w:line="144"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tcPr>
          <w:p>
            <w:pPr>
              <w:jc w:val="right"/>
              <w:spacing w:after="0" w:line="144" w:lineRule="exact"/>
              <w:rPr>
                <w:sz w:val="20"/>
                <w:szCs w:val="20"/>
                <w:color w:val="auto"/>
              </w:rPr>
            </w:pPr>
            <w:r>
              <w:rPr>
                <w:rFonts w:ascii="Arial" w:cs="Arial" w:eastAsia="Arial" w:hAnsi="Arial"/>
                <w:sz w:val="13"/>
                <w:szCs w:val="13"/>
                <w:color w:val="auto"/>
              </w:rPr>
              <w:t>36,441</w:t>
            </w:r>
          </w:p>
        </w:tc>
        <w:tc>
          <w:tcPr>
            <w:tcW w:w="1040" w:type="dxa"/>
            <w:vAlign w:val="bottom"/>
          </w:tcPr>
          <w:p>
            <w:pPr>
              <w:spacing w:after="0"/>
              <w:rPr>
                <w:sz w:val="12"/>
                <w:szCs w:val="12"/>
                <w:color w:val="auto"/>
              </w:rPr>
            </w:pPr>
          </w:p>
        </w:tc>
        <w:tc>
          <w:tcPr>
            <w:tcW w:w="440" w:type="dxa"/>
            <w:vAlign w:val="bottom"/>
          </w:tcPr>
          <w:p>
            <w:pPr>
              <w:jc w:val="right"/>
              <w:spacing w:after="0" w:line="144"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119,000</w:t>
            </w:r>
          </w:p>
        </w:tc>
        <w:tc>
          <w:tcPr>
            <w:tcW w:w="8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66 %</w:t>
            </w: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0" w:type="dxa"/>
            <w:vAlign w:val="bottom"/>
          </w:tcPr>
          <w:p>
            <w:pPr>
              <w:ind w:left="40"/>
              <w:spacing w:after="0" w:line="144" w:lineRule="exact"/>
              <w:rPr>
                <w:sz w:val="20"/>
                <w:szCs w:val="20"/>
                <w:color w:val="auto"/>
              </w:rPr>
            </w:pPr>
            <w:r>
              <w:rPr>
                <w:rFonts w:ascii="Arial" w:cs="Arial" w:eastAsia="Arial" w:hAnsi="Arial"/>
                <w:sz w:val="13"/>
                <w:szCs w:val="13"/>
                <w:color w:val="auto"/>
              </w:rPr>
              <w:t>Marshalls / DSW / Maggiano's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Gaithersburg</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6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32,945</w:t>
            </w: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208,000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88 %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Ross Dress For Less / Ashley</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3"/>
                <w:szCs w:val="13"/>
                <w:color w:val="auto"/>
              </w:rPr>
              <w:t>Square</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Furniture HomeStore / CVS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Arial" w:cs="Arial" w:eastAsia="Arial" w:hAnsi="Arial"/>
                <w:sz w:val="13"/>
                <w:szCs w:val="13"/>
                <w:color w:val="auto"/>
                <w:w w:val="89"/>
              </w:rPr>
              <w:t>Graham Park Plaza</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60" w:type="dxa"/>
            <w:vAlign w:val="bottom"/>
          </w:tcPr>
          <w:p>
            <w:pPr>
              <w:ind w:left="40"/>
              <w:spacing w:after="0" w:line="122"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21,828</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10</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132,000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89 %</w:t>
            </w:r>
          </w:p>
        </w:tc>
        <w:tc>
          <w:tcPr>
            <w:tcW w:w="6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90"/>
              </w:rPr>
              <w:t>58,000</w:t>
            </w: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rPr>
              <w:t>Giant Food</w:t>
            </w: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Idylwood Plaza</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6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17,497</w:t>
            </w: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73,000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30,000</w:t>
            </w:r>
          </w:p>
        </w:tc>
        <w:tc>
          <w:tcPr>
            <w:tcW w:w="8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w w:val="99"/>
              </w:rPr>
              <w:t>Whole Foods</w:t>
            </w:r>
          </w:p>
        </w:tc>
        <w:tc>
          <w:tcPr>
            <w:tcW w:w="2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Arial" w:cs="Arial" w:eastAsia="Arial" w:hAnsi="Arial"/>
                <w:sz w:val="13"/>
                <w:szCs w:val="13"/>
                <w:color w:val="auto"/>
              </w:rPr>
              <w:t>Laurel</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60" w:type="dxa"/>
            <w:vAlign w:val="bottom"/>
          </w:tcPr>
          <w:p>
            <w:pPr>
              <w:ind w:left="40"/>
              <w:spacing w:after="0" w:line="122"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60,041</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26</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360,000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91 %</w:t>
            </w:r>
          </w:p>
        </w:tc>
        <w:tc>
          <w:tcPr>
            <w:tcW w:w="6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90"/>
              </w:rPr>
              <w:t>61,000</w:t>
            </w: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rPr>
              <w:t>Giant Food</w:t>
            </w:r>
          </w:p>
        </w:tc>
        <w:tc>
          <w:tcPr>
            <w:tcW w:w="2000" w:type="dxa"/>
            <w:vAlign w:val="bottom"/>
          </w:tcPr>
          <w:p>
            <w:pPr>
              <w:ind w:left="40"/>
              <w:spacing w:after="0" w:line="122" w:lineRule="exact"/>
              <w:rPr>
                <w:sz w:val="20"/>
                <w:szCs w:val="20"/>
                <w:color w:val="auto"/>
              </w:rPr>
            </w:pPr>
            <w:r>
              <w:rPr>
                <w:rFonts w:ascii="Arial" w:cs="Arial" w:eastAsia="Arial" w:hAnsi="Arial"/>
                <w:sz w:val="13"/>
                <w:szCs w:val="13"/>
                <w:color w:val="auto"/>
                <w:w w:val="88"/>
              </w:rPr>
              <w:t>Marshalls / L.A. Fitness / HomeGoods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Leesburg Plaza</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6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38,336</w:t>
            </w: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235,000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94 %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55,000</w:t>
            </w:r>
          </w:p>
        </w:tc>
        <w:tc>
          <w:tcPr>
            <w:tcW w:w="8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Giant Food</w:t>
            </w:r>
          </w:p>
        </w:tc>
        <w:tc>
          <w:tcPr>
            <w:tcW w:w="20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Petsmart / Office Depot</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Arial" w:cs="Arial" w:eastAsia="Arial" w:hAnsi="Arial"/>
                <w:sz w:val="13"/>
                <w:szCs w:val="13"/>
                <w:color w:val="auto"/>
                <w:w w:val="93"/>
              </w:rPr>
              <w:t>Montrose Crossing</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60" w:type="dxa"/>
            <w:vAlign w:val="bottom"/>
          </w:tcPr>
          <w:p>
            <w:pPr>
              <w:ind w:left="40"/>
              <w:spacing w:after="0" w:line="122"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165,182</w:t>
            </w:r>
          </w:p>
        </w:tc>
        <w:tc>
          <w:tcPr>
            <w:tcW w:w="1040" w:type="dxa"/>
            <w:vAlign w:val="bottom"/>
          </w:tcPr>
          <w:p>
            <w:pPr>
              <w:jc w:val="right"/>
              <w:spacing w:after="0" w:line="122" w:lineRule="exact"/>
              <w:rPr>
                <w:sz w:val="20"/>
                <w:szCs w:val="20"/>
                <w:color w:val="auto"/>
              </w:rPr>
            </w:pPr>
            <w:r>
              <w:rPr>
                <w:rFonts w:ascii="Arial" w:cs="Arial" w:eastAsia="Arial" w:hAnsi="Arial"/>
                <w:sz w:val="13"/>
                <w:szCs w:val="13"/>
                <w:color w:val="auto"/>
              </w:rPr>
              <w:t>64,618</w:t>
            </w: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36</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368,000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100 %</w:t>
            </w:r>
          </w:p>
        </w:tc>
        <w:tc>
          <w:tcPr>
            <w:tcW w:w="6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90"/>
              </w:rPr>
              <w:t>73,000</w:t>
            </w: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rPr>
              <w:t>Giant Food</w:t>
            </w:r>
          </w:p>
        </w:tc>
        <w:tc>
          <w:tcPr>
            <w:tcW w:w="2000" w:type="dxa"/>
            <w:vAlign w:val="bottom"/>
          </w:tcPr>
          <w:p>
            <w:pPr>
              <w:ind w:left="40"/>
              <w:spacing w:after="0" w:line="122" w:lineRule="exact"/>
              <w:rPr>
                <w:sz w:val="20"/>
                <w:szCs w:val="20"/>
                <w:color w:val="auto"/>
              </w:rPr>
            </w:pPr>
            <w:r>
              <w:rPr>
                <w:rFonts w:ascii="Arial" w:cs="Arial" w:eastAsia="Arial" w:hAnsi="Arial"/>
                <w:sz w:val="13"/>
                <w:szCs w:val="13"/>
                <w:color w:val="auto"/>
              </w:rPr>
              <w:t>Marshalls / Home Depot Design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60" w:type="dxa"/>
            <w:vAlign w:val="bottom"/>
          </w:tcPr>
          <w:p>
            <w:pPr>
              <w:ind w:left="40"/>
              <w:spacing w:after="0" w:line="122" w:lineRule="exact"/>
              <w:rPr>
                <w:sz w:val="20"/>
                <w:szCs w:val="20"/>
                <w:color w:val="auto"/>
              </w:rPr>
            </w:pPr>
            <w:r>
              <w:rPr>
                <w:rFonts w:ascii="Arial" w:cs="Arial" w:eastAsia="Arial" w:hAnsi="Arial"/>
                <w:sz w:val="13"/>
                <w:szCs w:val="13"/>
                <w:color w:val="auto"/>
              </w:rPr>
              <w:t>VA-MD-WV</w:t>
            </w:r>
          </w:p>
        </w:tc>
        <w:tc>
          <w:tcPr>
            <w:tcW w:w="6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0" w:type="dxa"/>
            <w:vAlign w:val="bottom"/>
          </w:tcPr>
          <w:p>
            <w:pPr>
              <w:ind w:left="40"/>
              <w:spacing w:after="0" w:line="122" w:lineRule="exact"/>
              <w:rPr>
                <w:sz w:val="20"/>
                <w:szCs w:val="20"/>
                <w:color w:val="auto"/>
              </w:rPr>
            </w:pPr>
            <w:r>
              <w:rPr>
                <w:rFonts w:ascii="Arial" w:cs="Arial" w:eastAsia="Arial" w:hAnsi="Arial"/>
                <w:sz w:val="13"/>
                <w:szCs w:val="13"/>
                <w:color w:val="auto"/>
                <w:w w:val="96"/>
              </w:rPr>
              <w:t>Center / Old Navy / Bob's Discount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Arial" w:cs="Arial" w:eastAsia="Arial" w:hAnsi="Arial"/>
                <w:sz w:val="13"/>
                <w:szCs w:val="13"/>
                <w:color w:val="auto"/>
              </w:rPr>
              <w:t>Furniture</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Mount</w:t>
            </w:r>
          </w:p>
        </w:tc>
        <w:tc>
          <w:tcPr>
            <w:tcW w:w="42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3"/>
                <w:szCs w:val="13"/>
                <w:color w:val="auto"/>
                <w:w w:val="87"/>
              </w:rPr>
              <w:t>(6)</w:t>
            </w:r>
          </w:p>
        </w:tc>
        <w:tc>
          <w:tcPr>
            <w:tcW w:w="226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93,005</w:t>
            </w: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564,000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62,000</w:t>
            </w:r>
          </w:p>
        </w:tc>
        <w:tc>
          <w:tcPr>
            <w:tcW w:w="2840" w:type="dxa"/>
            <w:vAlign w:val="bottom"/>
            <w:gridSpan w:val="2"/>
            <w:shd w:val="clear" w:color="auto" w:fill="CCEEFF"/>
          </w:tcPr>
          <w:p>
            <w:pPr>
              <w:ind w:left="60"/>
              <w:spacing w:after="0" w:line="129" w:lineRule="exact"/>
              <w:rPr>
                <w:sz w:val="20"/>
                <w:szCs w:val="20"/>
                <w:color w:val="auto"/>
              </w:rPr>
            </w:pPr>
            <w:r>
              <w:rPr>
                <w:rFonts w:ascii="Arial" w:cs="Arial" w:eastAsia="Arial" w:hAnsi="Arial"/>
                <w:sz w:val="13"/>
                <w:szCs w:val="13"/>
                <w:color w:val="auto"/>
                <w:w w:val="90"/>
              </w:rPr>
              <w:t>Shoppers Food TJ Maxx / Home Depot / Bed, Bath &amp;</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Vernon/South</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6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VA-MD-WV</w:t>
            </w:r>
          </w:p>
        </w:tc>
        <w:tc>
          <w:tcPr>
            <w:tcW w:w="6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40" w:type="dxa"/>
            <w:vAlign w:val="bottom"/>
            <w:shd w:val="clear" w:color="auto" w:fill="CCEEFF"/>
          </w:tcPr>
          <w:p>
            <w:pPr>
              <w:ind w:left="60"/>
              <w:spacing w:after="0" w:line="122" w:lineRule="exact"/>
              <w:rPr>
                <w:sz w:val="20"/>
                <w:szCs w:val="20"/>
                <w:color w:val="auto"/>
              </w:rPr>
            </w:pPr>
            <w:r>
              <w:rPr>
                <w:rFonts w:ascii="Arial" w:cs="Arial" w:eastAsia="Arial" w:hAnsi="Arial"/>
                <w:sz w:val="13"/>
                <w:szCs w:val="13"/>
                <w:color w:val="auto"/>
              </w:rPr>
              <w:t>Warehouse</w:t>
            </w:r>
          </w:p>
        </w:tc>
        <w:tc>
          <w:tcPr>
            <w:tcW w:w="200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Beyond / Results Fitness</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Valley/7770</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3"/>
                <w:szCs w:val="13"/>
                <w:color w:val="auto"/>
              </w:rPr>
              <w:t>Richmond Hwy</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Arial" w:cs="Arial" w:eastAsia="Arial" w:hAnsi="Arial"/>
                <w:sz w:val="13"/>
                <w:szCs w:val="13"/>
                <w:color w:val="auto"/>
              </w:rPr>
              <w:t>Old Keene Mill</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60" w:type="dxa"/>
            <w:vAlign w:val="bottom"/>
          </w:tcPr>
          <w:p>
            <w:pPr>
              <w:ind w:left="40"/>
              <w:spacing w:after="0" w:line="122"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13,081</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10</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91,000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95 %</w:t>
            </w:r>
          </w:p>
        </w:tc>
        <w:tc>
          <w:tcPr>
            <w:tcW w:w="6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90"/>
              </w:rPr>
              <w:t>24,000</w:t>
            </w: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w w:val="99"/>
              </w:rPr>
              <w:t>Whole Foods</w:t>
            </w:r>
          </w:p>
        </w:tc>
        <w:tc>
          <w:tcPr>
            <w:tcW w:w="2000" w:type="dxa"/>
            <w:vAlign w:val="bottom"/>
          </w:tcPr>
          <w:p>
            <w:pPr>
              <w:ind w:left="40"/>
              <w:spacing w:after="0" w:line="122" w:lineRule="exact"/>
              <w:rPr>
                <w:sz w:val="20"/>
                <w:szCs w:val="20"/>
                <w:color w:val="auto"/>
              </w:rPr>
            </w:pPr>
            <w:r>
              <w:rPr>
                <w:rFonts w:ascii="Arial" w:cs="Arial" w:eastAsia="Arial" w:hAnsi="Arial"/>
                <w:sz w:val="13"/>
                <w:szCs w:val="13"/>
                <w:color w:val="auto"/>
              </w:rPr>
              <w:t>Walgreens / Planet Fitness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Pan Am</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6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30,206</w:t>
            </w: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228,000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94 %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65,000</w:t>
            </w:r>
          </w:p>
        </w:tc>
        <w:tc>
          <w:tcPr>
            <w:tcW w:w="8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Safeway</w:t>
            </w:r>
          </w:p>
        </w:tc>
        <w:tc>
          <w:tcPr>
            <w:tcW w:w="20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Micro Center / CVS / Michaels</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Arial" w:cs="Arial" w:eastAsia="Arial" w:hAnsi="Arial"/>
                <w:sz w:val="13"/>
                <w:szCs w:val="13"/>
                <w:color w:val="auto"/>
              </w:rPr>
              <w:t>Pentagon Row</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60" w:type="dxa"/>
            <w:vAlign w:val="bottom"/>
          </w:tcPr>
          <w:p>
            <w:pPr>
              <w:ind w:left="40"/>
              <w:spacing w:after="0" w:line="122"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109,366</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14</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297,000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98 %</w:t>
            </w:r>
          </w:p>
        </w:tc>
        <w:tc>
          <w:tcPr>
            <w:tcW w:w="6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90"/>
              </w:rPr>
              <w:t>45,000</w:t>
            </w: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rPr>
              <w:t>Harris Teeter</w:t>
            </w:r>
          </w:p>
        </w:tc>
        <w:tc>
          <w:tcPr>
            <w:tcW w:w="2000" w:type="dxa"/>
            <w:vAlign w:val="bottom"/>
          </w:tcPr>
          <w:p>
            <w:pPr>
              <w:ind w:left="40"/>
              <w:spacing w:after="0" w:line="122" w:lineRule="exact"/>
              <w:rPr>
                <w:sz w:val="20"/>
                <w:szCs w:val="20"/>
                <w:color w:val="auto"/>
              </w:rPr>
            </w:pPr>
            <w:r>
              <w:rPr>
                <w:rFonts w:ascii="Arial" w:cs="Arial" w:eastAsia="Arial" w:hAnsi="Arial"/>
                <w:sz w:val="13"/>
                <w:szCs w:val="13"/>
                <w:color w:val="auto"/>
              </w:rPr>
              <w:t>TJ Maxx / DSW / Ulta</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Pike &amp; Rose</w:t>
            </w:r>
          </w:p>
        </w:tc>
        <w:tc>
          <w:tcPr>
            <w:tcW w:w="42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3"/>
                <w:szCs w:val="13"/>
                <w:color w:val="auto"/>
                <w:w w:val="87"/>
              </w:rPr>
              <w:t>(5)</w:t>
            </w:r>
          </w:p>
        </w:tc>
        <w:tc>
          <w:tcPr>
            <w:tcW w:w="226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707,046</w:t>
            </w: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529,000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98 %</w:t>
            </w:r>
          </w:p>
        </w:tc>
        <w:tc>
          <w:tcPr>
            <w:tcW w:w="68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765</w:t>
            </w: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6"/>
              </w:rPr>
              <w:t>Porsche / Uniqlo / REI / H&amp;M / L.L.</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Bean / Multiple Restaurants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Arial" w:cs="Arial" w:eastAsia="Arial" w:hAnsi="Arial"/>
                <w:sz w:val="13"/>
                <w:szCs w:val="13"/>
                <w:color w:val="auto"/>
              </w:rPr>
              <w:t>Pike 7 Plaza</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60" w:type="dxa"/>
            <w:vAlign w:val="bottom"/>
          </w:tcPr>
          <w:p>
            <w:pPr>
              <w:ind w:left="40"/>
              <w:spacing w:after="0" w:line="122"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49,756</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13</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172,000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95 %</w:t>
            </w: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0" w:type="dxa"/>
            <w:vAlign w:val="bottom"/>
          </w:tcPr>
          <w:p>
            <w:pPr>
              <w:ind w:left="40"/>
              <w:spacing w:after="0" w:line="122" w:lineRule="exact"/>
              <w:rPr>
                <w:sz w:val="20"/>
                <w:szCs w:val="20"/>
                <w:color w:val="auto"/>
              </w:rPr>
            </w:pPr>
            <w:r>
              <w:rPr>
                <w:rFonts w:ascii="Arial" w:cs="Arial" w:eastAsia="Arial" w:hAnsi="Arial"/>
                <w:sz w:val="13"/>
                <w:szCs w:val="13"/>
                <w:color w:val="auto"/>
                <w:w w:val="99"/>
              </w:rPr>
              <w:t>TJ Maxx / DSW / Crunch Fitness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Arial" w:cs="Arial" w:eastAsia="Arial" w:hAnsi="Arial"/>
                <w:sz w:val="13"/>
                <w:szCs w:val="13"/>
                <w:color w:val="auto"/>
              </w:rPr>
              <w:t>Staples</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94"/>
              </w:rPr>
              <w:t>Plaza del Mercado</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6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46,906</w:t>
            </w: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116,000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94 %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18,000</w:t>
            </w:r>
          </w:p>
        </w:tc>
        <w:tc>
          <w:tcPr>
            <w:tcW w:w="8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Aldi</w:t>
            </w:r>
          </w:p>
        </w:tc>
        <w:tc>
          <w:tcPr>
            <w:tcW w:w="20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CVS / L.A. Fitness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Arial" w:cs="Arial" w:eastAsia="Arial" w:hAnsi="Arial"/>
                <w:sz w:val="13"/>
                <w:szCs w:val="13"/>
                <w:color w:val="auto"/>
              </w:rPr>
              <w:t>Quince Orchard</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60" w:type="dxa"/>
            <w:vAlign w:val="bottom"/>
          </w:tcPr>
          <w:p>
            <w:pPr>
              <w:ind w:left="40"/>
              <w:spacing w:after="0" w:line="122"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41,103</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16</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268,000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96 %</w:t>
            </w:r>
          </w:p>
        </w:tc>
        <w:tc>
          <w:tcPr>
            <w:tcW w:w="6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90"/>
              </w:rPr>
              <w:t>19,000</w:t>
            </w: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rPr>
              <w:t>Aldi</w:t>
            </w:r>
          </w:p>
        </w:tc>
        <w:tc>
          <w:tcPr>
            <w:tcW w:w="2000" w:type="dxa"/>
            <w:vAlign w:val="bottom"/>
          </w:tcPr>
          <w:p>
            <w:pPr>
              <w:ind w:left="40"/>
              <w:spacing w:after="0" w:line="122" w:lineRule="exact"/>
              <w:rPr>
                <w:sz w:val="20"/>
                <w:szCs w:val="20"/>
                <w:color w:val="auto"/>
              </w:rPr>
            </w:pPr>
            <w:r>
              <w:rPr>
                <w:rFonts w:ascii="Arial" w:cs="Arial" w:eastAsia="Arial" w:hAnsi="Arial"/>
                <w:sz w:val="13"/>
                <w:szCs w:val="13"/>
                <w:color w:val="auto"/>
                <w:w w:val="93"/>
              </w:rPr>
              <w:t>HomeGoods / L.A. Fitness / Staples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Rockville Town</w:t>
            </w:r>
          </w:p>
        </w:tc>
        <w:tc>
          <w:tcPr>
            <w:tcW w:w="42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3"/>
                <w:szCs w:val="13"/>
                <w:color w:val="auto"/>
                <w:w w:val="87"/>
              </w:rPr>
              <w:t>(7)</w:t>
            </w:r>
          </w:p>
        </w:tc>
        <w:tc>
          <w:tcPr>
            <w:tcW w:w="226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49,839</w:t>
            </w:r>
          </w:p>
        </w:tc>
        <w:tc>
          <w:tcPr>
            <w:tcW w:w="10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4,381</w:t>
            </w: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187,000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76 %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25,000</w:t>
            </w:r>
          </w:p>
        </w:tc>
        <w:tc>
          <w:tcPr>
            <w:tcW w:w="8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Dawson's</w:t>
            </w:r>
          </w:p>
        </w:tc>
        <w:tc>
          <w:tcPr>
            <w:tcW w:w="20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CVS / Gold's Gym / Multiple</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3"/>
                <w:szCs w:val="13"/>
                <w:color w:val="auto"/>
              </w:rPr>
              <w:t>Square</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Market</w:t>
            </w:r>
          </w:p>
        </w:tc>
        <w:tc>
          <w:tcPr>
            <w:tcW w:w="2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Restaurants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Arial" w:cs="Arial" w:eastAsia="Arial" w:hAnsi="Arial"/>
                <w:sz w:val="13"/>
                <w:szCs w:val="13"/>
                <w:color w:val="auto"/>
              </w:rPr>
              <w:t>Rollingwood</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60" w:type="dxa"/>
            <w:vAlign w:val="bottom"/>
          </w:tcPr>
          <w:p>
            <w:pPr>
              <w:ind w:left="40"/>
              <w:spacing w:after="0" w:line="122"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12,204</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14</w:t>
            </w:r>
          </w:p>
        </w:tc>
        <w:tc>
          <w:tcPr>
            <w:tcW w:w="80" w:type="dxa"/>
            <w:vAlign w:val="bottom"/>
          </w:tcPr>
          <w:p>
            <w:pPr>
              <w:spacing w:after="0"/>
              <w:rPr>
                <w:sz w:val="10"/>
                <w:szCs w:val="10"/>
                <w:color w:val="auto"/>
              </w:rPr>
            </w:pPr>
          </w:p>
        </w:tc>
        <w:tc>
          <w:tcPr>
            <w:tcW w:w="720" w:type="dxa"/>
            <w:vAlign w:val="bottom"/>
            <w:gridSpan w:val="2"/>
          </w:tcPr>
          <w:p>
            <w:pPr>
              <w:ind w:left="400"/>
              <w:spacing w:after="0" w:line="122" w:lineRule="exact"/>
              <w:rPr>
                <w:sz w:val="20"/>
                <w:szCs w:val="20"/>
                <w:color w:val="auto"/>
              </w:rPr>
            </w:pPr>
            <w:r>
              <w:rPr>
                <w:rFonts w:ascii="Arial" w:cs="Arial" w:eastAsia="Arial" w:hAnsi="Arial"/>
                <w:sz w:val="13"/>
                <w:szCs w:val="13"/>
                <w:color w:val="auto"/>
              </w:rPr>
              <w:t>N/A</w:t>
            </w: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97 %</w:t>
            </w:r>
          </w:p>
        </w:tc>
        <w:tc>
          <w:tcPr>
            <w:tcW w:w="680" w:type="dxa"/>
            <w:vAlign w:val="bottom"/>
          </w:tcPr>
          <w:p>
            <w:pPr>
              <w:jc w:val="center"/>
              <w:spacing w:after="0" w:line="122" w:lineRule="exact"/>
              <w:rPr>
                <w:sz w:val="20"/>
                <w:szCs w:val="20"/>
                <w:color w:val="auto"/>
              </w:rPr>
            </w:pPr>
            <w:r>
              <w:rPr>
                <w:rFonts w:ascii="Arial" w:cs="Arial" w:eastAsia="Arial" w:hAnsi="Arial"/>
                <w:sz w:val="13"/>
                <w:szCs w:val="13"/>
                <w:color w:val="auto"/>
                <w:w w:val="82"/>
              </w:rPr>
              <w:t>282</w:t>
            </w: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Apartments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Tower Shopping</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6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22,733</w:t>
            </w: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111,000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88 %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26,000</w:t>
            </w:r>
          </w:p>
        </w:tc>
        <w:tc>
          <w:tcPr>
            <w:tcW w:w="8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L.A. Mart</w:t>
            </w:r>
          </w:p>
        </w:tc>
        <w:tc>
          <w:tcPr>
            <w:tcW w:w="20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Talbots / Total Wine &amp; More</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3"/>
                <w:szCs w:val="13"/>
                <w:color w:val="auto"/>
              </w:rPr>
              <w:t>Center</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Arial" w:cs="Arial" w:eastAsia="Arial" w:hAnsi="Arial"/>
                <w:sz w:val="13"/>
                <w:szCs w:val="13"/>
                <w:color w:val="auto"/>
              </w:rPr>
              <w:t>Tyson's Station</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60" w:type="dxa"/>
            <w:vAlign w:val="bottom"/>
          </w:tcPr>
          <w:p>
            <w:pPr>
              <w:ind w:left="40"/>
              <w:spacing w:after="0" w:line="122"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5,794</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5</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50,000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90 %</w:t>
            </w:r>
          </w:p>
        </w:tc>
        <w:tc>
          <w:tcPr>
            <w:tcW w:w="6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85"/>
              </w:rPr>
              <w:t>11,000</w:t>
            </w: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rPr>
              <w:t>Trader Joe's</w:t>
            </w: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Village at</w:t>
            </w:r>
          </w:p>
        </w:tc>
        <w:tc>
          <w:tcPr>
            <w:tcW w:w="42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3"/>
                <w:szCs w:val="13"/>
                <w:color w:val="auto"/>
                <w:w w:val="87"/>
              </w:rPr>
              <w:t>(7)</w:t>
            </w:r>
          </w:p>
        </w:tc>
        <w:tc>
          <w:tcPr>
            <w:tcW w:w="226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69,693</w:t>
            </w:r>
          </w:p>
        </w:tc>
        <w:tc>
          <w:tcPr>
            <w:tcW w:w="10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6,868</w:t>
            </w: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262,000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80 %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28,000</w:t>
            </w:r>
          </w:p>
        </w:tc>
        <w:tc>
          <w:tcPr>
            <w:tcW w:w="8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Harris Teeter</w:t>
            </w:r>
          </w:p>
        </w:tc>
        <w:tc>
          <w:tcPr>
            <w:tcW w:w="20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CVS / AMC / Carlyle Grand Café</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3"/>
                <w:szCs w:val="13"/>
                <w:color w:val="auto"/>
              </w:rPr>
              <w:t>Shirlington</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Arial" w:cs="Arial" w:eastAsia="Arial" w:hAnsi="Arial"/>
                <w:sz w:val="13"/>
                <w:szCs w:val="13"/>
                <w:color w:val="auto"/>
              </w:rPr>
              <w:t>Wildwood</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60" w:type="dxa"/>
            <w:vAlign w:val="bottom"/>
          </w:tcPr>
          <w:p>
            <w:pPr>
              <w:ind w:left="40"/>
              <w:spacing w:after="0" w:line="122"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27,457</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12</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88,000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98 %</w:t>
            </w:r>
          </w:p>
        </w:tc>
        <w:tc>
          <w:tcPr>
            <w:tcW w:w="6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90"/>
              </w:rPr>
              <w:t>20,000</w:t>
            </w: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rPr>
              <w:t>Balducci's</w:t>
            </w:r>
          </w:p>
        </w:tc>
        <w:tc>
          <w:tcPr>
            <w:tcW w:w="2000" w:type="dxa"/>
            <w:vAlign w:val="bottom"/>
          </w:tcPr>
          <w:p>
            <w:pPr>
              <w:ind w:left="40"/>
              <w:spacing w:after="0" w:line="122" w:lineRule="exact"/>
              <w:rPr>
                <w:sz w:val="20"/>
                <w:szCs w:val="20"/>
                <w:color w:val="auto"/>
              </w:rPr>
            </w:pPr>
            <w:r>
              <w:rPr>
                <w:rFonts w:ascii="Arial" w:cs="Arial" w:eastAsia="Arial" w:hAnsi="Arial"/>
                <w:sz w:val="13"/>
                <w:szCs w:val="13"/>
                <w:color w:val="auto"/>
              </w:rPr>
              <w:t>CVS / Flower Child</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Shopping Center</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tcBorders>
              <w:bottom w:val="single" w:sz="8" w:color="auto"/>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w w:val="98"/>
              </w:rPr>
              <w:t>Total Washington Metropolitan Area</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2,230,613</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6,068,000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93 %</w:t>
            </w: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6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1460" w:type="dxa"/>
            <w:vAlign w:val="bottom"/>
            <w:gridSpan w:val="3"/>
            <w:shd w:val="clear" w:color="auto" w:fill="CCEEFF"/>
          </w:tcPr>
          <w:p>
            <w:pPr>
              <w:ind w:left="60"/>
              <w:spacing w:after="0" w:line="135" w:lineRule="exact"/>
              <w:rPr>
                <w:sz w:val="20"/>
                <w:szCs w:val="20"/>
                <w:color w:val="auto"/>
              </w:rPr>
            </w:pPr>
            <w:r>
              <w:rPr>
                <w:rFonts w:ascii="Arial" w:cs="Arial" w:eastAsia="Arial" w:hAnsi="Arial"/>
                <w:sz w:val="13"/>
                <w:szCs w:val="13"/>
                <w:b w:val="1"/>
                <w:bCs w:val="1"/>
                <w:color w:val="auto"/>
              </w:rPr>
              <w:t>NY Metro/New Jersey</w:t>
            </w:r>
          </w:p>
        </w:tc>
        <w:tc>
          <w:tcPr>
            <w:tcW w:w="2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Borders>
              <w:top w:val="single" w:sz="8" w:color="CCEEFF"/>
            </w:tcBorders>
          </w:tcPr>
          <w:p>
            <w:pPr>
              <w:spacing w:after="0"/>
              <w:rPr>
                <w:sz w:val="10"/>
                <w:szCs w:val="10"/>
                <w:color w:val="auto"/>
              </w:rPr>
            </w:pPr>
          </w:p>
        </w:tc>
        <w:tc>
          <w:tcPr>
            <w:tcW w:w="1040" w:type="dxa"/>
            <w:vAlign w:val="bottom"/>
            <w:tcBorders>
              <w:top w:val="single" w:sz="8" w:color="auto"/>
            </w:tcBorders>
          </w:tcPr>
          <w:p>
            <w:pPr>
              <w:spacing w:after="0" w:line="122" w:lineRule="exact"/>
              <w:rPr>
                <w:sz w:val="20"/>
                <w:szCs w:val="20"/>
                <w:color w:val="auto"/>
              </w:rPr>
            </w:pPr>
            <w:r>
              <w:rPr>
                <w:rFonts w:ascii="Arial" w:cs="Arial" w:eastAsia="Arial" w:hAnsi="Arial"/>
                <w:sz w:val="13"/>
                <w:szCs w:val="13"/>
                <w:color w:val="auto"/>
              </w:rPr>
              <w:t>Brick Plaza</w:t>
            </w:r>
          </w:p>
        </w:tc>
        <w:tc>
          <w:tcPr>
            <w:tcW w:w="22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260" w:type="dxa"/>
            <w:vAlign w:val="bottom"/>
            <w:tcBorders>
              <w:top w:val="single" w:sz="8" w:color="CCEEFF"/>
            </w:tcBorders>
          </w:tcPr>
          <w:p>
            <w:pPr>
              <w:ind w:left="40"/>
              <w:spacing w:after="0" w:line="122" w:lineRule="exact"/>
              <w:rPr>
                <w:sz w:val="20"/>
                <w:szCs w:val="20"/>
                <w:color w:val="auto"/>
              </w:rPr>
            </w:pPr>
            <w:r>
              <w:rPr>
                <w:rFonts w:ascii="Arial" w:cs="Arial" w:eastAsia="Arial" w:hAnsi="Arial"/>
                <w:sz w:val="13"/>
                <w:szCs w:val="13"/>
                <w:color w:val="auto"/>
                <w:w w:val="91"/>
              </w:rPr>
              <w:t>New York-Newark-Jersey City, NY-NJ-PA</w:t>
            </w:r>
          </w:p>
        </w:tc>
        <w:tc>
          <w:tcPr>
            <w:tcW w:w="62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3"/>
                <w:szCs w:val="13"/>
                <w:color w:val="auto"/>
              </w:rPr>
              <w:t>104,046</w:t>
            </w:r>
          </w:p>
        </w:tc>
        <w:tc>
          <w:tcPr>
            <w:tcW w:w="1040" w:type="dxa"/>
            <w:vAlign w:val="bottom"/>
            <w:tcBorders>
              <w:top w:val="single" w:sz="8" w:color="CCEEFF"/>
            </w:tcBorders>
          </w:tcPr>
          <w:p>
            <w:pPr>
              <w:spacing w:after="0"/>
              <w:rPr>
                <w:sz w:val="10"/>
                <w:szCs w:val="10"/>
                <w:color w:val="auto"/>
              </w:rPr>
            </w:pPr>
          </w:p>
        </w:tc>
        <w:tc>
          <w:tcPr>
            <w:tcW w:w="44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3"/>
                <w:szCs w:val="13"/>
                <w:color w:val="auto"/>
              </w:rPr>
              <w:t>46</w:t>
            </w:r>
          </w:p>
        </w:tc>
        <w:tc>
          <w:tcPr>
            <w:tcW w:w="80" w:type="dxa"/>
            <w:vAlign w:val="bottom"/>
            <w:tcBorders>
              <w:top w:val="single" w:sz="8" w:color="CCEEFF"/>
            </w:tcBorders>
          </w:tcPr>
          <w:p>
            <w:pPr>
              <w:spacing w:after="0"/>
              <w:rPr>
                <w:sz w:val="10"/>
                <w:szCs w:val="10"/>
                <w:color w:val="auto"/>
              </w:rPr>
            </w:pPr>
          </w:p>
        </w:tc>
        <w:tc>
          <w:tcPr>
            <w:tcW w:w="64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3"/>
                <w:szCs w:val="13"/>
                <w:color w:val="auto"/>
              </w:rPr>
              <w:t>408,000</w:t>
            </w:r>
          </w:p>
        </w:tc>
        <w:tc>
          <w:tcPr>
            <w:tcW w:w="80" w:type="dxa"/>
            <w:vAlign w:val="bottom"/>
            <w:tcBorders>
              <w:top w:val="single" w:sz="8" w:color="CCEEFF"/>
            </w:tcBorders>
          </w:tcPr>
          <w:p>
            <w:pPr>
              <w:spacing w:after="0"/>
              <w:rPr>
                <w:sz w:val="10"/>
                <w:szCs w:val="10"/>
                <w:color w:val="auto"/>
              </w:rPr>
            </w:pPr>
          </w:p>
        </w:tc>
        <w:tc>
          <w:tcPr>
            <w:tcW w:w="54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3"/>
                <w:szCs w:val="13"/>
                <w:color w:val="auto"/>
              </w:rPr>
              <w:t>90 %</w:t>
            </w:r>
          </w:p>
        </w:tc>
        <w:tc>
          <w:tcPr>
            <w:tcW w:w="680" w:type="dxa"/>
            <w:vAlign w:val="bottom"/>
            <w:tcBorders>
              <w:top w:val="single" w:sz="8" w:color="CCEEFF"/>
            </w:tcBorders>
          </w:tcPr>
          <w:p>
            <w:pPr>
              <w:spacing w:after="0"/>
              <w:rPr>
                <w:sz w:val="10"/>
                <w:szCs w:val="10"/>
                <w:color w:val="auto"/>
              </w:rPr>
            </w:pPr>
          </w:p>
        </w:tc>
        <w:tc>
          <w:tcPr>
            <w:tcW w:w="540" w:type="dxa"/>
            <w:vAlign w:val="bottom"/>
            <w:tcBorders>
              <w:top w:val="single" w:sz="8" w:color="CCEEFF"/>
            </w:tcBorders>
          </w:tcPr>
          <w:p>
            <w:pPr>
              <w:jc w:val="center"/>
              <w:spacing w:after="0" w:line="122" w:lineRule="exact"/>
              <w:rPr>
                <w:sz w:val="20"/>
                <w:szCs w:val="20"/>
                <w:color w:val="auto"/>
              </w:rPr>
            </w:pPr>
            <w:r>
              <w:rPr>
                <w:rFonts w:ascii="Arial" w:cs="Arial" w:eastAsia="Arial" w:hAnsi="Arial"/>
                <w:sz w:val="13"/>
                <w:szCs w:val="13"/>
                <w:color w:val="auto"/>
                <w:w w:val="90"/>
              </w:rPr>
              <w:t>14,000</w:t>
            </w:r>
          </w:p>
        </w:tc>
        <w:tc>
          <w:tcPr>
            <w:tcW w:w="840" w:type="dxa"/>
            <w:vAlign w:val="bottom"/>
            <w:tcBorders>
              <w:top w:val="single" w:sz="8" w:color="CCEEFF"/>
            </w:tcBorders>
          </w:tcPr>
          <w:p>
            <w:pPr>
              <w:ind w:left="60"/>
              <w:spacing w:after="0" w:line="122" w:lineRule="exact"/>
              <w:rPr>
                <w:sz w:val="20"/>
                <w:szCs w:val="20"/>
                <w:color w:val="auto"/>
              </w:rPr>
            </w:pPr>
            <w:r>
              <w:rPr>
                <w:rFonts w:ascii="Arial" w:cs="Arial" w:eastAsia="Arial" w:hAnsi="Arial"/>
                <w:sz w:val="13"/>
                <w:szCs w:val="13"/>
                <w:color w:val="auto"/>
              </w:rPr>
              <w:t>Trader Joe's</w:t>
            </w:r>
          </w:p>
        </w:tc>
        <w:tc>
          <w:tcPr>
            <w:tcW w:w="2000" w:type="dxa"/>
            <w:vAlign w:val="bottom"/>
            <w:tcBorders>
              <w:top w:val="single" w:sz="8" w:color="CCEEFF"/>
            </w:tcBorders>
          </w:tcPr>
          <w:p>
            <w:pPr>
              <w:ind w:left="40"/>
              <w:spacing w:after="0" w:line="122" w:lineRule="exact"/>
              <w:rPr>
                <w:sz w:val="20"/>
                <w:szCs w:val="20"/>
                <w:color w:val="auto"/>
              </w:rPr>
            </w:pPr>
            <w:r>
              <w:rPr>
                <w:rFonts w:ascii="Arial" w:cs="Arial" w:eastAsia="Arial" w:hAnsi="Arial"/>
                <w:sz w:val="13"/>
                <w:szCs w:val="13"/>
                <w:color w:val="auto"/>
              </w:rPr>
              <w:t>AMC / HomeGoods / Ulta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Arial" w:cs="Arial" w:eastAsia="Arial" w:hAnsi="Arial"/>
                <w:sz w:val="13"/>
                <w:szCs w:val="13"/>
                <w:color w:val="auto"/>
              </w:rPr>
              <w:t>Burlington</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Brook 35</w:t>
            </w:r>
          </w:p>
        </w:tc>
        <w:tc>
          <w:tcPr>
            <w:tcW w:w="42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3"/>
                <w:szCs w:val="13"/>
                <w:color w:val="auto"/>
                <w:w w:val="95"/>
              </w:rPr>
              <w:t>(4) (6)</w:t>
            </w:r>
          </w:p>
        </w:tc>
        <w:tc>
          <w:tcPr>
            <w:tcW w:w="226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1"/>
              </w:rPr>
              <w:t>New York-Newark-Jersey City, NY-NJ-PA</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49,550</w:t>
            </w:r>
          </w:p>
        </w:tc>
        <w:tc>
          <w:tcPr>
            <w:tcW w:w="10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11,500</w:t>
            </w: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99,000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92 %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7"/>
              </w:rPr>
              <w:t>Banana Republic / Gap / Williams-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Sonoma</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Darien Commons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ind w:left="40"/>
              <w:spacing w:after="0"/>
              <w:rPr>
                <w:sz w:val="20"/>
                <w:szCs w:val="20"/>
                <w:color w:val="auto"/>
              </w:rPr>
            </w:pPr>
            <w:r>
              <w:rPr>
                <w:rFonts w:ascii="Arial" w:cs="Arial" w:eastAsia="Arial" w:hAnsi="Arial"/>
                <w:sz w:val="13"/>
                <w:szCs w:val="13"/>
                <w:color w:val="auto"/>
              </w:rPr>
              <w:t>Bridgeport-Stamford-Norwalk, CT</w:t>
            </w:r>
          </w:p>
        </w:tc>
        <w:tc>
          <w:tcPr>
            <w:tcW w:w="620" w:type="dxa"/>
            <w:vAlign w:val="bottom"/>
          </w:tcPr>
          <w:p>
            <w:pPr>
              <w:jc w:val="right"/>
              <w:spacing w:after="0"/>
              <w:rPr>
                <w:sz w:val="20"/>
                <w:szCs w:val="20"/>
                <w:color w:val="auto"/>
              </w:rPr>
            </w:pPr>
            <w:r>
              <w:rPr>
                <w:rFonts w:ascii="Arial" w:cs="Arial" w:eastAsia="Arial" w:hAnsi="Arial"/>
                <w:sz w:val="13"/>
                <w:szCs w:val="13"/>
                <w:color w:val="auto"/>
              </w:rPr>
              <w:t>90,649</w:t>
            </w:r>
          </w:p>
        </w:tc>
        <w:tc>
          <w:tcPr>
            <w:tcW w:w="10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59,000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89 %</w:t>
            </w:r>
          </w:p>
        </w:tc>
        <w:tc>
          <w:tcPr>
            <w:tcW w:w="680" w:type="dxa"/>
            <w:vAlign w:val="bottom"/>
          </w:tcPr>
          <w:p>
            <w:pPr>
              <w:jc w:val="center"/>
              <w:spacing w:after="0"/>
              <w:rPr>
                <w:sz w:val="20"/>
                <w:szCs w:val="20"/>
                <w:color w:val="auto"/>
              </w:rPr>
            </w:pPr>
            <w:r>
              <w:rPr>
                <w:rFonts w:ascii="Arial" w:cs="Arial" w:eastAsia="Arial" w:hAnsi="Arial"/>
                <w:sz w:val="13"/>
                <w:szCs w:val="13"/>
                <w:color w:val="auto"/>
                <w:w w:val="82"/>
              </w:rPr>
              <w:t>2</w:t>
            </w: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Arial" w:cs="Arial" w:eastAsia="Arial" w:hAnsi="Arial"/>
                <w:sz w:val="13"/>
                <w:szCs w:val="13"/>
                <w:color w:val="auto"/>
              </w:rPr>
              <w:t>Equinox / Walgreens</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3"/>
                <w:szCs w:val="13"/>
                <w:color w:val="auto"/>
              </w:rPr>
              <w:t>Fresh Meadows</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New York-Newark-Jersey City, NY-NJ-PA</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94,017</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409,000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95 %</w:t>
            </w: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15,000</w:t>
            </w:r>
          </w:p>
        </w:tc>
        <w:tc>
          <w:tcPr>
            <w:tcW w:w="840" w:type="dxa"/>
            <w:vAlign w:val="bottom"/>
            <w:shd w:val="clear" w:color="auto" w:fill="CCEEFF"/>
          </w:tcPr>
          <w:p>
            <w:pPr>
              <w:ind w:left="60"/>
              <w:spacing w:after="0"/>
              <w:rPr>
                <w:sz w:val="20"/>
                <w:szCs w:val="20"/>
                <w:color w:val="auto"/>
              </w:rPr>
            </w:pPr>
            <w:r>
              <w:rPr>
                <w:rFonts w:ascii="Arial" w:cs="Arial" w:eastAsia="Arial" w:hAnsi="Arial"/>
                <w:sz w:val="13"/>
                <w:szCs w:val="13"/>
                <w:color w:val="auto"/>
                <w:w w:val="94"/>
              </w:rPr>
              <w:t>Island of Gold</w:t>
            </w:r>
          </w:p>
        </w:tc>
        <w:tc>
          <w:tcPr>
            <w:tcW w:w="2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AMC / Kohl's / Michaels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Arial" w:cs="Arial" w:eastAsia="Arial" w:hAnsi="Arial"/>
                <w:sz w:val="13"/>
                <w:szCs w:val="13"/>
                <w:color w:val="auto"/>
              </w:rPr>
              <w:t>Georgetowne</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60" w:type="dxa"/>
            <w:vAlign w:val="bottom"/>
          </w:tcPr>
          <w:p>
            <w:pPr>
              <w:ind w:left="40"/>
              <w:spacing w:after="0" w:line="122" w:lineRule="exact"/>
              <w:rPr>
                <w:sz w:val="20"/>
                <w:szCs w:val="20"/>
                <w:color w:val="auto"/>
              </w:rPr>
            </w:pPr>
            <w:r>
              <w:rPr>
                <w:rFonts w:ascii="Arial" w:cs="Arial" w:eastAsia="Arial" w:hAnsi="Arial"/>
                <w:sz w:val="13"/>
                <w:szCs w:val="13"/>
                <w:color w:val="auto"/>
                <w:w w:val="91"/>
              </w:rPr>
              <w:t>New York-Newark-Jersey City, NY-NJ-PA</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83,873</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9</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146,000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88 %</w:t>
            </w:r>
          </w:p>
        </w:tc>
        <w:tc>
          <w:tcPr>
            <w:tcW w:w="6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90"/>
              </w:rPr>
              <w:t>43,000</w:t>
            </w: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rPr>
              <w:t>Foodway</w:t>
            </w:r>
          </w:p>
        </w:tc>
        <w:tc>
          <w:tcPr>
            <w:tcW w:w="2000" w:type="dxa"/>
            <w:vAlign w:val="bottom"/>
          </w:tcPr>
          <w:p>
            <w:pPr>
              <w:ind w:left="40"/>
              <w:spacing w:after="0" w:line="122" w:lineRule="exact"/>
              <w:rPr>
                <w:sz w:val="20"/>
                <w:szCs w:val="20"/>
                <w:color w:val="auto"/>
              </w:rPr>
            </w:pPr>
            <w:r>
              <w:rPr>
                <w:rFonts w:ascii="Arial" w:cs="Arial" w:eastAsia="Arial" w:hAnsi="Arial"/>
                <w:sz w:val="13"/>
                <w:szCs w:val="13"/>
                <w:color w:val="auto"/>
              </w:rPr>
              <w:t>Five Below / IHOP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Shopping Center</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Greenlawn Plaza</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6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1"/>
              </w:rPr>
              <w:t>New York-Newark-Jersey City, NY-NJ-PA</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32,356</w:t>
            </w: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103,000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92 %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46,000</w:t>
            </w:r>
          </w:p>
        </w:tc>
        <w:tc>
          <w:tcPr>
            <w:tcW w:w="8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Greenlawn</w:t>
            </w:r>
          </w:p>
        </w:tc>
        <w:tc>
          <w:tcPr>
            <w:tcW w:w="20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Tuesday Morning</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Farms</w:t>
            </w:r>
          </w:p>
        </w:tc>
        <w:tc>
          <w:tcPr>
            <w:tcW w:w="2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3"/>
                <w:szCs w:val="13"/>
                <w:color w:val="auto"/>
                <w:w w:val="92"/>
              </w:rPr>
              <w:t>Greenwich Avenue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ind w:left="40"/>
              <w:spacing w:after="0"/>
              <w:rPr>
                <w:sz w:val="20"/>
                <w:szCs w:val="20"/>
                <w:color w:val="auto"/>
              </w:rPr>
            </w:pPr>
            <w:r>
              <w:rPr>
                <w:rFonts w:ascii="Arial" w:cs="Arial" w:eastAsia="Arial" w:hAnsi="Arial"/>
                <w:sz w:val="13"/>
                <w:szCs w:val="13"/>
                <w:color w:val="auto"/>
              </w:rPr>
              <w:t>Bridgeport-Stamford-Norwalk, CT</w:t>
            </w:r>
          </w:p>
        </w:tc>
        <w:tc>
          <w:tcPr>
            <w:tcW w:w="620" w:type="dxa"/>
            <w:vAlign w:val="bottom"/>
          </w:tcPr>
          <w:p>
            <w:pPr>
              <w:jc w:val="right"/>
              <w:spacing w:after="0"/>
              <w:rPr>
                <w:sz w:val="20"/>
                <w:szCs w:val="20"/>
                <w:color w:val="auto"/>
              </w:rPr>
            </w:pPr>
            <w:r>
              <w:rPr>
                <w:rFonts w:ascii="Arial" w:cs="Arial" w:eastAsia="Arial" w:hAnsi="Arial"/>
                <w:sz w:val="13"/>
                <w:szCs w:val="13"/>
                <w:color w:val="auto"/>
              </w:rPr>
              <w:t>23,748</w:t>
            </w:r>
          </w:p>
        </w:tc>
        <w:tc>
          <w:tcPr>
            <w:tcW w:w="10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35,000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100 %</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Arial" w:cs="Arial" w:eastAsia="Arial" w:hAnsi="Arial"/>
                <w:sz w:val="13"/>
                <w:szCs w:val="13"/>
                <w:color w:val="auto"/>
              </w:rPr>
              <w:t>Saks Fifth Avenue</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3"/>
                <w:szCs w:val="13"/>
                <w:color w:val="auto"/>
              </w:rPr>
              <w:t>Hauppauge</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New York-Newark-Jersey City, NY-NJ-PA</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30,582</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133,000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71 %</w:t>
            </w: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61,000</w:t>
            </w:r>
          </w:p>
        </w:tc>
        <w:tc>
          <w:tcPr>
            <w:tcW w:w="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Shop Rite</w:t>
            </w:r>
          </w:p>
        </w:tc>
        <w:tc>
          <w:tcPr>
            <w:tcW w:w="2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Arial" w:cs="Arial" w:eastAsia="Arial" w:hAnsi="Arial"/>
                <w:sz w:val="13"/>
                <w:szCs w:val="13"/>
                <w:color w:val="auto"/>
              </w:rPr>
              <w:t>Hoboken</w:t>
            </w:r>
          </w:p>
        </w:tc>
        <w:tc>
          <w:tcPr>
            <w:tcW w:w="420" w:type="dxa"/>
            <w:vAlign w:val="bottom"/>
            <w:gridSpan w:val="2"/>
          </w:tcPr>
          <w:p>
            <w:pPr>
              <w:jc w:val="center"/>
              <w:spacing w:after="0" w:line="122" w:lineRule="exact"/>
              <w:rPr>
                <w:sz w:val="20"/>
                <w:szCs w:val="20"/>
                <w:color w:val="auto"/>
              </w:rPr>
            </w:pPr>
            <w:r>
              <w:rPr>
                <w:rFonts w:ascii="Arial" w:cs="Arial" w:eastAsia="Arial" w:hAnsi="Arial"/>
                <w:sz w:val="13"/>
                <w:szCs w:val="13"/>
                <w:color w:val="auto"/>
                <w:w w:val="95"/>
              </w:rPr>
              <w:t>(4) (8)</w:t>
            </w:r>
          </w:p>
        </w:tc>
        <w:tc>
          <w:tcPr>
            <w:tcW w:w="2260" w:type="dxa"/>
            <w:vAlign w:val="bottom"/>
          </w:tcPr>
          <w:p>
            <w:pPr>
              <w:ind w:left="40"/>
              <w:spacing w:after="0" w:line="122" w:lineRule="exact"/>
              <w:rPr>
                <w:sz w:val="20"/>
                <w:szCs w:val="20"/>
                <w:color w:val="auto"/>
              </w:rPr>
            </w:pPr>
            <w:r>
              <w:rPr>
                <w:rFonts w:ascii="Arial" w:cs="Arial" w:eastAsia="Arial" w:hAnsi="Arial"/>
                <w:sz w:val="13"/>
                <w:szCs w:val="13"/>
                <w:color w:val="auto"/>
                <w:w w:val="91"/>
              </w:rPr>
              <w:t>New York-Newark-Jersey City, NY-NJ-PA</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216,071</w:t>
            </w:r>
          </w:p>
        </w:tc>
        <w:tc>
          <w:tcPr>
            <w:tcW w:w="1040" w:type="dxa"/>
            <w:vAlign w:val="bottom"/>
          </w:tcPr>
          <w:p>
            <w:pPr>
              <w:jc w:val="right"/>
              <w:spacing w:after="0" w:line="122" w:lineRule="exact"/>
              <w:rPr>
                <w:sz w:val="20"/>
                <w:szCs w:val="20"/>
                <w:color w:val="auto"/>
              </w:rPr>
            </w:pPr>
            <w:r>
              <w:rPr>
                <w:rFonts w:ascii="Arial" w:cs="Arial" w:eastAsia="Arial" w:hAnsi="Arial"/>
                <w:sz w:val="13"/>
                <w:szCs w:val="13"/>
                <w:color w:val="auto"/>
              </w:rPr>
              <w:t>105,111</w:t>
            </w: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3</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171,000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93 %</w:t>
            </w:r>
          </w:p>
        </w:tc>
        <w:tc>
          <w:tcPr>
            <w:tcW w:w="680" w:type="dxa"/>
            <w:vAlign w:val="bottom"/>
          </w:tcPr>
          <w:p>
            <w:pPr>
              <w:jc w:val="center"/>
              <w:spacing w:after="0" w:line="122" w:lineRule="exact"/>
              <w:rPr>
                <w:sz w:val="20"/>
                <w:szCs w:val="20"/>
                <w:color w:val="auto"/>
              </w:rPr>
            </w:pPr>
            <w:r>
              <w:rPr>
                <w:rFonts w:ascii="Arial" w:cs="Arial" w:eastAsia="Arial" w:hAnsi="Arial"/>
                <w:sz w:val="13"/>
                <w:szCs w:val="13"/>
                <w:color w:val="auto"/>
                <w:w w:val="82"/>
              </w:rPr>
              <w:t>129</w:t>
            </w: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0" w:type="dxa"/>
            <w:vAlign w:val="bottom"/>
          </w:tcPr>
          <w:p>
            <w:pPr>
              <w:ind w:left="40"/>
              <w:spacing w:after="0" w:line="122" w:lineRule="exact"/>
              <w:rPr>
                <w:sz w:val="20"/>
                <w:szCs w:val="20"/>
                <w:color w:val="auto"/>
              </w:rPr>
            </w:pPr>
            <w:r>
              <w:rPr>
                <w:rFonts w:ascii="Arial" w:cs="Arial" w:eastAsia="Arial" w:hAnsi="Arial"/>
                <w:sz w:val="13"/>
                <w:szCs w:val="13"/>
                <w:color w:val="auto"/>
              </w:rPr>
              <w:t>CVS / New York Sports Club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Arial" w:cs="Arial" w:eastAsia="Arial" w:hAnsi="Arial"/>
                <w:sz w:val="13"/>
                <w:szCs w:val="13"/>
                <w:color w:val="auto"/>
              </w:rPr>
              <w:t>Sephora / Multiple Restaurants</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Huntington</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6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1"/>
              </w:rPr>
              <w:t>New York-Newark-Jersey City, NY-NJ-PA</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47,004</w:t>
            </w: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265,000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88 %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0"/>
              </w:rPr>
              <w:t>Petsmart / Buy Buy Baby / Michaels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Ulta</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40" w:type="dxa"/>
            <w:vAlign w:val="bottom"/>
          </w:tcPr>
          <w:p>
            <w:pPr>
              <w:spacing w:after="0"/>
              <w:rPr>
                <w:sz w:val="20"/>
                <w:szCs w:val="20"/>
                <w:color w:val="auto"/>
              </w:rPr>
            </w:pPr>
            <w:r>
              <w:rPr>
                <w:rFonts w:ascii="Arial" w:cs="Arial" w:eastAsia="Arial" w:hAnsi="Arial"/>
                <w:sz w:val="13"/>
                <w:szCs w:val="13"/>
                <w:color w:val="auto"/>
                <w:w w:val="94"/>
              </w:rPr>
              <w:t>Huntington Square</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tcPr>
          <w:p>
            <w:pPr>
              <w:ind w:left="40"/>
              <w:spacing w:after="0"/>
              <w:rPr>
                <w:sz w:val="20"/>
                <w:szCs w:val="20"/>
                <w:color w:val="auto"/>
              </w:rPr>
            </w:pPr>
            <w:r>
              <w:rPr>
                <w:rFonts w:ascii="Arial" w:cs="Arial" w:eastAsia="Arial" w:hAnsi="Arial"/>
                <w:sz w:val="13"/>
                <w:szCs w:val="13"/>
                <w:color w:val="auto"/>
                <w:w w:val="91"/>
              </w:rPr>
              <w:t>New York-Newark-Jersey City, NY-NJ-PA</w:t>
            </w:r>
          </w:p>
        </w:tc>
        <w:tc>
          <w:tcPr>
            <w:tcW w:w="620" w:type="dxa"/>
            <w:vAlign w:val="bottom"/>
          </w:tcPr>
          <w:p>
            <w:pPr>
              <w:jc w:val="right"/>
              <w:spacing w:after="0"/>
              <w:rPr>
                <w:sz w:val="20"/>
                <w:szCs w:val="20"/>
                <w:color w:val="auto"/>
              </w:rPr>
            </w:pPr>
            <w:r>
              <w:rPr>
                <w:rFonts w:ascii="Arial" w:cs="Arial" w:eastAsia="Arial" w:hAnsi="Arial"/>
                <w:sz w:val="13"/>
                <w:szCs w:val="13"/>
                <w:color w:val="auto"/>
              </w:rPr>
              <w:t>13,614</w:t>
            </w:r>
          </w:p>
        </w:tc>
        <w:tc>
          <w:tcPr>
            <w:tcW w:w="10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74,000</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81 %</w:t>
            </w: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0" w:type="dxa"/>
            <w:vAlign w:val="bottom"/>
          </w:tcPr>
          <w:p>
            <w:pPr>
              <w:ind w:left="40"/>
              <w:spacing w:after="0"/>
              <w:rPr>
                <w:sz w:val="20"/>
                <w:szCs w:val="20"/>
                <w:color w:val="auto"/>
              </w:rPr>
            </w:pPr>
            <w:r>
              <w:rPr>
                <w:rFonts w:ascii="Arial" w:cs="Arial" w:eastAsia="Arial" w:hAnsi="Arial"/>
                <w:sz w:val="13"/>
                <w:szCs w:val="13"/>
                <w:color w:val="auto"/>
              </w:rPr>
              <w:t>Barnes &amp; Noble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030"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7"/>
              </w:rPr>
              <w:t>Real</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Mortgage/Finance</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157"/>
              <w:spacing w:after="0"/>
              <w:rPr>
                <w:sz w:val="20"/>
                <w:szCs w:val="20"/>
                <w:color w:val="auto"/>
              </w:rPr>
            </w:pPr>
            <w:r>
              <w:rPr>
                <w:rFonts w:ascii="Arial" w:cs="Arial" w:eastAsia="Arial" w:hAnsi="Arial"/>
                <w:sz w:val="13"/>
                <w:szCs w:val="13"/>
                <w:b w:val="1"/>
                <w:bCs w:val="1"/>
                <w:color w:val="auto"/>
              </w:rPr>
              <w:t>%</w:t>
            </w: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Residential</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2"/>
              </w:rPr>
              <w:t>Grocery</w:t>
            </w:r>
          </w:p>
        </w:tc>
        <w:tc>
          <w:tcPr>
            <w:tcW w:w="84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Grocery</w:t>
            </w: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w w:val="99"/>
              </w:rPr>
              <w:t>Property Name</w:t>
            </w: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900" w:type="dxa"/>
            <w:vAlign w:val="bottom"/>
            <w:vMerge w:val="restart"/>
          </w:tcPr>
          <w:p>
            <w:pPr>
              <w:ind w:left="340"/>
              <w:spacing w:after="0"/>
              <w:rPr>
                <w:sz w:val="20"/>
                <w:szCs w:val="20"/>
                <w:color w:val="auto"/>
              </w:rPr>
            </w:pPr>
            <w:r>
              <w:rPr>
                <w:rFonts w:ascii="Arial" w:cs="Arial" w:eastAsia="Arial" w:hAnsi="Arial"/>
                <w:sz w:val="13"/>
                <w:szCs w:val="13"/>
                <w:b w:val="1"/>
                <w:bCs w:val="1"/>
                <w:color w:val="auto"/>
              </w:rPr>
              <w:t>MSA Description</w:t>
            </w:r>
          </w:p>
        </w:tc>
        <w:tc>
          <w:tcPr>
            <w:tcW w:w="6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Estate at</w:t>
            </w:r>
          </w:p>
        </w:tc>
        <w:tc>
          <w:tcPr>
            <w:tcW w:w="10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Lease Liabilities</w:t>
            </w:r>
          </w:p>
        </w:tc>
        <w:tc>
          <w:tcPr>
            <w:tcW w:w="5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7"/>
              </w:rPr>
              <w:t>Acreage</w:t>
            </w: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GLA (3)</w:t>
            </w:r>
          </w:p>
        </w:tc>
        <w:tc>
          <w:tcPr>
            <w:tcW w:w="560" w:type="dxa"/>
            <w:vAlign w:val="bottom"/>
          </w:tcPr>
          <w:p>
            <w:pPr>
              <w:jc w:val="right"/>
              <w:ind w:right="17"/>
              <w:spacing w:after="0" w:line="122" w:lineRule="exact"/>
              <w:rPr>
                <w:sz w:val="20"/>
                <w:szCs w:val="20"/>
                <w:color w:val="auto"/>
              </w:rPr>
            </w:pPr>
            <w:r>
              <w:rPr>
                <w:rFonts w:ascii="Arial" w:cs="Arial" w:eastAsia="Arial" w:hAnsi="Arial"/>
                <w:sz w:val="13"/>
                <w:szCs w:val="13"/>
                <w:b w:val="1"/>
                <w:bCs w:val="1"/>
                <w:color w:val="auto"/>
              </w:rPr>
              <w:t>Leased</w:t>
            </w:r>
          </w:p>
        </w:tc>
        <w:tc>
          <w:tcPr>
            <w:tcW w:w="660" w:type="dxa"/>
            <w:vAlign w:val="bottom"/>
            <w:vMerge w:val="continue"/>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Anchor</w:t>
            </w:r>
          </w:p>
        </w:tc>
        <w:tc>
          <w:tcPr>
            <w:tcW w:w="840" w:type="dxa"/>
            <w:vAlign w:val="bottom"/>
            <w:vMerge w:val="continue"/>
          </w:tcPr>
          <w:p>
            <w:pPr>
              <w:spacing w:after="0"/>
              <w:rPr>
                <w:sz w:val="10"/>
                <w:szCs w:val="10"/>
                <w:color w:val="auto"/>
              </w:rPr>
            </w:pPr>
          </w:p>
        </w:tc>
        <w:tc>
          <w:tcPr>
            <w:tcW w:w="20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Other Retail Tenants</w:t>
            </w: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Cost (1)</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(2)</w:t>
            </w:r>
          </w:p>
        </w:tc>
        <w:tc>
          <w:tcPr>
            <w:tcW w:w="540" w:type="dxa"/>
            <w:vAlign w:val="bottom"/>
            <w:tcBorders>
              <w:bottom w:val="single" w:sz="8" w:color="auto"/>
            </w:tcBorders>
            <w:gridSpan w:val="2"/>
            <w:vMerge w:val="continue"/>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(3)</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Units</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Anchor</w:t>
            </w:r>
          </w:p>
        </w:tc>
        <w:tc>
          <w:tcPr>
            <w:tcW w:w="2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640" w:type="dxa"/>
            <w:vAlign w:val="bottom"/>
          </w:tcPr>
          <w:p>
            <w:pPr>
              <w:jc w:val="center"/>
              <w:spacing w:after="0" w:line="111" w:lineRule="exact"/>
              <w:rPr>
                <w:sz w:val="20"/>
                <w:szCs w:val="20"/>
                <w:color w:val="auto"/>
              </w:rPr>
            </w:pPr>
            <w:r>
              <w:rPr>
                <w:rFonts w:ascii="Arial" w:cs="Arial" w:eastAsia="Arial" w:hAnsi="Arial"/>
                <w:sz w:val="11"/>
                <w:szCs w:val="11"/>
                <w:color w:val="auto"/>
                <w:w w:val="97"/>
              </w:rPr>
              <w:t>(in</w:t>
            </w:r>
          </w:p>
        </w:tc>
        <w:tc>
          <w:tcPr>
            <w:tcW w:w="1020" w:type="dxa"/>
            <w:vAlign w:val="bottom"/>
            <w:vMerge w:val="restart"/>
          </w:tcPr>
          <w:p>
            <w:pPr>
              <w:jc w:val="center"/>
              <w:spacing w:after="0"/>
              <w:rPr>
                <w:sz w:val="20"/>
                <w:szCs w:val="20"/>
                <w:color w:val="auto"/>
              </w:rPr>
            </w:pPr>
            <w:r>
              <w:rPr>
                <w:rFonts w:ascii="Arial" w:cs="Arial" w:eastAsia="Arial" w:hAnsi="Arial"/>
                <w:sz w:val="11"/>
                <w:szCs w:val="11"/>
                <w:color w:val="auto"/>
                <w:w w:val="88"/>
              </w:rPr>
              <w:t>(in thousands)</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102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spacing w:after="0" w:line="122" w:lineRule="exact"/>
              <w:rPr>
                <w:sz w:val="20"/>
                <w:szCs w:val="20"/>
                <w:color w:val="auto"/>
              </w:rPr>
            </w:pPr>
            <w:r>
              <w:rPr>
                <w:rFonts w:ascii="Arial" w:cs="Arial" w:eastAsia="Arial" w:hAnsi="Arial"/>
                <w:sz w:val="13"/>
                <w:szCs w:val="13"/>
                <w:color w:val="auto"/>
              </w:rPr>
              <w:t>Melville Mall</w:t>
            </w:r>
          </w:p>
        </w:tc>
        <w:tc>
          <w:tcPr>
            <w:tcW w:w="420" w:type="dxa"/>
            <w:vAlign w:val="bottom"/>
            <w:shd w:val="clear" w:color="auto" w:fill="CCEEFF"/>
          </w:tcPr>
          <w:p>
            <w:pPr>
              <w:spacing w:after="0"/>
              <w:rPr>
                <w:sz w:val="10"/>
                <w:szCs w:val="10"/>
                <w:color w:val="auto"/>
              </w:rPr>
            </w:pPr>
          </w:p>
        </w:tc>
        <w:tc>
          <w:tcPr>
            <w:tcW w:w="2220" w:type="dxa"/>
            <w:vAlign w:val="bottom"/>
            <w:gridSpan w:val="2"/>
            <w:shd w:val="clear" w:color="auto" w:fill="CCEEFF"/>
          </w:tcPr>
          <w:p>
            <w:pPr>
              <w:ind w:left="40"/>
              <w:spacing w:after="0" w:line="122" w:lineRule="exact"/>
              <w:rPr>
                <w:sz w:val="20"/>
                <w:szCs w:val="20"/>
                <w:color w:val="auto"/>
              </w:rPr>
            </w:pPr>
            <w:r>
              <w:rPr>
                <w:rFonts w:ascii="Arial" w:cs="Arial" w:eastAsia="Arial" w:hAnsi="Arial"/>
                <w:sz w:val="13"/>
                <w:szCs w:val="13"/>
                <w:color w:val="auto"/>
                <w:w w:val="89"/>
              </w:rPr>
              <w:t>New York-Newark-Jersey City, NY-NJ-PA</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104,074</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245,000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100 %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5"/>
              </w:rPr>
              <w:t>53,000</w:t>
            </w:r>
          </w:p>
        </w:tc>
        <w:tc>
          <w:tcPr>
            <w:tcW w:w="840" w:type="dxa"/>
            <w:vAlign w:val="bottom"/>
            <w:shd w:val="clear" w:color="auto" w:fill="CCEEFF"/>
          </w:tcPr>
          <w:p>
            <w:pPr>
              <w:ind w:left="60"/>
              <w:spacing w:after="0" w:line="122" w:lineRule="exact"/>
              <w:rPr>
                <w:sz w:val="20"/>
                <w:szCs w:val="20"/>
                <w:color w:val="auto"/>
              </w:rPr>
            </w:pPr>
            <w:r>
              <w:rPr>
                <w:rFonts w:ascii="Arial" w:cs="Arial" w:eastAsia="Arial" w:hAnsi="Arial"/>
                <w:sz w:val="13"/>
                <w:szCs w:val="13"/>
                <w:color w:val="auto"/>
              </w:rPr>
              <w:t>Uncle</w:t>
            </w:r>
          </w:p>
        </w:tc>
        <w:tc>
          <w:tcPr>
            <w:tcW w:w="202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w w:val="97"/>
              </w:rPr>
              <w:t>Marshalls / Dick's Sporting Goods /</w:t>
            </w: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40" w:type="dxa"/>
            <w:vAlign w:val="bottom"/>
            <w:shd w:val="clear" w:color="auto" w:fill="CCEEFF"/>
          </w:tcPr>
          <w:p>
            <w:pPr>
              <w:ind w:left="60"/>
              <w:spacing w:after="0" w:line="122" w:lineRule="exact"/>
              <w:rPr>
                <w:sz w:val="20"/>
                <w:szCs w:val="20"/>
                <w:color w:val="auto"/>
              </w:rPr>
            </w:pPr>
            <w:r>
              <w:rPr>
                <w:rFonts w:ascii="Arial" w:cs="Arial" w:eastAsia="Arial" w:hAnsi="Arial"/>
                <w:sz w:val="13"/>
                <w:szCs w:val="13"/>
                <w:color w:val="auto"/>
              </w:rPr>
              <w:t>Giuseppe's</w:t>
            </w:r>
          </w:p>
        </w:tc>
        <w:tc>
          <w:tcPr>
            <w:tcW w:w="202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w w:val="97"/>
              </w:rPr>
              <w:t>Field &amp; Stream / Macy's Backstage</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Marketplace</w:t>
            </w: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Arial" w:cs="Arial" w:eastAsia="Arial" w:hAnsi="Arial"/>
                <w:sz w:val="13"/>
                <w:szCs w:val="13"/>
                <w:color w:val="auto"/>
              </w:rPr>
              <w:t>Mercer Mall</w:t>
            </w:r>
          </w:p>
        </w:tc>
        <w:tc>
          <w:tcPr>
            <w:tcW w:w="420" w:type="dxa"/>
            <w:vAlign w:val="bottom"/>
          </w:tcPr>
          <w:p>
            <w:pPr>
              <w:jc w:val="center"/>
              <w:spacing w:after="0" w:line="122" w:lineRule="exact"/>
              <w:rPr>
                <w:sz w:val="20"/>
                <w:szCs w:val="20"/>
                <w:color w:val="auto"/>
              </w:rPr>
            </w:pPr>
            <w:r>
              <w:rPr>
                <w:rFonts w:ascii="Arial" w:cs="Arial" w:eastAsia="Arial" w:hAnsi="Arial"/>
                <w:sz w:val="13"/>
                <w:szCs w:val="13"/>
                <w:color w:val="auto"/>
              </w:rPr>
              <w:t>(7)</w:t>
            </w:r>
          </w:p>
        </w:tc>
        <w:tc>
          <w:tcPr>
            <w:tcW w:w="2220" w:type="dxa"/>
            <w:vAlign w:val="bottom"/>
            <w:gridSpan w:val="2"/>
          </w:tcPr>
          <w:p>
            <w:pPr>
              <w:ind w:left="40"/>
              <w:spacing w:after="0" w:line="122" w:lineRule="exact"/>
              <w:rPr>
                <w:sz w:val="20"/>
                <w:szCs w:val="20"/>
                <w:color w:val="auto"/>
              </w:rPr>
            </w:pPr>
            <w:r>
              <w:rPr>
                <w:rFonts w:ascii="Arial" w:cs="Arial" w:eastAsia="Arial" w:hAnsi="Arial"/>
                <w:sz w:val="13"/>
                <w:szCs w:val="13"/>
                <w:color w:val="auto"/>
              </w:rPr>
              <w:t>Trenton, NJ</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128,787</w:t>
            </w:r>
          </w:p>
        </w:tc>
        <w:tc>
          <w:tcPr>
            <w:tcW w:w="1020" w:type="dxa"/>
            <w:vAlign w:val="bottom"/>
          </w:tcPr>
          <w:p>
            <w:pPr>
              <w:jc w:val="right"/>
              <w:spacing w:after="0" w:line="122" w:lineRule="exact"/>
              <w:rPr>
                <w:sz w:val="20"/>
                <w:szCs w:val="20"/>
                <w:color w:val="auto"/>
              </w:rPr>
            </w:pPr>
            <w:r>
              <w:rPr>
                <w:rFonts w:ascii="Arial" w:cs="Arial" w:eastAsia="Arial" w:hAnsi="Arial"/>
                <w:sz w:val="13"/>
                <w:szCs w:val="13"/>
                <w:color w:val="auto"/>
              </w:rPr>
              <w:t>55,252</w:t>
            </w: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50</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551,000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86 %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3"/>
                <w:szCs w:val="13"/>
                <w:color w:val="auto"/>
                <w:w w:val="85"/>
              </w:rPr>
              <w:t>75,000</w:t>
            </w: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rPr>
              <w:t>Shop Rite</w:t>
            </w: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Ross Dress For Less / Nordstrom</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Arial" w:cs="Arial" w:eastAsia="Arial" w:hAnsi="Arial"/>
                <w:sz w:val="13"/>
                <w:szCs w:val="13"/>
                <w:color w:val="auto"/>
              </w:rPr>
              <w:t>Rack / REI</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The Grove at</w:t>
            </w:r>
          </w:p>
        </w:tc>
        <w:tc>
          <w:tcPr>
            <w:tcW w:w="42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(4) (6)</w:t>
            </w:r>
          </w:p>
        </w:tc>
        <w:tc>
          <w:tcPr>
            <w:tcW w:w="2220" w:type="dxa"/>
            <w:vAlign w:val="bottom"/>
            <w:gridSpan w:val="2"/>
            <w:shd w:val="clear" w:color="auto" w:fill="CCEEFF"/>
          </w:tcPr>
          <w:p>
            <w:pPr>
              <w:ind w:left="40"/>
              <w:spacing w:after="0" w:line="129" w:lineRule="exact"/>
              <w:rPr>
                <w:sz w:val="20"/>
                <w:szCs w:val="20"/>
                <w:color w:val="auto"/>
              </w:rPr>
            </w:pPr>
            <w:r>
              <w:rPr>
                <w:rFonts w:ascii="Arial" w:cs="Arial" w:eastAsia="Arial" w:hAnsi="Arial"/>
                <w:sz w:val="13"/>
                <w:szCs w:val="13"/>
                <w:color w:val="auto"/>
                <w:w w:val="89"/>
              </w:rPr>
              <w:t>New York-Newark-Jersey City, NY-NJ-PA</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127,922</w:t>
            </w:r>
          </w:p>
        </w:tc>
        <w:tc>
          <w:tcPr>
            <w:tcW w:w="10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43,600</w:t>
            </w: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193,000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96 %</w:t>
            </w: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6"/>
              </w:rPr>
              <w:t>Lululemon / Anthropologie / Pottery</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Shrewsbury</w:t>
            </w: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Barn / Williams-Sonoma</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Troy</w:t>
            </w:r>
          </w:p>
        </w:tc>
        <w:tc>
          <w:tcPr>
            <w:tcW w:w="42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w w:val="89"/>
              </w:rPr>
              <w:t>New York-Newark-Jersey City, NY-NJ-PA</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41,120</w:t>
            </w:r>
          </w:p>
        </w:tc>
        <w:tc>
          <w:tcPr>
            <w:tcW w:w="10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211,000</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100 %</w:t>
            </w:r>
          </w:p>
        </w:tc>
        <w:tc>
          <w:tcPr>
            <w:tcW w:w="66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Target / L.A. Fitness / Michaels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Total NY Metro/New Jersey</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1,187,413</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3,102,000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91 %</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gridSpan w:val="3"/>
          </w:tcPr>
          <w:p>
            <w:pPr>
              <w:spacing w:after="0"/>
              <w:rPr>
                <w:sz w:val="8"/>
                <w:szCs w:val="8"/>
                <w:color w:val="auto"/>
              </w:rPr>
            </w:pPr>
          </w:p>
        </w:tc>
        <w:tc>
          <w:tcPr>
            <w:tcW w:w="1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680" w:type="dxa"/>
            <w:vAlign w:val="bottom"/>
            <w:gridSpan w:val="6"/>
            <w:shd w:val="clear" w:color="auto" w:fill="CCEEFF"/>
          </w:tcPr>
          <w:p>
            <w:pPr>
              <w:ind w:left="60"/>
              <w:spacing w:after="0" w:line="135" w:lineRule="exact"/>
              <w:rPr>
                <w:sz w:val="20"/>
                <w:szCs w:val="20"/>
                <w:color w:val="auto"/>
              </w:rPr>
            </w:pPr>
            <w:r>
              <w:rPr>
                <w:rFonts w:ascii="Arial" w:cs="Arial" w:eastAsia="Arial" w:hAnsi="Arial"/>
                <w:sz w:val="13"/>
                <w:szCs w:val="13"/>
                <w:b w:val="1"/>
                <w:bCs w:val="1"/>
                <w:color w:val="auto"/>
              </w:rPr>
              <w:t>Philadelphia Metropolitan Area</w:t>
            </w:r>
          </w:p>
        </w:tc>
        <w:tc>
          <w:tcPr>
            <w:tcW w:w="6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Arial" w:cs="Arial" w:eastAsia="Arial" w:hAnsi="Arial"/>
                <w:sz w:val="13"/>
                <w:szCs w:val="13"/>
                <w:color w:val="auto"/>
              </w:rPr>
              <w:t>Andorra</w:t>
            </w:r>
          </w:p>
        </w:tc>
        <w:tc>
          <w:tcPr>
            <w:tcW w:w="420" w:type="dxa"/>
            <w:vAlign w:val="bottom"/>
          </w:tcPr>
          <w:p>
            <w:pPr>
              <w:spacing w:after="0"/>
              <w:rPr>
                <w:sz w:val="10"/>
                <w:szCs w:val="10"/>
                <w:color w:val="auto"/>
              </w:rPr>
            </w:pPr>
          </w:p>
        </w:tc>
        <w:tc>
          <w:tcPr>
            <w:tcW w:w="2220" w:type="dxa"/>
            <w:vAlign w:val="bottom"/>
            <w:gridSpan w:val="2"/>
          </w:tcPr>
          <w:p>
            <w:pPr>
              <w:ind w:left="40"/>
              <w:spacing w:after="0" w:line="122" w:lineRule="exact"/>
              <w:rPr>
                <w:sz w:val="20"/>
                <w:szCs w:val="20"/>
                <w:color w:val="auto"/>
              </w:rPr>
            </w:pPr>
            <w:r>
              <w:rPr>
                <w:rFonts w:ascii="Arial" w:cs="Arial" w:eastAsia="Arial" w:hAnsi="Arial"/>
                <w:sz w:val="13"/>
                <w:szCs w:val="13"/>
                <w:color w:val="auto"/>
                <w:w w:val="89"/>
              </w:rPr>
              <w:t>Philadelphia-Camden-Wilmington, PA-NJ-</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31,587</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22</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270,000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87 %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3"/>
                <w:szCs w:val="13"/>
                <w:color w:val="auto"/>
                <w:w w:val="85"/>
              </w:rPr>
              <w:t>24,000</w:t>
            </w: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w w:val="91"/>
              </w:rPr>
              <w:t>Acme Markets</w:t>
            </w: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Kohl's / L.A. Fitness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20" w:type="dxa"/>
            <w:vAlign w:val="bottom"/>
            <w:gridSpan w:val="2"/>
          </w:tcPr>
          <w:p>
            <w:pPr>
              <w:ind w:left="40"/>
              <w:spacing w:after="0"/>
              <w:rPr>
                <w:sz w:val="20"/>
                <w:szCs w:val="20"/>
                <w:color w:val="auto"/>
              </w:rPr>
            </w:pPr>
            <w:r>
              <w:rPr>
                <w:rFonts w:ascii="Arial" w:cs="Arial" w:eastAsia="Arial" w:hAnsi="Arial"/>
                <w:sz w:val="13"/>
                <w:szCs w:val="13"/>
                <w:color w:val="auto"/>
              </w:rPr>
              <w:t>DE-MD</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Bala Cynwyd</w:t>
            </w:r>
          </w:p>
        </w:tc>
        <w:tc>
          <w:tcPr>
            <w:tcW w:w="42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40"/>
              <w:spacing w:after="0" w:line="129" w:lineRule="exact"/>
              <w:rPr>
                <w:sz w:val="20"/>
                <w:szCs w:val="20"/>
                <w:color w:val="auto"/>
              </w:rPr>
            </w:pPr>
            <w:r>
              <w:rPr>
                <w:rFonts w:ascii="Arial" w:cs="Arial" w:eastAsia="Arial" w:hAnsi="Arial"/>
                <w:sz w:val="13"/>
                <w:szCs w:val="13"/>
                <w:color w:val="auto"/>
                <w:w w:val="89"/>
              </w:rPr>
              <w:t>Philadelphia-Camden-Wilmington, PA-NJ-</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65,481</w:t>
            </w:r>
          </w:p>
        </w:tc>
        <w:tc>
          <w:tcPr>
            <w:tcW w:w="10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174,000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96 %</w:t>
            </w:r>
          </w:p>
        </w:tc>
        <w:tc>
          <w:tcPr>
            <w:tcW w:w="6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87</w:t>
            </w:r>
          </w:p>
        </w:tc>
        <w:tc>
          <w:tcPr>
            <w:tcW w:w="5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45,000</w:t>
            </w:r>
          </w:p>
        </w:tc>
        <w:tc>
          <w:tcPr>
            <w:tcW w:w="8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w w:val="91"/>
              </w:rPr>
              <w:t>Acme Markets</w:t>
            </w: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Michaels / L.A. Fitness</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DE-MD</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Arial" w:cs="Arial" w:eastAsia="Arial" w:hAnsi="Arial"/>
                <w:sz w:val="13"/>
                <w:szCs w:val="13"/>
                <w:color w:val="auto"/>
              </w:rPr>
              <w:t>Ellisburg</w:t>
            </w:r>
          </w:p>
        </w:tc>
        <w:tc>
          <w:tcPr>
            <w:tcW w:w="420" w:type="dxa"/>
            <w:vAlign w:val="bottom"/>
          </w:tcPr>
          <w:p>
            <w:pPr>
              <w:spacing w:after="0"/>
              <w:rPr>
                <w:sz w:val="10"/>
                <w:szCs w:val="10"/>
                <w:color w:val="auto"/>
              </w:rPr>
            </w:pPr>
          </w:p>
        </w:tc>
        <w:tc>
          <w:tcPr>
            <w:tcW w:w="2220" w:type="dxa"/>
            <w:vAlign w:val="bottom"/>
            <w:gridSpan w:val="2"/>
          </w:tcPr>
          <w:p>
            <w:pPr>
              <w:ind w:left="40"/>
              <w:spacing w:after="0" w:line="122" w:lineRule="exact"/>
              <w:rPr>
                <w:sz w:val="20"/>
                <w:szCs w:val="20"/>
                <w:color w:val="auto"/>
              </w:rPr>
            </w:pPr>
            <w:r>
              <w:rPr>
                <w:rFonts w:ascii="Arial" w:cs="Arial" w:eastAsia="Arial" w:hAnsi="Arial"/>
                <w:sz w:val="13"/>
                <w:szCs w:val="13"/>
                <w:color w:val="auto"/>
                <w:w w:val="89"/>
              </w:rPr>
              <w:t>Philadelphia-Camden-Wilmington, PA-NJ-</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35,211</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28</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260,000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87 %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3"/>
                <w:szCs w:val="13"/>
                <w:color w:val="auto"/>
                <w:w w:val="85"/>
              </w:rPr>
              <w:t>47,000</w:t>
            </w: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w w:val="99"/>
              </w:rPr>
              <w:t>Whole Foods</w:t>
            </w: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Buy Buy Baby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20" w:type="dxa"/>
            <w:vAlign w:val="bottom"/>
            <w:gridSpan w:val="2"/>
          </w:tcPr>
          <w:p>
            <w:pPr>
              <w:ind w:left="40"/>
              <w:spacing w:after="0"/>
              <w:rPr>
                <w:sz w:val="20"/>
                <w:szCs w:val="20"/>
                <w:color w:val="auto"/>
              </w:rPr>
            </w:pPr>
            <w:r>
              <w:rPr>
                <w:rFonts w:ascii="Arial" w:cs="Arial" w:eastAsia="Arial" w:hAnsi="Arial"/>
                <w:sz w:val="13"/>
                <w:szCs w:val="13"/>
                <w:color w:val="auto"/>
              </w:rPr>
              <w:t>DE-MD</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Flourtown</w:t>
            </w:r>
          </w:p>
        </w:tc>
        <w:tc>
          <w:tcPr>
            <w:tcW w:w="42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40"/>
              <w:spacing w:after="0" w:line="129" w:lineRule="exact"/>
              <w:rPr>
                <w:sz w:val="20"/>
                <w:szCs w:val="20"/>
                <w:color w:val="auto"/>
              </w:rPr>
            </w:pPr>
            <w:r>
              <w:rPr>
                <w:rFonts w:ascii="Arial" w:cs="Arial" w:eastAsia="Arial" w:hAnsi="Arial"/>
                <w:sz w:val="13"/>
                <w:szCs w:val="13"/>
                <w:color w:val="auto"/>
                <w:w w:val="89"/>
              </w:rPr>
              <w:t>Philadelphia-Camden-Wilmington, PA-NJ-</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17,041</w:t>
            </w:r>
          </w:p>
        </w:tc>
        <w:tc>
          <w:tcPr>
            <w:tcW w:w="10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156,000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95 %</w:t>
            </w: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75,000</w:t>
            </w:r>
          </w:p>
        </w:tc>
        <w:tc>
          <w:tcPr>
            <w:tcW w:w="8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Giant Food</w:t>
            </w: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Movie Tavern</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DE-MD</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Arial" w:cs="Arial" w:eastAsia="Arial" w:hAnsi="Arial"/>
                <w:sz w:val="13"/>
                <w:szCs w:val="13"/>
                <w:color w:val="auto"/>
                <w:w w:val="94"/>
              </w:rPr>
              <w:t>Langhorne Square</w:t>
            </w:r>
          </w:p>
        </w:tc>
        <w:tc>
          <w:tcPr>
            <w:tcW w:w="420" w:type="dxa"/>
            <w:vAlign w:val="bottom"/>
          </w:tcPr>
          <w:p>
            <w:pPr>
              <w:spacing w:after="0"/>
              <w:rPr>
                <w:sz w:val="10"/>
                <w:szCs w:val="10"/>
                <w:color w:val="auto"/>
              </w:rPr>
            </w:pPr>
          </w:p>
        </w:tc>
        <w:tc>
          <w:tcPr>
            <w:tcW w:w="2220" w:type="dxa"/>
            <w:vAlign w:val="bottom"/>
            <w:gridSpan w:val="2"/>
          </w:tcPr>
          <w:p>
            <w:pPr>
              <w:ind w:left="40"/>
              <w:spacing w:after="0" w:line="122" w:lineRule="exact"/>
              <w:rPr>
                <w:sz w:val="20"/>
                <w:szCs w:val="20"/>
                <w:color w:val="auto"/>
              </w:rPr>
            </w:pPr>
            <w:r>
              <w:rPr>
                <w:rFonts w:ascii="Arial" w:cs="Arial" w:eastAsia="Arial" w:hAnsi="Arial"/>
                <w:sz w:val="13"/>
                <w:szCs w:val="13"/>
                <w:color w:val="auto"/>
                <w:w w:val="89"/>
              </w:rPr>
              <w:t>Philadelphia-Camden-Wilmington, PA-NJ-</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23,005</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21</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223,000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99 %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3"/>
                <w:szCs w:val="13"/>
                <w:color w:val="auto"/>
                <w:w w:val="85"/>
              </w:rPr>
              <w:t>55,000</w:t>
            </w: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rPr>
              <w:t>Redner's</w:t>
            </w: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Marshalls / Planet Fitness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20" w:type="dxa"/>
            <w:vAlign w:val="bottom"/>
            <w:gridSpan w:val="2"/>
          </w:tcPr>
          <w:p>
            <w:pPr>
              <w:ind w:left="40"/>
              <w:spacing w:after="0" w:line="122" w:lineRule="exact"/>
              <w:rPr>
                <w:sz w:val="20"/>
                <w:szCs w:val="20"/>
                <w:color w:val="auto"/>
              </w:rPr>
            </w:pPr>
            <w:r>
              <w:rPr>
                <w:rFonts w:ascii="Arial" w:cs="Arial" w:eastAsia="Arial" w:hAnsi="Arial"/>
                <w:sz w:val="13"/>
                <w:szCs w:val="13"/>
                <w:color w:val="auto"/>
              </w:rPr>
              <w:t>DE-MD</w:t>
            </w: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rPr>
              <w:t>Warehouse</w:t>
            </w:r>
          </w:p>
        </w:tc>
        <w:tc>
          <w:tcPr>
            <w:tcW w:w="2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3"/>
                <w:szCs w:val="13"/>
                <w:color w:val="auto"/>
              </w:rPr>
              <w:t>Markets</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Lawrence Park</w:t>
            </w:r>
          </w:p>
        </w:tc>
        <w:tc>
          <w:tcPr>
            <w:tcW w:w="42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40"/>
              <w:spacing w:after="0" w:line="129" w:lineRule="exact"/>
              <w:rPr>
                <w:sz w:val="20"/>
                <w:szCs w:val="20"/>
                <w:color w:val="auto"/>
              </w:rPr>
            </w:pPr>
            <w:r>
              <w:rPr>
                <w:rFonts w:ascii="Arial" w:cs="Arial" w:eastAsia="Arial" w:hAnsi="Arial"/>
                <w:sz w:val="13"/>
                <w:szCs w:val="13"/>
                <w:color w:val="auto"/>
                <w:w w:val="89"/>
              </w:rPr>
              <w:t>Philadelphia-Camden-Wilmington, PA-NJ-</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46,846</w:t>
            </w:r>
          </w:p>
        </w:tc>
        <w:tc>
          <w:tcPr>
            <w:tcW w:w="10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362,000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98 %</w:t>
            </w: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53,000</w:t>
            </w:r>
          </w:p>
        </w:tc>
        <w:tc>
          <w:tcPr>
            <w:tcW w:w="8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w w:val="91"/>
              </w:rPr>
              <w:t>Acme Markets</w:t>
            </w: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9"/>
              </w:rPr>
              <w:t>TJ Maxx / HomeGoods / Barnes &amp;</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DE-MD</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Noble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Arial" w:cs="Arial" w:eastAsia="Arial" w:hAnsi="Arial"/>
                <w:sz w:val="13"/>
                <w:szCs w:val="13"/>
                <w:color w:val="auto"/>
              </w:rPr>
              <w:t>Northeast</w:t>
            </w:r>
          </w:p>
        </w:tc>
        <w:tc>
          <w:tcPr>
            <w:tcW w:w="420" w:type="dxa"/>
            <w:vAlign w:val="bottom"/>
          </w:tcPr>
          <w:p>
            <w:pPr>
              <w:spacing w:after="0"/>
              <w:rPr>
                <w:sz w:val="10"/>
                <w:szCs w:val="10"/>
                <w:color w:val="auto"/>
              </w:rPr>
            </w:pPr>
          </w:p>
        </w:tc>
        <w:tc>
          <w:tcPr>
            <w:tcW w:w="2220" w:type="dxa"/>
            <w:vAlign w:val="bottom"/>
            <w:gridSpan w:val="2"/>
          </w:tcPr>
          <w:p>
            <w:pPr>
              <w:ind w:left="40"/>
              <w:spacing w:after="0" w:line="122" w:lineRule="exact"/>
              <w:rPr>
                <w:sz w:val="20"/>
                <w:szCs w:val="20"/>
                <w:color w:val="auto"/>
              </w:rPr>
            </w:pPr>
            <w:r>
              <w:rPr>
                <w:rFonts w:ascii="Arial" w:cs="Arial" w:eastAsia="Arial" w:hAnsi="Arial"/>
                <w:sz w:val="13"/>
                <w:szCs w:val="13"/>
                <w:color w:val="auto"/>
                <w:w w:val="89"/>
              </w:rPr>
              <w:t>Philadelphia-Camden-Wilmington, PA-NJ-</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34,245</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15</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227,000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82 %</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w w:val="94"/>
              </w:rPr>
              <w:t>Marshalls / Ulta / Skechers / Crunch</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20" w:type="dxa"/>
            <w:vAlign w:val="bottom"/>
            <w:gridSpan w:val="2"/>
          </w:tcPr>
          <w:p>
            <w:pPr>
              <w:ind w:left="40"/>
              <w:spacing w:after="0"/>
              <w:rPr>
                <w:sz w:val="20"/>
                <w:szCs w:val="20"/>
                <w:color w:val="auto"/>
              </w:rPr>
            </w:pPr>
            <w:r>
              <w:rPr>
                <w:rFonts w:ascii="Arial" w:cs="Arial" w:eastAsia="Arial" w:hAnsi="Arial"/>
                <w:sz w:val="13"/>
                <w:szCs w:val="13"/>
                <w:color w:val="auto"/>
              </w:rPr>
              <w:t>DE-MD</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Arial" w:cs="Arial" w:eastAsia="Arial" w:hAnsi="Arial"/>
                <w:sz w:val="13"/>
                <w:szCs w:val="13"/>
                <w:color w:val="auto"/>
              </w:rPr>
              <w:t>Fitness</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Town Center of</w:t>
            </w:r>
          </w:p>
        </w:tc>
        <w:tc>
          <w:tcPr>
            <w:tcW w:w="42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40"/>
              <w:spacing w:after="0" w:line="129" w:lineRule="exact"/>
              <w:rPr>
                <w:sz w:val="20"/>
                <w:szCs w:val="20"/>
                <w:color w:val="auto"/>
              </w:rPr>
            </w:pPr>
            <w:r>
              <w:rPr>
                <w:rFonts w:ascii="Arial" w:cs="Arial" w:eastAsia="Arial" w:hAnsi="Arial"/>
                <w:sz w:val="13"/>
                <w:szCs w:val="13"/>
                <w:color w:val="auto"/>
                <w:w w:val="89"/>
              </w:rPr>
              <w:t>Philadelphia-Camden-Wilmington, PA-NJ-</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16,659</w:t>
            </w:r>
          </w:p>
        </w:tc>
        <w:tc>
          <w:tcPr>
            <w:tcW w:w="10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124,000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87 %</w:t>
            </w: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36,000</w:t>
            </w:r>
          </w:p>
        </w:tc>
        <w:tc>
          <w:tcPr>
            <w:tcW w:w="8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Giant Food</w:t>
            </w: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Rite Aid / Dollar Tree</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New Britain</w:t>
            </w:r>
          </w:p>
        </w:tc>
        <w:tc>
          <w:tcPr>
            <w:tcW w:w="420" w:type="dxa"/>
            <w:vAlign w:val="bottom"/>
            <w:shd w:val="clear" w:color="auto" w:fill="CCEEFF"/>
          </w:tcPr>
          <w:p>
            <w:pPr>
              <w:spacing w:after="0"/>
              <w:rPr>
                <w:sz w:val="15"/>
                <w:szCs w:val="15"/>
                <w:color w:val="auto"/>
              </w:rPr>
            </w:pPr>
          </w:p>
        </w:tc>
        <w:tc>
          <w:tcPr>
            <w:tcW w:w="22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DE-MD</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Arial" w:cs="Arial" w:eastAsia="Arial" w:hAnsi="Arial"/>
                <w:sz w:val="13"/>
                <w:szCs w:val="13"/>
                <w:color w:val="auto"/>
              </w:rPr>
              <w:t>Willow Grove</w:t>
            </w:r>
          </w:p>
        </w:tc>
        <w:tc>
          <w:tcPr>
            <w:tcW w:w="420" w:type="dxa"/>
            <w:vAlign w:val="bottom"/>
          </w:tcPr>
          <w:p>
            <w:pPr>
              <w:spacing w:after="0"/>
              <w:rPr>
                <w:sz w:val="10"/>
                <w:szCs w:val="10"/>
                <w:color w:val="auto"/>
              </w:rPr>
            </w:pPr>
          </w:p>
        </w:tc>
        <w:tc>
          <w:tcPr>
            <w:tcW w:w="2220" w:type="dxa"/>
            <w:vAlign w:val="bottom"/>
            <w:gridSpan w:val="2"/>
          </w:tcPr>
          <w:p>
            <w:pPr>
              <w:ind w:left="40"/>
              <w:spacing w:after="0" w:line="122" w:lineRule="exact"/>
              <w:rPr>
                <w:sz w:val="20"/>
                <w:szCs w:val="20"/>
                <w:color w:val="auto"/>
              </w:rPr>
            </w:pPr>
            <w:r>
              <w:rPr>
                <w:rFonts w:ascii="Arial" w:cs="Arial" w:eastAsia="Arial" w:hAnsi="Arial"/>
                <w:sz w:val="13"/>
                <w:szCs w:val="13"/>
                <w:color w:val="auto"/>
                <w:w w:val="89"/>
              </w:rPr>
              <w:t>Philadelphia-Camden-Wilmington, PA-NJ-</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30,887</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13</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184,000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66 %</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20" w:type="dxa"/>
            <w:vAlign w:val="bottom"/>
            <w:gridSpan w:val="2"/>
          </w:tcPr>
          <w:p>
            <w:pPr>
              <w:ind w:left="40"/>
              <w:spacing w:after="0"/>
              <w:rPr>
                <w:sz w:val="20"/>
                <w:szCs w:val="20"/>
                <w:color w:val="auto"/>
              </w:rPr>
            </w:pPr>
            <w:r>
              <w:rPr>
                <w:rFonts w:ascii="Arial" w:cs="Arial" w:eastAsia="Arial" w:hAnsi="Arial"/>
                <w:sz w:val="13"/>
                <w:szCs w:val="13"/>
                <w:color w:val="auto"/>
              </w:rPr>
              <w:t>DE-MD</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Wynnewood</w:t>
            </w:r>
          </w:p>
        </w:tc>
        <w:tc>
          <w:tcPr>
            <w:tcW w:w="42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40"/>
              <w:spacing w:after="0" w:line="129" w:lineRule="exact"/>
              <w:rPr>
                <w:sz w:val="20"/>
                <w:szCs w:val="20"/>
                <w:color w:val="auto"/>
              </w:rPr>
            </w:pPr>
            <w:r>
              <w:rPr>
                <w:rFonts w:ascii="Arial" w:cs="Arial" w:eastAsia="Arial" w:hAnsi="Arial"/>
                <w:sz w:val="13"/>
                <w:szCs w:val="13"/>
                <w:color w:val="auto"/>
                <w:w w:val="89"/>
              </w:rPr>
              <w:t>Philadelphia-Camden-Wilmington, PA-NJ-</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42,585</w:t>
            </w:r>
          </w:p>
        </w:tc>
        <w:tc>
          <w:tcPr>
            <w:tcW w:w="10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249,000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95 %</w:t>
            </w:r>
          </w:p>
        </w:tc>
        <w:tc>
          <w:tcPr>
            <w:tcW w:w="6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9</w:t>
            </w:r>
          </w:p>
        </w:tc>
        <w:tc>
          <w:tcPr>
            <w:tcW w:w="5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98,000</w:t>
            </w:r>
          </w:p>
        </w:tc>
        <w:tc>
          <w:tcPr>
            <w:tcW w:w="8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Giant Food</w:t>
            </w: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Bed, Bath &amp; Beyond / Old Navy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DE-MD</w:t>
            </w:r>
          </w:p>
        </w:tc>
        <w:tc>
          <w:tcPr>
            <w:tcW w:w="640" w:type="dxa"/>
            <w:vAlign w:val="bottom"/>
            <w:tcBorders>
              <w:bottom w:val="single" w:sz="8" w:color="auto"/>
            </w:tcBorders>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DSW</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2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w w:val="95"/>
              </w:rPr>
              <w:t>Total Philadelphia Metropolitan Area</w:t>
            </w:r>
          </w:p>
        </w:tc>
        <w:tc>
          <w:tcPr>
            <w:tcW w:w="640" w:type="dxa"/>
            <w:vAlign w:val="bottom"/>
          </w:tcPr>
          <w:p>
            <w:pPr>
              <w:jc w:val="right"/>
              <w:spacing w:after="0"/>
              <w:rPr>
                <w:sz w:val="20"/>
                <w:szCs w:val="20"/>
                <w:color w:val="auto"/>
              </w:rPr>
            </w:pPr>
            <w:r>
              <w:rPr>
                <w:rFonts w:ascii="Arial" w:cs="Arial" w:eastAsia="Arial" w:hAnsi="Arial"/>
                <w:sz w:val="13"/>
                <w:szCs w:val="13"/>
                <w:color w:val="auto"/>
              </w:rPr>
              <w:t>343,547</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206</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6"/>
              </w:rPr>
              <w:t>2,229,000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90 %</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New England</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spacing w:after="0" w:line="122" w:lineRule="exact"/>
              <w:rPr>
                <w:sz w:val="20"/>
                <w:szCs w:val="20"/>
                <w:color w:val="auto"/>
              </w:rPr>
            </w:pPr>
            <w:r>
              <w:rPr>
                <w:rFonts w:ascii="Arial" w:cs="Arial" w:eastAsia="Arial" w:hAnsi="Arial"/>
                <w:sz w:val="13"/>
                <w:szCs w:val="13"/>
                <w:color w:val="auto"/>
              </w:rPr>
              <w:t>Assembly Row /</w:t>
            </w:r>
          </w:p>
        </w:tc>
        <w:tc>
          <w:tcPr>
            <w:tcW w:w="42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rPr>
              <w:t>(5)</w:t>
            </w:r>
          </w:p>
        </w:tc>
        <w:tc>
          <w:tcPr>
            <w:tcW w:w="2220" w:type="dxa"/>
            <w:vAlign w:val="bottom"/>
            <w:gridSpan w:val="2"/>
            <w:shd w:val="clear" w:color="auto" w:fill="CCEEFF"/>
          </w:tcPr>
          <w:p>
            <w:pPr>
              <w:ind w:left="40"/>
              <w:spacing w:after="0" w:line="122" w:lineRule="exact"/>
              <w:rPr>
                <w:sz w:val="20"/>
                <w:szCs w:val="20"/>
                <w:color w:val="auto"/>
              </w:rPr>
            </w:pPr>
            <w:r>
              <w:rPr>
                <w:rFonts w:ascii="Arial" w:cs="Arial" w:eastAsia="Arial" w:hAnsi="Arial"/>
                <w:sz w:val="13"/>
                <w:szCs w:val="13"/>
                <w:color w:val="auto"/>
              </w:rPr>
              <w:t>Boston-Cambridge-Newton, MA-NH</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w w:val="96"/>
              </w:rPr>
              <w:t>1,036,247</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65</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w w:val="96"/>
              </w:rPr>
              <w:t>1,047,000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97 %</w:t>
            </w:r>
          </w:p>
        </w:tc>
        <w:tc>
          <w:tcPr>
            <w:tcW w:w="66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2"/>
              </w:rPr>
              <w:t>447</w:t>
            </w:r>
          </w:p>
        </w:tc>
        <w:tc>
          <w:tcPr>
            <w:tcW w:w="56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5"/>
              </w:rPr>
              <w:t>18,000</w:t>
            </w:r>
          </w:p>
        </w:tc>
        <w:tc>
          <w:tcPr>
            <w:tcW w:w="840" w:type="dxa"/>
            <w:vAlign w:val="bottom"/>
            <w:shd w:val="clear" w:color="auto" w:fill="CCEEFF"/>
          </w:tcPr>
          <w:p>
            <w:pPr>
              <w:ind w:left="60"/>
              <w:spacing w:after="0" w:line="122" w:lineRule="exact"/>
              <w:rPr>
                <w:sz w:val="20"/>
                <w:szCs w:val="20"/>
                <w:color w:val="auto"/>
              </w:rPr>
            </w:pPr>
            <w:r>
              <w:rPr>
                <w:rFonts w:ascii="Arial" w:cs="Arial" w:eastAsia="Arial" w:hAnsi="Arial"/>
                <w:sz w:val="13"/>
                <w:szCs w:val="13"/>
                <w:color w:val="auto"/>
              </w:rPr>
              <w:t>Trader Joe's</w:t>
            </w:r>
          </w:p>
        </w:tc>
        <w:tc>
          <w:tcPr>
            <w:tcW w:w="202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TJ Maxx / AMC / LEGOLAND</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spacing w:after="0" w:line="122" w:lineRule="exact"/>
              <w:rPr>
                <w:sz w:val="20"/>
                <w:szCs w:val="20"/>
                <w:color w:val="auto"/>
              </w:rPr>
            </w:pPr>
            <w:r>
              <w:rPr>
                <w:rFonts w:ascii="Arial" w:cs="Arial" w:eastAsia="Arial" w:hAnsi="Arial"/>
                <w:sz w:val="13"/>
                <w:szCs w:val="13"/>
                <w:color w:val="auto"/>
              </w:rPr>
              <w:t>Assembly Square</w:t>
            </w:r>
          </w:p>
        </w:tc>
        <w:tc>
          <w:tcPr>
            <w:tcW w:w="4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2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Discovery Center / Multiple</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Marketplace</w:t>
            </w: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Restaurants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3"/>
                <w:szCs w:val="13"/>
                <w:color w:val="auto"/>
              </w:rPr>
              <w:t>Campus Plaza</w:t>
            </w:r>
          </w:p>
        </w:tc>
        <w:tc>
          <w:tcPr>
            <w:tcW w:w="420" w:type="dxa"/>
            <w:vAlign w:val="bottom"/>
          </w:tcPr>
          <w:p>
            <w:pPr>
              <w:spacing w:after="0"/>
              <w:rPr>
                <w:sz w:val="14"/>
                <w:szCs w:val="14"/>
                <w:color w:val="auto"/>
              </w:rPr>
            </w:pPr>
          </w:p>
        </w:tc>
        <w:tc>
          <w:tcPr>
            <w:tcW w:w="2220" w:type="dxa"/>
            <w:vAlign w:val="bottom"/>
            <w:gridSpan w:val="2"/>
          </w:tcPr>
          <w:p>
            <w:pPr>
              <w:ind w:left="40"/>
              <w:spacing w:after="0"/>
              <w:rPr>
                <w:sz w:val="20"/>
                <w:szCs w:val="20"/>
                <w:color w:val="auto"/>
              </w:rPr>
            </w:pPr>
            <w:r>
              <w:rPr>
                <w:rFonts w:ascii="Arial" w:cs="Arial" w:eastAsia="Arial" w:hAnsi="Arial"/>
                <w:sz w:val="13"/>
                <w:szCs w:val="13"/>
                <w:color w:val="auto"/>
              </w:rPr>
              <w:t>Boston-Cambridge-Newton, MA-NH</w:t>
            </w:r>
          </w:p>
        </w:tc>
        <w:tc>
          <w:tcPr>
            <w:tcW w:w="640" w:type="dxa"/>
            <w:vAlign w:val="bottom"/>
          </w:tcPr>
          <w:p>
            <w:pPr>
              <w:jc w:val="right"/>
              <w:spacing w:after="0"/>
              <w:rPr>
                <w:sz w:val="20"/>
                <w:szCs w:val="20"/>
                <w:color w:val="auto"/>
              </w:rPr>
            </w:pPr>
            <w:r>
              <w:rPr>
                <w:rFonts w:ascii="Arial" w:cs="Arial" w:eastAsia="Arial" w:hAnsi="Arial"/>
                <w:sz w:val="13"/>
                <w:szCs w:val="13"/>
                <w:color w:val="auto"/>
              </w:rPr>
              <w:t>30,449</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114,000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96 %</w:t>
            </w:r>
          </w:p>
        </w:tc>
        <w:tc>
          <w:tcPr>
            <w:tcW w:w="6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5"/>
              </w:rPr>
              <w:t>46,000</w:t>
            </w:r>
          </w:p>
        </w:tc>
        <w:tc>
          <w:tcPr>
            <w:tcW w:w="840" w:type="dxa"/>
            <w:vAlign w:val="bottom"/>
          </w:tcPr>
          <w:p>
            <w:pPr>
              <w:ind w:left="60"/>
              <w:spacing w:after="0"/>
              <w:rPr>
                <w:sz w:val="20"/>
                <w:szCs w:val="20"/>
                <w:color w:val="auto"/>
              </w:rPr>
            </w:pPr>
            <w:r>
              <w:rPr>
                <w:rFonts w:ascii="Arial" w:cs="Arial" w:eastAsia="Arial" w:hAnsi="Arial"/>
                <w:sz w:val="13"/>
                <w:szCs w:val="13"/>
                <w:color w:val="auto"/>
              </w:rPr>
              <w:t>Roche Bros.</w:t>
            </w:r>
          </w:p>
        </w:tc>
        <w:tc>
          <w:tcPr>
            <w:tcW w:w="2020" w:type="dxa"/>
            <w:vAlign w:val="bottom"/>
          </w:tcPr>
          <w:p>
            <w:pPr>
              <w:ind w:left="40"/>
              <w:spacing w:after="0"/>
              <w:rPr>
                <w:sz w:val="20"/>
                <w:szCs w:val="20"/>
                <w:color w:val="auto"/>
              </w:rPr>
            </w:pPr>
            <w:r>
              <w:rPr>
                <w:rFonts w:ascii="Arial" w:cs="Arial" w:eastAsia="Arial" w:hAnsi="Arial"/>
                <w:sz w:val="13"/>
                <w:szCs w:val="13"/>
                <w:color w:val="auto"/>
              </w:rPr>
              <w:t>Burlington</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spacing w:after="0"/>
              <w:rPr>
                <w:sz w:val="20"/>
                <w:szCs w:val="20"/>
                <w:color w:val="auto"/>
              </w:rPr>
            </w:pPr>
            <w:r>
              <w:rPr>
                <w:rFonts w:ascii="Arial" w:cs="Arial" w:eastAsia="Arial" w:hAnsi="Arial"/>
                <w:sz w:val="13"/>
                <w:szCs w:val="13"/>
                <w:color w:val="auto"/>
                <w:w w:val="92"/>
              </w:rPr>
              <w:t>Chelsea Commons</w:t>
            </w:r>
          </w:p>
        </w:tc>
        <w:tc>
          <w:tcPr>
            <w:tcW w:w="420" w:type="dxa"/>
            <w:vAlign w:val="bottom"/>
            <w:shd w:val="clear" w:color="auto" w:fill="CCEEFF"/>
          </w:tcPr>
          <w:p>
            <w:pPr>
              <w:spacing w:after="0"/>
              <w:rPr>
                <w:sz w:val="15"/>
                <w:szCs w:val="15"/>
                <w:color w:val="auto"/>
              </w:rPr>
            </w:pPr>
          </w:p>
        </w:tc>
        <w:tc>
          <w:tcPr>
            <w:tcW w:w="22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Boston-Cambridge-Newton, MA-NH</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30,488</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5,044</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93 %</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Home Depot / Planet Fitness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3"/>
                <w:szCs w:val="13"/>
                <w:color w:val="auto"/>
              </w:rPr>
              <w:t>Dedham Plaza</w:t>
            </w:r>
          </w:p>
        </w:tc>
        <w:tc>
          <w:tcPr>
            <w:tcW w:w="420" w:type="dxa"/>
            <w:vAlign w:val="bottom"/>
          </w:tcPr>
          <w:p>
            <w:pPr>
              <w:spacing w:after="0"/>
              <w:rPr>
                <w:sz w:val="14"/>
                <w:szCs w:val="14"/>
                <w:color w:val="auto"/>
              </w:rPr>
            </w:pPr>
          </w:p>
        </w:tc>
        <w:tc>
          <w:tcPr>
            <w:tcW w:w="2220" w:type="dxa"/>
            <w:vAlign w:val="bottom"/>
            <w:gridSpan w:val="2"/>
          </w:tcPr>
          <w:p>
            <w:pPr>
              <w:ind w:left="40"/>
              <w:spacing w:after="0"/>
              <w:rPr>
                <w:sz w:val="20"/>
                <w:szCs w:val="20"/>
                <w:color w:val="auto"/>
              </w:rPr>
            </w:pPr>
            <w:r>
              <w:rPr>
                <w:rFonts w:ascii="Arial" w:cs="Arial" w:eastAsia="Arial" w:hAnsi="Arial"/>
                <w:sz w:val="13"/>
                <w:szCs w:val="13"/>
                <w:color w:val="auto"/>
              </w:rPr>
              <w:t>Boston-Cambridge-Newton, MA-NH</w:t>
            </w:r>
          </w:p>
        </w:tc>
        <w:tc>
          <w:tcPr>
            <w:tcW w:w="640" w:type="dxa"/>
            <w:vAlign w:val="bottom"/>
          </w:tcPr>
          <w:p>
            <w:pPr>
              <w:jc w:val="right"/>
              <w:spacing w:after="0"/>
              <w:rPr>
                <w:sz w:val="20"/>
                <w:szCs w:val="20"/>
                <w:color w:val="auto"/>
              </w:rPr>
            </w:pPr>
            <w:r>
              <w:rPr>
                <w:rFonts w:ascii="Arial" w:cs="Arial" w:eastAsia="Arial" w:hAnsi="Arial"/>
                <w:sz w:val="13"/>
                <w:szCs w:val="13"/>
                <w:color w:val="auto"/>
              </w:rPr>
              <w:t>47,218</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245,000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88 %</w:t>
            </w:r>
          </w:p>
        </w:tc>
        <w:tc>
          <w:tcPr>
            <w:tcW w:w="6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5"/>
              </w:rPr>
              <w:t>80,000</w:t>
            </w:r>
          </w:p>
        </w:tc>
        <w:tc>
          <w:tcPr>
            <w:tcW w:w="840" w:type="dxa"/>
            <w:vAlign w:val="bottom"/>
          </w:tcPr>
          <w:p>
            <w:pPr>
              <w:ind w:left="60"/>
              <w:spacing w:after="0"/>
              <w:rPr>
                <w:sz w:val="20"/>
                <w:szCs w:val="20"/>
                <w:color w:val="auto"/>
              </w:rPr>
            </w:pPr>
            <w:r>
              <w:rPr>
                <w:rFonts w:ascii="Arial" w:cs="Arial" w:eastAsia="Arial" w:hAnsi="Arial"/>
                <w:sz w:val="13"/>
                <w:szCs w:val="13"/>
                <w:color w:val="auto"/>
              </w:rPr>
              <w:t>Star Market</w:t>
            </w:r>
          </w:p>
        </w:tc>
        <w:tc>
          <w:tcPr>
            <w:tcW w:w="2020" w:type="dxa"/>
            <w:vAlign w:val="bottom"/>
          </w:tcPr>
          <w:p>
            <w:pPr>
              <w:ind w:left="40"/>
              <w:spacing w:after="0"/>
              <w:rPr>
                <w:sz w:val="20"/>
                <w:szCs w:val="20"/>
                <w:color w:val="auto"/>
              </w:rPr>
            </w:pPr>
            <w:r>
              <w:rPr>
                <w:rFonts w:ascii="Arial" w:cs="Arial" w:eastAsia="Arial" w:hAnsi="Arial"/>
                <w:sz w:val="13"/>
                <w:szCs w:val="13"/>
                <w:color w:val="auto"/>
              </w:rPr>
              <w:t>Planet Fitness</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Linden Square</w:t>
            </w:r>
          </w:p>
        </w:tc>
        <w:tc>
          <w:tcPr>
            <w:tcW w:w="420" w:type="dxa"/>
            <w:vAlign w:val="bottom"/>
            <w:shd w:val="clear" w:color="auto" w:fill="CCEEFF"/>
          </w:tcPr>
          <w:p>
            <w:pPr>
              <w:spacing w:after="0"/>
              <w:rPr>
                <w:sz w:val="15"/>
                <w:szCs w:val="15"/>
                <w:color w:val="auto"/>
              </w:rPr>
            </w:pPr>
          </w:p>
        </w:tc>
        <w:tc>
          <w:tcPr>
            <w:tcW w:w="22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Boston-Cambridge-Newton, MA-NH</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150,970</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91 %</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7</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50,000</w:t>
            </w:r>
          </w:p>
        </w:tc>
        <w:tc>
          <w:tcPr>
            <w:tcW w:w="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Roche Bros.</w:t>
            </w: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3"/>
                <w:szCs w:val="13"/>
                <w:color w:val="auto"/>
              </w:rPr>
              <w:t>North Dartmouth</w:t>
            </w:r>
          </w:p>
        </w:tc>
        <w:tc>
          <w:tcPr>
            <w:tcW w:w="420" w:type="dxa"/>
            <w:vAlign w:val="bottom"/>
          </w:tcPr>
          <w:p>
            <w:pPr>
              <w:spacing w:after="0"/>
              <w:rPr>
                <w:sz w:val="14"/>
                <w:szCs w:val="14"/>
                <w:color w:val="auto"/>
              </w:rPr>
            </w:pPr>
          </w:p>
        </w:tc>
        <w:tc>
          <w:tcPr>
            <w:tcW w:w="2220" w:type="dxa"/>
            <w:vAlign w:val="bottom"/>
            <w:gridSpan w:val="2"/>
          </w:tcPr>
          <w:p>
            <w:pPr>
              <w:ind w:left="40"/>
              <w:spacing w:after="0"/>
              <w:rPr>
                <w:sz w:val="20"/>
                <w:szCs w:val="20"/>
                <w:color w:val="auto"/>
              </w:rPr>
            </w:pPr>
            <w:r>
              <w:rPr>
                <w:rFonts w:ascii="Arial" w:cs="Arial" w:eastAsia="Arial" w:hAnsi="Arial"/>
                <w:sz w:val="13"/>
                <w:szCs w:val="13"/>
                <w:color w:val="auto"/>
              </w:rPr>
              <w:t>Providence-Warwick, RI-MA</w:t>
            </w:r>
          </w:p>
        </w:tc>
        <w:tc>
          <w:tcPr>
            <w:tcW w:w="640" w:type="dxa"/>
            <w:vAlign w:val="bottom"/>
          </w:tcPr>
          <w:p>
            <w:pPr>
              <w:jc w:val="right"/>
              <w:spacing w:after="0"/>
              <w:rPr>
                <w:sz w:val="20"/>
                <w:szCs w:val="20"/>
                <w:color w:val="auto"/>
              </w:rPr>
            </w:pPr>
            <w:r>
              <w:rPr>
                <w:rFonts w:ascii="Arial" w:cs="Arial" w:eastAsia="Arial" w:hAnsi="Arial"/>
                <w:sz w:val="13"/>
                <w:szCs w:val="13"/>
                <w:color w:val="auto"/>
              </w:rPr>
              <w:t>9,369</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28</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48,000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100 %</w:t>
            </w:r>
          </w:p>
        </w:tc>
        <w:tc>
          <w:tcPr>
            <w:tcW w:w="6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5"/>
              </w:rPr>
              <w:t>48,000</w:t>
            </w:r>
          </w:p>
        </w:tc>
        <w:tc>
          <w:tcPr>
            <w:tcW w:w="840" w:type="dxa"/>
            <w:vAlign w:val="bottom"/>
          </w:tcPr>
          <w:p>
            <w:pPr>
              <w:ind w:left="60"/>
              <w:spacing w:after="0"/>
              <w:rPr>
                <w:sz w:val="20"/>
                <w:szCs w:val="20"/>
                <w:color w:val="auto"/>
              </w:rPr>
            </w:pPr>
            <w:r>
              <w:rPr>
                <w:rFonts w:ascii="Arial" w:cs="Arial" w:eastAsia="Arial" w:hAnsi="Arial"/>
                <w:sz w:val="13"/>
                <w:szCs w:val="13"/>
                <w:color w:val="auto"/>
              </w:rPr>
              <w:t>Stop &amp; Shop</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spacing w:after="0"/>
              <w:rPr>
                <w:sz w:val="20"/>
                <w:szCs w:val="20"/>
                <w:color w:val="auto"/>
              </w:rPr>
            </w:pPr>
            <w:r>
              <w:rPr>
                <w:rFonts w:ascii="Arial" w:cs="Arial" w:eastAsia="Arial" w:hAnsi="Arial"/>
                <w:sz w:val="13"/>
                <w:szCs w:val="13"/>
                <w:color w:val="auto"/>
                <w:w w:val="93"/>
              </w:rPr>
              <w:t>Queen Anne Plaza</w:t>
            </w:r>
          </w:p>
        </w:tc>
        <w:tc>
          <w:tcPr>
            <w:tcW w:w="420" w:type="dxa"/>
            <w:vAlign w:val="bottom"/>
            <w:shd w:val="clear" w:color="auto" w:fill="CCEEFF"/>
          </w:tcPr>
          <w:p>
            <w:pPr>
              <w:spacing w:after="0"/>
              <w:rPr>
                <w:sz w:val="15"/>
                <w:szCs w:val="15"/>
                <w:color w:val="auto"/>
              </w:rPr>
            </w:pPr>
          </w:p>
        </w:tc>
        <w:tc>
          <w:tcPr>
            <w:tcW w:w="22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Boston-Cambridge-Newton, MA-NH</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18,539</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95 %</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50,000</w:t>
            </w:r>
          </w:p>
        </w:tc>
        <w:tc>
          <w:tcPr>
            <w:tcW w:w="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Big Y Foods</w:t>
            </w: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TJ Maxx / HomeGoods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Arial" w:cs="Arial" w:eastAsia="Arial" w:hAnsi="Arial"/>
                <w:sz w:val="13"/>
                <w:szCs w:val="13"/>
                <w:color w:val="auto"/>
              </w:rPr>
              <w:t>Saugus Plaza</w:t>
            </w:r>
          </w:p>
        </w:tc>
        <w:tc>
          <w:tcPr>
            <w:tcW w:w="420" w:type="dxa"/>
            <w:vAlign w:val="bottom"/>
          </w:tcPr>
          <w:p>
            <w:pPr>
              <w:spacing w:after="0"/>
              <w:rPr>
                <w:sz w:val="10"/>
                <w:szCs w:val="10"/>
                <w:color w:val="auto"/>
              </w:rPr>
            </w:pPr>
          </w:p>
        </w:tc>
        <w:tc>
          <w:tcPr>
            <w:tcW w:w="2220" w:type="dxa"/>
            <w:vAlign w:val="bottom"/>
            <w:gridSpan w:val="2"/>
          </w:tcPr>
          <w:p>
            <w:pPr>
              <w:ind w:left="40"/>
              <w:spacing w:after="0" w:line="122" w:lineRule="exact"/>
              <w:rPr>
                <w:sz w:val="20"/>
                <w:szCs w:val="20"/>
                <w:color w:val="auto"/>
              </w:rPr>
            </w:pPr>
            <w:r>
              <w:rPr>
                <w:rFonts w:ascii="Arial" w:cs="Arial" w:eastAsia="Arial" w:hAnsi="Arial"/>
                <w:sz w:val="13"/>
                <w:szCs w:val="13"/>
                <w:color w:val="auto"/>
              </w:rPr>
              <w:t>Boston-Cambridge-Newton, MA-NH</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17,080</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15</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166,000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97 %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3"/>
                <w:szCs w:val="13"/>
                <w:color w:val="auto"/>
                <w:w w:val="85"/>
              </w:rPr>
              <w:t>55,000</w:t>
            </w: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w w:val="98"/>
              </w:rPr>
              <w:t>Super Stop &amp;</w:t>
            </w: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Floor &amp; Décor</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9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Shop</w:t>
            </w:r>
          </w:p>
        </w:tc>
        <w:tc>
          <w:tcPr>
            <w:tcW w:w="20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Total New England</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1,340,360</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2,211,000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95 %</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ind w:left="60"/>
              <w:spacing w:after="0" w:line="135" w:lineRule="exact"/>
              <w:rPr>
                <w:sz w:val="20"/>
                <w:szCs w:val="20"/>
                <w:color w:val="auto"/>
              </w:rPr>
            </w:pPr>
            <w:r>
              <w:rPr>
                <w:rFonts w:ascii="Arial" w:cs="Arial" w:eastAsia="Arial" w:hAnsi="Arial"/>
                <w:sz w:val="13"/>
                <w:szCs w:val="13"/>
                <w:b w:val="1"/>
                <w:bCs w:val="1"/>
                <w:color w:val="auto"/>
              </w:rPr>
              <w:t>Baltimore</w:t>
            </w:r>
          </w:p>
        </w:tc>
        <w:tc>
          <w:tcPr>
            <w:tcW w:w="4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3"/>
                <w:szCs w:val="13"/>
                <w:color w:val="auto"/>
              </w:rPr>
              <w:t>Governor Plaza</w:t>
            </w:r>
          </w:p>
        </w:tc>
        <w:tc>
          <w:tcPr>
            <w:tcW w:w="420" w:type="dxa"/>
            <w:vAlign w:val="bottom"/>
          </w:tcPr>
          <w:p>
            <w:pPr>
              <w:spacing w:after="0"/>
              <w:rPr>
                <w:sz w:val="14"/>
                <w:szCs w:val="14"/>
                <w:color w:val="auto"/>
              </w:rPr>
            </w:pPr>
          </w:p>
        </w:tc>
        <w:tc>
          <w:tcPr>
            <w:tcW w:w="2220" w:type="dxa"/>
            <w:vAlign w:val="bottom"/>
            <w:gridSpan w:val="2"/>
          </w:tcPr>
          <w:p>
            <w:pPr>
              <w:ind w:left="40"/>
              <w:spacing w:after="0"/>
              <w:rPr>
                <w:sz w:val="20"/>
                <w:szCs w:val="20"/>
                <w:color w:val="auto"/>
              </w:rPr>
            </w:pPr>
            <w:r>
              <w:rPr>
                <w:rFonts w:ascii="Arial" w:cs="Arial" w:eastAsia="Arial" w:hAnsi="Arial"/>
                <w:sz w:val="13"/>
                <w:szCs w:val="13"/>
                <w:color w:val="auto"/>
              </w:rPr>
              <w:t>Baltimore-Columbia-Towson, MD</w:t>
            </w:r>
          </w:p>
        </w:tc>
        <w:tc>
          <w:tcPr>
            <w:tcW w:w="640" w:type="dxa"/>
            <w:vAlign w:val="bottom"/>
          </w:tcPr>
          <w:p>
            <w:pPr>
              <w:jc w:val="right"/>
              <w:spacing w:after="0"/>
              <w:rPr>
                <w:sz w:val="20"/>
                <w:szCs w:val="20"/>
                <w:color w:val="auto"/>
              </w:rPr>
            </w:pPr>
            <w:r>
              <w:rPr>
                <w:rFonts w:ascii="Arial" w:cs="Arial" w:eastAsia="Arial" w:hAnsi="Arial"/>
                <w:sz w:val="13"/>
                <w:szCs w:val="13"/>
                <w:color w:val="auto"/>
              </w:rPr>
              <w:t>26,270</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242,000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79 %</w:t>
            </w:r>
          </w:p>
        </w:tc>
        <w:tc>
          <w:tcPr>
            <w:tcW w:w="6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5"/>
              </w:rPr>
              <w:t>16,500</w:t>
            </w:r>
          </w:p>
        </w:tc>
        <w:tc>
          <w:tcPr>
            <w:tcW w:w="840" w:type="dxa"/>
            <w:vAlign w:val="bottom"/>
          </w:tcPr>
          <w:p>
            <w:pPr>
              <w:ind w:left="60"/>
              <w:spacing w:after="0"/>
              <w:rPr>
                <w:sz w:val="20"/>
                <w:szCs w:val="20"/>
                <w:color w:val="auto"/>
              </w:rPr>
            </w:pPr>
            <w:r>
              <w:rPr>
                <w:rFonts w:ascii="Arial" w:cs="Arial" w:eastAsia="Arial" w:hAnsi="Arial"/>
                <w:sz w:val="13"/>
                <w:szCs w:val="13"/>
                <w:color w:val="auto"/>
              </w:rPr>
              <w:t>Aldi</w:t>
            </w:r>
          </w:p>
        </w:tc>
        <w:tc>
          <w:tcPr>
            <w:tcW w:w="2020" w:type="dxa"/>
            <w:vAlign w:val="bottom"/>
          </w:tcPr>
          <w:p>
            <w:pPr>
              <w:ind w:left="40"/>
              <w:spacing w:after="0"/>
              <w:rPr>
                <w:sz w:val="20"/>
                <w:szCs w:val="20"/>
                <w:color w:val="auto"/>
              </w:rPr>
            </w:pPr>
            <w:r>
              <w:rPr>
                <w:rFonts w:ascii="Arial" w:cs="Arial" w:eastAsia="Arial" w:hAnsi="Arial"/>
                <w:sz w:val="13"/>
                <w:szCs w:val="13"/>
                <w:color w:val="auto"/>
              </w:rPr>
              <w:t>Dick's Sporting Goods</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Perring Plaza</w:t>
            </w:r>
          </w:p>
        </w:tc>
        <w:tc>
          <w:tcPr>
            <w:tcW w:w="42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40"/>
              <w:spacing w:after="0" w:line="129" w:lineRule="exact"/>
              <w:rPr>
                <w:sz w:val="20"/>
                <w:szCs w:val="20"/>
                <w:color w:val="auto"/>
              </w:rPr>
            </w:pPr>
            <w:r>
              <w:rPr>
                <w:rFonts w:ascii="Arial" w:cs="Arial" w:eastAsia="Arial" w:hAnsi="Arial"/>
                <w:sz w:val="13"/>
                <w:szCs w:val="13"/>
                <w:color w:val="auto"/>
              </w:rPr>
              <w:t>Baltimore-Columbia-Towson, MD</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33,538</w:t>
            </w:r>
          </w:p>
        </w:tc>
        <w:tc>
          <w:tcPr>
            <w:tcW w:w="10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397,000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88 %</w:t>
            </w: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58,000</w:t>
            </w:r>
          </w:p>
        </w:tc>
        <w:tc>
          <w:tcPr>
            <w:tcW w:w="8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w w:val="85"/>
              </w:rPr>
              <w:t>Shoppers Food</w:t>
            </w: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Home Depot / Micro Center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Warehouse</w:t>
            </w: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Burlington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Arial" w:cs="Arial" w:eastAsia="Arial" w:hAnsi="Arial"/>
                <w:sz w:val="13"/>
                <w:szCs w:val="13"/>
                <w:color w:val="auto"/>
              </w:rPr>
              <w:t>THE AVENUE at</w:t>
            </w:r>
          </w:p>
        </w:tc>
        <w:tc>
          <w:tcPr>
            <w:tcW w:w="420" w:type="dxa"/>
            <w:vAlign w:val="bottom"/>
          </w:tcPr>
          <w:p>
            <w:pPr>
              <w:jc w:val="center"/>
              <w:spacing w:after="0" w:line="122" w:lineRule="exact"/>
              <w:rPr>
                <w:sz w:val="20"/>
                <w:szCs w:val="20"/>
                <w:color w:val="auto"/>
              </w:rPr>
            </w:pPr>
            <w:r>
              <w:rPr>
                <w:rFonts w:ascii="Arial" w:cs="Arial" w:eastAsia="Arial" w:hAnsi="Arial"/>
                <w:sz w:val="13"/>
                <w:szCs w:val="13"/>
                <w:color w:val="auto"/>
              </w:rPr>
              <w:t>(6)</w:t>
            </w:r>
          </w:p>
        </w:tc>
        <w:tc>
          <w:tcPr>
            <w:tcW w:w="2220" w:type="dxa"/>
            <w:vAlign w:val="bottom"/>
            <w:gridSpan w:val="2"/>
          </w:tcPr>
          <w:p>
            <w:pPr>
              <w:ind w:left="40"/>
              <w:spacing w:after="0" w:line="122" w:lineRule="exact"/>
              <w:rPr>
                <w:sz w:val="20"/>
                <w:szCs w:val="20"/>
                <w:color w:val="auto"/>
              </w:rPr>
            </w:pPr>
            <w:r>
              <w:rPr>
                <w:rFonts w:ascii="Arial" w:cs="Arial" w:eastAsia="Arial" w:hAnsi="Arial"/>
                <w:sz w:val="13"/>
                <w:szCs w:val="13"/>
                <w:color w:val="auto"/>
              </w:rPr>
              <w:t>Baltimore-Columbia-Towson, MD</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122,892</w:t>
            </w:r>
          </w:p>
        </w:tc>
        <w:tc>
          <w:tcPr>
            <w:tcW w:w="1020" w:type="dxa"/>
            <w:vAlign w:val="bottom"/>
          </w:tcPr>
          <w:p>
            <w:pPr>
              <w:jc w:val="right"/>
              <w:spacing w:after="0" w:line="122" w:lineRule="exact"/>
              <w:rPr>
                <w:sz w:val="20"/>
                <w:szCs w:val="20"/>
                <w:color w:val="auto"/>
              </w:rPr>
            </w:pPr>
            <w:r>
              <w:rPr>
                <w:rFonts w:ascii="Arial" w:cs="Arial" w:eastAsia="Arial" w:hAnsi="Arial"/>
                <w:sz w:val="13"/>
                <w:szCs w:val="13"/>
                <w:color w:val="auto"/>
              </w:rPr>
              <w:t>52,705</w:t>
            </w: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35</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315,000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86 %</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AMC / Ulta / Old Navy / Barnes &amp;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3"/>
                <w:szCs w:val="13"/>
                <w:color w:val="auto"/>
              </w:rPr>
              <w:t>White Marsh</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Arial" w:cs="Arial" w:eastAsia="Arial" w:hAnsi="Arial"/>
                <w:sz w:val="13"/>
                <w:szCs w:val="13"/>
                <w:color w:val="auto"/>
              </w:rPr>
              <w:t>Noble</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The Shoppes at</w:t>
            </w:r>
          </w:p>
        </w:tc>
        <w:tc>
          <w:tcPr>
            <w:tcW w:w="42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40"/>
              <w:spacing w:after="0" w:line="129" w:lineRule="exact"/>
              <w:rPr>
                <w:sz w:val="20"/>
                <w:szCs w:val="20"/>
                <w:color w:val="auto"/>
              </w:rPr>
            </w:pPr>
            <w:r>
              <w:rPr>
                <w:rFonts w:ascii="Arial" w:cs="Arial" w:eastAsia="Arial" w:hAnsi="Arial"/>
                <w:sz w:val="13"/>
                <w:szCs w:val="13"/>
                <w:color w:val="auto"/>
              </w:rPr>
              <w:t>Baltimore-Columbia-Towson, MD</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18,402</w:t>
            </w:r>
          </w:p>
        </w:tc>
        <w:tc>
          <w:tcPr>
            <w:tcW w:w="10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32,000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96 %</w:t>
            </w: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spacing w:after="0"/>
              <w:rPr>
                <w:sz w:val="20"/>
                <w:szCs w:val="20"/>
                <w:color w:val="auto"/>
              </w:rPr>
            </w:pPr>
            <w:r>
              <w:rPr>
                <w:rFonts w:ascii="Arial" w:cs="Arial" w:eastAsia="Arial" w:hAnsi="Arial"/>
                <w:sz w:val="13"/>
                <w:szCs w:val="13"/>
                <w:color w:val="auto"/>
                <w:w w:val="91"/>
              </w:rPr>
              <w:t>Nottingham Square</w:t>
            </w: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Arial" w:cs="Arial" w:eastAsia="Arial" w:hAnsi="Arial"/>
                <w:sz w:val="13"/>
                <w:szCs w:val="13"/>
                <w:color w:val="auto"/>
                <w:w w:val="89"/>
              </w:rPr>
              <w:t>Towson Residential</w:t>
            </w:r>
          </w:p>
        </w:tc>
        <w:tc>
          <w:tcPr>
            <w:tcW w:w="420" w:type="dxa"/>
            <w:vAlign w:val="bottom"/>
          </w:tcPr>
          <w:p>
            <w:pPr>
              <w:spacing w:after="0"/>
              <w:rPr>
                <w:sz w:val="10"/>
                <w:szCs w:val="10"/>
                <w:color w:val="auto"/>
              </w:rPr>
            </w:pPr>
          </w:p>
        </w:tc>
        <w:tc>
          <w:tcPr>
            <w:tcW w:w="2220" w:type="dxa"/>
            <w:vAlign w:val="bottom"/>
            <w:gridSpan w:val="2"/>
          </w:tcPr>
          <w:p>
            <w:pPr>
              <w:ind w:left="40"/>
              <w:spacing w:after="0" w:line="122" w:lineRule="exact"/>
              <w:rPr>
                <w:sz w:val="20"/>
                <w:szCs w:val="20"/>
                <w:color w:val="auto"/>
              </w:rPr>
            </w:pPr>
            <w:r>
              <w:rPr>
                <w:rFonts w:ascii="Arial" w:cs="Arial" w:eastAsia="Arial" w:hAnsi="Arial"/>
                <w:sz w:val="13"/>
                <w:szCs w:val="13"/>
                <w:color w:val="auto"/>
              </w:rPr>
              <w:t>Baltimore-Columbia-Towson, MD</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22,398</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4,000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100 %</w:t>
            </w:r>
          </w:p>
        </w:tc>
        <w:tc>
          <w:tcPr>
            <w:tcW w:w="660" w:type="dxa"/>
            <w:vAlign w:val="bottom"/>
          </w:tcPr>
          <w:p>
            <w:pPr>
              <w:jc w:val="center"/>
              <w:spacing w:after="0" w:line="122" w:lineRule="exact"/>
              <w:rPr>
                <w:sz w:val="20"/>
                <w:szCs w:val="20"/>
                <w:color w:val="auto"/>
              </w:rPr>
            </w:pPr>
            <w:r>
              <w:rPr>
                <w:rFonts w:ascii="Arial" w:cs="Arial" w:eastAsia="Arial" w:hAnsi="Arial"/>
                <w:sz w:val="13"/>
                <w:szCs w:val="13"/>
                <w:color w:val="auto"/>
                <w:w w:val="82"/>
              </w:rPr>
              <w:t>105</w:t>
            </w: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Arial" w:cs="Arial" w:eastAsia="Arial" w:hAnsi="Arial"/>
                <w:sz w:val="13"/>
                <w:szCs w:val="13"/>
                <w:color w:val="auto"/>
              </w:rPr>
              <w:t>(Flats @ 703)</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030"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Real Estate</w:t>
            </w: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Mortgage/Finance</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Residential</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8"/>
              </w:rPr>
              <w:t>Grocery</w:t>
            </w:r>
          </w:p>
        </w:tc>
        <w:tc>
          <w:tcPr>
            <w:tcW w:w="80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Grocery</w:t>
            </w: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4"/>
            <w:vMerge w:val="restart"/>
          </w:tcPr>
          <w:p>
            <w:pPr>
              <w:ind w:left="100"/>
              <w:spacing w:after="0"/>
              <w:rPr>
                <w:sz w:val="20"/>
                <w:szCs w:val="20"/>
                <w:color w:val="auto"/>
              </w:rPr>
            </w:pPr>
            <w:r>
              <w:rPr>
                <w:rFonts w:ascii="Arial" w:cs="Arial" w:eastAsia="Arial" w:hAnsi="Arial"/>
                <w:sz w:val="13"/>
                <w:szCs w:val="13"/>
                <w:b w:val="1"/>
                <w:bCs w:val="1"/>
                <w:color w:val="auto"/>
                <w:w w:val="99"/>
              </w:rPr>
              <w:t>Property Name</w:t>
            </w:r>
          </w:p>
        </w:tc>
        <w:tc>
          <w:tcPr>
            <w:tcW w:w="400" w:type="dxa"/>
            <w:vAlign w:val="bottom"/>
          </w:tcPr>
          <w:p>
            <w:pPr>
              <w:spacing w:after="0"/>
              <w:rPr>
                <w:sz w:val="10"/>
                <w:szCs w:val="10"/>
                <w:color w:val="auto"/>
              </w:rPr>
            </w:pPr>
          </w:p>
        </w:tc>
        <w:tc>
          <w:tcPr>
            <w:tcW w:w="2240" w:type="dxa"/>
            <w:vAlign w:val="bottom"/>
            <w:vMerge w:val="restart"/>
          </w:tcPr>
          <w:p>
            <w:pPr>
              <w:ind w:left="660"/>
              <w:spacing w:after="0"/>
              <w:rPr>
                <w:sz w:val="20"/>
                <w:szCs w:val="20"/>
                <w:color w:val="auto"/>
              </w:rPr>
            </w:pPr>
            <w:r>
              <w:rPr>
                <w:rFonts w:ascii="Arial" w:cs="Arial" w:eastAsia="Arial" w:hAnsi="Arial"/>
                <w:sz w:val="13"/>
                <w:szCs w:val="13"/>
                <w:b w:val="1"/>
                <w:bCs w:val="1"/>
                <w:color w:val="auto"/>
              </w:rPr>
              <w:t>MSA Description</w:t>
            </w:r>
          </w:p>
        </w:tc>
        <w:tc>
          <w:tcPr>
            <w:tcW w:w="680" w:type="dxa"/>
            <w:vAlign w:val="bottom"/>
            <w:vMerge w:val="continue"/>
          </w:tcPr>
          <w:p>
            <w:pPr>
              <w:spacing w:after="0"/>
              <w:rPr>
                <w:sz w:val="10"/>
                <w:szCs w:val="10"/>
                <w:color w:val="auto"/>
              </w:rPr>
            </w:pPr>
          </w:p>
        </w:tc>
        <w:tc>
          <w:tcPr>
            <w:tcW w:w="102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7"/>
              </w:rPr>
              <w:t>Lease Liabilities</w:t>
            </w:r>
          </w:p>
        </w:tc>
        <w:tc>
          <w:tcPr>
            <w:tcW w:w="5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7"/>
              </w:rPr>
              <w:t>Acreage</w:t>
            </w: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GLA (3)</w:t>
            </w:r>
          </w:p>
        </w:tc>
        <w:tc>
          <w:tcPr>
            <w:tcW w:w="580" w:type="dxa"/>
            <w:vAlign w:val="bottom"/>
            <w:gridSpan w:val="2"/>
          </w:tcPr>
          <w:p>
            <w:pPr>
              <w:jc w:val="right"/>
              <w:ind w:right="37"/>
              <w:spacing w:after="0" w:line="122" w:lineRule="exact"/>
              <w:rPr>
                <w:sz w:val="20"/>
                <w:szCs w:val="20"/>
                <w:color w:val="auto"/>
              </w:rPr>
            </w:pPr>
            <w:r>
              <w:rPr>
                <w:rFonts w:ascii="Arial" w:cs="Arial" w:eastAsia="Arial" w:hAnsi="Arial"/>
                <w:sz w:val="13"/>
                <w:szCs w:val="13"/>
                <w:b w:val="1"/>
                <w:bCs w:val="1"/>
                <w:color w:val="auto"/>
              </w:rPr>
              <w:t>Leased</w:t>
            </w:r>
          </w:p>
        </w:tc>
        <w:tc>
          <w:tcPr>
            <w:tcW w:w="660" w:type="dxa"/>
            <w:vAlign w:val="bottom"/>
            <w:vMerge w:val="continue"/>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2"/>
              </w:rPr>
              <w:t>Anchor</w:t>
            </w:r>
          </w:p>
        </w:tc>
        <w:tc>
          <w:tcPr>
            <w:tcW w:w="800" w:type="dxa"/>
            <w:vAlign w:val="bottom"/>
            <w:vMerge w:val="continue"/>
          </w:tcPr>
          <w:p>
            <w:pPr>
              <w:spacing w:after="0"/>
              <w:rPr>
                <w:sz w:val="10"/>
                <w:szCs w:val="10"/>
                <w:color w:val="auto"/>
              </w:rPr>
            </w:pPr>
          </w:p>
        </w:tc>
        <w:tc>
          <w:tcPr>
            <w:tcW w:w="202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Other Retail Tenants</w:t>
            </w: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at Cost (1)</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99"/>
              <w:spacing w:after="0"/>
              <w:rPr>
                <w:sz w:val="20"/>
                <w:szCs w:val="20"/>
                <w:color w:val="auto"/>
              </w:rPr>
            </w:pPr>
            <w:r>
              <w:rPr>
                <w:rFonts w:ascii="Arial" w:cs="Arial" w:eastAsia="Arial" w:hAnsi="Arial"/>
                <w:sz w:val="13"/>
                <w:szCs w:val="13"/>
                <w:b w:val="1"/>
                <w:bCs w:val="1"/>
                <w:color w:val="auto"/>
                <w:w w:val="87"/>
              </w:rPr>
              <w:t>(2)</w:t>
            </w:r>
          </w:p>
        </w:tc>
        <w:tc>
          <w:tcPr>
            <w:tcW w:w="540" w:type="dxa"/>
            <w:vAlign w:val="bottom"/>
            <w:tcBorders>
              <w:bottom w:val="single" w:sz="8" w:color="auto"/>
            </w:tcBorders>
            <w:gridSpan w:val="2"/>
            <w:vMerge w:val="continue"/>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Units</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GLA</w:t>
            </w: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160" w:type="dxa"/>
            <w:vAlign w:val="bottom"/>
          </w:tcPr>
          <w:p>
            <w:pPr>
              <w:spacing w:after="0"/>
              <w:rPr>
                <w:sz w:val="12"/>
                <w:szCs w:val="12"/>
                <w:color w:val="auto"/>
              </w:rPr>
            </w:pPr>
          </w:p>
        </w:tc>
        <w:tc>
          <w:tcPr>
            <w:tcW w:w="860" w:type="dxa"/>
            <w:vAlign w:val="bottom"/>
          </w:tcPr>
          <w:p>
            <w:pPr>
              <w:jc w:val="center"/>
              <w:ind w:right="59"/>
              <w:spacing w:after="0"/>
              <w:rPr>
                <w:sz w:val="20"/>
                <w:szCs w:val="20"/>
                <w:color w:val="auto"/>
              </w:rPr>
            </w:pPr>
            <w:r>
              <w:rPr>
                <w:rFonts w:ascii="Arial" w:cs="Arial" w:eastAsia="Arial" w:hAnsi="Arial"/>
                <w:sz w:val="11"/>
                <w:szCs w:val="11"/>
                <w:color w:val="auto"/>
                <w:w w:val="88"/>
              </w:rPr>
              <w:t>(in thousands)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3"/>
                <w:szCs w:val="13"/>
                <w:color w:val="auto"/>
                <w:w w:val="93"/>
              </w:rPr>
              <w:t>White Marsh Plaza</w:t>
            </w:r>
          </w:p>
        </w:tc>
        <w:tc>
          <w:tcPr>
            <w:tcW w:w="400" w:type="dxa"/>
            <w:vAlign w:val="bottom"/>
            <w:shd w:val="clear" w:color="auto" w:fill="CCEEFF"/>
          </w:tcPr>
          <w:p>
            <w:pPr>
              <w:spacing w:after="0"/>
              <w:rPr>
                <w:sz w:val="15"/>
                <w:szCs w:val="15"/>
                <w:color w:val="auto"/>
              </w:rPr>
            </w:pPr>
          </w:p>
        </w:tc>
        <w:tc>
          <w:tcPr>
            <w:tcW w:w="2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Baltimore-Columbia-Towson, MD</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26,505</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80,000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54,000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gridSpan w:val="4"/>
          </w:tcPr>
          <w:p>
            <w:pPr>
              <w:spacing w:after="0"/>
              <w:rPr>
                <w:sz w:val="20"/>
                <w:szCs w:val="20"/>
                <w:color w:val="auto"/>
              </w:rPr>
            </w:pPr>
            <w:r>
              <w:rPr>
                <w:rFonts w:ascii="Arial" w:cs="Arial" w:eastAsia="Arial" w:hAnsi="Arial"/>
                <w:sz w:val="13"/>
                <w:szCs w:val="13"/>
                <w:color w:val="auto"/>
                <w:w w:val="93"/>
              </w:rPr>
              <w:t>White Marsh Other</w:t>
            </w:r>
          </w:p>
        </w:tc>
        <w:tc>
          <w:tcPr>
            <w:tcW w:w="40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Baltimore-Columbia-Towson, MD</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31,725</w:t>
            </w:r>
          </w:p>
        </w:tc>
        <w:tc>
          <w:tcPr>
            <w:tcW w:w="16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70,000</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Baltimore</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281,730</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1,140,000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auto"/>
            </w:tcBorders>
            <w:gridSpan w:val="3"/>
            <w:shd w:val="clear" w:color="auto" w:fill="CCEEFF"/>
          </w:tcPr>
          <w:p>
            <w:pPr>
              <w:ind w:left="60"/>
              <w:spacing w:after="0" w:line="135" w:lineRule="exact"/>
              <w:rPr>
                <w:sz w:val="20"/>
                <w:szCs w:val="20"/>
                <w:color w:val="auto"/>
              </w:rPr>
            </w:pPr>
            <w:r>
              <w:rPr>
                <w:rFonts w:ascii="Arial" w:cs="Arial" w:eastAsia="Arial" w:hAnsi="Arial"/>
                <w:sz w:val="13"/>
                <w:szCs w:val="13"/>
                <w:b w:val="1"/>
                <w:bCs w:val="1"/>
                <w:color w:val="auto"/>
                <w:w w:val="88"/>
              </w:rPr>
              <w:t>South Florida</w:t>
            </w:r>
          </w:p>
        </w:tc>
        <w:tc>
          <w:tcPr>
            <w:tcW w:w="2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22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20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4"/>
          </w:tcPr>
          <w:p>
            <w:pPr>
              <w:spacing w:after="0" w:line="122" w:lineRule="exact"/>
              <w:rPr>
                <w:sz w:val="20"/>
                <w:szCs w:val="20"/>
                <w:color w:val="auto"/>
              </w:rPr>
            </w:pPr>
            <w:r>
              <w:rPr>
                <w:rFonts w:ascii="Arial" w:cs="Arial" w:eastAsia="Arial" w:hAnsi="Arial"/>
                <w:sz w:val="13"/>
                <w:szCs w:val="13"/>
                <w:color w:val="auto"/>
              </w:rPr>
              <w:t>Cocowalk</w:t>
            </w:r>
          </w:p>
        </w:tc>
        <w:tc>
          <w:tcPr>
            <w:tcW w:w="400" w:type="dxa"/>
            <w:vAlign w:val="bottom"/>
          </w:tcPr>
          <w:p>
            <w:pPr>
              <w:jc w:val="center"/>
              <w:spacing w:after="0" w:line="122" w:lineRule="exact"/>
              <w:rPr>
                <w:sz w:val="20"/>
                <w:szCs w:val="20"/>
                <w:color w:val="auto"/>
              </w:rPr>
            </w:pPr>
            <w:r>
              <w:rPr>
                <w:rFonts w:ascii="Arial" w:cs="Arial" w:eastAsia="Arial" w:hAnsi="Arial"/>
                <w:sz w:val="13"/>
                <w:szCs w:val="13"/>
                <w:color w:val="auto"/>
                <w:w w:val="95"/>
              </w:rPr>
              <w:t>(4) (9)</w:t>
            </w:r>
          </w:p>
        </w:tc>
        <w:tc>
          <w:tcPr>
            <w:tcW w:w="2240" w:type="dxa"/>
            <w:vAlign w:val="bottom"/>
          </w:tcPr>
          <w:p>
            <w:pPr>
              <w:ind w:left="40"/>
              <w:spacing w:after="0" w:line="122" w:lineRule="exact"/>
              <w:rPr>
                <w:sz w:val="20"/>
                <w:szCs w:val="20"/>
                <w:color w:val="auto"/>
              </w:rPr>
            </w:pPr>
            <w:r>
              <w:rPr>
                <w:rFonts w:ascii="Arial" w:cs="Arial" w:eastAsia="Arial" w:hAnsi="Arial"/>
                <w:sz w:val="13"/>
                <w:szCs w:val="13"/>
                <w:color w:val="auto"/>
                <w:w w:val="90"/>
              </w:rPr>
              <w:t>Miami-Fort Lauderdale-West Palm Beach,</w:t>
            </w:r>
          </w:p>
        </w:tc>
        <w:tc>
          <w:tcPr>
            <w:tcW w:w="680" w:type="dxa"/>
            <w:vAlign w:val="bottom"/>
          </w:tcPr>
          <w:p>
            <w:pPr>
              <w:jc w:val="right"/>
              <w:spacing w:after="0" w:line="122" w:lineRule="exact"/>
              <w:rPr>
                <w:sz w:val="20"/>
                <w:szCs w:val="20"/>
                <w:color w:val="auto"/>
              </w:rPr>
            </w:pPr>
            <w:r>
              <w:rPr>
                <w:rFonts w:ascii="Arial" w:cs="Arial" w:eastAsia="Arial" w:hAnsi="Arial"/>
                <w:sz w:val="13"/>
                <w:szCs w:val="13"/>
                <w:color w:val="auto"/>
              </w:rPr>
              <w:t>188,998</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3</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238,000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3"/>
                <w:szCs w:val="13"/>
                <w:color w:val="auto"/>
              </w:rPr>
              <w:t>98</w:t>
            </w:r>
          </w:p>
        </w:tc>
        <w:tc>
          <w:tcPr>
            <w:tcW w:w="1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20" w:type="dxa"/>
            <w:vAlign w:val="bottom"/>
          </w:tcPr>
          <w:p>
            <w:pPr>
              <w:ind w:left="60"/>
              <w:spacing w:after="0" w:line="122" w:lineRule="exact"/>
              <w:rPr>
                <w:sz w:val="20"/>
                <w:szCs w:val="20"/>
                <w:color w:val="auto"/>
              </w:rPr>
            </w:pPr>
            <w:r>
              <w:rPr>
                <w:rFonts w:ascii="Arial" w:cs="Arial" w:eastAsia="Arial" w:hAnsi="Arial"/>
                <w:sz w:val="13"/>
                <w:szCs w:val="13"/>
                <w:color w:val="auto"/>
              </w:rPr>
              <w:t>Cinepolis Theaters / Youfit Health</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40" w:type="dxa"/>
            <w:vAlign w:val="bottom"/>
          </w:tcPr>
          <w:p>
            <w:pPr>
              <w:ind w:left="40"/>
              <w:spacing w:after="0"/>
              <w:rPr>
                <w:sz w:val="20"/>
                <w:szCs w:val="20"/>
                <w:color w:val="auto"/>
              </w:rPr>
            </w:pPr>
            <w:r>
              <w:rPr>
                <w:rFonts w:ascii="Arial" w:cs="Arial" w:eastAsia="Arial" w:hAnsi="Arial"/>
                <w:sz w:val="13"/>
                <w:szCs w:val="13"/>
                <w:color w:val="auto"/>
              </w:rPr>
              <w:t>FL</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ind w:left="60"/>
              <w:spacing w:after="0"/>
              <w:rPr>
                <w:sz w:val="20"/>
                <w:szCs w:val="20"/>
                <w:color w:val="auto"/>
              </w:rPr>
            </w:pPr>
            <w:r>
              <w:rPr>
                <w:rFonts w:ascii="Arial" w:cs="Arial" w:eastAsia="Arial" w:hAnsi="Arial"/>
                <w:sz w:val="13"/>
                <w:szCs w:val="13"/>
                <w:color w:val="auto"/>
              </w:rPr>
              <w:t>Club / Planta Restaurant</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4"/>
            <w:shd w:val="clear" w:color="auto" w:fill="CCEEFF"/>
          </w:tcPr>
          <w:p>
            <w:pPr>
              <w:spacing w:after="0" w:line="129" w:lineRule="exact"/>
              <w:rPr>
                <w:sz w:val="20"/>
                <w:szCs w:val="20"/>
                <w:color w:val="auto"/>
              </w:rPr>
            </w:pPr>
            <w:r>
              <w:rPr>
                <w:rFonts w:ascii="Arial" w:cs="Arial" w:eastAsia="Arial" w:hAnsi="Arial"/>
                <w:sz w:val="13"/>
                <w:szCs w:val="13"/>
                <w:color w:val="auto"/>
              </w:rPr>
              <w:t>Del Mar Village</w:t>
            </w:r>
          </w:p>
        </w:tc>
        <w:tc>
          <w:tcPr>
            <w:tcW w:w="400" w:type="dxa"/>
            <w:vAlign w:val="bottom"/>
            <w:shd w:val="clear" w:color="auto" w:fill="CCEEFF"/>
          </w:tcPr>
          <w:p>
            <w:pPr>
              <w:spacing w:after="0"/>
              <w:rPr>
                <w:sz w:val="11"/>
                <w:szCs w:val="11"/>
                <w:color w:val="auto"/>
              </w:rPr>
            </w:pPr>
          </w:p>
        </w:tc>
        <w:tc>
          <w:tcPr>
            <w:tcW w:w="22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0"/>
              </w:rPr>
              <w:t>Miami-Fort Lauderdale-West Palm Beach,</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73,872</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187,000</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w:t>
            </w:r>
          </w:p>
        </w:tc>
        <w:tc>
          <w:tcPr>
            <w:tcW w:w="1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44,000</w:t>
            </w:r>
          </w:p>
        </w:tc>
        <w:tc>
          <w:tcPr>
            <w:tcW w:w="80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Winn Dixie</w:t>
            </w:r>
          </w:p>
        </w:tc>
        <w:tc>
          <w:tcPr>
            <w:tcW w:w="20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CVS / L.A. Fitness</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FL</w:t>
            </w: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4"/>
          </w:tcPr>
          <w:p>
            <w:pPr>
              <w:spacing w:after="0" w:line="122" w:lineRule="exact"/>
              <w:rPr>
                <w:sz w:val="20"/>
                <w:szCs w:val="20"/>
                <w:color w:val="auto"/>
              </w:rPr>
            </w:pPr>
            <w:r>
              <w:rPr>
                <w:rFonts w:ascii="Arial" w:cs="Arial" w:eastAsia="Arial" w:hAnsi="Arial"/>
                <w:sz w:val="13"/>
                <w:szCs w:val="13"/>
                <w:color w:val="auto"/>
              </w:rPr>
              <w:t>Tower Shops</w:t>
            </w:r>
          </w:p>
        </w:tc>
        <w:tc>
          <w:tcPr>
            <w:tcW w:w="400" w:type="dxa"/>
            <w:vAlign w:val="bottom"/>
          </w:tcPr>
          <w:p>
            <w:pPr>
              <w:spacing w:after="0"/>
              <w:rPr>
                <w:sz w:val="10"/>
                <w:szCs w:val="10"/>
                <w:color w:val="auto"/>
              </w:rPr>
            </w:pPr>
          </w:p>
        </w:tc>
        <w:tc>
          <w:tcPr>
            <w:tcW w:w="2240" w:type="dxa"/>
            <w:vAlign w:val="bottom"/>
          </w:tcPr>
          <w:p>
            <w:pPr>
              <w:ind w:left="40"/>
              <w:spacing w:after="0" w:line="122" w:lineRule="exact"/>
              <w:rPr>
                <w:sz w:val="20"/>
                <w:szCs w:val="20"/>
                <w:color w:val="auto"/>
              </w:rPr>
            </w:pPr>
            <w:r>
              <w:rPr>
                <w:rFonts w:ascii="Arial" w:cs="Arial" w:eastAsia="Arial" w:hAnsi="Arial"/>
                <w:sz w:val="13"/>
                <w:szCs w:val="13"/>
                <w:color w:val="auto"/>
                <w:w w:val="90"/>
              </w:rPr>
              <w:t>Miami-Fort Lauderdale-West Palm Beach,</w:t>
            </w:r>
          </w:p>
        </w:tc>
        <w:tc>
          <w:tcPr>
            <w:tcW w:w="680" w:type="dxa"/>
            <w:vAlign w:val="bottom"/>
          </w:tcPr>
          <w:p>
            <w:pPr>
              <w:jc w:val="right"/>
              <w:spacing w:after="0" w:line="122" w:lineRule="exact"/>
              <w:rPr>
                <w:sz w:val="20"/>
                <w:szCs w:val="20"/>
                <w:color w:val="auto"/>
              </w:rPr>
            </w:pPr>
            <w:r>
              <w:rPr>
                <w:rFonts w:ascii="Arial" w:cs="Arial" w:eastAsia="Arial" w:hAnsi="Arial"/>
                <w:sz w:val="13"/>
                <w:szCs w:val="13"/>
                <w:color w:val="auto"/>
              </w:rPr>
              <w:t>99,706</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67</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425,000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3"/>
                <w:szCs w:val="13"/>
                <w:color w:val="auto"/>
              </w:rPr>
              <w:t>96</w:t>
            </w:r>
          </w:p>
        </w:tc>
        <w:tc>
          <w:tcPr>
            <w:tcW w:w="1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85"/>
              </w:rPr>
              <w:t>12,000</w:t>
            </w:r>
          </w:p>
        </w:tc>
        <w:tc>
          <w:tcPr>
            <w:tcW w:w="800" w:type="dxa"/>
            <w:vAlign w:val="bottom"/>
          </w:tcPr>
          <w:p>
            <w:pPr>
              <w:ind w:left="80"/>
              <w:spacing w:after="0" w:line="122" w:lineRule="exact"/>
              <w:rPr>
                <w:sz w:val="20"/>
                <w:szCs w:val="20"/>
                <w:color w:val="auto"/>
              </w:rPr>
            </w:pPr>
            <w:r>
              <w:rPr>
                <w:rFonts w:ascii="Arial" w:cs="Arial" w:eastAsia="Arial" w:hAnsi="Arial"/>
                <w:sz w:val="13"/>
                <w:szCs w:val="13"/>
                <w:color w:val="auto"/>
                <w:w w:val="97"/>
              </w:rPr>
              <w:t>Trader Joe's</w:t>
            </w:r>
          </w:p>
        </w:tc>
        <w:tc>
          <w:tcPr>
            <w:tcW w:w="2020" w:type="dxa"/>
            <w:vAlign w:val="bottom"/>
          </w:tcPr>
          <w:p>
            <w:pPr>
              <w:ind w:left="60"/>
              <w:spacing w:after="0" w:line="122" w:lineRule="exact"/>
              <w:rPr>
                <w:sz w:val="20"/>
                <w:szCs w:val="20"/>
                <w:color w:val="auto"/>
              </w:rPr>
            </w:pPr>
            <w:r>
              <w:rPr>
                <w:rFonts w:ascii="Arial" w:cs="Arial" w:eastAsia="Arial" w:hAnsi="Arial"/>
                <w:sz w:val="13"/>
                <w:szCs w:val="13"/>
                <w:color w:val="auto"/>
                <w:w w:val="88"/>
              </w:rPr>
              <w:t>TJ Maxx / Ross Dress For Less / Best</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FL</w:t>
            </w: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Buy / Ulta</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South Florida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362,576</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850,000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040" w:type="dxa"/>
            <w:vAlign w:val="bottom"/>
            <w:gridSpan w:val="4"/>
            <w:shd w:val="clear" w:color="auto" w:fill="CCEEFF"/>
          </w:tcPr>
          <w:p>
            <w:pPr>
              <w:ind w:left="60"/>
              <w:spacing w:after="0" w:line="135" w:lineRule="exact"/>
              <w:rPr>
                <w:sz w:val="20"/>
                <w:szCs w:val="20"/>
                <w:color w:val="auto"/>
              </w:rPr>
            </w:pPr>
            <w:r>
              <w:rPr>
                <w:rFonts w:ascii="Arial" w:cs="Arial" w:eastAsia="Arial" w:hAnsi="Arial"/>
                <w:sz w:val="13"/>
                <w:szCs w:val="13"/>
                <w:b w:val="1"/>
                <w:bCs w:val="1"/>
                <w:color w:val="auto"/>
              </w:rPr>
              <w:t>Chicago</w:t>
            </w:r>
          </w:p>
        </w:tc>
        <w:tc>
          <w:tcPr>
            <w:tcW w:w="40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4"/>
          </w:tcPr>
          <w:p>
            <w:pPr>
              <w:spacing w:after="0" w:line="122" w:lineRule="exact"/>
              <w:rPr>
                <w:sz w:val="20"/>
                <w:szCs w:val="20"/>
                <w:color w:val="auto"/>
              </w:rPr>
            </w:pPr>
            <w:r>
              <w:rPr>
                <w:rFonts w:ascii="Arial" w:cs="Arial" w:eastAsia="Arial" w:hAnsi="Arial"/>
                <w:sz w:val="13"/>
                <w:szCs w:val="13"/>
                <w:color w:val="auto"/>
              </w:rPr>
              <w:t>Crossroads</w:t>
            </w:r>
          </w:p>
        </w:tc>
        <w:tc>
          <w:tcPr>
            <w:tcW w:w="400" w:type="dxa"/>
            <w:vAlign w:val="bottom"/>
          </w:tcPr>
          <w:p>
            <w:pPr>
              <w:spacing w:after="0"/>
              <w:rPr>
                <w:sz w:val="10"/>
                <w:szCs w:val="10"/>
                <w:color w:val="auto"/>
              </w:rPr>
            </w:pPr>
          </w:p>
        </w:tc>
        <w:tc>
          <w:tcPr>
            <w:tcW w:w="2240" w:type="dxa"/>
            <w:vAlign w:val="bottom"/>
          </w:tcPr>
          <w:p>
            <w:pPr>
              <w:ind w:left="40"/>
              <w:spacing w:after="0" w:line="122" w:lineRule="exact"/>
              <w:rPr>
                <w:sz w:val="20"/>
                <w:szCs w:val="20"/>
                <w:color w:val="auto"/>
              </w:rPr>
            </w:pPr>
            <w:r>
              <w:rPr>
                <w:rFonts w:ascii="Arial" w:cs="Arial" w:eastAsia="Arial" w:hAnsi="Arial"/>
                <w:sz w:val="13"/>
                <w:szCs w:val="13"/>
                <w:color w:val="auto"/>
              </w:rPr>
              <w:t>Chicago-Naperville-Elgin, IL-IN-WI</w:t>
            </w:r>
          </w:p>
        </w:tc>
        <w:tc>
          <w:tcPr>
            <w:tcW w:w="680" w:type="dxa"/>
            <w:vAlign w:val="bottom"/>
          </w:tcPr>
          <w:p>
            <w:pPr>
              <w:jc w:val="right"/>
              <w:spacing w:after="0" w:line="122" w:lineRule="exact"/>
              <w:rPr>
                <w:sz w:val="20"/>
                <w:szCs w:val="20"/>
                <w:color w:val="auto"/>
              </w:rPr>
            </w:pPr>
            <w:r>
              <w:rPr>
                <w:rFonts w:ascii="Arial" w:cs="Arial" w:eastAsia="Arial" w:hAnsi="Arial"/>
                <w:sz w:val="13"/>
                <w:szCs w:val="13"/>
                <w:color w:val="auto"/>
              </w:rPr>
              <w:t>35,937</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14</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168,000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3"/>
                <w:szCs w:val="13"/>
                <w:color w:val="auto"/>
              </w:rPr>
              <w:t>92</w:t>
            </w:r>
          </w:p>
        </w:tc>
        <w:tc>
          <w:tcPr>
            <w:tcW w:w="1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20" w:type="dxa"/>
            <w:vAlign w:val="bottom"/>
          </w:tcPr>
          <w:p>
            <w:pPr>
              <w:ind w:left="60"/>
              <w:spacing w:after="0" w:line="122" w:lineRule="exact"/>
              <w:rPr>
                <w:sz w:val="20"/>
                <w:szCs w:val="20"/>
                <w:color w:val="auto"/>
              </w:rPr>
            </w:pPr>
            <w:r>
              <w:rPr>
                <w:rFonts w:ascii="Arial" w:cs="Arial" w:eastAsia="Arial" w:hAnsi="Arial"/>
                <w:sz w:val="13"/>
                <w:szCs w:val="13"/>
                <w:color w:val="auto"/>
              </w:rPr>
              <w:t>L.A. Fitness / Ulta / Binny's /</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20" w:type="dxa"/>
            <w:vAlign w:val="bottom"/>
          </w:tcPr>
          <w:p>
            <w:pPr>
              <w:ind w:left="60"/>
              <w:spacing w:after="0" w:line="122" w:lineRule="exact"/>
              <w:rPr>
                <w:sz w:val="20"/>
                <w:szCs w:val="20"/>
                <w:color w:val="auto"/>
              </w:rPr>
            </w:pPr>
            <w:r>
              <w:rPr>
                <w:rFonts w:ascii="Arial" w:cs="Arial" w:eastAsia="Arial" w:hAnsi="Arial"/>
                <w:sz w:val="13"/>
                <w:szCs w:val="13"/>
                <w:color w:val="auto"/>
                <w:w w:val="94"/>
              </w:rPr>
              <w:t>Ferguson's Bath, Kitchen &amp; Lighting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ind w:left="60"/>
              <w:spacing w:after="0"/>
              <w:rPr>
                <w:sz w:val="20"/>
                <w:szCs w:val="20"/>
                <w:color w:val="auto"/>
              </w:rPr>
            </w:pPr>
            <w:r>
              <w:rPr>
                <w:rFonts w:ascii="Arial" w:cs="Arial" w:eastAsia="Arial" w:hAnsi="Arial"/>
                <w:sz w:val="13"/>
                <w:szCs w:val="13"/>
                <w:color w:val="auto"/>
              </w:rPr>
              <w:t>Gallery</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4"/>
            <w:shd w:val="clear" w:color="auto" w:fill="CCEEFF"/>
          </w:tcPr>
          <w:p>
            <w:pPr>
              <w:spacing w:after="0" w:line="129" w:lineRule="exact"/>
              <w:rPr>
                <w:sz w:val="20"/>
                <w:szCs w:val="20"/>
                <w:color w:val="auto"/>
              </w:rPr>
            </w:pPr>
            <w:r>
              <w:rPr>
                <w:rFonts w:ascii="Arial" w:cs="Arial" w:eastAsia="Arial" w:hAnsi="Arial"/>
                <w:sz w:val="13"/>
                <w:szCs w:val="13"/>
                <w:color w:val="auto"/>
              </w:rPr>
              <w:t>Finley Square</w:t>
            </w:r>
          </w:p>
        </w:tc>
        <w:tc>
          <w:tcPr>
            <w:tcW w:w="400" w:type="dxa"/>
            <w:vAlign w:val="bottom"/>
            <w:shd w:val="clear" w:color="auto" w:fill="CCEEFF"/>
          </w:tcPr>
          <w:p>
            <w:pPr>
              <w:spacing w:after="0"/>
              <w:rPr>
                <w:sz w:val="11"/>
                <w:szCs w:val="11"/>
                <w:color w:val="auto"/>
              </w:rPr>
            </w:pPr>
          </w:p>
        </w:tc>
        <w:tc>
          <w:tcPr>
            <w:tcW w:w="22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Chicago-Naperville-Elgin, IL-IN-WI</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41,426</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280,000</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90</w:t>
            </w:r>
          </w:p>
        </w:tc>
        <w:tc>
          <w:tcPr>
            <w:tcW w:w="1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w w:val="92"/>
              </w:rPr>
              <w:t>Bed, Bath &amp; Beyond / Buy Buy Baby</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20" w:type="dxa"/>
            <w:vAlign w:val="bottom"/>
            <w:shd w:val="clear" w:color="auto" w:fill="CCEEFF"/>
          </w:tcPr>
          <w:p>
            <w:pPr>
              <w:ind w:left="60"/>
              <w:spacing w:after="0"/>
              <w:rPr>
                <w:sz w:val="20"/>
                <w:szCs w:val="20"/>
                <w:color w:val="auto"/>
              </w:rPr>
            </w:pPr>
            <w:r>
              <w:rPr>
                <w:rFonts w:ascii="Arial" w:cs="Arial" w:eastAsia="Arial" w:hAnsi="Arial"/>
                <w:sz w:val="13"/>
                <w:szCs w:val="13"/>
                <w:color w:val="auto"/>
              </w:rPr>
              <w:t>/ Michaels / Portillo's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gridSpan w:val="4"/>
          </w:tcPr>
          <w:p>
            <w:pPr>
              <w:spacing w:after="0" w:line="122" w:lineRule="exact"/>
              <w:rPr>
                <w:sz w:val="20"/>
                <w:szCs w:val="20"/>
                <w:color w:val="auto"/>
              </w:rPr>
            </w:pPr>
            <w:r>
              <w:rPr>
                <w:rFonts w:ascii="Arial" w:cs="Arial" w:eastAsia="Arial" w:hAnsi="Arial"/>
                <w:sz w:val="13"/>
                <w:szCs w:val="13"/>
                <w:color w:val="auto"/>
              </w:rPr>
              <w:t>Garden Market</w:t>
            </w:r>
          </w:p>
        </w:tc>
        <w:tc>
          <w:tcPr>
            <w:tcW w:w="400" w:type="dxa"/>
            <w:vAlign w:val="bottom"/>
          </w:tcPr>
          <w:p>
            <w:pPr>
              <w:spacing w:after="0"/>
              <w:rPr>
                <w:sz w:val="10"/>
                <w:szCs w:val="10"/>
                <w:color w:val="auto"/>
              </w:rPr>
            </w:pPr>
          </w:p>
        </w:tc>
        <w:tc>
          <w:tcPr>
            <w:tcW w:w="2240" w:type="dxa"/>
            <w:vAlign w:val="bottom"/>
          </w:tcPr>
          <w:p>
            <w:pPr>
              <w:ind w:left="40"/>
              <w:spacing w:after="0" w:line="122" w:lineRule="exact"/>
              <w:rPr>
                <w:sz w:val="20"/>
                <w:szCs w:val="20"/>
                <w:color w:val="auto"/>
              </w:rPr>
            </w:pPr>
            <w:r>
              <w:rPr>
                <w:rFonts w:ascii="Arial" w:cs="Arial" w:eastAsia="Arial" w:hAnsi="Arial"/>
                <w:sz w:val="13"/>
                <w:szCs w:val="13"/>
                <w:color w:val="auto"/>
              </w:rPr>
              <w:t>Chicago-Naperville-Elgin, IL-IN-WI</w:t>
            </w:r>
          </w:p>
        </w:tc>
        <w:tc>
          <w:tcPr>
            <w:tcW w:w="680" w:type="dxa"/>
            <w:vAlign w:val="bottom"/>
          </w:tcPr>
          <w:p>
            <w:pPr>
              <w:jc w:val="right"/>
              <w:spacing w:after="0" w:line="122" w:lineRule="exact"/>
              <w:rPr>
                <w:sz w:val="20"/>
                <w:szCs w:val="20"/>
                <w:color w:val="auto"/>
              </w:rPr>
            </w:pPr>
            <w:r>
              <w:rPr>
                <w:rFonts w:ascii="Arial" w:cs="Arial" w:eastAsia="Arial" w:hAnsi="Arial"/>
                <w:sz w:val="13"/>
                <w:szCs w:val="13"/>
                <w:color w:val="auto"/>
              </w:rPr>
              <w:t>14,698</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11</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139,000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3"/>
                <w:szCs w:val="13"/>
                <w:color w:val="auto"/>
              </w:rPr>
              <w:t>99</w:t>
            </w:r>
          </w:p>
        </w:tc>
        <w:tc>
          <w:tcPr>
            <w:tcW w:w="1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85"/>
              </w:rPr>
              <w:t>63,000</w:t>
            </w:r>
          </w:p>
        </w:tc>
        <w:tc>
          <w:tcPr>
            <w:tcW w:w="800" w:type="dxa"/>
            <w:vAlign w:val="bottom"/>
          </w:tcPr>
          <w:p>
            <w:pPr>
              <w:ind w:left="80"/>
              <w:spacing w:after="0" w:line="122" w:lineRule="exact"/>
              <w:rPr>
                <w:sz w:val="20"/>
                <w:szCs w:val="20"/>
                <w:color w:val="auto"/>
              </w:rPr>
            </w:pPr>
            <w:r>
              <w:rPr>
                <w:rFonts w:ascii="Arial" w:cs="Arial" w:eastAsia="Arial" w:hAnsi="Arial"/>
                <w:sz w:val="13"/>
                <w:szCs w:val="13"/>
                <w:color w:val="auto"/>
              </w:rPr>
              <w:t>Mariano's</w:t>
            </w:r>
          </w:p>
        </w:tc>
        <w:tc>
          <w:tcPr>
            <w:tcW w:w="2020" w:type="dxa"/>
            <w:vAlign w:val="bottom"/>
          </w:tcPr>
          <w:p>
            <w:pPr>
              <w:ind w:left="60"/>
              <w:spacing w:after="0" w:line="122" w:lineRule="exact"/>
              <w:rPr>
                <w:sz w:val="20"/>
                <w:szCs w:val="20"/>
                <w:color w:val="auto"/>
              </w:rPr>
            </w:pPr>
            <w:r>
              <w:rPr>
                <w:rFonts w:ascii="Arial" w:cs="Arial" w:eastAsia="Arial" w:hAnsi="Arial"/>
                <w:sz w:val="13"/>
                <w:szCs w:val="13"/>
                <w:color w:val="auto"/>
              </w:rPr>
              <w:t>Walgreens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3"/>
                <w:szCs w:val="13"/>
                <w:color w:val="auto"/>
                <w:w w:val="91"/>
              </w:rPr>
              <w:t>Fresh Market</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Riverpoint Center</w:t>
            </w:r>
          </w:p>
        </w:tc>
        <w:tc>
          <w:tcPr>
            <w:tcW w:w="400" w:type="dxa"/>
            <w:vAlign w:val="bottom"/>
            <w:shd w:val="clear" w:color="auto" w:fill="CCEEFF"/>
          </w:tcPr>
          <w:p>
            <w:pPr>
              <w:spacing w:after="0"/>
              <w:rPr>
                <w:sz w:val="15"/>
                <w:szCs w:val="15"/>
                <w:color w:val="auto"/>
              </w:rPr>
            </w:pPr>
          </w:p>
        </w:tc>
        <w:tc>
          <w:tcPr>
            <w:tcW w:w="2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Chicago-Naperville-Elgin, IL-IN-WI</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121,540</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211,000</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86,000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Jewel Osco</w:t>
            </w:r>
          </w:p>
        </w:tc>
        <w:tc>
          <w:tcPr>
            <w:tcW w:w="20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Marshalls / Old Navy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40" w:type="dxa"/>
            <w:vAlign w:val="bottom"/>
          </w:tcPr>
          <w:p>
            <w:pPr>
              <w:ind w:left="40"/>
              <w:spacing w:after="0" w:line="144" w:lineRule="exact"/>
              <w:rPr>
                <w:sz w:val="20"/>
                <w:szCs w:val="20"/>
                <w:color w:val="auto"/>
              </w:rPr>
            </w:pPr>
            <w:r>
              <w:rPr>
                <w:rFonts w:ascii="Arial" w:cs="Arial" w:eastAsia="Arial" w:hAnsi="Arial"/>
                <w:sz w:val="13"/>
                <w:szCs w:val="13"/>
                <w:b w:val="1"/>
                <w:bCs w:val="1"/>
                <w:color w:val="auto"/>
              </w:rPr>
              <w:t>Total Chicago</w:t>
            </w:r>
          </w:p>
        </w:tc>
        <w:tc>
          <w:tcPr>
            <w:tcW w:w="680" w:type="dxa"/>
            <w:vAlign w:val="bottom"/>
          </w:tcPr>
          <w:p>
            <w:pPr>
              <w:jc w:val="right"/>
              <w:spacing w:after="0"/>
              <w:rPr>
                <w:sz w:val="20"/>
                <w:szCs w:val="20"/>
                <w:color w:val="auto"/>
              </w:rPr>
            </w:pPr>
            <w:r>
              <w:rPr>
                <w:rFonts w:ascii="Arial" w:cs="Arial" w:eastAsia="Arial" w:hAnsi="Arial"/>
                <w:sz w:val="13"/>
                <w:szCs w:val="13"/>
                <w:color w:val="auto"/>
              </w:rPr>
              <w:t>213,601</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63</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798,000</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92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2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gridSpan w:val="4"/>
          </w:tcPr>
          <w:p>
            <w:pPr>
              <w:ind w:left="60"/>
              <w:spacing w:after="0" w:line="135" w:lineRule="exact"/>
              <w:rPr>
                <w:sz w:val="20"/>
                <w:szCs w:val="20"/>
                <w:color w:val="auto"/>
              </w:rPr>
            </w:pPr>
            <w:r>
              <w:rPr>
                <w:rFonts w:ascii="Arial" w:cs="Arial" w:eastAsia="Arial" w:hAnsi="Arial"/>
                <w:sz w:val="13"/>
                <w:szCs w:val="13"/>
                <w:b w:val="1"/>
                <w:bCs w:val="1"/>
                <w:color w:val="auto"/>
              </w:rPr>
              <w:t>Other</w:t>
            </w:r>
          </w:p>
        </w:tc>
        <w:tc>
          <w:tcPr>
            <w:tcW w:w="4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gridSpan w:val="4"/>
            <w:shd w:val="clear" w:color="auto" w:fill="CCEEFF"/>
          </w:tcPr>
          <w:p>
            <w:pPr>
              <w:spacing w:after="0" w:line="122" w:lineRule="exact"/>
              <w:rPr>
                <w:sz w:val="20"/>
                <w:szCs w:val="20"/>
                <w:color w:val="auto"/>
              </w:rPr>
            </w:pPr>
            <w:r>
              <w:rPr>
                <w:rFonts w:ascii="Arial" w:cs="Arial" w:eastAsia="Arial" w:hAnsi="Arial"/>
                <w:sz w:val="13"/>
                <w:szCs w:val="13"/>
                <w:color w:val="auto"/>
              </w:rPr>
              <w:t>Barracks Road</w:t>
            </w:r>
          </w:p>
        </w:tc>
        <w:tc>
          <w:tcPr>
            <w:tcW w:w="400" w:type="dxa"/>
            <w:vAlign w:val="bottom"/>
            <w:shd w:val="clear" w:color="auto" w:fill="CCEEFF"/>
          </w:tcPr>
          <w:p>
            <w:pPr>
              <w:spacing w:after="0"/>
              <w:rPr>
                <w:sz w:val="10"/>
                <w:szCs w:val="10"/>
                <w:color w:val="auto"/>
              </w:rPr>
            </w:pPr>
          </w:p>
        </w:tc>
        <w:tc>
          <w:tcPr>
            <w:tcW w:w="224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Charlottesville, VA</w:t>
            </w: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69,773</w:t>
            </w: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40</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497,000</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92</w:t>
            </w: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5"/>
              </w:rPr>
              <w:t>99,000</w:t>
            </w:r>
          </w:p>
        </w:tc>
        <w:tc>
          <w:tcPr>
            <w:tcW w:w="2820" w:type="dxa"/>
            <w:vAlign w:val="bottom"/>
            <w:gridSpan w:val="2"/>
            <w:shd w:val="clear" w:color="auto" w:fill="CCEEFF"/>
          </w:tcPr>
          <w:p>
            <w:pPr>
              <w:ind w:left="80"/>
              <w:spacing w:after="0" w:line="122" w:lineRule="exact"/>
              <w:rPr>
                <w:sz w:val="20"/>
                <w:szCs w:val="20"/>
                <w:color w:val="auto"/>
              </w:rPr>
            </w:pPr>
            <w:r>
              <w:rPr>
                <w:rFonts w:ascii="Arial" w:cs="Arial" w:eastAsia="Arial" w:hAnsi="Arial"/>
                <w:sz w:val="13"/>
                <w:szCs w:val="13"/>
                <w:color w:val="auto"/>
                <w:w w:val="95"/>
              </w:rPr>
              <w:t>Harris Teeter / Anthropologie / Nike / Bed, Bath &amp;</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Kroger</w:t>
            </w:r>
          </w:p>
        </w:tc>
        <w:tc>
          <w:tcPr>
            <w:tcW w:w="2020" w:type="dxa"/>
            <w:vAlign w:val="bottom"/>
            <w:shd w:val="clear" w:color="auto" w:fill="CCEEFF"/>
          </w:tcPr>
          <w:p>
            <w:pPr>
              <w:ind w:left="60"/>
              <w:spacing w:after="0"/>
              <w:rPr>
                <w:sz w:val="20"/>
                <w:szCs w:val="20"/>
                <w:color w:val="auto"/>
              </w:rPr>
            </w:pPr>
            <w:r>
              <w:rPr>
                <w:rFonts w:ascii="Arial" w:cs="Arial" w:eastAsia="Arial" w:hAnsi="Arial"/>
                <w:sz w:val="13"/>
                <w:szCs w:val="13"/>
                <w:color w:val="auto"/>
              </w:rPr>
              <w:t>Beyond / Old Navy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3"/>
                <w:szCs w:val="13"/>
                <w:color w:val="auto"/>
              </w:rPr>
              <w:t>Bristol Plaza</w:t>
            </w:r>
          </w:p>
        </w:tc>
        <w:tc>
          <w:tcPr>
            <w:tcW w:w="400" w:type="dxa"/>
            <w:vAlign w:val="bottom"/>
          </w:tcPr>
          <w:p>
            <w:pPr>
              <w:spacing w:after="0"/>
              <w:rPr>
                <w:sz w:val="14"/>
                <w:szCs w:val="14"/>
                <w:color w:val="auto"/>
              </w:rPr>
            </w:pPr>
          </w:p>
        </w:tc>
        <w:tc>
          <w:tcPr>
            <w:tcW w:w="2240" w:type="dxa"/>
            <w:vAlign w:val="bottom"/>
          </w:tcPr>
          <w:p>
            <w:pPr>
              <w:ind w:left="40"/>
              <w:spacing w:after="0"/>
              <w:rPr>
                <w:sz w:val="20"/>
                <w:szCs w:val="20"/>
                <w:color w:val="auto"/>
              </w:rPr>
            </w:pPr>
            <w:r>
              <w:rPr>
                <w:rFonts w:ascii="Arial" w:cs="Arial" w:eastAsia="Arial" w:hAnsi="Arial"/>
                <w:sz w:val="13"/>
                <w:szCs w:val="13"/>
                <w:color w:val="auto"/>
                <w:w w:val="91"/>
              </w:rPr>
              <w:t>Hartford-West Hartford-East Hartford, CT</w:t>
            </w:r>
          </w:p>
        </w:tc>
        <w:tc>
          <w:tcPr>
            <w:tcW w:w="680" w:type="dxa"/>
            <w:vAlign w:val="bottom"/>
          </w:tcPr>
          <w:p>
            <w:pPr>
              <w:jc w:val="right"/>
              <w:spacing w:after="0"/>
              <w:rPr>
                <w:sz w:val="20"/>
                <w:szCs w:val="20"/>
                <w:color w:val="auto"/>
              </w:rPr>
            </w:pPr>
            <w:r>
              <w:rPr>
                <w:rFonts w:ascii="Arial" w:cs="Arial" w:eastAsia="Arial" w:hAnsi="Arial"/>
                <w:sz w:val="13"/>
                <w:szCs w:val="13"/>
                <w:color w:val="auto"/>
              </w:rPr>
              <w:t>34,253</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264,000</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83</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5"/>
              </w:rPr>
              <w:t>74,000</w:t>
            </w:r>
          </w:p>
        </w:tc>
        <w:tc>
          <w:tcPr>
            <w:tcW w:w="800" w:type="dxa"/>
            <w:vAlign w:val="bottom"/>
          </w:tcPr>
          <w:p>
            <w:pPr>
              <w:ind w:left="80"/>
              <w:spacing w:after="0"/>
              <w:rPr>
                <w:sz w:val="20"/>
                <w:szCs w:val="20"/>
                <w:color w:val="auto"/>
              </w:rPr>
            </w:pPr>
            <w:r>
              <w:rPr>
                <w:rFonts w:ascii="Arial" w:cs="Arial" w:eastAsia="Arial" w:hAnsi="Arial"/>
                <w:sz w:val="13"/>
                <w:szCs w:val="13"/>
                <w:color w:val="auto"/>
                <w:w w:val="95"/>
              </w:rPr>
              <w:t>Stop &amp; Shop</w:t>
            </w:r>
          </w:p>
        </w:tc>
        <w:tc>
          <w:tcPr>
            <w:tcW w:w="2020" w:type="dxa"/>
            <w:vAlign w:val="bottom"/>
          </w:tcPr>
          <w:p>
            <w:pPr>
              <w:ind w:left="60"/>
              <w:spacing w:after="0"/>
              <w:rPr>
                <w:sz w:val="20"/>
                <w:szCs w:val="20"/>
                <w:color w:val="auto"/>
              </w:rPr>
            </w:pPr>
            <w:r>
              <w:rPr>
                <w:rFonts w:ascii="Arial" w:cs="Arial" w:eastAsia="Arial" w:hAnsi="Arial"/>
                <w:sz w:val="13"/>
                <w:szCs w:val="13"/>
                <w:color w:val="auto"/>
              </w:rPr>
              <w:t>TJ Maxx</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4"/>
            <w:shd w:val="clear" w:color="auto" w:fill="CCEEFF"/>
          </w:tcPr>
          <w:p>
            <w:pPr>
              <w:spacing w:after="0" w:line="129" w:lineRule="exact"/>
              <w:rPr>
                <w:sz w:val="20"/>
                <w:szCs w:val="20"/>
                <w:color w:val="auto"/>
              </w:rPr>
            </w:pPr>
            <w:r>
              <w:rPr>
                <w:rFonts w:ascii="Arial" w:cs="Arial" w:eastAsia="Arial" w:hAnsi="Arial"/>
                <w:sz w:val="13"/>
                <w:szCs w:val="13"/>
                <w:color w:val="auto"/>
              </w:rPr>
              <w:t>Camelback</w:t>
            </w:r>
          </w:p>
        </w:tc>
        <w:tc>
          <w:tcPr>
            <w:tcW w:w="4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7"/>
              </w:rPr>
              <w:t>(4)</w:t>
            </w:r>
          </w:p>
        </w:tc>
        <w:tc>
          <w:tcPr>
            <w:tcW w:w="22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Phoenix-Mesa-Chandler, AZ</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39,588</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41</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642,000</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88</w:t>
            </w:r>
          </w:p>
        </w:tc>
        <w:tc>
          <w:tcPr>
            <w:tcW w:w="1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82,000</w:t>
            </w:r>
          </w:p>
        </w:tc>
        <w:tc>
          <w:tcPr>
            <w:tcW w:w="80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w w:val="95"/>
              </w:rPr>
              <w:t>Fry's Food &amp;</w:t>
            </w:r>
          </w:p>
        </w:tc>
        <w:tc>
          <w:tcPr>
            <w:tcW w:w="20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Floor &amp; Décor / Marshalls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Colonnade</w:t>
            </w:r>
          </w:p>
        </w:tc>
        <w:tc>
          <w:tcPr>
            <w:tcW w:w="4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Drug</w:t>
            </w:r>
          </w:p>
        </w:tc>
        <w:tc>
          <w:tcPr>
            <w:tcW w:w="20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6"/>
              </w:rPr>
              <w:t>Nordstrom Last Chance / Best Buy</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4"/>
          </w:tcPr>
          <w:p>
            <w:pPr>
              <w:spacing w:after="0" w:line="122" w:lineRule="exact"/>
              <w:rPr>
                <w:sz w:val="20"/>
                <w:szCs w:val="20"/>
                <w:color w:val="auto"/>
              </w:rPr>
            </w:pPr>
            <w:r>
              <w:rPr>
                <w:rFonts w:ascii="Arial" w:cs="Arial" w:eastAsia="Arial" w:hAnsi="Arial"/>
                <w:sz w:val="13"/>
                <w:szCs w:val="13"/>
                <w:color w:val="auto"/>
              </w:rPr>
              <w:t>Gratiot Plaza</w:t>
            </w:r>
          </w:p>
        </w:tc>
        <w:tc>
          <w:tcPr>
            <w:tcW w:w="400" w:type="dxa"/>
            <w:vAlign w:val="bottom"/>
          </w:tcPr>
          <w:p>
            <w:pPr>
              <w:spacing w:after="0"/>
              <w:rPr>
                <w:sz w:val="10"/>
                <w:szCs w:val="10"/>
                <w:color w:val="auto"/>
              </w:rPr>
            </w:pPr>
          </w:p>
        </w:tc>
        <w:tc>
          <w:tcPr>
            <w:tcW w:w="2240" w:type="dxa"/>
            <w:vAlign w:val="bottom"/>
          </w:tcPr>
          <w:p>
            <w:pPr>
              <w:ind w:left="40"/>
              <w:spacing w:after="0" w:line="122" w:lineRule="exact"/>
              <w:rPr>
                <w:sz w:val="20"/>
                <w:szCs w:val="20"/>
                <w:color w:val="auto"/>
              </w:rPr>
            </w:pPr>
            <w:r>
              <w:rPr>
                <w:rFonts w:ascii="Arial" w:cs="Arial" w:eastAsia="Arial" w:hAnsi="Arial"/>
                <w:sz w:val="13"/>
                <w:szCs w:val="13"/>
                <w:color w:val="auto"/>
              </w:rPr>
              <w:t>Detroit-Warren-Dearborn, MI</w:t>
            </w:r>
          </w:p>
        </w:tc>
        <w:tc>
          <w:tcPr>
            <w:tcW w:w="680" w:type="dxa"/>
            <w:vAlign w:val="bottom"/>
          </w:tcPr>
          <w:p>
            <w:pPr>
              <w:jc w:val="right"/>
              <w:spacing w:after="0" w:line="122" w:lineRule="exact"/>
              <w:rPr>
                <w:sz w:val="20"/>
                <w:szCs w:val="20"/>
                <w:color w:val="auto"/>
              </w:rPr>
            </w:pPr>
            <w:r>
              <w:rPr>
                <w:rFonts w:ascii="Arial" w:cs="Arial" w:eastAsia="Arial" w:hAnsi="Arial"/>
                <w:sz w:val="13"/>
                <w:szCs w:val="13"/>
                <w:color w:val="auto"/>
              </w:rPr>
              <w:t>179,327</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20</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215,000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3"/>
                <w:szCs w:val="13"/>
                <w:color w:val="auto"/>
              </w:rPr>
              <w:t>100</w:t>
            </w:r>
          </w:p>
        </w:tc>
        <w:tc>
          <w:tcPr>
            <w:tcW w:w="1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85"/>
              </w:rPr>
              <w:t>69,000</w:t>
            </w:r>
          </w:p>
        </w:tc>
        <w:tc>
          <w:tcPr>
            <w:tcW w:w="800" w:type="dxa"/>
            <w:vAlign w:val="bottom"/>
          </w:tcPr>
          <w:p>
            <w:pPr>
              <w:ind w:left="80"/>
              <w:spacing w:after="0" w:line="122" w:lineRule="exact"/>
              <w:rPr>
                <w:sz w:val="20"/>
                <w:szCs w:val="20"/>
                <w:color w:val="auto"/>
              </w:rPr>
            </w:pPr>
            <w:r>
              <w:rPr>
                <w:rFonts w:ascii="Arial" w:cs="Arial" w:eastAsia="Arial" w:hAnsi="Arial"/>
                <w:sz w:val="13"/>
                <w:szCs w:val="13"/>
                <w:color w:val="auto"/>
              </w:rPr>
              <w:t>Kroger</w:t>
            </w:r>
          </w:p>
        </w:tc>
        <w:tc>
          <w:tcPr>
            <w:tcW w:w="2020" w:type="dxa"/>
            <w:vAlign w:val="bottom"/>
          </w:tcPr>
          <w:p>
            <w:pPr>
              <w:ind w:left="60"/>
              <w:spacing w:after="0" w:line="122" w:lineRule="exact"/>
              <w:rPr>
                <w:sz w:val="20"/>
                <w:szCs w:val="20"/>
                <w:color w:val="auto"/>
              </w:rPr>
            </w:pPr>
            <w:r>
              <w:rPr>
                <w:rFonts w:ascii="Arial" w:cs="Arial" w:eastAsia="Arial" w:hAnsi="Arial"/>
                <w:sz w:val="13"/>
                <w:szCs w:val="13"/>
                <w:color w:val="auto"/>
              </w:rPr>
              <w:t>Bed, Bath &amp; Beyond / Best Buy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ind w:left="60"/>
              <w:spacing w:after="0"/>
              <w:rPr>
                <w:sz w:val="20"/>
                <w:szCs w:val="20"/>
                <w:color w:val="auto"/>
              </w:rPr>
            </w:pPr>
            <w:r>
              <w:rPr>
                <w:rFonts w:ascii="Arial" w:cs="Arial" w:eastAsia="Arial" w:hAnsi="Arial"/>
                <w:sz w:val="13"/>
                <w:szCs w:val="13"/>
                <w:color w:val="auto"/>
              </w:rPr>
              <w:t>DSW</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Hilton Village</w:t>
            </w: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(4)</w:t>
            </w:r>
          </w:p>
        </w:tc>
        <w:tc>
          <w:tcPr>
            <w:tcW w:w="2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Phoenix-Mesa-Chandler, AZ</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105,032</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93,000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2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 / Houston's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3"/>
                <w:szCs w:val="13"/>
                <w:color w:val="auto"/>
              </w:rPr>
              <w:t>Lancaster</w:t>
            </w:r>
          </w:p>
        </w:tc>
        <w:tc>
          <w:tcPr>
            <w:tcW w:w="400" w:type="dxa"/>
            <w:vAlign w:val="bottom"/>
          </w:tcPr>
          <w:p>
            <w:pPr>
              <w:jc w:val="center"/>
              <w:spacing w:after="0"/>
              <w:rPr>
                <w:sz w:val="20"/>
                <w:szCs w:val="20"/>
                <w:color w:val="auto"/>
              </w:rPr>
            </w:pPr>
            <w:r>
              <w:rPr>
                <w:rFonts w:ascii="Arial" w:cs="Arial" w:eastAsia="Arial" w:hAnsi="Arial"/>
                <w:sz w:val="13"/>
                <w:szCs w:val="13"/>
                <w:color w:val="auto"/>
                <w:w w:val="87"/>
              </w:rPr>
              <w:t>(7)</w:t>
            </w:r>
          </w:p>
        </w:tc>
        <w:tc>
          <w:tcPr>
            <w:tcW w:w="2240" w:type="dxa"/>
            <w:vAlign w:val="bottom"/>
          </w:tcPr>
          <w:p>
            <w:pPr>
              <w:ind w:left="40"/>
              <w:spacing w:after="0"/>
              <w:rPr>
                <w:sz w:val="20"/>
                <w:szCs w:val="20"/>
                <w:color w:val="auto"/>
              </w:rPr>
            </w:pPr>
            <w:r>
              <w:rPr>
                <w:rFonts w:ascii="Arial" w:cs="Arial" w:eastAsia="Arial" w:hAnsi="Arial"/>
                <w:sz w:val="13"/>
                <w:szCs w:val="13"/>
                <w:color w:val="auto"/>
              </w:rPr>
              <w:t>Lancaster, PA</w:t>
            </w:r>
          </w:p>
        </w:tc>
        <w:tc>
          <w:tcPr>
            <w:tcW w:w="680" w:type="dxa"/>
            <w:vAlign w:val="bottom"/>
          </w:tcPr>
          <w:p>
            <w:pPr>
              <w:jc w:val="right"/>
              <w:spacing w:after="0"/>
              <w:rPr>
                <w:sz w:val="20"/>
                <w:szCs w:val="20"/>
                <w:color w:val="auto"/>
              </w:rPr>
            </w:pPr>
            <w:r>
              <w:rPr>
                <w:rFonts w:ascii="Arial" w:cs="Arial" w:eastAsia="Arial" w:hAnsi="Arial"/>
                <w:sz w:val="13"/>
                <w:szCs w:val="13"/>
                <w:color w:val="auto"/>
              </w:rPr>
              <w:t>20,101</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5,540</w:t>
            </w:r>
          </w:p>
        </w:tc>
        <w:tc>
          <w:tcPr>
            <w:tcW w:w="46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126,000</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81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5"/>
              </w:rPr>
              <w:t>75,000</w:t>
            </w:r>
          </w:p>
        </w:tc>
        <w:tc>
          <w:tcPr>
            <w:tcW w:w="80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29th Place</w:t>
            </w:r>
          </w:p>
        </w:tc>
        <w:tc>
          <w:tcPr>
            <w:tcW w:w="400" w:type="dxa"/>
            <w:vAlign w:val="bottom"/>
            <w:shd w:val="clear" w:color="auto" w:fill="CCEEFF"/>
          </w:tcPr>
          <w:p>
            <w:pPr>
              <w:spacing w:after="0"/>
              <w:rPr>
                <w:sz w:val="15"/>
                <w:szCs w:val="15"/>
                <w:color w:val="auto"/>
              </w:rPr>
            </w:pPr>
          </w:p>
        </w:tc>
        <w:tc>
          <w:tcPr>
            <w:tcW w:w="2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Charlottesville, VA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40,028</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168,000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20" w:type="dxa"/>
            <w:vAlign w:val="bottom"/>
            <w:shd w:val="clear" w:color="auto" w:fill="CCEEFF"/>
          </w:tcPr>
          <w:p>
            <w:pPr>
              <w:ind w:left="60"/>
              <w:spacing w:after="0"/>
              <w:rPr>
                <w:sz w:val="20"/>
                <w:szCs w:val="20"/>
                <w:color w:val="auto"/>
              </w:rPr>
            </w:pPr>
            <w:r>
              <w:rPr>
                <w:rFonts w:ascii="Arial" w:cs="Arial" w:eastAsia="Arial" w:hAnsi="Arial"/>
                <w:sz w:val="13"/>
                <w:szCs w:val="13"/>
                <w:color w:val="auto"/>
              </w:rPr>
              <w:t>HomeGoods / DSW / Staples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gridSpan w:val="4"/>
          </w:tcPr>
          <w:p>
            <w:pPr>
              <w:spacing w:after="0" w:line="122" w:lineRule="exact"/>
              <w:rPr>
                <w:sz w:val="20"/>
                <w:szCs w:val="20"/>
                <w:color w:val="auto"/>
              </w:rPr>
            </w:pPr>
            <w:r>
              <w:rPr>
                <w:rFonts w:ascii="Arial" w:cs="Arial" w:eastAsia="Arial" w:hAnsi="Arial"/>
                <w:sz w:val="13"/>
                <w:szCs w:val="13"/>
                <w:color w:val="auto"/>
              </w:rPr>
              <w:t>Willow Lawn</w:t>
            </w:r>
          </w:p>
        </w:tc>
        <w:tc>
          <w:tcPr>
            <w:tcW w:w="400" w:type="dxa"/>
            <w:vAlign w:val="bottom"/>
          </w:tcPr>
          <w:p>
            <w:pPr>
              <w:spacing w:after="0"/>
              <w:rPr>
                <w:sz w:val="10"/>
                <w:szCs w:val="10"/>
                <w:color w:val="auto"/>
              </w:rPr>
            </w:pPr>
          </w:p>
        </w:tc>
        <w:tc>
          <w:tcPr>
            <w:tcW w:w="2240" w:type="dxa"/>
            <w:vAlign w:val="bottom"/>
          </w:tcPr>
          <w:p>
            <w:pPr>
              <w:ind w:left="40"/>
              <w:spacing w:after="0" w:line="122" w:lineRule="exact"/>
              <w:rPr>
                <w:sz w:val="20"/>
                <w:szCs w:val="20"/>
                <w:color w:val="auto"/>
              </w:rPr>
            </w:pPr>
            <w:r>
              <w:rPr>
                <w:rFonts w:ascii="Arial" w:cs="Arial" w:eastAsia="Arial" w:hAnsi="Arial"/>
                <w:sz w:val="13"/>
                <w:szCs w:val="13"/>
                <w:color w:val="auto"/>
              </w:rPr>
              <w:t>Richmond, VA</w:t>
            </w:r>
          </w:p>
        </w:tc>
        <w:tc>
          <w:tcPr>
            <w:tcW w:w="680" w:type="dxa"/>
            <w:vAlign w:val="bottom"/>
          </w:tcPr>
          <w:p>
            <w:pPr>
              <w:jc w:val="right"/>
              <w:spacing w:after="0" w:line="122" w:lineRule="exact"/>
              <w:rPr>
                <w:sz w:val="20"/>
                <w:szCs w:val="20"/>
                <w:color w:val="auto"/>
              </w:rPr>
            </w:pPr>
            <w:r>
              <w:rPr>
                <w:rFonts w:ascii="Arial" w:cs="Arial" w:eastAsia="Arial" w:hAnsi="Arial"/>
                <w:sz w:val="13"/>
                <w:szCs w:val="13"/>
                <w:color w:val="auto"/>
              </w:rPr>
              <w:t>13,211</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37</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464,000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3"/>
                <w:szCs w:val="13"/>
                <w:color w:val="auto"/>
              </w:rPr>
              <w:t>96</w:t>
            </w:r>
          </w:p>
        </w:tc>
        <w:tc>
          <w:tcPr>
            <w:tcW w:w="1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85"/>
              </w:rPr>
              <w:t>66,000</w:t>
            </w:r>
          </w:p>
        </w:tc>
        <w:tc>
          <w:tcPr>
            <w:tcW w:w="800" w:type="dxa"/>
            <w:vAlign w:val="bottom"/>
          </w:tcPr>
          <w:p>
            <w:pPr>
              <w:ind w:left="80"/>
              <w:spacing w:after="0" w:line="122" w:lineRule="exact"/>
              <w:rPr>
                <w:sz w:val="20"/>
                <w:szCs w:val="20"/>
                <w:color w:val="auto"/>
              </w:rPr>
            </w:pPr>
            <w:r>
              <w:rPr>
                <w:rFonts w:ascii="Arial" w:cs="Arial" w:eastAsia="Arial" w:hAnsi="Arial"/>
                <w:sz w:val="13"/>
                <w:szCs w:val="13"/>
                <w:color w:val="auto"/>
              </w:rPr>
              <w:t>Kroger</w:t>
            </w:r>
          </w:p>
        </w:tc>
        <w:tc>
          <w:tcPr>
            <w:tcW w:w="2020" w:type="dxa"/>
            <w:vAlign w:val="bottom"/>
          </w:tcPr>
          <w:p>
            <w:pPr>
              <w:ind w:left="60"/>
              <w:spacing w:after="0" w:line="122" w:lineRule="exact"/>
              <w:rPr>
                <w:sz w:val="20"/>
                <w:szCs w:val="20"/>
                <w:color w:val="auto"/>
              </w:rPr>
            </w:pPr>
            <w:r>
              <w:rPr>
                <w:rFonts w:ascii="Arial" w:cs="Arial" w:eastAsia="Arial" w:hAnsi="Arial"/>
                <w:sz w:val="13"/>
                <w:szCs w:val="13"/>
                <w:color w:val="auto"/>
              </w:rPr>
              <w:t>Old Navy / Ross Dress For Less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w w:val="93"/>
              </w:rPr>
              <w:t>Gold's Gym / Dick's Sporting Goods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Other</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501,313</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2,469,000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gridSpan w:val="2"/>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3"/>
                <w:szCs w:val="13"/>
                <w:b w:val="1"/>
                <w:bCs w:val="1"/>
                <w:color w:val="auto"/>
              </w:rPr>
              <w:t>Grand Total</w:t>
            </w:r>
          </w:p>
        </w:tc>
        <w:tc>
          <w:tcPr>
            <w:tcW w:w="400" w:type="dxa"/>
            <w:vAlign w:val="bottom"/>
            <w:tcBorders>
              <w:bottom w:val="single" w:sz="8" w:color="auto"/>
            </w:tcBorders>
            <w:shd w:val="clear" w:color="auto" w:fill="CCEEFF"/>
          </w:tcPr>
          <w:p>
            <w:pPr>
              <w:spacing w:after="0"/>
              <w:rPr>
                <w:sz w:val="15"/>
                <w:szCs w:val="15"/>
                <w:color w:val="auto"/>
              </w:rPr>
            </w:pPr>
          </w:p>
        </w:tc>
        <w:tc>
          <w:tcPr>
            <w:tcW w:w="22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7"/>
              </w:rPr>
              <w:t>$ 9,342,484</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539,831</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6"/>
              </w:rPr>
              <w:t>25,300,000</w:t>
            </w:r>
          </w:p>
        </w:tc>
        <w:tc>
          <w:tcPr>
            <w:tcW w:w="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93 %</w:t>
            </w: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5"/>
              </w:rPr>
              <w:t>2,869</w:t>
            </w:r>
          </w:p>
        </w:tc>
        <w:tc>
          <w:tcPr>
            <w:tcW w:w="5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20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auto"/>
        </w:rPr>
        <w:t>Notes:</w:t>
      </w:r>
    </w:p>
    <w:p>
      <w:pPr>
        <w:spacing w:after="0" w:line="36" w:lineRule="exact"/>
        <w:rPr>
          <w:sz w:val="20"/>
          <w:szCs w:val="20"/>
          <w:color w:val="auto"/>
        </w:rPr>
      </w:pPr>
    </w:p>
    <w:p>
      <w:pPr>
        <w:ind w:left="600" w:hanging="561"/>
        <w:spacing w:after="0"/>
        <w:tabs>
          <w:tab w:leader="none" w:pos="600" w:val="left"/>
        </w:tabs>
        <w:numPr>
          <w:ilvl w:val="0"/>
          <w:numId w:val="20"/>
        </w:numPr>
        <w:rPr>
          <w:rFonts w:ascii="Arial" w:cs="Arial" w:eastAsia="Arial" w:hAnsi="Arial"/>
          <w:sz w:val="14"/>
          <w:szCs w:val="14"/>
          <w:color w:val="auto"/>
        </w:rPr>
      </w:pPr>
      <w:r>
        <w:rPr>
          <w:rFonts w:ascii="Arial" w:cs="Arial" w:eastAsia="Arial" w:hAnsi="Arial"/>
          <w:sz w:val="13"/>
          <w:szCs w:val="13"/>
          <w:color w:val="auto"/>
        </w:rPr>
        <w:t>Includes "Finance lease right of use assets."</w:t>
      </w:r>
    </w:p>
    <w:p>
      <w:pPr>
        <w:spacing w:after="0" w:line="28" w:lineRule="exact"/>
        <w:rPr>
          <w:rFonts w:ascii="Arial" w:cs="Arial" w:eastAsia="Arial" w:hAnsi="Arial"/>
          <w:sz w:val="14"/>
          <w:szCs w:val="14"/>
          <w:color w:val="auto"/>
        </w:rPr>
      </w:pPr>
    </w:p>
    <w:p>
      <w:pPr>
        <w:ind w:left="600" w:right="80" w:hanging="561"/>
        <w:spacing w:after="0" w:line="237" w:lineRule="auto"/>
        <w:tabs>
          <w:tab w:leader="none" w:pos="600" w:val="left"/>
        </w:tabs>
        <w:numPr>
          <w:ilvl w:val="0"/>
          <w:numId w:val="20"/>
        </w:numPr>
        <w:rPr>
          <w:rFonts w:ascii="Arial" w:cs="Arial" w:eastAsia="Arial" w:hAnsi="Arial"/>
          <w:sz w:val="14"/>
          <w:szCs w:val="14"/>
          <w:color w:val="auto"/>
        </w:rPr>
      </w:pPr>
      <w:r>
        <w:rPr>
          <w:rFonts w:ascii="Arial" w:cs="Arial" w:eastAsia="Arial" w:hAnsi="Arial"/>
          <w:sz w:val="13"/>
          <w:szCs w:val="13"/>
          <w:color w:val="auto"/>
        </w:rPr>
        <w:t>The mortgage or finance lease liabilities differ from the total reported on the consolidated balance sheet due to the unamortized discount, premium, and/or debt issuance costs on certain mortgages payable.</w:t>
      </w:r>
    </w:p>
    <w:p>
      <w:pPr>
        <w:spacing w:after="0" w:line="17" w:lineRule="exact"/>
        <w:rPr>
          <w:rFonts w:ascii="Arial" w:cs="Arial" w:eastAsia="Arial" w:hAnsi="Arial"/>
          <w:sz w:val="14"/>
          <w:szCs w:val="14"/>
          <w:color w:val="auto"/>
        </w:rPr>
      </w:pPr>
    </w:p>
    <w:p>
      <w:pPr>
        <w:ind w:left="600" w:right="320" w:hanging="561"/>
        <w:spacing w:after="0" w:line="237" w:lineRule="auto"/>
        <w:tabs>
          <w:tab w:leader="none" w:pos="600" w:val="left"/>
        </w:tabs>
        <w:numPr>
          <w:ilvl w:val="0"/>
          <w:numId w:val="20"/>
        </w:numPr>
        <w:rPr>
          <w:rFonts w:ascii="Arial" w:cs="Arial" w:eastAsia="Arial" w:hAnsi="Arial"/>
          <w:sz w:val="14"/>
          <w:szCs w:val="14"/>
          <w:color w:val="auto"/>
        </w:rPr>
      </w:pPr>
      <w:r>
        <w:rPr>
          <w:rFonts w:ascii="Arial" w:cs="Arial" w:eastAsia="Arial" w:hAnsi="Arial"/>
          <w:sz w:val="13"/>
          <w:szCs w:val="13"/>
          <w:color w:val="auto"/>
        </w:rPr>
        <w:t>Represents the GLA and the percentage leased of the commercial portion of the property. Some of our properties include office space which is included in this square footage. Excludes newly created redevelopment square footage not yet in service, as well as residential and hotel square footage.</w:t>
      </w:r>
    </w:p>
    <w:p>
      <w:pPr>
        <w:spacing w:after="0" w:line="17" w:lineRule="exact"/>
        <w:rPr>
          <w:rFonts w:ascii="Arial" w:cs="Arial" w:eastAsia="Arial" w:hAnsi="Arial"/>
          <w:sz w:val="14"/>
          <w:szCs w:val="14"/>
          <w:color w:val="auto"/>
        </w:rPr>
      </w:pPr>
    </w:p>
    <w:p>
      <w:pPr>
        <w:ind w:left="600" w:hanging="561"/>
        <w:spacing w:after="0"/>
        <w:tabs>
          <w:tab w:leader="none" w:pos="600" w:val="left"/>
        </w:tabs>
        <w:numPr>
          <w:ilvl w:val="0"/>
          <w:numId w:val="20"/>
        </w:numPr>
        <w:rPr>
          <w:rFonts w:ascii="Arial" w:cs="Arial" w:eastAsia="Arial" w:hAnsi="Arial"/>
          <w:sz w:val="14"/>
          <w:szCs w:val="14"/>
          <w:color w:val="auto"/>
        </w:rPr>
      </w:pPr>
      <w:r>
        <w:rPr>
          <w:rFonts w:ascii="Arial" w:cs="Arial" w:eastAsia="Arial" w:hAnsi="Arial"/>
          <w:sz w:val="13"/>
          <w:szCs w:val="13"/>
          <w:color w:val="auto"/>
        </w:rPr>
        <w:t>The Trust has a controlling financial interest in this property.</w:t>
      </w:r>
    </w:p>
    <w:p>
      <w:pPr>
        <w:spacing w:after="0" w:line="28" w:lineRule="exact"/>
        <w:rPr>
          <w:rFonts w:ascii="Arial" w:cs="Arial" w:eastAsia="Arial" w:hAnsi="Arial"/>
          <w:sz w:val="14"/>
          <w:szCs w:val="14"/>
          <w:color w:val="auto"/>
        </w:rPr>
      </w:pPr>
    </w:p>
    <w:p>
      <w:pPr>
        <w:ind w:left="600" w:hanging="561"/>
        <w:spacing w:after="0"/>
        <w:tabs>
          <w:tab w:leader="none" w:pos="600" w:val="left"/>
        </w:tabs>
        <w:numPr>
          <w:ilvl w:val="0"/>
          <w:numId w:val="20"/>
        </w:numPr>
        <w:rPr>
          <w:rFonts w:ascii="Arial" w:cs="Arial" w:eastAsia="Arial" w:hAnsi="Arial"/>
          <w:sz w:val="14"/>
          <w:szCs w:val="14"/>
          <w:color w:val="auto"/>
        </w:rPr>
      </w:pPr>
      <w:r>
        <w:rPr>
          <w:rFonts w:ascii="Arial" w:cs="Arial" w:eastAsia="Arial" w:hAnsi="Arial"/>
          <w:sz w:val="13"/>
          <w:szCs w:val="13"/>
          <w:color w:val="auto"/>
        </w:rPr>
        <w:t>Portion of property is currently under development. See further discussion in the Assembly Row and Pike &amp; Rose schedules.</w:t>
      </w:r>
    </w:p>
    <w:p>
      <w:pPr>
        <w:spacing w:after="0" w:line="28" w:lineRule="exact"/>
        <w:rPr>
          <w:rFonts w:ascii="Arial" w:cs="Arial" w:eastAsia="Arial" w:hAnsi="Arial"/>
          <w:sz w:val="14"/>
          <w:szCs w:val="14"/>
          <w:color w:val="auto"/>
        </w:rPr>
      </w:pPr>
    </w:p>
    <w:p>
      <w:pPr>
        <w:ind w:left="600" w:right="360" w:hanging="561"/>
        <w:spacing w:after="0" w:line="237" w:lineRule="auto"/>
        <w:tabs>
          <w:tab w:leader="none" w:pos="600" w:val="left"/>
        </w:tabs>
        <w:numPr>
          <w:ilvl w:val="0"/>
          <w:numId w:val="20"/>
        </w:numPr>
        <w:rPr>
          <w:rFonts w:ascii="Arial" w:cs="Arial" w:eastAsia="Arial" w:hAnsi="Arial"/>
          <w:sz w:val="14"/>
          <w:szCs w:val="14"/>
          <w:color w:val="auto"/>
        </w:rPr>
      </w:pPr>
      <w:r>
        <w:rPr>
          <w:rFonts w:ascii="Arial" w:cs="Arial" w:eastAsia="Arial" w:hAnsi="Arial"/>
          <w:sz w:val="13"/>
          <w:szCs w:val="13"/>
          <w:color w:val="auto"/>
        </w:rPr>
        <w:t>All or a portion of the property is owned in a "downREIT" partnership, of which a wholly owned subsidiary of the Trust is the sole general partner, with third party partners holding operating partnership units.</w:t>
      </w:r>
    </w:p>
    <w:p>
      <w:pPr>
        <w:spacing w:after="0" w:line="17" w:lineRule="exact"/>
        <w:rPr>
          <w:rFonts w:ascii="Arial" w:cs="Arial" w:eastAsia="Arial" w:hAnsi="Arial"/>
          <w:sz w:val="14"/>
          <w:szCs w:val="14"/>
          <w:color w:val="auto"/>
        </w:rPr>
      </w:pPr>
    </w:p>
    <w:p>
      <w:pPr>
        <w:ind w:left="600" w:hanging="561"/>
        <w:spacing w:after="0"/>
        <w:tabs>
          <w:tab w:leader="none" w:pos="600" w:val="left"/>
        </w:tabs>
        <w:numPr>
          <w:ilvl w:val="0"/>
          <w:numId w:val="20"/>
        </w:numPr>
        <w:rPr>
          <w:rFonts w:ascii="Arial" w:cs="Arial" w:eastAsia="Arial" w:hAnsi="Arial"/>
          <w:sz w:val="14"/>
          <w:szCs w:val="14"/>
          <w:color w:val="auto"/>
        </w:rPr>
      </w:pPr>
      <w:r>
        <w:rPr>
          <w:rFonts w:ascii="Arial" w:cs="Arial" w:eastAsia="Arial" w:hAnsi="Arial"/>
          <w:sz w:val="13"/>
          <w:szCs w:val="13"/>
          <w:color w:val="auto"/>
        </w:rPr>
        <w:t>All or a portion of the property is subject to finance lease liabilities.</w:t>
      </w:r>
    </w:p>
    <w:p>
      <w:pPr>
        <w:spacing w:after="0" w:line="28" w:lineRule="exact"/>
        <w:rPr>
          <w:rFonts w:ascii="Arial" w:cs="Arial" w:eastAsia="Arial" w:hAnsi="Arial"/>
          <w:sz w:val="14"/>
          <w:szCs w:val="14"/>
          <w:color w:val="auto"/>
        </w:rPr>
      </w:pPr>
    </w:p>
    <w:p>
      <w:pPr>
        <w:ind w:left="600" w:hanging="561"/>
        <w:spacing w:after="0"/>
        <w:tabs>
          <w:tab w:leader="none" w:pos="600" w:val="left"/>
        </w:tabs>
        <w:numPr>
          <w:ilvl w:val="0"/>
          <w:numId w:val="20"/>
        </w:numPr>
        <w:rPr>
          <w:rFonts w:ascii="Arial" w:cs="Arial" w:eastAsia="Arial" w:hAnsi="Arial"/>
          <w:sz w:val="14"/>
          <w:szCs w:val="14"/>
          <w:color w:val="auto"/>
        </w:rPr>
      </w:pPr>
      <w:r>
        <w:rPr>
          <w:rFonts w:ascii="Arial" w:cs="Arial" w:eastAsia="Arial" w:hAnsi="Arial"/>
          <w:sz w:val="13"/>
          <w:szCs w:val="13"/>
          <w:color w:val="auto"/>
        </w:rPr>
        <w:t>This property includes 39 buildings primarily along Washington Street and 14th Street in Hoboken, New Jersey.</w:t>
      </w:r>
    </w:p>
    <w:p>
      <w:pPr>
        <w:spacing w:after="0" w:line="28" w:lineRule="exact"/>
        <w:rPr>
          <w:rFonts w:ascii="Arial" w:cs="Arial" w:eastAsia="Arial" w:hAnsi="Arial"/>
          <w:sz w:val="14"/>
          <w:szCs w:val="14"/>
          <w:color w:val="auto"/>
        </w:rPr>
      </w:pPr>
    </w:p>
    <w:p>
      <w:pPr>
        <w:ind w:left="600" w:hanging="561"/>
        <w:spacing w:after="0"/>
        <w:tabs>
          <w:tab w:leader="none" w:pos="600" w:val="left"/>
        </w:tabs>
        <w:numPr>
          <w:ilvl w:val="0"/>
          <w:numId w:val="20"/>
        </w:numPr>
        <w:rPr>
          <w:rFonts w:ascii="Arial" w:cs="Arial" w:eastAsia="Arial" w:hAnsi="Arial"/>
          <w:sz w:val="14"/>
          <w:szCs w:val="14"/>
          <w:color w:val="auto"/>
        </w:rPr>
      </w:pPr>
      <w:r>
        <w:rPr>
          <w:rFonts w:ascii="Arial" w:cs="Arial" w:eastAsia="Arial" w:hAnsi="Arial"/>
          <w:sz w:val="13"/>
          <w:szCs w:val="13"/>
          <w:color w:val="auto"/>
        </w:rPr>
        <w:t>This property includes interests in five buildings in addition to our initial acquisition.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030" w:right="339" w:bottom="1440" w:gutter="0" w:footer="0" w:header="0"/>
        </w:sectPr>
      </w:pPr>
    </w:p>
    <w:bookmarkStart w:id="27" w:name="page28"/>
    <w:bookmarkEnd w:id="27"/>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Retail Leasing Summary (1)</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2021</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0"/>
              </w:rPr>
              <w:t>Number of</w:t>
            </w: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vMerge w:val="restart"/>
          </w:tcPr>
          <w:p>
            <w:pPr>
              <w:jc w:val="center"/>
              <w:ind w:right="200"/>
              <w:spacing w:after="0"/>
              <w:rPr>
                <w:sz w:val="20"/>
                <w:szCs w:val="20"/>
                <w:color w:val="auto"/>
              </w:rPr>
            </w:pPr>
            <w:r>
              <w:rPr>
                <w:rFonts w:ascii="Arial" w:cs="Arial" w:eastAsia="Arial" w:hAnsi="Arial"/>
                <w:sz w:val="11"/>
                <w:szCs w:val="11"/>
                <w:b w:val="1"/>
                <w:bCs w:val="1"/>
                <w:color w:val="auto"/>
                <w:w w:val="91"/>
              </w:rPr>
              <w:t>Contractual</w:t>
            </w:r>
          </w:p>
        </w:tc>
        <w:tc>
          <w:tcPr>
            <w:tcW w:w="68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90"/>
              </w:rPr>
              <w:t>Prior Rent</w:t>
            </w: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89"/>
              </w:rPr>
              <w:t>Annual Increase</w:t>
            </w:r>
          </w:p>
        </w:tc>
        <w:tc>
          <w:tcPr>
            <w:tcW w:w="10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Cash Basis %</w:t>
            </w:r>
          </w:p>
        </w:tc>
        <w:tc>
          <w:tcPr>
            <w:tcW w:w="100" w:type="dxa"/>
            <w:vAlign w:val="bottom"/>
          </w:tcPr>
          <w:p>
            <w:pPr>
              <w:spacing w:after="0"/>
              <w:rPr>
                <w:sz w:val="10"/>
                <w:szCs w:val="10"/>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0"/>
              </w:rPr>
              <w:t>Straight-lined</w:t>
            </w: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8"/>
              </w:rPr>
              <w:t>Tenant</w:t>
            </w:r>
          </w:p>
        </w:tc>
        <w:tc>
          <w:tcPr>
            <w:tcW w:w="180" w:type="dxa"/>
            <w:vAlign w:val="bottom"/>
          </w:tcPr>
          <w:p>
            <w:pPr>
              <w:spacing w:after="0"/>
              <w:rPr>
                <w:sz w:val="10"/>
                <w:szCs w:val="10"/>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Tenant</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20" w:type="dxa"/>
            <w:vAlign w:val="bottom"/>
            <w:gridSpan w:val="4"/>
            <w:vMerge w:val="restart"/>
          </w:tcPr>
          <w:p>
            <w:pPr>
              <w:jc w:val="center"/>
              <w:ind w:right="140"/>
              <w:spacing w:after="0"/>
              <w:rPr>
                <w:sz w:val="20"/>
                <w:szCs w:val="20"/>
                <w:color w:val="auto"/>
              </w:rPr>
            </w:pPr>
            <w:r>
              <w:rPr>
                <w:rFonts w:ascii="Arial" w:cs="Arial" w:eastAsia="Arial" w:hAnsi="Arial"/>
                <w:sz w:val="11"/>
                <w:szCs w:val="11"/>
                <w:b w:val="1"/>
                <w:bCs w:val="1"/>
                <w:color w:val="auto"/>
                <w:w w:val="93"/>
              </w:rPr>
              <w:t>% of Comparable</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9"/>
              </w:rPr>
              <w:t>Increase</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7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7"/>
              </w:rPr>
              <w:t>Average</w:t>
            </w: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8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0"/>
              </w:rPr>
              <w:t>Improvements &amp;</w:t>
            </w: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80" w:type="dxa"/>
            <w:vAlign w:val="bottom"/>
            <w:vMerge w:val="restart"/>
          </w:tcPr>
          <w:p>
            <w:pPr>
              <w:jc w:val="right"/>
              <w:ind w:right="291"/>
              <w:spacing w:after="0"/>
              <w:rPr>
                <w:sz w:val="20"/>
                <w:szCs w:val="20"/>
                <w:color w:val="auto"/>
              </w:rPr>
            </w:pPr>
            <w:r>
              <w:rPr>
                <w:rFonts w:ascii="Arial" w:cs="Arial" w:eastAsia="Arial" w:hAnsi="Arial"/>
                <w:sz w:val="11"/>
                <w:szCs w:val="11"/>
                <w:b w:val="1"/>
                <w:bCs w:val="1"/>
                <w:color w:val="auto"/>
              </w:rPr>
              <w:t>Quarter</w:t>
            </w:r>
          </w:p>
        </w:tc>
        <w:tc>
          <w:tcPr>
            <w:tcW w:w="100" w:type="dxa"/>
            <w:vAlign w:val="bottom"/>
          </w:tcPr>
          <w:p>
            <w:pPr>
              <w:spacing w:after="0"/>
              <w:rPr>
                <w:sz w:val="9"/>
                <w:szCs w:val="9"/>
                <w:color w:val="auto"/>
              </w:rPr>
            </w:pPr>
          </w:p>
        </w:tc>
        <w:tc>
          <w:tcPr>
            <w:tcW w:w="66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80"/>
              </w:rPr>
              <w:t>Leases</w:t>
            </w:r>
          </w:p>
        </w:tc>
        <w:tc>
          <w:tcPr>
            <w:tcW w:w="1020" w:type="dxa"/>
            <w:vAlign w:val="bottom"/>
            <w:gridSpan w:val="4"/>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9"/>
                <w:szCs w:val="9"/>
                <w:color w:val="auto"/>
              </w:rPr>
            </w:pPr>
          </w:p>
        </w:tc>
        <w:tc>
          <w:tcPr>
            <w:tcW w:w="760" w:type="dxa"/>
            <w:vAlign w:val="bottom"/>
            <w:gridSpan w:val="3"/>
          </w:tcPr>
          <w:p>
            <w:pPr>
              <w:jc w:val="center"/>
              <w:ind w:right="200"/>
              <w:spacing w:after="0" w:line="108" w:lineRule="exact"/>
              <w:rPr>
                <w:sz w:val="20"/>
                <w:szCs w:val="20"/>
                <w:color w:val="auto"/>
              </w:rPr>
            </w:pPr>
            <w:r>
              <w:rPr>
                <w:rFonts w:ascii="Arial" w:cs="Arial" w:eastAsia="Arial" w:hAnsi="Arial"/>
                <w:sz w:val="11"/>
                <w:szCs w:val="11"/>
                <w:b w:val="1"/>
                <w:bCs w:val="1"/>
                <w:color w:val="auto"/>
                <w:w w:val="90"/>
              </w:rPr>
              <w:t>Rent (3) Per</w:t>
            </w:r>
          </w:p>
        </w:tc>
        <w:tc>
          <w:tcPr>
            <w:tcW w:w="680" w:type="dxa"/>
            <w:vAlign w:val="bottom"/>
            <w:gridSpan w:val="3"/>
          </w:tcPr>
          <w:p>
            <w:pPr>
              <w:jc w:val="center"/>
              <w:ind w:right="120"/>
              <w:spacing w:after="0" w:line="108" w:lineRule="exact"/>
              <w:rPr>
                <w:sz w:val="20"/>
                <w:szCs w:val="20"/>
                <w:color w:val="auto"/>
              </w:rPr>
            </w:pPr>
            <w:r>
              <w:rPr>
                <w:rFonts w:ascii="Arial" w:cs="Arial" w:eastAsia="Arial" w:hAnsi="Arial"/>
                <w:sz w:val="11"/>
                <w:szCs w:val="11"/>
                <w:b w:val="1"/>
                <w:bCs w:val="1"/>
                <w:color w:val="auto"/>
                <w:w w:val="88"/>
              </w:rPr>
              <w:t>(4) Per Sq.</w:t>
            </w:r>
          </w:p>
        </w:tc>
        <w:tc>
          <w:tcPr>
            <w:tcW w:w="100" w:type="dxa"/>
            <w:vAlign w:val="bottom"/>
          </w:tcPr>
          <w:p>
            <w:pPr>
              <w:spacing w:after="0"/>
              <w:rPr>
                <w:sz w:val="9"/>
                <w:szCs w:val="9"/>
                <w:color w:val="auto"/>
              </w:rPr>
            </w:pPr>
          </w:p>
        </w:tc>
        <w:tc>
          <w:tcPr>
            <w:tcW w:w="86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6"/>
              </w:rPr>
              <w:t>(Decrease) in</w:t>
            </w:r>
          </w:p>
        </w:tc>
        <w:tc>
          <w:tcPr>
            <w:tcW w:w="100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8"/>
              </w:rPr>
              <w:t>(Decrease)Over</w:t>
            </w:r>
          </w:p>
        </w:tc>
        <w:tc>
          <w:tcPr>
            <w:tcW w:w="98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Basis % Increase</w:t>
            </w:r>
          </w:p>
        </w:tc>
        <w:tc>
          <w:tcPr>
            <w:tcW w:w="7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Lease Term</w:t>
            </w:r>
          </w:p>
        </w:tc>
        <w:tc>
          <w:tcPr>
            <w:tcW w:w="80" w:type="dxa"/>
            <w:vAlign w:val="bottom"/>
          </w:tcPr>
          <w:p>
            <w:pPr>
              <w:spacing w:after="0"/>
              <w:rPr>
                <w:sz w:val="9"/>
                <w:szCs w:val="9"/>
                <w:color w:val="auto"/>
              </w:rPr>
            </w:pPr>
          </w:p>
        </w:tc>
        <w:tc>
          <w:tcPr>
            <w:tcW w:w="100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2"/>
              </w:rPr>
              <w:t>Improvements &amp;</w:t>
            </w:r>
          </w:p>
        </w:tc>
        <w:tc>
          <w:tcPr>
            <w:tcW w:w="88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88"/>
              </w:rPr>
              <w:t>Incentives Per Sq.</w:t>
            </w: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102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95"/>
              </w:rPr>
              <w:t>Sq. Ft.</w:t>
            </w:r>
          </w:p>
        </w:tc>
        <w:tc>
          <w:tcPr>
            <w:tcW w:w="100" w:type="dxa"/>
            <w:vAlign w:val="bottom"/>
          </w:tcPr>
          <w:p>
            <w:pPr>
              <w:spacing w:after="0"/>
              <w:rPr>
                <w:sz w:val="12"/>
                <w:szCs w:val="12"/>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Ft.</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Rent</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Prior Rent</w:t>
            </w:r>
          </w:p>
        </w:tc>
        <w:tc>
          <w:tcPr>
            <w:tcW w:w="98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3"/>
              </w:rPr>
              <w:t>Over Prior Rent</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Ft.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2nd Quarter 2021</w:t>
            </w:r>
          </w:p>
        </w:tc>
        <w:tc>
          <w:tcPr>
            <w:tcW w:w="640" w:type="dxa"/>
            <w:vAlign w:val="bottom"/>
            <w:gridSpan w:val="2"/>
            <w:shd w:val="clear" w:color="auto" w:fill="CCEEFF"/>
          </w:tcPr>
          <w:p>
            <w:pPr>
              <w:jc w:val="right"/>
              <w:ind w:right="2"/>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558,490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37.34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1,460,996</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28,679,057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51.35</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w w:val="98"/>
              </w:rPr>
              <w:t>1st Quarter 2021</w:t>
            </w:r>
          </w:p>
        </w:tc>
        <w:tc>
          <w:tcPr>
            <w:tcW w:w="640" w:type="dxa"/>
            <w:vAlign w:val="bottom"/>
            <w:gridSpan w:val="2"/>
          </w:tcPr>
          <w:p>
            <w:pPr>
              <w:jc w:val="right"/>
              <w:ind w:right="2"/>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506,307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36.58</w:t>
            </w:r>
          </w:p>
        </w:tc>
        <w:tc>
          <w:tcPr>
            <w:tcW w:w="12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33.64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1,488,763</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17 %</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16,231,682</w:t>
            </w:r>
          </w:p>
        </w:tc>
        <w:tc>
          <w:tcPr>
            <w:tcW w:w="120" w:type="dxa"/>
            <w:vAlign w:val="bottom"/>
          </w:tcPr>
          <w:p>
            <w:pPr>
              <w:spacing w:after="0"/>
              <w:rPr>
                <w:sz w:val="16"/>
                <w:szCs w:val="16"/>
                <w:color w:val="auto"/>
              </w:rPr>
            </w:pPr>
          </w:p>
        </w:tc>
        <w:tc>
          <w:tcPr>
            <w:tcW w:w="180" w:type="dxa"/>
            <w:vAlign w:val="bottom"/>
          </w:tcPr>
          <w:p>
            <w:pPr>
              <w:jc w:val="right"/>
              <w:ind w:right="33"/>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32.06</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4th Quarter 2020</w:t>
            </w:r>
          </w:p>
        </w:tc>
        <w:tc>
          <w:tcPr>
            <w:tcW w:w="640" w:type="dxa"/>
            <w:vAlign w:val="bottom"/>
            <w:gridSpan w:val="2"/>
            <w:shd w:val="clear" w:color="auto" w:fill="CCEEFF"/>
          </w:tcPr>
          <w:p>
            <w:pPr>
              <w:jc w:val="right"/>
              <w:ind w:right="2"/>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449,783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32.16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93,635</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12,945,573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28.78</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w w:val="97"/>
              </w:rPr>
              <w:t>3rd Quarter 2020</w:t>
            </w:r>
          </w:p>
        </w:tc>
        <w:tc>
          <w:tcPr>
            <w:tcW w:w="640" w:type="dxa"/>
            <w:vAlign w:val="bottom"/>
            <w:gridSpan w:val="2"/>
          </w:tcPr>
          <w:p>
            <w:pPr>
              <w:jc w:val="right"/>
              <w:ind w:right="2"/>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471,726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37.38</w:t>
            </w:r>
          </w:p>
        </w:tc>
        <w:tc>
          <w:tcPr>
            <w:tcW w:w="12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37.74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(169,801)</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6 %</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16,274,556</w:t>
            </w:r>
          </w:p>
        </w:tc>
        <w:tc>
          <w:tcPr>
            <w:tcW w:w="120" w:type="dxa"/>
            <w:vAlign w:val="bottom"/>
          </w:tcPr>
          <w:p>
            <w:pPr>
              <w:spacing w:after="0"/>
              <w:rPr>
                <w:sz w:val="16"/>
                <w:szCs w:val="16"/>
                <w:color w:val="auto"/>
              </w:rPr>
            </w:pPr>
          </w:p>
        </w:tc>
        <w:tc>
          <w:tcPr>
            <w:tcW w:w="180" w:type="dxa"/>
            <w:vAlign w:val="bottom"/>
          </w:tcPr>
          <w:p>
            <w:pPr>
              <w:jc w:val="right"/>
              <w:ind w:right="33"/>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34.50</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11"/>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Total - 12 months</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4"/>
                <w:szCs w:val="14"/>
                <w:color w:val="auto"/>
              </w:rPr>
              <w:t>421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100 %</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1,986,306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35.98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2,873,593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74,130,868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37.32</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4"/>
                <w:szCs w:val="14"/>
                <w:b w:val="1"/>
                <w:bCs w:val="1"/>
                <w:color w:val="auto"/>
              </w:rPr>
              <w:t>New Lease Summary - Comparable (2)</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0"/>
              </w:rPr>
              <w:t>Number of</w:t>
            </w:r>
          </w:p>
        </w:tc>
        <w:tc>
          <w:tcPr>
            <w:tcW w:w="5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vMerge w:val="restart"/>
          </w:tcPr>
          <w:p>
            <w:pPr>
              <w:jc w:val="center"/>
              <w:ind w:right="200"/>
              <w:spacing w:after="0"/>
              <w:rPr>
                <w:sz w:val="20"/>
                <w:szCs w:val="20"/>
                <w:color w:val="auto"/>
              </w:rPr>
            </w:pPr>
            <w:r>
              <w:rPr>
                <w:rFonts w:ascii="Arial" w:cs="Arial" w:eastAsia="Arial" w:hAnsi="Arial"/>
                <w:sz w:val="11"/>
                <w:szCs w:val="11"/>
                <w:b w:val="1"/>
                <w:bCs w:val="1"/>
                <w:color w:val="auto"/>
                <w:w w:val="91"/>
              </w:rPr>
              <w:t>Contractual</w:t>
            </w:r>
          </w:p>
        </w:tc>
        <w:tc>
          <w:tcPr>
            <w:tcW w:w="68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90"/>
              </w:rPr>
              <w:t>Prior Rent</w:t>
            </w: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89"/>
              </w:rPr>
              <w:t>Annual Increase</w:t>
            </w:r>
          </w:p>
        </w:tc>
        <w:tc>
          <w:tcPr>
            <w:tcW w:w="10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Cash Basis %</w:t>
            </w:r>
          </w:p>
        </w:tc>
        <w:tc>
          <w:tcPr>
            <w:tcW w:w="100" w:type="dxa"/>
            <w:vAlign w:val="bottom"/>
          </w:tcPr>
          <w:p>
            <w:pPr>
              <w:spacing w:after="0"/>
              <w:rPr>
                <w:sz w:val="11"/>
                <w:szCs w:val="11"/>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0"/>
              </w:rPr>
              <w:t>Straight-lined</w:t>
            </w: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80" w:type="dxa"/>
            <w:vAlign w:val="bottom"/>
          </w:tcPr>
          <w:p>
            <w:pPr>
              <w:spacing w:after="0"/>
              <w:rPr>
                <w:sz w:val="11"/>
                <w:szCs w:val="11"/>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8"/>
              </w:rPr>
              <w:t>Tenant</w:t>
            </w:r>
          </w:p>
        </w:tc>
        <w:tc>
          <w:tcPr>
            <w:tcW w:w="180" w:type="dxa"/>
            <w:vAlign w:val="bottom"/>
          </w:tcPr>
          <w:p>
            <w:pPr>
              <w:spacing w:after="0"/>
              <w:rPr>
                <w:sz w:val="11"/>
                <w:szCs w:val="11"/>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Tenant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20" w:type="dxa"/>
            <w:vAlign w:val="bottom"/>
            <w:gridSpan w:val="4"/>
            <w:vMerge w:val="restart"/>
          </w:tcPr>
          <w:p>
            <w:pPr>
              <w:jc w:val="center"/>
              <w:ind w:right="140"/>
              <w:spacing w:after="0"/>
              <w:rPr>
                <w:sz w:val="20"/>
                <w:szCs w:val="20"/>
                <w:color w:val="auto"/>
              </w:rPr>
            </w:pPr>
            <w:r>
              <w:rPr>
                <w:rFonts w:ascii="Arial" w:cs="Arial" w:eastAsia="Arial" w:hAnsi="Arial"/>
                <w:sz w:val="11"/>
                <w:szCs w:val="11"/>
                <w:b w:val="1"/>
                <w:bCs w:val="1"/>
                <w:color w:val="auto"/>
                <w:w w:val="93"/>
              </w:rPr>
              <w:t>% of Comparable</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9"/>
              </w:rPr>
              <w:t>Increase</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7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7"/>
              </w:rPr>
              <w:t>Average</w:t>
            </w: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8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0"/>
              </w:rPr>
              <w:t>Improvements &amp;</w:t>
            </w: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80" w:type="dxa"/>
            <w:vAlign w:val="bottom"/>
            <w:vMerge w:val="restart"/>
          </w:tcPr>
          <w:p>
            <w:pPr>
              <w:jc w:val="right"/>
              <w:ind w:right="291"/>
              <w:spacing w:after="0"/>
              <w:rPr>
                <w:sz w:val="20"/>
                <w:szCs w:val="20"/>
                <w:color w:val="auto"/>
              </w:rPr>
            </w:pPr>
            <w:r>
              <w:rPr>
                <w:rFonts w:ascii="Arial" w:cs="Arial" w:eastAsia="Arial" w:hAnsi="Arial"/>
                <w:sz w:val="11"/>
                <w:szCs w:val="11"/>
                <w:b w:val="1"/>
                <w:bCs w:val="1"/>
                <w:color w:val="auto"/>
              </w:rPr>
              <w:t>Quarter</w:t>
            </w:r>
          </w:p>
        </w:tc>
        <w:tc>
          <w:tcPr>
            <w:tcW w:w="100" w:type="dxa"/>
            <w:vAlign w:val="bottom"/>
          </w:tcPr>
          <w:p>
            <w:pPr>
              <w:spacing w:after="0"/>
              <w:rPr>
                <w:sz w:val="9"/>
                <w:szCs w:val="9"/>
                <w:color w:val="auto"/>
              </w:rPr>
            </w:pPr>
          </w:p>
        </w:tc>
        <w:tc>
          <w:tcPr>
            <w:tcW w:w="66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80"/>
              </w:rPr>
              <w:t>Leases</w:t>
            </w:r>
          </w:p>
        </w:tc>
        <w:tc>
          <w:tcPr>
            <w:tcW w:w="1020" w:type="dxa"/>
            <w:vAlign w:val="bottom"/>
            <w:gridSpan w:val="4"/>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9"/>
                <w:szCs w:val="9"/>
                <w:color w:val="auto"/>
              </w:rPr>
            </w:pPr>
          </w:p>
        </w:tc>
        <w:tc>
          <w:tcPr>
            <w:tcW w:w="760" w:type="dxa"/>
            <w:vAlign w:val="bottom"/>
            <w:gridSpan w:val="3"/>
          </w:tcPr>
          <w:p>
            <w:pPr>
              <w:jc w:val="center"/>
              <w:ind w:right="200"/>
              <w:spacing w:after="0" w:line="108" w:lineRule="exact"/>
              <w:rPr>
                <w:sz w:val="20"/>
                <w:szCs w:val="20"/>
                <w:color w:val="auto"/>
              </w:rPr>
            </w:pPr>
            <w:r>
              <w:rPr>
                <w:rFonts w:ascii="Arial" w:cs="Arial" w:eastAsia="Arial" w:hAnsi="Arial"/>
                <w:sz w:val="11"/>
                <w:szCs w:val="11"/>
                <w:b w:val="1"/>
                <w:bCs w:val="1"/>
                <w:color w:val="auto"/>
                <w:w w:val="90"/>
              </w:rPr>
              <w:t>Rent (3) Per</w:t>
            </w:r>
          </w:p>
        </w:tc>
        <w:tc>
          <w:tcPr>
            <w:tcW w:w="680" w:type="dxa"/>
            <w:vAlign w:val="bottom"/>
            <w:gridSpan w:val="3"/>
          </w:tcPr>
          <w:p>
            <w:pPr>
              <w:jc w:val="center"/>
              <w:ind w:right="120"/>
              <w:spacing w:after="0" w:line="108" w:lineRule="exact"/>
              <w:rPr>
                <w:sz w:val="20"/>
                <w:szCs w:val="20"/>
                <w:color w:val="auto"/>
              </w:rPr>
            </w:pPr>
            <w:r>
              <w:rPr>
                <w:rFonts w:ascii="Arial" w:cs="Arial" w:eastAsia="Arial" w:hAnsi="Arial"/>
                <w:sz w:val="11"/>
                <w:szCs w:val="11"/>
                <w:b w:val="1"/>
                <w:bCs w:val="1"/>
                <w:color w:val="auto"/>
                <w:w w:val="88"/>
              </w:rPr>
              <w:t>(4) Per Sq.</w:t>
            </w:r>
          </w:p>
        </w:tc>
        <w:tc>
          <w:tcPr>
            <w:tcW w:w="100" w:type="dxa"/>
            <w:vAlign w:val="bottom"/>
          </w:tcPr>
          <w:p>
            <w:pPr>
              <w:spacing w:after="0"/>
              <w:rPr>
                <w:sz w:val="9"/>
                <w:szCs w:val="9"/>
                <w:color w:val="auto"/>
              </w:rPr>
            </w:pPr>
          </w:p>
        </w:tc>
        <w:tc>
          <w:tcPr>
            <w:tcW w:w="86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6"/>
              </w:rPr>
              <w:t>(Decrease) in</w:t>
            </w:r>
          </w:p>
        </w:tc>
        <w:tc>
          <w:tcPr>
            <w:tcW w:w="100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8"/>
              </w:rPr>
              <w:t>(Decrease)Over</w:t>
            </w:r>
          </w:p>
        </w:tc>
        <w:tc>
          <w:tcPr>
            <w:tcW w:w="98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Basis % Increase</w:t>
            </w:r>
          </w:p>
        </w:tc>
        <w:tc>
          <w:tcPr>
            <w:tcW w:w="7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Lease Term</w:t>
            </w:r>
          </w:p>
        </w:tc>
        <w:tc>
          <w:tcPr>
            <w:tcW w:w="80" w:type="dxa"/>
            <w:vAlign w:val="bottom"/>
          </w:tcPr>
          <w:p>
            <w:pPr>
              <w:spacing w:after="0"/>
              <w:rPr>
                <w:sz w:val="9"/>
                <w:szCs w:val="9"/>
                <w:color w:val="auto"/>
              </w:rPr>
            </w:pPr>
          </w:p>
        </w:tc>
        <w:tc>
          <w:tcPr>
            <w:tcW w:w="100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2"/>
              </w:rPr>
              <w:t>Improvements &amp;</w:t>
            </w:r>
          </w:p>
        </w:tc>
        <w:tc>
          <w:tcPr>
            <w:tcW w:w="88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88"/>
              </w:rPr>
              <w:t>Incentives Per Sq.</w:t>
            </w: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102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95"/>
              </w:rPr>
              <w:t>Sq. Ft.</w:t>
            </w:r>
          </w:p>
        </w:tc>
        <w:tc>
          <w:tcPr>
            <w:tcW w:w="100" w:type="dxa"/>
            <w:vAlign w:val="bottom"/>
          </w:tcPr>
          <w:p>
            <w:pPr>
              <w:spacing w:after="0"/>
              <w:rPr>
                <w:sz w:val="12"/>
                <w:szCs w:val="12"/>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Ft.</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Rent</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Prior Rent</w:t>
            </w:r>
          </w:p>
        </w:tc>
        <w:tc>
          <w:tcPr>
            <w:tcW w:w="98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3"/>
              </w:rPr>
              <w:t>Over Prior Rent</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Ft.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2nd Quarter 2021</w:t>
            </w:r>
          </w:p>
        </w:tc>
        <w:tc>
          <w:tcPr>
            <w:tcW w:w="640" w:type="dxa"/>
            <w:vAlign w:val="bottom"/>
            <w:gridSpan w:val="2"/>
            <w:shd w:val="clear" w:color="auto" w:fill="CCEEFF"/>
          </w:tcPr>
          <w:p>
            <w:pPr>
              <w:jc w:val="right"/>
              <w:ind w:right="2"/>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60 %</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414,602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36.09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1,447,345</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28,140,419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67.87</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w w:val="98"/>
              </w:rPr>
              <w:t>1st Quarter 2021</w:t>
            </w:r>
          </w:p>
        </w:tc>
        <w:tc>
          <w:tcPr>
            <w:tcW w:w="640" w:type="dxa"/>
            <w:vAlign w:val="bottom"/>
            <w:gridSpan w:val="2"/>
          </w:tcPr>
          <w:p>
            <w:pPr>
              <w:jc w:val="right"/>
              <w:ind w:right="2"/>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52 %</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220,014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39.70</w:t>
            </w:r>
          </w:p>
        </w:tc>
        <w:tc>
          <w:tcPr>
            <w:tcW w:w="12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33.62</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1,337,437</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14,773,582</w:t>
            </w:r>
          </w:p>
        </w:tc>
        <w:tc>
          <w:tcPr>
            <w:tcW w:w="120" w:type="dxa"/>
            <w:vAlign w:val="bottom"/>
          </w:tcPr>
          <w:p>
            <w:pPr>
              <w:spacing w:after="0"/>
              <w:rPr>
                <w:sz w:val="16"/>
                <w:szCs w:val="16"/>
                <w:color w:val="auto"/>
              </w:rPr>
            </w:pPr>
          </w:p>
        </w:tc>
        <w:tc>
          <w:tcPr>
            <w:tcW w:w="180" w:type="dxa"/>
            <w:vAlign w:val="bottom"/>
          </w:tcPr>
          <w:p>
            <w:pPr>
              <w:jc w:val="right"/>
              <w:ind w:right="33"/>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67.15</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4th Quarter 2020</w:t>
            </w:r>
          </w:p>
        </w:tc>
        <w:tc>
          <w:tcPr>
            <w:tcW w:w="640" w:type="dxa"/>
            <w:vAlign w:val="bottom"/>
            <w:gridSpan w:val="2"/>
            <w:shd w:val="clear" w:color="auto" w:fill="CCEEFF"/>
          </w:tcPr>
          <w:p>
            <w:pPr>
              <w:jc w:val="right"/>
              <w:ind w:right="2"/>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41 %</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156,262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35.65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(253,720)</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12,731,293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81.47</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w w:val="97"/>
              </w:rPr>
              <w:t>3rd Quarter 2020</w:t>
            </w:r>
          </w:p>
        </w:tc>
        <w:tc>
          <w:tcPr>
            <w:tcW w:w="640" w:type="dxa"/>
            <w:vAlign w:val="bottom"/>
            <w:gridSpan w:val="2"/>
          </w:tcPr>
          <w:p>
            <w:pPr>
              <w:jc w:val="right"/>
              <w:ind w:right="2"/>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40 %</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164,712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36.23</w:t>
            </w:r>
          </w:p>
        </w:tc>
        <w:tc>
          <w:tcPr>
            <w:tcW w:w="12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36.84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(100,451)</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5 %</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15,427,773</w:t>
            </w:r>
          </w:p>
        </w:tc>
        <w:tc>
          <w:tcPr>
            <w:tcW w:w="120" w:type="dxa"/>
            <w:vAlign w:val="bottom"/>
          </w:tcPr>
          <w:p>
            <w:pPr>
              <w:spacing w:after="0"/>
              <w:rPr>
                <w:sz w:val="16"/>
                <w:szCs w:val="16"/>
                <w:color w:val="auto"/>
              </w:rPr>
            </w:pPr>
          </w:p>
        </w:tc>
        <w:tc>
          <w:tcPr>
            <w:tcW w:w="180" w:type="dxa"/>
            <w:vAlign w:val="bottom"/>
          </w:tcPr>
          <w:p>
            <w:pPr>
              <w:jc w:val="right"/>
              <w:ind w:right="33"/>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93.67</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11"/>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Total - 12 months</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4"/>
                <w:szCs w:val="14"/>
                <w:color w:val="auto"/>
              </w:rPr>
              <w:t>207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49 %</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955,590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36.88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2,430,611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71,073,067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74.38</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86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w w:val="93"/>
              </w:rPr>
              <w:t>Renewal Lease Summary - Comparable (2) (8)</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0"/>
              </w:rPr>
              <w:t>Number of</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vMerge w:val="restart"/>
          </w:tcPr>
          <w:p>
            <w:pPr>
              <w:jc w:val="center"/>
              <w:ind w:right="200"/>
              <w:spacing w:after="0"/>
              <w:rPr>
                <w:sz w:val="20"/>
                <w:szCs w:val="20"/>
                <w:color w:val="auto"/>
              </w:rPr>
            </w:pPr>
            <w:r>
              <w:rPr>
                <w:rFonts w:ascii="Arial" w:cs="Arial" w:eastAsia="Arial" w:hAnsi="Arial"/>
                <w:sz w:val="11"/>
                <w:szCs w:val="11"/>
                <w:b w:val="1"/>
                <w:bCs w:val="1"/>
                <w:color w:val="auto"/>
                <w:w w:val="91"/>
              </w:rPr>
              <w:t>Contractual</w:t>
            </w:r>
          </w:p>
        </w:tc>
        <w:tc>
          <w:tcPr>
            <w:tcW w:w="68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90"/>
              </w:rPr>
              <w:t>Prior Rent</w:t>
            </w: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89"/>
              </w:rPr>
              <w:t>Annual Increase</w:t>
            </w: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8"/>
              </w:rPr>
              <w:t>Cash Basis %</w:t>
            </w:r>
          </w:p>
        </w:tc>
        <w:tc>
          <w:tcPr>
            <w:tcW w:w="100" w:type="dxa"/>
            <w:vAlign w:val="bottom"/>
          </w:tcPr>
          <w:p>
            <w:pPr>
              <w:spacing w:after="0"/>
              <w:rPr>
                <w:sz w:val="11"/>
                <w:szCs w:val="11"/>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0"/>
              </w:rPr>
              <w:t>Straight-lined</w:t>
            </w: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80" w:type="dxa"/>
            <w:vAlign w:val="bottom"/>
          </w:tcPr>
          <w:p>
            <w:pPr>
              <w:spacing w:after="0"/>
              <w:rPr>
                <w:sz w:val="11"/>
                <w:szCs w:val="11"/>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8"/>
              </w:rPr>
              <w:t>Tenant</w:t>
            </w:r>
          </w:p>
        </w:tc>
        <w:tc>
          <w:tcPr>
            <w:tcW w:w="180" w:type="dxa"/>
            <w:vAlign w:val="bottom"/>
          </w:tcPr>
          <w:p>
            <w:pPr>
              <w:spacing w:after="0"/>
              <w:rPr>
                <w:sz w:val="11"/>
                <w:szCs w:val="11"/>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Tenant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20" w:type="dxa"/>
            <w:vAlign w:val="bottom"/>
            <w:gridSpan w:val="4"/>
            <w:vMerge w:val="restart"/>
          </w:tcPr>
          <w:p>
            <w:pPr>
              <w:jc w:val="center"/>
              <w:ind w:right="140"/>
              <w:spacing w:after="0"/>
              <w:rPr>
                <w:sz w:val="20"/>
                <w:szCs w:val="20"/>
                <w:color w:val="auto"/>
              </w:rPr>
            </w:pPr>
            <w:r>
              <w:rPr>
                <w:rFonts w:ascii="Arial" w:cs="Arial" w:eastAsia="Arial" w:hAnsi="Arial"/>
                <w:sz w:val="11"/>
                <w:szCs w:val="11"/>
                <w:b w:val="1"/>
                <w:bCs w:val="1"/>
                <w:color w:val="auto"/>
                <w:w w:val="93"/>
              </w:rPr>
              <w:t>% of Comparable</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7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7"/>
              </w:rPr>
              <w:t>Average</w:t>
            </w: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8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0"/>
              </w:rPr>
              <w:t>Improvements &amp;</w:t>
            </w: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80" w:type="dxa"/>
            <w:vAlign w:val="bottom"/>
            <w:vMerge w:val="restart"/>
          </w:tcPr>
          <w:p>
            <w:pPr>
              <w:jc w:val="right"/>
              <w:ind w:right="291"/>
              <w:spacing w:after="0"/>
              <w:rPr>
                <w:sz w:val="20"/>
                <w:szCs w:val="20"/>
                <w:color w:val="auto"/>
              </w:rPr>
            </w:pPr>
            <w:r>
              <w:rPr>
                <w:rFonts w:ascii="Arial" w:cs="Arial" w:eastAsia="Arial" w:hAnsi="Arial"/>
                <w:sz w:val="11"/>
                <w:szCs w:val="11"/>
                <w:b w:val="1"/>
                <w:bCs w:val="1"/>
                <w:color w:val="auto"/>
              </w:rPr>
              <w:t>Quarter</w:t>
            </w:r>
          </w:p>
        </w:tc>
        <w:tc>
          <w:tcPr>
            <w:tcW w:w="100" w:type="dxa"/>
            <w:vAlign w:val="bottom"/>
          </w:tcPr>
          <w:p>
            <w:pPr>
              <w:spacing w:after="0"/>
              <w:rPr>
                <w:sz w:val="9"/>
                <w:szCs w:val="9"/>
                <w:color w:val="auto"/>
              </w:rPr>
            </w:pPr>
          </w:p>
        </w:tc>
        <w:tc>
          <w:tcPr>
            <w:tcW w:w="66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80"/>
              </w:rPr>
              <w:t>Leases</w:t>
            </w:r>
          </w:p>
        </w:tc>
        <w:tc>
          <w:tcPr>
            <w:tcW w:w="1020" w:type="dxa"/>
            <w:vAlign w:val="bottom"/>
            <w:gridSpan w:val="4"/>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9"/>
                <w:szCs w:val="9"/>
                <w:color w:val="auto"/>
              </w:rPr>
            </w:pPr>
          </w:p>
        </w:tc>
        <w:tc>
          <w:tcPr>
            <w:tcW w:w="760" w:type="dxa"/>
            <w:vAlign w:val="bottom"/>
            <w:gridSpan w:val="3"/>
          </w:tcPr>
          <w:p>
            <w:pPr>
              <w:jc w:val="center"/>
              <w:ind w:right="200"/>
              <w:spacing w:after="0" w:line="108" w:lineRule="exact"/>
              <w:rPr>
                <w:sz w:val="20"/>
                <w:szCs w:val="20"/>
                <w:color w:val="auto"/>
              </w:rPr>
            </w:pPr>
            <w:r>
              <w:rPr>
                <w:rFonts w:ascii="Arial" w:cs="Arial" w:eastAsia="Arial" w:hAnsi="Arial"/>
                <w:sz w:val="11"/>
                <w:szCs w:val="11"/>
                <w:b w:val="1"/>
                <w:bCs w:val="1"/>
                <w:color w:val="auto"/>
                <w:w w:val="90"/>
              </w:rPr>
              <w:t>Rent (3) Per</w:t>
            </w:r>
          </w:p>
        </w:tc>
        <w:tc>
          <w:tcPr>
            <w:tcW w:w="680" w:type="dxa"/>
            <w:vAlign w:val="bottom"/>
            <w:gridSpan w:val="3"/>
          </w:tcPr>
          <w:p>
            <w:pPr>
              <w:jc w:val="center"/>
              <w:ind w:right="120"/>
              <w:spacing w:after="0" w:line="108" w:lineRule="exact"/>
              <w:rPr>
                <w:sz w:val="20"/>
                <w:szCs w:val="20"/>
                <w:color w:val="auto"/>
              </w:rPr>
            </w:pPr>
            <w:r>
              <w:rPr>
                <w:rFonts w:ascii="Arial" w:cs="Arial" w:eastAsia="Arial" w:hAnsi="Arial"/>
                <w:sz w:val="11"/>
                <w:szCs w:val="11"/>
                <w:b w:val="1"/>
                <w:bCs w:val="1"/>
                <w:color w:val="auto"/>
                <w:w w:val="88"/>
              </w:rPr>
              <w:t>(4) Per Sq.</w:t>
            </w:r>
          </w:p>
        </w:tc>
        <w:tc>
          <w:tcPr>
            <w:tcW w:w="100" w:type="dxa"/>
            <w:vAlign w:val="bottom"/>
          </w:tcPr>
          <w:p>
            <w:pPr>
              <w:spacing w:after="0"/>
              <w:rPr>
                <w:sz w:val="9"/>
                <w:szCs w:val="9"/>
                <w:color w:val="auto"/>
              </w:rPr>
            </w:pPr>
          </w:p>
        </w:tc>
        <w:tc>
          <w:tcPr>
            <w:tcW w:w="86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6"/>
              </w:rPr>
              <w:t>(Decrease) in</w:t>
            </w:r>
          </w:p>
        </w:tc>
        <w:tc>
          <w:tcPr>
            <w:tcW w:w="100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7"/>
              </w:rPr>
              <w:t>Increase Over</w:t>
            </w:r>
          </w:p>
        </w:tc>
        <w:tc>
          <w:tcPr>
            <w:tcW w:w="98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Basis % Increase</w:t>
            </w:r>
          </w:p>
        </w:tc>
        <w:tc>
          <w:tcPr>
            <w:tcW w:w="7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Lease Term</w:t>
            </w:r>
          </w:p>
        </w:tc>
        <w:tc>
          <w:tcPr>
            <w:tcW w:w="80" w:type="dxa"/>
            <w:vAlign w:val="bottom"/>
          </w:tcPr>
          <w:p>
            <w:pPr>
              <w:spacing w:after="0"/>
              <w:rPr>
                <w:sz w:val="9"/>
                <w:szCs w:val="9"/>
                <w:color w:val="auto"/>
              </w:rPr>
            </w:pPr>
          </w:p>
        </w:tc>
        <w:tc>
          <w:tcPr>
            <w:tcW w:w="100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2"/>
              </w:rPr>
              <w:t>Improvements &amp;</w:t>
            </w:r>
          </w:p>
        </w:tc>
        <w:tc>
          <w:tcPr>
            <w:tcW w:w="88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88"/>
              </w:rPr>
              <w:t>Incentives Per Sq.</w:t>
            </w: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102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95"/>
              </w:rPr>
              <w:t>Sq. Ft.</w:t>
            </w:r>
          </w:p>
        </w:tc>
        <w:tc>
          <w:tcPr>
            <w:tcW w:w="100" w:type="dxa"/>
            <w:vAlign w:val="bottom"/>
          </w:tcPr>
          <w:p>
            <w:pPr>
              <w:spacing w:after="0"/>
              <w:rPr>
                <w:sz w:val="12"/>
                <w:szCs w:val="12"/>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Ft.</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Rent</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Prior Rent</w:t>
            </w:r>
          </w:p>
        </w:tc>
        <w:tc>
          <w:tcPr>
            <w:tcW w:w="98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3"/>
              </w:rPr>
              <w:t>Over Prior Rent</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Ft.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2nd Quarter 2021</w:t>
            </w:r>
          </w:p>
        </w:tc>
        <w:tc>
          <w:tcPr>
            <w:tcW w:w="640" w:type="dxa"/>
            <w:vAlign w:val="bottom"/>
            <w:gridSpan w:val="2"/>
            <w:shd w:val="clear" w:color="auto" w:fill="CCEEFF"/>
          </w:tcPr>
          <w:p>
            <w:pPr>
              <w:jc w:val="right"/>
              <w:ind w:right="2"/>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40 %</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143,888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40.92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13,651</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538,638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w w:val="98"/>
              </w:rPr>
              <w:t>1st Quarter 2021</w:t>
            </w:r>
          </w:p>
        </w:tc>
        <w:tc>
          <w:tcPr>
            <w:tcW w:w="640" w:type="dxa"/>
            <w:vAlign w:val="bottom"/>
            <w:gridSpan w:val="2"/>
          </w:tcPr>
          <w:p>
            <w:pPr>
              <w:jc w:val="right"/>
              <w:ind w:right="2"/>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48 %</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286,293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34.18</w:t>
            </w:r>
          </w:p>
        </w:tc>
        <w:tc>
          <w:tcPr>
            <w:tcW w:w="12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33.65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151,326</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11 %</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1,458,100</w:t>
            </w:r>
          </w:p>
        </w:tc>
        <w:tc>
          <w:tcPr>
            <w:tcW w:w="120" w:type="dxa"/>
            <w:vAlign w:val="bottom"/>
          </w:tcPr>
          <w:p>
            <w:pPr>
              <w:spacing w:after="0"/>
              <w:rPr>
                <w:sz w:val="16"/>
                <w:szCs w:val="16"/>
                <w:color w:val="auto"/>
              </w:rPr>
            </w:pPr>
          </w:p>
        </w:tc>
        <w:tc>
          <w:tcPr>
            <w:tcW w:w="180" w:type="dxa"/>
            <w:vAlign w:val="bottom"/>
          </w:tcPr>
          <w:p>
            <w:pPr>
              <w:jc w:val="right"/>
              <w:ind w:right="33"/>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5.09</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4th Quarter 2020</w:t>
            </w:r>
          </w:p>
        </w:tc>
        <w:tc>
          <w:tcPr>
            <w:tcW w:w="640" w:type="dxa"/>
            <w:vAlign w:val="bottom"/>
            <w:gridSpan w:val="2"/>
            <w:shd w:val="clear" w:color="auto" w:fill="CCEEFF"/>
          </w:tcPr>
          <w:p>
            <w:pPr>
              <w:jc w:val="right"/>
              <w:ind w:right="2"/>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59 %</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293,521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30.30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347,355</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214,280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0.73</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w w:val="97"/>
              </w:rPr>
              <w:t>3rd Quarter 2020</w:t>
            </w:r>
          </w:p>
        </w:tc>
        <w:tc>
          <w:tcPr>
            <w:tcW w:w="640" w:type="dxa"/>
            <w:vAlign w:val="bottom"/>
            <w:gridSpan w:val="2"/>
          </w:tcPr>
          <w:p>
            <w:pPr>
              <w:jc w:val="right"/>
              <w:ind w:right="2"/>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60 %</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307,014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38.00</w:t>
            </w:r>
          </w:p>
        </w:tc>
        <w:tc>
          <w:tcPr>
            <w:tcW w:w="12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38.23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(69,350)</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7 %</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846,783</w:t>
            </w:r>
          </w:p>
        </w:tc>
        <w:tc>
          <w:tcPr>
            <w:tcW w:w="120" w:type="dxa"/>
            <w:vAlign w:val="bottom"/>
          </w:tcPr>
          <w:p>
            <w:pPr>
              <w:spacing w:after="0"/>
              <w:rPr>
                <w:sz w:val="16"/>
                <w:szCs w:val="16"/>
                <w:color w:val="auto"/>
              </w:rPr>
            </w:pPr>
          </w:p>
        </w:tc>
        <w:tc>
          <w:tcPr>
            <w:tcW w:w="180" w:type="dxa"/>
            <w:vAlign w:val="bottom"/>
          </w:tcPr>
          <w:p>
            <w:pPr>
              <w:jc w:val="right"/>
              <w:ind w:right="33"/>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2.76</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Total - 12 months</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4"/>
                <w:szCs w:val="14"/>
                <w:color w:val="auto"/>
              </w:rPr>
              <w:t>214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51 %</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1,030,716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35.15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442,982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3,057,801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gridSpan w:val="2"/>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580" w:type="dxa"/>
            <w:vAlign w:val="bottom"/>
            <w:gridSpan w:val="14"/>
          </w:tcPr>
          <w:p>
            <w:pPr>
              <w:spacing w:after="0"/>
              <w:rPr>
                <w:sz w:val="20"/>
                <w:szCs w:val="20"/>
                <w:color w:val="auto"/>
              </w:rPr>
            </w:pPr>
            <w:r>
              <w:rPr>
                <w:rFonts w:ascii="Arial" w:cs="Arial" w:eastAsia="Arial" w:hAnsi="Arial"/>
                <w:sz w:val="14"/>
                <w:szCs w:val="14"/>
                <w:b w:val="1"/>
                <w:bCs w:val="1"/>
                <w:color w:val="auto"/>
              </w:rPr>
              <w:t>Total Lease Summary - Comparable and Non-comparable (2) (9)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80" w:type="dxa"/>
            <w:vAlign w:val="bottom"/>
          </w:tcPr>
          <w:p>
            <w:pPr>
              <w:spacing w:after="0"/>
              <w:rPr>
                <w:sz w:val="11"/>
                <w:szCs w:val="11"/>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8"/>
              </w:rPr>
              <w:t>Tenant</w:t>
            </w:r>
          </w:p>
        </w:tc>
        <w:tc>
          <w:tcPr>
            <w:tcW w:w="180" w:type="dxa"/>
            <w:vAlign w:val="bottom"/>
          </w:tcPr>
          <w:p>
            <w:pPr>
              <w:spacing w:after="0"/>
              <w:rPr>
                <w:sz w:val="11"/>
                <w:szCs w:val="11"/>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Tenant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3"/>
            <w:vMerge w:val="restart"/>
          </w:tcPr>
          <w:p>
            <w:pPr>
              <w:jc w:val="center"/>
              <w:ind w:right="60"/>
              <w:spacing w:after="0"/>
              <w:rPr>
                <w:sz w:val="20"/>
                <w:szCs w:val="20"/>
                <w:color w:val="auto"/>
              </w:rPr>
            </w:pPr>
            <w:r>
              <w:rPr>
                <w:rFonts w:ascii="Arial" w:cs="Arial" w:eastAsia="Arial" w:hAnsi="Arial"/>
                <w:sz w:val="11"/>
                <w:szCs w:val="11"/>
                <w:b w:val="1"/>
                <w:bCs w:val="1"/>
                <w:color w:val="auto"/>
                <w:w w:val="90"/>
              </w:rPr>
              <w:t>Contractual Rent</w:t>
            </w:r>
          </w:p>
        </w:tc>
        <w:tc>
          <w:tcPr>
            <w:tcW w:w="7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7"/>
              </w:rPr>
              <w:t>Average</w:t>
            </w: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8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0"/>
              </w:rPr>
              <w:t>Improvements &amp;</w:t>
            </w: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80" w:type="dxa"/>
            <w:vAlign w:val="bottom"/>
            <w:vMerge w:val="restart"/>
          </w:tcPr>
          <w:p>
            <w:pPr>
              <w:jc w:val="right"/>
              <w:ind w:right="291"/>
              <w:spacing w:after="0"/>
              <w:rPr>
                <w:sz w:val="20"/>
                <w:szCs w:val="20"/>
                <w:color w:val="auto"/>
              </w:rPr>
            </w:pPr>
            <w:r>
              <w:rPr>
                <w:rFonts w:ascii="Arial" w:cs="Arial" w:eastAsia="Arial" w:hAnsi="Arial"/>
                <w:sz w:val="11"/>
                <w:szCs w:val="11"/>
                <w:b w:val="1"/>
                <w:bCs w:val="1"/>
                <w:color w:val="auto"/>
              </w:rPr>
              <w:t>Quarter</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5"/>
              </w:rPr>
              <w:t>Leases</w:t>
            </w:r>
          </w:p>
        </w:tc>
        <w:tc>
          <w:tcPr>
            <w:tcW w:w="100" w:type="dxa"/>
            <w:vAlign w:val="bottom"/>
          </w:tcPr>
          <w:p>
            <w:pPr>
              <w:spacing w:after="0"/>
              <w:rPr>
                <w:sz w:val="9"/>
                <w:szCs w:val="9"/>
                <w:color w:val="auto"/>
              </w:rPr>
            </w:pPr>
          </w:p>
        </w:tc>
        <w:tc>
          <w:tcPr>
            <w:tcW w:w="1860" w:type="dxa"/>
            <w:vAlign w:val="bottom"/>
            <w:gridSpan w:val="4"/>
            <w:vMerge w:val="restart"/>
          </w:tcPr>
          <w:p>
            <w:pPr>
              <w:ind w:left="540"/>
              <w:spacing w:after="0"/>
              <w:rPr>
                <w:sz w:val="20"/>
                <w:szCs w:val="20"/>
                <w:color w:val="auto"/>
              </w:rPr>
            </w:pPr>
            <w:r>
              <w:rPr>
                <w:rFonts w:ascii="Arial" w:cs="Arial" w:eastAsia="Arial" w:hAnsi="Arial"/>
                <w:sz w:val="11"/>
                <w:szCs w:val="11"/>
                <w:b w:val="1"/>
                <w:bCs w:val="1"/>
                <w:color w:val="auto"/>
              </w:rPr>
              <w:t>GLA Signed</w:t>
            </w:r>
          </w:p>
        </w:tc>
        <w:tc>
          <w:tcPr>
            <w:tcW w:w="980" w:type="dxa"/>
            <w:vAlign w:val="bottom"/>
            <w:gridSpan w:val="3"/>
            <w:vMerge w:val="continue"/>
          </w:tcPr>
          <w:p>
            <w:pPr>
              <w:spacing w:after="0"/>
              <w:rPr>
                <w:sz w:val="9"/>
                <w:szCs w:val="9"/>
                <w:color w:val="auto"/>
              </w:rPr>
            </w:pPr>
          </w:p>
        </w:tc>
        <w:tc>
          <w:tcPr>
            <w:tcW w:w="7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Lease Term</w:t>
            </w:r>
          </w:p>
        </w:tc>
        <w:tc>
          <w:tcPr>
            <w:tcW w:w="80" w:type="dxa"/>
            <w:vAlign w:val="bottom"/>
          </w:tcPr>
          <w:p>
            <w:pPr>
              <w:spacing w:after="0"/>
              <w:rPr>
                <w:sz w:val="9"/>
                <w:szCs w:val="9"/>
                <w:color w:val="auto"/>
              </w:rPr>
            </w:pPr>
          </w:p>
        </w:tc>
        <w:tc>
          <w:tcPr>
            <w:tcW w:w="100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2"/>
              </w:rPr>
              <w:t>Improvements &amp;</w:t>
            </w:r>
          </w:p>
        </w:tc>
        <w:tc>
          <w:tcPr>
            <w:tcW w:w="88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88"/>
              </w:rPr>
              <w:t>Incentives Per Sq.</w:t>
            </w: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Signed</w:t>
            </w:r>
          </w:p>
        </w:tc>
        <w:tc>
          <w:tcPr>
            <w:tcW w:w="100" w:type="dxa"/>
            <w:vAlign w:val="bottom"/>
          </w:tcPr>
          <w:p>
            <w:pPr>
              <w:spacing w:after="0"/>
              <w:rPr>
                <w:sz w:val="12"/>
                <w:szCs w:val="12"/>
                <w:color w:val="auto"/>
              </w:rPr>
            </w:pPr>
          </w:p>
        </w:tc>
        <w:tc>
          <w:tcPr>
            <w:tcW w:w="18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0"/>
              </w:rPr>
              <w:t>(3) Per Sq. Ft.</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8"/>
              </w:rPr>
              <w:t>Ft.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2nd Quarter 2021</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576,782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37.57</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29,473,951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51.10</w:t>
            </w: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w w:val="98"/>
              </w:rPr>
              <w:t>1st Quarter 2021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14"/>
              <w:spacing w:after="0"/>
              <w:rPr>
                <w:sz w:val="20"/>
                <w:szCs w:val="20"/>
                <w:color w:val="auto"/>
              </w:rPr>
            </w:pPr>
            <w:r>
              <w:rPr>
                <w:rFonts w:ascii="Arial" w:cs="Arial" w:eastAsia="Arial" w:hAnsi="Arial"/>
                <w:sz w:val="14"/>
                <w:szCs w:val="14"/>
                <w:color w:val="auto"/>
              </w:rPr>
              <w:t>514,636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1"/>
              <w:spacing w:after="0"/>
              <w:rPr>
                <w:sz w:val="20"/>
                <w:szCs w:val="20"/>
                <w:color w:val="auto"/>
              </w:rPr>
            </w:pPr>
            <w:r>
              <w:rPr>
                <w:rFonts w:ascii="Arial" w:cs="Arial" w:eastAsia="Arial" w:hAnsi="Arial"/>
                <w:sz w:val="14"/>
                <w:szCs w:val="14"/>
                <w:color w:val="auto"/>
              </w:rPr>
              <w:t>36.94</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17,005,312</w:t>
            </w:r>
          </w:p>
        </w:tc>
        <w:tc>
          <w:tcPr>
            <w:tcW w:w="120" w:type="dxa"/>
            <w:vAlign w:val="bottom"/>
          </w:tcPr>
          <w:p>
            <w:pPr>
              <w:spacing w:after="0"/>
              <w:rPr>
                <w:sz w:val="16"/>
                <w:szCs w:val="16"/>
                <w:color w:val="auto"/>
              </w:rPr>
            </w:pPr>
          </w:p>
        </w:tc>
        <w:tc>
          <w:tcPr>
            <w:tcW w:w="180" w:type="dxa"/>
            <w:vAlign w:val="bottom"/>
          </w:tcPr>
          <w:p>
            <w:pPr>
              <w:jc w:val="right"/>
              <w:ind w:right="33"/>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33.04</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4th Quarter 2020</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468,901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32.67</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13,430,989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28.64</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7"/>
              </w:rPr>
              <w:t>3rd Quarter 2020</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481,105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37.66</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16,304,772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33.89</w:t>
            </w: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Total - 12 months</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4"/>
                <w:szCs w:val="14"/>
                <w:color w:val="auto"/>
              </w:rPr>
              <w:t>2,041,424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36.30</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76,215,024</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37.33</w:t>
            </w:r>
          </w:p>
        </w:tc>
        <w:tc>
          <w:tcPr>
            <w:tcW w:w="3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
        <w:spacing w:after="0"/>
        <w:rPr>
          <w:sz w:val="20"/>
          <w:szCs w:val="20"/>
          <w:color w:val="auto"/>
        </w:rPr>
      </w:pPr>
      <w:r>
        <w:rPr>
          <w:rFonts w:ascii="Arial" w:cs="Arial" w:eastAsia="Arial" w:hAnsi="Arial"/>
          <w:sz w:val="13"/>
          <w:szCs w:val="13"/>
          <w:u w:val="single" w:color="auto"/>
          <w:color w:val="auto"/>
        </w:rPr>
        <w:t>Notes:</w:t>
      </w:r>
    </w:p>
    <w:p>
      <w:pPr>
        <w:spacing w:after="0" w:line="26" w:lineRule="exact"/>
        <w:rPr>
          <w:sz w:val="20"/>
          <w:szCs w:val="20"/>
          <w:color w:val="auto"/>
        </w:rPr>
      </w:pPr>
    </w:p>
    <w:p>
      <w:pPr>
        <w:ind w:left="620" w:hanging="567"/>
        <w:spacing w:after="0"/>
        <w:tabs>
          <w:tab w:leader="none" w:pos="6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Information reflects activity in retail spaces only; office and residential spaces are not included. See Glossary of Terms for further discussion of information included above.</w:t>
      </w:r>
    </w:p>
    <w:p>
      <w:pPr>
        <w:spacing w:after="0" w:line="26" w:lineRule="exact"/>
        <w:rPr>
          <w:rFonts w:ascii="Arial" w:cs="Arial" w:eastAsia="Arial" w:hAnsi="Arial"/>
          <w:sz w:val="13"/>
          <w:szCs w:val="13"/>
          <w:color w:val="auto"/>
        </w:rPr>
      </w:pPr>
    </w:p>
    <w:p>
      <w:pPr>
        <w:ind w:left="620" w:hanging="567"/>
        <w:spacing w:after="0"/>
        <w:tabs>
          <w:tab w:leader="none" w:pos="6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Comparable leases represent those leases signed on spaces for which there was a former tenant.</w:t>
      </w:r>
    </w:p>
    <w:p>
      <w:pPr>
        <w:spacing w:after="0" w:line="26" w:lineRule="exact"/>
        <w:rPr>
          <w:rFonts w:ascii="Arial" w:cs="Arial" w:eastAsia="Arial" w:hAnsi="Arial"/>
          <w:sz w:val="13"/>
          <w:szCs w:val="13"/>
          <w:color w:val="auto"/>
        </w:rPr>
      </w:pPr>
    </w:p>
    <w:p>
      <w:pPr>
        <w:ind w:left="620" w:hanging="567"/>
        <w:spacing w:after="0"/>
        <w:tabs>
          <w:tab w:leader="none" w:pos="6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Contractual rent represents annual market rent under the new lease.</w:t>
      </w:r>
    </w:p>
    <w:p>
      <w:pPr>
        <w:spacing w:after="0" w:line="26" w:lineRule="exact"/>
        <w:rPr>
          <w:rFonts w:ascii="Arial" w:cs="Arial" w:eastAsia="Arial" w:hAnsi="Arial"/>
          <w:sz w:val="13"/>
          <w:szCs w:val="13"/>
          <w:color w:val="auto"/>
        </w:rPr>
      </w:pPr>
    </w:p>
    <w:p>
      <w:pPr>
        <w:ind w:left="620" w:hanging="567"/>
        <w:spacing w:after="0"/>
        <w:tabs>
          <w:tab w:leader="none" w:pos="6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Prior rent represents contractual rent from the prior tenant in the final 12 months of the term.</w:t>
      </w:r>
    </w:p>
    <w:p>
      <w:pPr>
        <w:spacing w:after="0" w:line="26" w:lineRule="exact"/>
        <w:rPr>
          <w:rFonts w:ascii="Arial" w:cs="Arial" w:eastAsia="Arial" w:hAnsi="Arial"/>
          <w:sz w:val="13"/>
          <w:szCs w:val="13"/>
          <w:color w:val="auto"/>
        </w:rPr>
      </w:pPr>
    </w:p>
    <w:p>
      <w:pPr>
        <w:ind w:left="620" w:hanging="567"/>
        <w:spacing w:after="0"/>
        <w:tabs>
          <w:tab w:leader="none" w:pos="6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Weighted average is determined on the basis of contractual rent for the lease.</w:t>
      </w:r>
    </w:p>
    <w:p>
      <w:pPr>
        <w:spacing w:after="0" w:line="26" w:lineRule="exact"/>
        <w:rPr>
          <w:rFonts w:ascii="Arial" w:cs="Arial" w:eastAsia="Arial" w:hAnsi="Arial"/>
          <w:sz w:val="13"/>
          <w:szCs w:val="13"/>
          <w:color w:val="auto"/>
        </w:rPr>
      </w:pPr>
    </w:p>
    <w:p>
      <w:pPr>
        <w:ind w:left="620" w:hanging="567"/>
        <w:spacing w:after="0"/>
        <w:tabs>
          <w:tab w:leader="none" w:pos="6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See Glossary of Terms.</w:t>
      </w:r>
    </w:p>
    <w:p>
      <w:pPr>
        <w:spacing w:after="0" w:line="26" w:lineRule="exact"/>
        <w:rPr>
          <w:rFonts w:ascii="Arial" w:cs="Arial" w:eastAsia="Arial" w:hAnsi="Arial"/>
          <w:sz w:val="13"/>
          <w:szCs w:val="13"/>
          <w:color w:val="auto"/>
        </w:rPr>
      </w:pPr>
    </w:p>
    <w:p>
      <w:pPr>
        <w:ind w:left="620" w:right="300" w:hanging="567"/>
        <w:spacing w:after="0" w:line="249" w:lineRule="auto"/>
        <w:tabs>
          <w:tab w:leader="none" w:pos="6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Approximately $2.9 million ($1.75 per square foot) in 2nd Quarter 2021, $0.1 million ($0.03 per square foot) in 4th Quarter 2020, and $0.5 million ($0.90 per square foot) in 3rd Quarter 2020 of the Tenant Improvements &amp; Incentives are for properties under active redevelopment and are included in the Projected Cost for those properties on the Summary of Redevelopment Opportunities.</w:t>
      </w:r>
    </w:p>
    <w:p>
      <w:pPr>
        <w:spacing w:after="0" w:line="10" w:lineRule="exact"/>
        <w:rPr>
          <w:rFonts w:ascii="Arial" w:cs="Arial" w:eastAsia="Arial" w:hAnsi="Arial"/>
          <w:sz w:val="12"/>
          <w:szCs w:val="12"/>
          <w:color w:val="auto"/>
        </w:rPr>
      </w:pPr>
    </w:p>
    <w:p>
      <w:pPr>
        <w:ind w:left="620" w:hanging="567"/>
        <w:spacing w:after="0"/>
        <w:tabs>
          <w:tab w:leader="none" w:pos="6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Renewal leases represent expiring leases rolling over with the same tenant in the same location. All other leases are categorized as new.</w:t>
      </w:r>
    </w:p>
    <w:p>
      <w:pPr>
        <w:spacing w:after="0" w:line="26" w:lineRule="exact"/>
        <w:rPr>
          <w:rFonts w:ascii="Arial" w:cs="Arial" w:eastAsia="Arial" w:hAnsi="Arial"/>
          <w:sz w:val="13"/>
          <w:szCs w:val="13"/>
          <w:color w:val="auto"/>
        </w:rPr>
      </w:pPr>
    </w:p>
    <w:p>
      <w:pPr>
        <w:ind w:left="620" w:right="80" w:hanging="567"/>
        <w:spacing w:after="0" w:line="300" w:lineRule="auto"/>
        <w:tabs>
          <w:tab w:leader="none" w:pos="620" w:val="left"/>
        </w:tabs>
        <w:numPr>
          <w:ilvl w:val="0"/>
          <w:numId w:val="21"/>
        </w:numPr>
        <w:rPr>
          <w:rFonts w:ascii="Arial" w:cs="Arial" w:eastAsia="Arial" w:hAnsi="Arial"/>
          <w:sz w:val="10"/>
          <w:szCs w:val="10"/>
          <w:color w:val="auto"/>
        </w:rPr>
      </w:pPr>
      <w:r>
        <w:rPr>
          <w:rFonts w:ascii="Arial" w:cs="Arial" w:eastAsia="Arial" w:hAnsi="Arial"/>
          <w:sz w:val="10"/>
          <w:szCs w:val="10"/>
          <w:color w:val="auto"/>
        </w:rPr>
        <w:t>The Number of Leases Signed, GLA Signed, Contractual Rent Per Sq. Ft. and Weighted Average Lease Term columns include information for leases signed at Phase 3 of both of our Assembly Row and Pike &amp; Rose projects. The Tenant Improvements &amp; Incentives and Tenant Improvements &amp; Incentives Per Sq. Ft. columns do not include the tenant improvements and incentives on leases signed for those projects; these amounts for leases signed for Phase 3 of Assembly Row and Pike &amp; Rose are included in the Projected Cost column for those projects shown on the Assembly Row and Pike &amp; Rose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030" w:right="339" w:bottom="1440" w:gutter="0" w:footer="0" w:header="0"/>
        </w:sectPr>
      </w:pPr>
    </w:p>
    <w:bookmarkStart w:id="28" w:name="page29"/>
    <w:bookmarkEnd w:id="28"/>
    <w:p>
      <w:pPr>
        <w:ind w:left="1"/>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Lease Expirations</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2682875"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82875" cy="154305"/>
                    </a:xfrm>
                    <a:prstGeom prst="rect">
                      <a:avLst/>
                    </a:prstGeom>
                    <a:noFill/>
                  </pic:spPr>
                </pic:pic>
              </a:graphicData>
            </a:graphic>
          </wp:anchor>
        </w:drawing>
      </w:r>
    </w:p>
    <w:p>
      <w:pPr>
        <w:spacing w:after="0" w:line="232" w:lineRule="exact"/>
        <w:rPr>
          <w:sz w:val="20"/>
          <w:szCs w:val="20"/>
          <w:color w:val="auto"/>
        </w:rPr>
      </w:pPr>
    </w:p>
    <w:p>
      <w:pPr>
        <w:ind w:left="21"/>
        <w:spacing w:after="0"/>
        <w:rPr>
          <w:sz w:val="20"/>
          <w:szCs w:val="20"/>
          <w:color w:val="auto"/>
        </w:rPr>
      </w:pPr>
      <w:r>
        <w:rPr>
          <w:rFonts w:ascii="Arial" w:cs="Arial" w:eastAsia="Arial" w:hAnsi="Arial"/>
          <w:sz w:val="16"/>
          <w:szCs w:val="16"/>
          <w:b w:val="1"/>
          <w:bCs w:val="1"/>
          <w:color w:val="auto"/>
        </w:rPr>
        <w:t>Assumes no exercise of lease options</w:t>
      </w:r>
    </w:p>
    <w:p>
      <w:pPr>
        <w:spacing w:after="0" w:line="118" w:lineRule="exact"/>
        <w:rPr>
          <w:sz w:val="20"/>
          <w:szCs w:val="20"/>
          <w:color w:val="auto"/>
        </w:rPr>
      </w:pPr>
    </w:p>
    <w:tbl>
      <w:tblPr>
        <w:tblLayout w:type="fixed"/>
        <w:tblInd w:w="11" w:type="dxa"/>
        <w:tblCellMar>
          <w:top w:w="0" w:type="dxa"/>
          <w:left w:w="0" w:type="dxa"/>
          <w:bottom w:w="0" w:type="dxa"/>
          <w:right w:w="0" w:type="dxa"/>
        </w:tblCellMar>
      </w:tblPr>
      <w:tr>
        <w:trPr>
          <w:trHeight w:val="192"/>
        </w:trPr>
        <w:tc>
          <w:tcPr>
            <w:tcW w:w="980" w:type="dxa"/>
            <w:vAlign w:val="bottom"/>
          </w:tcPr>
          <w:p>
            <w:pPr>
              <w:spacing w:after="0"/>
              <w:rPr>
                <w:sz w:val="16"/>
                <w:szCs w:val="16"/>
                <w:color w:val="auto"/>
              </w:rPr>
            </w:pPr>
          </w:p>
        </w:tc>
        <w:tc>
          <w:tcPr>
            <w:tcW w:w="222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w w:val="92"/>
              </w:rPr>
              <w:t>Anchor Tenants (1)</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w w:val="89"/>
              </w:rPr>
              <w:t>Small Shop Tenants</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Total</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98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Year</w:t>
            </w:r>
          </w:p>
        </w:tc>
        <w:tc>
          <w:tcPr>
            <w:tcW w:w="12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 of Anchor</w:t>
            </w:r>
          </w:p>
        </w:tc>
        <w:tc>
          <w:tcPr>
            <w:tcW w:w="10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9"/>
              </w:rPr>
              <w:t>Minimum Rent</w:t>
            </w:r>
          </w:p>
        </w:tc>
        <w:tc>
          <w:tcPr>
            <w:tcW w:w="220" w:type="dxa"/>
            <w:vAlign w:val="bottom"/>
          </w:tcPr>
          <w:p>
            <w:pPr>
              <w:spacing w:after="0"/>
              <w:rPr>
                <w:sz w:val="11"/>
                <w:szCs w:val="11"/>
                <w:color w:val="auto"/>
              </w:rPr>
            </w:pPr>
          </w:p>
        </w:tc>
        <w:tc>
          <w:tcPr>
            <w:tcW w:w="12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Expiring SF</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 of Small</w:t>
            </w:r>
          </w:p>
        </w:tc>
        <w:tc>
          <w:tcPr>
            <w:tcW w:w="10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7"/>
              </w:rPr>
              <w:t>Minimum Rent</w:t>
            </w:r>
          </w:p>
        </w:tc>
        <w:tc>
          <w:tcPr>
            <w:tcW w:w="240" w:type="dxa"/>
            <w:vAlign w:val="bottom"/>
          </w:tcPr>
          <w:p>
            <w:pPr>
              <w:spacing w:after="0"/>
              <w:rPr>
                <w:sz w:val="11"/>
                <w:szCs w:val="11"/>
                <w:color w:val="auto"/>
              </w:rPr>
            </w:pPr>
          </w:p>
        </w:tc>
        <w:tc>
          <w:tcPr>
            <w:tcW w:w="13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920" w:type="dxa"/>
            <w:vAlign w:val="bottom"/>
          </w:tcPr>
          <w:p>
            <w:pPr>
              <w:jc w:val="right"/>
              <w:ind w:right="101"/>
              <w:spacing w:after="0" w:line="135" w:lineRule="exact"/>
              <w:rPr>
                <w:sz w:val="20"/>
                <w:szCs w:val="20"/>
                <w:color w:val="auto"/>
              </w:rPr>
            </w:pPr>
            <w:r>
              <w:rPr>
                <w:rFonts w:ascii="Arial" w:cs="Arial" w:eastAsia="Arial" w:hAnsi="Arial"/>
                <w:sz w:val="14"/>
                <w:szCs w:val="14"/>
                <w:b w:val="1"/>
                <w:bCs w:val="1"/>
                <w:color w:val="auto"/>
              </w:rPr>
              <w:t>% of Total</w:t>
            </w: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Minimum Rent</w:t>
            </w:r>
          </w:p>
        </w:tc>
        <w:tc>
          <w:tcPr>
            <w:tcW w:w="0" w:type="dxa"/>
            <w:vAlign w:val="bottom"/>
          </w:tcPr>
          <w:p>
            <w:pPr>
              <w:spacing w:after="0"/>
              <w:rPr>
                <w:sz w:val="1"/>
                <w:szCs w:val="1"/>
                <w:color w:val="auto"/>
              </w:rPr>
            </w:pPr>
          </w:p>
        </w:tc>
      </w:tr>
      <w:tr>
        <w:trPr>
          <w:trHeight w:val="188"/>
        </w:trPr>
        <w:tc>
          <w:tcPr>
            <w:tcW w:w="9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2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SF</w:t>
            </w:r>
          </w:p>
        </w:tc>
        <w:tc>
          <w:tcPr>
            <w:tcW w:w="1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40" w:type="dxa"/>
            <w:vAlign w:val="bottom"/>
            <w:vMerge w:val="continue"/>
          </w:tcPr>
          <w:p>
            <w:pPr>
              <w:spacing w:after="0"/>
              <w:rPr>
                <w:sz w:val="16"/>
                <w:szCs w:val="16"/>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Shop SF</w:t>
            </w:r>
          </w:p>
        </w:tc>
        <w:tc>
          <w:tcPr>
            <w:tcW w:w="140" w:type="dxa"/>
            <w:vAlign w:val="bottom"/>
          </w:tcPr>
          <w:p>
            <w:pPr>
              <w:spacing w:after="0"/>
              <w:rPr>
                <w:sz w:val="16"/>
                <w:szCs w:val="16"/>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PSF (2)</w:t>
            </w:r>
          </w:p>
        </w:tc>
        <w:tc>
          <w:tcPr>
            <w:tcW w:w="1300" w:type="dxa"/>
            <w:vAlign w:val="bottom"/>
            <w:vMerge w:val="continue"/>
          </w:tcPr>
          <w:p>
            <w:pPr>
              <w:spacing w:after="0"/>
              <w:rPr>
                <w:sz w:val="16"/>
                <w:szCs w:val="16"/>
                <w:color w:val="auto"/>
              </w:rPr>
            </w:pPr>
          </w:p>
        </w:tc>
        <w:tc>
          <w:tcPr>
            <w:tcW w:w="920" w:type="dxa"/>
            <w:vAlign w:val="bottom"/>
          </w:tcPr>
          <w:p>
            <w:pPr>
              <w:jc w:val="right"/>
              <w:ind w:right="361"/>
              <w:spacing w:after="0"/>
              <w:rPr>
                <w:sz w:val="20"/>
                <w:szCs w:val="20"/>
                <w:color w:val="auto"/>
              </w:rPr>
            </w:pPr>
            <w:r>
              <w:rPr>
                <w:rFonts w:ascii="Arial" w:cs="Arial" w:eastAsia="Arial" w:hAnsi="Arial"/>
                <w:sz w:val="14"/>
                <w:szCs w:val="14"/>
                <w:b w:val="1"/>
                <w:bCs w:val="1"/>
                <w:color w:val="auto"/>
              </w:rPr>
              <w:t>SF</w:t>
            </w:r>
          </w:p>
        </w:tc>
        <w:tc>
          <w:tcPr>
            <w:tcW w:w="102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11"/>
        </w:trPr>
        <w:tc>
          <w:tcPr>
            <w:tcW w:w="9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353,000</w:t>
            </w:r>
          </w:p>
        </w:tc>
        <w:tc>
          <w:tcPr>
            <w:tcW w:w="114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2 % $</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25.93</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364,000</w:t>
            </w:r>
          </w:p>
        </w:tc>
        <w:tc>
          <w:tcPr>
            <w:tcW w:w="114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5 % $</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36.91</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717,000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3 % $</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31.51</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00" w:type="dxa"/>
            <w:vAlign w:val="bottom"/>
          </w:tcPr>
          <w:p>
            <w:pPr>
              <w:jc w:val="right"/>
              <w:spacing w:after="0"/>
              <w:rPr>
                <w:sz w:val="20"/>
                <w:szCs w:val="20"/>
                <w:color w:val="auto"/>
              </w:rPr>
            </w:pPr>
            <w:r>
              <w:rPr>
                <w:rFonts w:ascii="Arial" w:cs="Arial" w:eastAsia="Arial" w:hAnsi="Arial"/>
                <w:sz w:val="16"/>
                <w:szCs w:val="16"/>
                <w:color w:val="auto"/>
              </w:rPr>
              <w:t>1,402,000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9 % $</w:t>
            </w:r>
          </w:p>
        </w:tc>
        <w:tc>
          <w:tcPr>
            <w:tcW w:w="900" w:type="dxa"/>
            <w:vAlign w:val="bottom"/>
          </w:tcPr>
          <w:p>
            <w:pPr>
              <w:jc w:val="right"/>
              <w:spacing w:after="0"/>
              <w:rPr>
                <w:sz w:val="20"/>
                <w:szCs w:val="20"/>
                <w:color w:val="auto"/>
              </w:rPr>
            </w:pPr>
            <w:r>
              <w:rPr>
                <w:rFonts w:ascii="Arial" w:cs="Arial" w:eastAsia="Arial" w:hAnsi="Arial"/>
                <w:sz w:val="16"/>
                <w:szCs w:val="16"/>
                <w:color w:val="auto"/>
              </w:rPr>
              <w:t>16.68</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895,000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13 % $</w:t>
            </w:r>
          </w:p>
        </w:tc>
        <w:tc>
          <w:tcPr>
            <w:tcW w:w="880" w:type="dxa"/>
            <w:vAlign w:val="bottom"/>
          </w:tcPr>
          <w:p>
            <w:pPr>
              <w:jc w:val="right"/>
              <w:spacing w:after="0"/>
              <w:rPr>
                <w:sz w:val="20"/>
                <w:szCs w:val="20"/>
                <w:color w:val="auto"/>
              </w:rPr>
            </w:pPr>
            <w:r>
              <w:rPr>
                <w:rFonts w:ascii="Arial" w:cs="Arial" w:eastAsia="Arial" w:hAnsi="Arial"/>
                <w:sz w:val="16"/>
                <w:szCs w:val="16"/>
                <w:color w:val="auto"/>
              </w:rPr>
              <w:t>43.73</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2,297,000</w:t>
            </w:r>
          </w:p>
        </w:tc>
        <w:tc>
          <w:tcPr>
            <w:tcW w:w="920" w:type="dxa"/>
            <w:vAlign w:val="bottom"/>
          </w:tcPr>
          <w:p>
            <w:pPr>
              <w:jc w:val="right"/>
              <w:spacing w:after="0"/>
              <w:rPr>
                <w:sz w:val="20"/>
                <w:szCs w:val="20"/>
                <w:color w:val="auto"/>
              </w:rPr>
            </w:pPr>
            <w:r>
              <w:rPr>
                <w:rFonts w:ascii="Arial" w:cs="Arial" w:eastAsia="Arial" w:hAnsi="Arial"/>
                <w:sz w:val="16"/>
                <w:szCs w:val="16"/>
                <w:color w:val="auto"/>
              </w:rPr>
              <w:t>10 % $</w:t>
            </w:r>
          </w:p>
        </w:tc>
        <w:tc>
          <w:tcPr>
            <w:tcW w:w="1020" w:type="dxa"/>
            <w:vAlign w:val="bottom"/>
          </w:tcPr>
          <w:p>
            <w:pPr>
              <w:jc w:val="right"/>
              <w:spacing w:after="0"/>
              <w:rPr>
                <w:sz w:val="20"/>
                <w:szCs w:val="20"/>
                <w:color w:val="auto"/>
              </w:rPr>
            </w:pPr>
            <w:r>
              <w:rPr>
                <w:rFonts w:ascii="Arial" w:cs="Arial" w:eastAsia="Arial" w:hAnsi="Arial"/>
                <w:sz w:val="16"/>
                <w:szCs w:val="16"/>
                <w:color w:val="auto"/>
              </w:rPr>
              <w:t>27.21</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1,555,000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10 %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19.94</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1,023,000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15 %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44.21</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2,578,000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29.57</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1200" w:type="dxa"/>
            <w:vAlign w:val="bottom"/>
          </w:tcPr>
          <w:p>
            <w:pPr>
              <w:jc w:val="right"/>
              <w:spacing w:after="0"/>
              <w:rPr>
                <w:sz w:val="20"/>
                <w:szCs w:val="20"/>
                <w:color w:val="auto"/>
              </w:rPr>
            </w:pPr>
            <w:r>
              <w:rPr>
                <w:rFonts w:ascii="Arial" w:cs="Arial" w:eastAsia="Arial" w:hAnsi="Arial"/>
                <w:sz w:val="16"/>
                <w:szCs w:val="16"/>
                <w:color w:val="auto"/>
              </w:rPr>
              <w:t>2,570,000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16 % $</w:t>
            </w:r>
          </w:p>
        </w:tc>
        <w:tc>
          <w:tcPr>
            <w:tcW w:w="900" w:type="dxa"/>
            <w:vAlign w:val="bottom"/>
          </w:tcPr>
          <w:p>
            <w:pPr>
              <w:jc w:val="right"/>
              <w:spacing w:after="0"/>
              <w:rPr>
                <w:sz w:val="20"/>
                <w:szCs w:val="20"/>
                <w:color w:val="auto"/>
              </w:rPr>
            </w:pPr>
            <w:r>
              <w:rPr>
                <w:rFonts w:ascii="Arial" w:cs="Arial" w:eastAsia="Arial" w:hAnsi="Arial"/>
                <w:sz w:val="16"/>
                <w:szCs w:val="16"/>
                <w:color w:val="auto"/>
              </w:rPr>
              <w:t>17.95</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939,000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13 % $</w:t>
            </w:r>
          </w:p>
        </w:tc>
        <w:tc>
          <w:tcPr>
            <w:tcW w:w="880" w:type="dxa"/>
            <w:vAlign w:val="bottom"/>
          </w:tcPr>
          <w:p>
            <w:pPr>
              <w:jc w:val="right"/>
              <w:spacing w:after="0"/>
              <w:rPr>
                <w:sz w:val="20"/>
                <w:szCs w:val="20"/>
                <w:color w:val="auto"/>
              </w:rPr>
            </w:pPr>
            <w:r>
              <w:rPr>
                <w:rFonts w:ascii="Arial" w:cs="Arial" w:eastAsia="Arial" w:hAnsi="Arial"/>
                <w:sz w:val="16"/>
                <w:szCs w:val="16"/>
                <w:color w:val="auto"/>
              </w:rPr>
              <w:t>46.80</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3,509,000</w:t>
            </w:r>
          </w:p>
        </w:tc>
        <w:tc>
          <w:tcPr>
            <w:tcW w:w="920" w:type="dxa"/>
            <w:vAlign w:val="bottom"/>
          </w:tcPr>
          <w:p>
            <w:pPr>
              <w:jc w:val="right"/>
              <w:spacing w:after="0"/>
              <w:rPr>
                <w:sz w:val="20"/>
                <w:szCs w:val="20"/>
                <w:color w:val="auto"/>
              </w:rPr>
            </w:pPr>
            <w:r>
              <w:rPr>
                <w:rFonts w:ascii="Arial" w:cs="Arial" w:eastAsia="Arial" w:hAnsi="Arial"/>
                <w:sz w:val="16"/>
                <w:szCs w:val="16"/>
                <w:color w:val="auto"/>
              </w:rPr>
              <w:t>15 % $</w:t>
            </w:r>
          </w:p>
        </w:tc>
        <w:tc>
          <w:tcPr>
            <w:tcW w:w="1020" w:type="dxa"/>
            <w:vAlign w:val="bottom"/>
          </w:tcPr>
          <w:p>
            <w:pPr>
              <w:jc w:val="right"/>
              <w:spacing w:after="0"/>
              <w:rPr>
                <w:sz w:val="20"/>
                <w:szCs w:val="20"/>
                <w:color w:val="auto"/>
              </w:rPr>
            </w:pPr>
            <w:r>
              <w:rPr>
                <w:rFonts w:ascii="Arial" w:cs="Arial" w:eastAsia="Arial" w:hAnsi="Arial"/>
                <w:sz w:val="16"/>
                <w:szCs w:val="16"/>
                <w:color w:val="auto"/>
              </w:rPr>
              <w:t>25.67</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2025</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2,160,000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14 %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18.94</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1,014,000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14 %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41.27</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3,173,000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26.07</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1200" w:type="dxa"/>
            <w:vAlign w:val="bottom"/>
          </w:tcPr>
          <w:p>
            <w:pPr>
              <w:jc w:val="right"/>
              <w:spacing w:after="0"/>
              <w:rPr>
                <w:sz w:val="20"/>
                <w:szCs w:val="20"/>
                <w:color w:val="auto"/>
              </w:rPr>
            </w:pPr>
            <w:r>
              <w:rPr>
                <w:rFonts w:ascii="Arial" w:cs="Arial" w:eastAsia="Arial" w:hAnsi="Arial"/>
                <w:sz w:val="16"/>
                <w:szCs w:val="16"/>
                <w:color w:val="auto"/>
              </w:rPr>
              <w:t>1,278,000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8 % $</w:t>
            </w:r>
          </w:p>
        </w:tc>
        <w:tc>
          <w:tcPr>
            <w:tcW w:w="900" w:type="dxa"/>
            <w:vAlign w:val="bottom"/>
          </w:tcPr>
          <w:p>
            <w:pPr>
              <w:jc w:val="right"/>
              <w:spacing w:after="0"/>
              <w:rPr>
                <w:sz w:val="20"/>
                <w:szCs w:val="20"/>
                <w:color w:val="auto"/>
              </w:rPr>
            </w:pPr>
            <w:r>
              <w:rPr>
                <w:rFonts w:ascii="Arial" w:cs="Arial" w:eastAsia="Arial" w:hAnsi="Arial"/>
                <w:sz w:val="16"/>
                <w:szCs w:val="16"/>
                <w:color w:val="auto"/>
              </w:rPr>
              <w:t>21.54</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719,000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10 % $</w:t>
            </w:r>
          </w:p>
        </w:tc>
        <w:tc>
          <w:tcPr>
            <w:tcW w:w="880" w:type="dxa"/>
            <w:vAlign w:val="bottom"/>
          </w:tcPr>
          <w:p>
            <w:pPr>
              <w:jc w:val="right"/>
              <w:spacing w:after="0"/>
              <w:rPr>
                <w:sz w:val="20"/>
                <w:szCs w:val="20"/>
                <w:color w:val="auto"/>
              </w:rPr>
            </w:pPr>
            <w:r>
              <w:rPr>
                <w:rFonts w:ascii="Arial" w:cs="Arial" w:eastAsia="Arial" w:hAnsi="Arial"/>
                <w:sz w:val="16"/>
                <w:szCs w:val="16"/>
                <w:color w:val="auto"/>
              </w:rPr>
              <w:t>48.73</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1,997,000</w:t>
            </w:r>
          </w:p>
        </w:tc>
        <w:tc>
          <w:tcPr>
            <w:tcW w:w="920" w:type="dxa"/>
            <w:vAlign w:val="bottom"/>
          </w:tcPr>
          <w:p>
            <w:pPr>
              <w:jc w:val="right"/>
              <w:spacing w:after="0"/>
              <w:rPr>
                <w:sz w:val="20"/>
                <w:szCs w:val="20"/>
                <w:color w:val="auto"/>
              </w:rPr>
            </w:pPr>
            <w:r>
              <w:rPr>
                <w:rFonts w:ascii="Arial" w:cs="Arial" w:eastAsia="Arial" w:hAnsi="Arial"/>
                <w:sz w:val="16"/>
                <w:szCs w:val="16"/>
                <w:color w:val="auto"/>
              </w:rPr>
              <w:t>9 % $</w:t>
            </w:r>
          </w:p>
        </w:tc>
        <w:tc>
          <w:tcPr>
            <w:tcW w:w="1020" w:type="dxa"/>
            <w:vAlign w:val="bottom"/>
          </w:tcPr>
          <w:p>
            <w:pPr>
              <w:jc w:val="right"/>
              <w:spacing w:after="0"/>
              <w:rPr>
                <w:sz w:val="20"/>
                <w:szCs w:val="20"/>
                <w:color w:val="auto"/>
              </w:rPr>
            </w:pPr>
            <w:r>
              <w:rPr>
                <w:rFonts w:ascii="Arial" w:cs="Arial" w:eastAsia="Arial" w:hAnsi="Arial"/>
                <w:sz w:val="16"/>
                <w:szCs w:val="16"/>
                <w:color w:val="auto"/>
              </w:rPr>
              <w:t>31.33</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2027</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7 %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30.37</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561,000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8 %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49.99</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1,698,000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36.85</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2028</w:t>
            </w:r>
          </w:p>
        </w:tc>
        <w:tc>
          <w:tcPr>
            <w:tcW w:w="1200" w:type="dxa"/>
            <w:vAlign w:val="bottom"/>
          </w:tcPr>
          <w:p>
            <w:pPr>
              <w:jc w:val="right"/>
              <w:spacing w:after="0"/>
              <w:rPr>
                <w:sz w:val="20"/>
                <w:szCs w:val="20"/>
                <w:color w:val="auto"/>
              </w:rPr>
            </w:pPr>
            <w:r>
              <w:rPr>
                <w:rFonts w:ascii="Arial" w:cs="Arial" w:eastAsia="Arial" w:hAnsi="Arial"/>
                <w:sz w:val="16"/>
                <w:szCs w:val="16"/>
                <w:color w:val="auto"/>
              </w:rPr>
              <w:t>1,053,000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7 % $</w:t>
            </w:r>
          </w:p>
        </w:tc>
        <w:tc>
          <w:tcPr>
            <w:tcW w:w="900" w:type="dxa"/>
            <w:vAlign w:val="bottom"/>
          </w:tcPr>
          <w:p>
            <w:pPr>
              <w:jc w:val="right"/>
              <w:spacing w:after="0"/>
              <w:rPr>
                <w:sz w:val="20"/>
                <w:szCs w:val="20"/>
                <w:color w:val="auto"/>
              </w:rPr>
            </w:pPr>
            <w:r>
              <w:rPr>
                <w:rFonts w:ascii="Arial" w:cs="Arial" w:eastAsia="Arial" w:hAnsi="Arial"/>
                <w:sz w:val="16"/>
                <w:szCs w:val="16"/>
                <w:color w:val="auto"/>
              </w:rPr>
              <w:t>19.32</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425,000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6 % $</w:t>
            </w:r>
          </w:p>
        </w:tc>
        <w:tc>
          <w:tcPr>
            <w:tcW w:w="880" w:type="dxa"/>
            <w:vAlign w:val="bottom"/>
          </w:tcPr>
          <w:p>
            <w:pPr>
              <w:jc w:val="right"/>
              <w:spacing w:after="0"/>
              <w:rPr>
                <w:sz w:val="20"/>
                <w:szCs w:val="20"/>
                <w:color w:val="auto"/>
              </w:rPr>
            </w:pPr>
            <w:r>
              <w:rPr>
                <w:rFonts w:ascii="Arial" w:cs="Arial" w:eastAsia="Arial" w:hAnsi="Arial"/>
                <w:sz w:val="16"/>
                <w:szCs w:val="16"/>
                <w:color w:val="auto"/>
              </w:rPr>
              <w:t>52.31</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1,479,000</w:t>
            </w:r>
          </w:p>
        </w:tc>
        <w:tc>
          <w:tcPr>
            <w:tcW w:w="920" w:type="dxa"/>
            <w:vAlign w:val="bottom"/>
          </w:tcPr>
          <w:p>
            <w:pPr>
              <w:jc w:val="right"/>
              <w:spacing w:after="0"/>
              <w:rPr>
                <w:sz w:val="20"/>
                <w:szCs w:val="20"/>
                <w:color w:val="auto"/>
              </w:rPr>
            </w:pPr>
            <w:r>
              <w:rPr>
                <w:rFonts w:ascii="Arial" w:cs="Arial" w:eastAsia="Arial" w:hAnsi="Arial"/>
                <w:sz w:val="16"/>
                <w:szCs w:val="16"/>
                <w:color w:val="auto"/>
              </w:rPr>
              <w:t>7 % $</w:t>
            </w:r>
          </w:p>
        </w:tc>
        <w:tc>
          <w:tcPr>
            <w:tcW w:w="1020" w:type="dxa"/>
            <w:vAlign w:val="bottom"/>
          </w:tcPr>
          <w:p>
            <w:pPr>
              <w:jc w:val="right"/>
              <w:spacing w:after="0"/>
              <w:rPr>
                <w:sz w:val="20"/>
                <w:szCs w:val="20"/>
                <w:color w:val="auto"/>
              </w:rPr>
            </w:pPr>
            <w:r>
              <w:rPr>
                <w:rFonts w:ascii="Arial" w:cs="Arial" w:eastAsia="Arial" w:hAnsi="Arial"/>
                <w:sz w:val="16"/>
                <w:szCs w:val="16"/>
                <w:color w:val="auto"/>
              </w:rPr>
              <w:t>28.80</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2029</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7 %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27.79</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392,000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6 %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47.12</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1,408,000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33.18</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2030</w:t>
            </w:r>
          </w:p>
        </w:tc>
        <w:tc>
          <w:tcPr>
            <w:tcW w:w="1200" w:type="dxa"/>
            <w:vAlign w:val="bottom"/>
          </w:tcPr>
          <w:p>
            <w:pPr>
              <w:jc w:val="right"/>
              <w:spacing w:after="0"/>
              <w:rPr>
                <w:sz w:val="20"/>
                <w:szCs w:val="20"/>
                <w:color w:val="auto"/>
              </w:rPr>
            </w:pPr>
            <w:r>
              <w:rPr>
                <w:rFonts w:ascii="Arial" w:cs="Arial" w:eastAsia="Arial" w:hAnsi="Arial"/>
                <w:sz w:val="16"/>
                <w:szCs w:val="16"/>
                <w:color w:val="auto"/>
              </w:rPr>
              <w:t>680,000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4 % $</w:t>
            </w:r>
          </w:p>
        </w:tc>
        <w:tc>
          <w:tcPr>
            <w:tcW w:w="900" w:type="dxa"/>
            <w:vAlign w:val="bottom"/>
          </w:tcPr>
          <w:p>
            <w:pPr>
              <w:jc w:val="right"/>
              <w:spacing w:after="0"/>
              <w:rPr>
                <w:sz w:val="20"/>
                <w:szCs w:val="20"/>
                <w:color w:val="auto"/>
              </w:rPr>
            </w:pPr>
            <w:r>
              <w:rPr>
                <w:rFonts w:ascii="Arial" w:cs="Arial" w:eastAsia="Arial" w:hAnsi="Arial"/>
                <w:sz w:val="16"/>
                <w:szCs w:val="16"/>
                <w:color w:val="auto"/>
              </w:rPr>
              <w:t>19.89</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276,000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4 % $</w:t>
            </w:r>
          </w:p>
        </w:tc>
        <w:tc>
          <w:tcPr>
            <w:tcW w:w="880" w:type="dxa"/>
            <w:vAlign w:val="bottom"/>
          </w:tcPr>
          <w:p>
            <w:pPr>
              <w:jc w:val="right"/>
              <w:spacing w:after="0"/>
              <w:rPr>
                <w:sz w:val="20"/>
                <w:szCs w:val="20"/>
                <w:color w:val="auto"/>
              </w:rPr>
            </w:pPr>
            <w:r>
              <w:rPr>
                <w:rFonts w:ascii="Arial" w:cs="Arial" w:eastAsia="Arial" w:hAnsi="Arial"/>
                <w:sz w:val="16"/>
                <w:szCs w:val="16"/>
                <w:color w:val="auto"/>
              </w:rPr>
              <w:t>50.20</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956,000</w:t>
            </w:r>
          </w:p>
        </w:tc>
        <w:tc>
          <w:tcPr>
            <w:tcW w:w="920" w:type="dxa"/>
            <w:vAlign w:val="bottom"/>
          </w:tcPr>
          <w:p>
            <w:pPr>
              <w:jc w:val="right"/>
              <w:spacing w:after="0"/>
              <w:rPr>
                <w:sz w:val="20"/>
                <w:szCs w:val="20"/>
                <w:color w:val="auto"/>
              </w:rPr>
            </w:pPr>
            <w:r>
              <w:rPr>
                <w:rFonts w:ascii="Arial" w:cs="Arial" w:eastAsia="Arial" w:hAnsi="Arial"/>
                <w:sz w:val="16"/>
                <w:szCs w:val="16"/>
                <w:color w:val="auto"/>
              </w:rPr>
              <w:t>4 % $</w:t>
            </w:r>
          </w:p>
        </w:tc>
        <w:tc>
          <w:tcPr>
            <w:tcW w:w="1020" w:type="dxa"/>
            <w:vAlign w:val="bottom"/>
          </w:tcPr>
          <w:p>
            <w:pPr>
              <w:jc w:val="right"/>
              <w:spacing w:after="0"/>
              <w:rPr>
                <w:sz w:val="20"/>
                <w:szCs w:val="20"/>
                <w:color w:val="auto"/>
              </w:rPr>
            </w:pPr>
            <w:r>
              <w:rPr>
                <w:rFonts w:ascii="Arial" w:cs="Arial" w:eastAsia="Arial" w:hAnsi="Arial"/>
                <w:sz w:val="16"/>
                <w:szCs w:val="16"/>
                <w:color w:val="auto"/>
              </w:rPr>
              <w:t>28.63</w:t>
            </w:r>
          </w:p>
        </w:tc>
        <w:tc>
          <w:tcPr>
            <w:tcW w:w="0" w:type="dxa"/>
            <w:vAlign w:val="bottom"/>
          </w:tcPr>
          <w:p>
            <w:pPr>
              <w:spacing w:after="0"/>
              <w:rPr>
                <w:sz w:val="1"/>
                <w:szCs w:val="1"/>
                <w:color w:val="auto"/>
              </w:rPr>
            </w:pPr>
          </w:p>
        </w:tc>
      </w:tr>
      <w:tr>
        <w:trPr>
          <w:trHeight w:val="216"/>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2,435,000</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16 % $</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28.40</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428,000</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6 %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43.61</w:t>
            </w:r>
          </w:p>
        </w:tc>
        <w:tc>
          <w:tcPr>
            <w:tcW w:w="2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2,863,000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13 %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30.68</w:t>
            </w:r>
          </w:p>
        </w:tc>
        <w:tc>
          <w:tcPr>
            <w:tcW w:w="0" w:type="dxa"/>
            <w:vAlign w:val="bottom"/>
          </w:tcPr>
          <w:p>
            <w:pPr>
              <w:spacing w:after="0"/>
              <w:rPr>
                <w:sz w:val="1"/>
                <w:szCs w:val="1"/>
                <w:color w:val="auto"/>
              </w:rPr>
            </w:pPr>
          </w:p>
        </w:tc>
      </w:tr>
      <w:tr>
        <w:trPr>
          <w:trHeight w:val="212"/>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15,639,000</w:t>
            </w:r>
          </w:p>
        </w:tc>
        <w:tc>
          <w:tcPr>
            <w:tcW w:w="11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100 % $</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21.99</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7,036,000</w:t>
            </w:r>
          </w:p>
        </w:tc>
        <w:tc>
          <w:tcPr>
            <w:tcW w:w="11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100 %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45.46</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22,675,000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29.28</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9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20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Assumes all lease options are exercised</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980" w:type="dxa"/>
            <w:vAlign w:val="bottom"/>
          </w:tcPr>
          <w:p>
            <w:pPr>
              <w:spacing w:after="0"/>
              <w:rPr>
                <w:sz w:val="22"/>
                <w:szCs w:val="22"/>
                <w:color w:val="auto"/>
              </w:rPr>
            </w:pPr>
          </w:p>
        </w:tc>
        <w:tc>
          <w:tcPr>
            <w:tcW w:w="222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w w:val="92"/>
              </w:rPr>
              <w:t>Anchor Tenants (1)</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24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w w:val="89"/>
              </w:rPr>
              <w:t>Small Shop Tenants</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Total</w:t>
            </w: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98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Year</w:t>
            </w:r>
          </w:p>
        </w:tc>
        <w:tc>
          <w:tcPr>
            <w:tcW w:w="12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 of Anchor</w:t>
            </w:r>
          </w:p>
        </w:tc>
        <w:tc>
          <w:tcPr>
            <w:tcW w:w="10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9"/>
              </w:rPr>
              <w:t>Minimum Rent</w:t>
            </w:r>
          </w:p>
        </w:tc>
        <w:tc>
          <w:tcPr>
            <w:tcW w:w="220" w:type="dxa"/>
            <w:vAlign w:val="bottom"/>
          </w:tcPr>
          <w:p>
            <w:pPr>
              <w:spacing w:after="0"/>
              <w:rPr>
                <w:sz w:val="11"/>
                <w:szCs w:val="11"/>
                <w:color w:val="auto"/>
              </w:rPr>
            </w:pPr>
          </w:p>
        </w:tc>
        <w:tc>
          <w:tcPr>
            <w:tcW w:w="12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Expiring SF</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 of Small</w:t>
            </w:r>
          </w:p>
        </w:tc>
        <w:tc>
          <w:tcPr>
            <w:tcW w:w="10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7"/>
              </w:rPr>
              <w:t>Minimum Rent</w:t>
            </w:r>
          </w:p>
        </w:tc>
        <w:tc>
          <w:tcPr>
            <w:tcW w:w="240" w:type="dxa"/>
            <w:vAlign w:val="bottom"/>
          </w:tcPr>
          <w:p>
            <w:pPr>
              <w:spacing w:after="0"/>
              <w:rPr>
                <w:sz w:val="11"/>
                <w:szCs w:val="11"/>
                <w:color w:val="auto"/>
              </w:rPr>
            </w:pPr>
          </w:p>
        </w:tc>
        <w:tc>
          <w:tcPr>
            <w:tcW w:w="13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920" w:type="dxa"/>
            <w:vAlign w:val="bottom"/>
          </w:tcPr>
          <w:p>
            <w:pPr>
              <w:jc w:val="right"/>
              <w:ind w:right="101"/>
              <w:spacing w:after="0" w:line="135" w:lineRule="exact"/>
              <w:rPr>
                <w:sz w:val="20"/>
                <w:szCs w:val="20"/>
                <w:color w:val="auto"/>
              </w:rPr>
            </w:pPr>
            <w:r>
              <w:rPr>
                <w:rFonts w:ascii="Arial" w:cs="Arial" w:eastAsia="Arial" w:hAnsi="Arial"/>
                <w:sz w:val="14"/>
                <w:szCs w:val="14"/>
                <w:b w:val="1"/>
                <w:bCs w:val="1"/>
                <w:color w:val="auto"/>
              </w:rPr>
              <w:t>% of Total</w:t>
            </w: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Minimum Rent</w:t>
            </w:r>
          </w:p>
        </w:tc>
        <w:tc>
          <w:tcPr>
            <w:tcW w:w="0" w:type="dxa"/>
            <w:vAlign w:val="bottom"/>
          </w:tcPr>
          <w:p>
            <w:pPr>
              <w:spacing w:after="0"/>
              <w:rPr>
                <w:sz w:val="1"/>
                <w:szCs w:val="1"/>
                <w:color w:val="auto"/>
              </w:rPr>
            </w:pPr>
          </w:p>
        </w:tc>
      </w:tr>
      <w:tr>
        <w:trPr>
          <w:trHeight w:val="188"/>
        </w:trPr>
        <w:tc>
          <w:tcPr>
            <w:tcW w:w="9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2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SF</w:t>
            </w:r>
          </w:p>
        </w:tc>
        <w:tc>
          <w:tcPr>
            <w:tcW w:w="1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40" w:type="dxa"/>
            <w:vAlign w:val="bottom"/>
            <w:vMerge w:val="continue"/>
          </w:tcPr>
          <w:p>
            <w:pPr>
              <w:spacing w:after="0"/>
              <w:rPr>
                <w:sz w:val="16"/>
                <w:szCs w:val="16"/>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Shop SF</w:t>
            </w:r>
          </w:p>
        </w:tc>
        <w:tc>
          <w:tcPr>
            <w:tcW w:w="140" w:type="dxa"/>
            <w:vAlign w:val="bottom"/>
          </w:tcPr>
          <w:p>
            <w:pPr>
              <w:spacing w:after="0"/>
              <w:rPr>
                <w:sz w:val="16"/>
                <w:szCs w:val="16"/>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PSF (2)</w:t>
            </w:r>
          </w:p>
        </w:tc>
        <w:tc>
          <w:tcPr>
            <w:tcW w:w="1300" w:type="dxa"/>
            <w:vAlign w:val="bottom"/>
            <w:vMerge w:val="continue"/>
          </w:tcPr>
          <w:p>
            <w:pPr>
              <w:spacing w:after="0"/>
              <w:rPr>
                <w:sz w:val="16"/>
                <w:szCs w:val="16"/>
                <w:color w:val="auto"/>
              </w:rPr>
            </w:pPr>
          </w:p>
        </w:tc>
        <w:tc>
          <w:tcPr>
            <w:tcW w:w="920" w:type="dxa"/>
            <w:vAlign w:val="bottom"/>
          </w:tcPr>
          <w:p>
            <w:pPr>
              <w:jc w:val="right"/>
              <w:ind w:right="361"/>
              <w:spacing w:after="0"/>
              <w:rPr>
                <w:sz w:val="20"/>
                <w:szCs w:val="20"/>
                <w:color w:val="auto"/>
              </w:rPr>
            </w:pPr>
            <w:r>
              <w:rPr>
                <w:rFonts w:ascii="Arial" w:cs="Arial" w:eastAsia="Arial" w:hAnsi="Arial"/>
                <w:sz w:val="14"/>
                <w:szCs w:val="14"/>
                <w:b w:val="1"/>
                <w:bCs w:val="1"/>
                <w:color w:val="auto"/>
              </w:rPr>
              <w:t>SF</w:t>
            </w:r>
          </w:p>
        </w:tc>
        <w:tc>
          <w:tcPr>
            <w:tcW w:w="102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11"/>
        </w:trPr>
        <w:tc>
          <w:tcPr>
            <w:tcW w:w="9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202,000</w:t>
            </w:r>
          </w:p>
        </w:tc>
        <w:tc>
          <w:tcPr>
            <w:tcW w:w="114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1 % $</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322,000</w:t>
            </w:r>
          </w:p>
        </w:tc>
        <w:tc>
          <w:tcPr>
            <w:tcW w:w="114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5 % $</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36.95</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523,000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2 % $</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32.57</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00" w:type="dxa"/>
            <w:vAlign w:val="bottom"/>
          </w:tcPr>
          <w:p>
            <w:pPr>
              <w:jc w:val="right"/>
              <w:spacing w:after="0"/>
              <w:rPr>
                <w:sz w:val="20"/>
                <w:szCs w:val="20"/>
                <w:color w:val="auto"/>
              </w:rPr>
            </w:pPr>
            <w:r>
              <w:rPr>
                <w:rFonts w:ascii="Arial" w:cs="Arial" w:eastAsia="Arial" w:hAnsi="Arial"/>
                <w:sz w:val="16"/>
                <w:szCs w:val="16"/>
                <w:color w:val="auto"/>
              </w:rPr>
              <w:t>362,000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2 % $</w:t>
            </w:r>
          </w:p>
        </w:tc>
        <w:tc>
          <w:tcPr>
            <w:tcW w:w="900" w:type="dxa"/>
            <w:vAlign w:val="bottom"/>
          </w:tcPr>
          <w:p>
            <w:pPr>
              <w:jc w:val="right"/>
              <w:spacing w:after="0"/>
              <w:rPr>
                <w:sz w:val="20"/>
                <w:szCs w:val="20"/>
                <w:color w:val="auto"/>
              </w:rPr>
            </w:pPr>
            <w:r>
              <w:rPr>
                <w:rFonts w:ascii="Arial" w:cs="Arial" w:eastAsia="Arial" w:hAnsi="Arial"/>
                <w:sz w:val="16"/>
                <w:szCs w:val="16"/>
                <w:color w:val="auto"/>
              </w:rPr>
              <w:t>13.99</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626,000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9 % $</w:t>
            </w:r>
          </w:p>
        </w:tc>
        <w:tc>
          <w:tcPr>
            <w:tcW w:w="880" w:type="dxa"/>
            <w:vAlign w:val="bottom"/>
          </w:tcPr>
          <w:p>
            <w:pPr>
              <w:jc w:val="right"/>
              <w:spacing w:after="0"/>
              <w:rPr>
                <w:sz w:val="20"/>
                <w:szCs w:val="20"/>
                <w:color w:val="auto"/>
              </w:rPr>
            </w:pPr>
            <w:r>
              <w:rPr>
                <w:rFonts w:ascii="Arial" w:cs="Arial" w:eastAsia="Arial" w:hAnsi="Arial"/>
                <w:sz w:val="16"/>
                <w:szCs w:val="16"/>
                <w:color w:val="auto"/>
              </w:rPr>
              <w:t>43.16</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989,000</w:t>
            </w:r>
          </w:p>
        </w:tc>
        <w:tc>
          <w:tcPr>
            <w:tcW w:w="920" w:type="dxa"/>
            <w:vAlign w:val="bottom"/>
          </w:tcPr>
          <w:p>
            <w:pPr>
              <w:jc w:val="right"/>
              <w:spacing w:after="0"/>
              <w:rPr>
                <w:sz w:val="20"/>
                <w:szCs w:val="20"/>
                <w:color w:val="auto"/>
              </w:rPr>
            </w:pPr>
            <w:r>
              <w:rPr>
                <w:rFonts w:ascii="Arial" w:cs="Arial" w:eastAsia="Arial" w:hAnsi="Arial"/>
                <w:sz w:val="16"/>
                <w:szCs w:val="16"/>
                <w:color w:val="auto"/>
              </w:rPr>
              <w:t>4 % $</w:t>
            </w:r>
          </w:p>
        </w:tc>
        <w:tc>
          <w:tcPr>
            <w:tcW w:w="1020" w:type="dxa"/>
            <w:vAlign w:val="bottom"/>
          </w:tcPr>
          <w:p>
            <w:pPr>
              <w:jc w:val="right"/>
              <w:spacing w:after="0"/>
              <w:rPr>
                <w:sz w:val="20"/>
                <w:szCs w:val="20"/>
                <w:color w:val="auto"/>
              </w:rPr>
            </w:pPr>
            <w:r>
              <w:rPr>
                <w:rFonts w:ascii="Arial" w:cs="Arial" w:eastAsia="Arial" w:hAnsi="Arial"/>
                <w:sz w:val="16"/>
                <w:szCs w:val="16"/>
                <w:color w:val="auto"/>
              </w:rPr>
              <w:t>32.47</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3 %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19.42</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655,000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9 %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41.50</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1,100,000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32.57</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1200" w:type="dxa"/>
            <w:vAlign w:val="bottom"/>
          </w:tcPr>
          <w:p>
            <w:pPr>
              <w:jc w:val="right"/>
              <w:spacing w:after="0"/>
              <w:rPr>
                <w:sz w:val="20"/>
                <w:szCs w:val="20"/>
                <w:color w:val="auto"/>
              </w:rPr>
            </w:pPr>
            <w:r>
              <w:rPr>
                <w:rFonts w:ascii="Arial" w:cs="Arial" w:eastAsia="Arial" w:hAnsi="Arial"/>
                <w:sz w:val="16"/>
                <w:szCs w:val="16"/>
                <w:color w:val="auto"/>
              </w:rPr>
              <w:t>583,000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4 % $</w:t>
            </w:r>
          </w:p>
        </w:tc>
        <w:tc>
          <w:tcPr>
            <w:tcW w:w="900" w:type="dxa"/>
            <w:vAlign w:val="bottom"/>
          </w:tcPr>
          <w:p>
            <w:pPr>
              <w:jc w:val="right"/>
              <w:spacing w:after="0"/>
              <w:rPr>
                <w:sz w:val="20"/>
                <w:szCs w:val="20"/>
                <w:color w:val="auto"/>
              </w:rPr>
            </w:pPr>
            <w:r>
              <w:rPr>
                <w:rFonts w:ascii="Arial" w:cs="Arial" w:eastAsia="Arial" w:hAnsi="Arial"/>
                <w:sz w:val="16"/>
                <w:szCs w:val="16"/>
                <w:color w:val="auto"/>
              </w:rPr>
              <w:t>20.69</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512,000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7 % $</w:t>
            </w:r>
          </w:p>
        </w:tc>
        <w:tc>
          <w:tcPr>
            <w:tcW w:w="880" w:type="dxa"/>
            <w:vAlign w:val="bottom"/>
          </w:tcPr>
          <w:p>
            <w:pPr>
              <w:jc w:val="right"/>
              <w:spacing w:after="0"/>
              <w:rPr>
                <w:sz w:val="20"/>
                <w:szCs w:val="20"/>
                <w:color w:val="auto"/>
              </w:rPr>
            </w:pPr>
            <w:r>
              <w:rPr>
                <w:rFonts w:ascii="Arial" w:cs="Arial" w:eastAsia="Arial" w:hAnsi="Arial"/>
                <w:sz w:val="16"/>
                <w:szCs w:val="16"/>
                <w:color w:val="auto"/>
              </w:rPr>
              <w:t>45.43</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1,095,000</w:t>
            </w:r>
          </w:p>
        </w:tc>
        <w:tc>
          <w:tcPr>
            <w:tcW w:w="920" w:type="dxa"/>
            <w:vAlign w:val="bottom"/>
          </w:tcPr>
          <w:p>
            <w:pPr>
              <w:jc w:val="right"/>
              <w:spacing w:after="0"/>
              <w:rPr>
                <w:sz w:val="20"/>
                <w:szCs w:val="20"/>
                <w:color w:val="auto"/>
              </w:rPr>
            </w:pPr>
            <w:r>
              <w:rPr>
                <w:rFonts w:ascii="Arial" w:cs="Arial" w:eastAsia="Arial" w:hAnsi="Arial"/>
                <w:sz w:val="16"/>
                <w:szCs w:val="16"/>
                <w:color w:val="auto"/>
              </w:rPr>
              <w:t>5 % $</w:t>
            </w:r>
          </w:p>
        </w:tc>
        <w:tc>
          <w:tcPr>
            <w:tcW w:w="1020" w:type="dxa"/>
            <w:vAlign w:val="bottom"/>
          </w:tcPr>
          <w:p>
            <w:pPr>
              <w:jc w:val="right"/>
              <w:spacing w:after="0"/>
              <w:rPr>
                <w:sz w:val="20"/>
                <w:szCs w:val="20"/>
                <w:color w:val="auto"/>
              </w:rPr>
            </w:pPr>
            <w:r>
              <w:rPr>
                <w:rFonts w:ascii="Arial" w:cs="Arial" w:eastAsia="Arial" w:hAnsi="Arial"/>
                <w:sz w:val="16"/>
                <w:szCs w:val="16"/>
                <w:color w:val="auto"/>
              </w:rPr>
              <w:t>32.26</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2025</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5 %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16.53</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688,000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10 %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38.49</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1,465,000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26.85</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1200" w:type="dxa"/>
            <w:vAlign w:val="bottom"/>
          </w:tcPr>
          <w:p>
            <w:pPr>
              <w:jc w:val="right"/>
              <w:spacing w:after="0"/>
              <w:rPr>
                <w:sz w:val="20"/>
                <w:szCs w:val="20"/>
                <w:color w:val="auto"/>
              </w:rPr>
            </w:pPr>
            <w:r>
              <w:rPr>
                <w:rFonts w:ascii="Arial" w:cs="Arial" w:eastAsia="Arial" w:hAnsi="Arial"/>
                <w:sz w:val="16"/>
                <w:szCs w:val="16"/>
                <w:color w:val="auto"/>
              </w:rPr>
              <w:t>392,000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3 % $</w:t>
            </w:r>
          </w:p>
        </w:tc>
        <w:tc>
          <w:tcPr>
            <w:tcW w:w="900" w:type="dxa"/>
            <w:vAlign w:val="bottom"/>
          </w:tcPr>
          <w:p>
            <w:pPr>
              <w:jc w:val="right"/>
              <w:spacing w:after="0"/>
              <w:rPr>
                <w:sz w:val="20"/>
                <w:szCs w:val="20"/>
                <w:color w:val="auto"/>
              </w:rPr>
            </w:pPr>
            <w:r>
              <w:rPr>
                <w:rFonts w:ascii="Arial" w:cs="Arial" w:eastAsia="Arial" w:hAnsi="Arial"/>
                <w:sz w:val="16"/>
                <w:szCs w:val="16"/>
                <w:color w:val="auto"/>
              </w:rPr>
              <w:t>22.89</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390,000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6 % $</w:t>
            </w:r>
          </w:p>
        </w:tc>
        <w:tc>
          <w:tcPr>
            <w:tcW w:w="880" w:type="dxa"/>
            <w:vAlign w:val="bottom"/>
          </w:tcPr>
          <w:p>
            <w:pPr>
              <w:jc w:val="right"/>
              <w:spacing w:after="0"/>
              <w:rPr>
                <w:sz w:val="20"/>
                <w:szCs w:val="20"/>
                <w:color w:val="auto"/>
              </w:rPr>
            </w:pPr>
            <w:r>
              <w:rPr>
                <w:rFonts w:ascii="Arial" w:cs="Arial" w:eastAsia="Arial" w:hAnsi="Arial"/>
                <w:sz w:val="16"/>
                <w:szCs w:val="16"/>
                <w:color w:val="auto"/>
              </w:rPr>
              <w:t>48.89</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781,000</w:t>
            </w:r>
          </w:p>
        </w:tc>
        <w:tc>
          <w:tcPr>
            <w:tcW w:w="920" w:type="dxa"/>
            <w:vAlign w:val="bottom"/>
          </w:tcPr>
          <w:p>
            <w:pPr>
              <w:jc w:val="right"/>
              <w:spacing w:after="0"/>
              <w:rPr>
                <w:sz w:val="20"/>
                <w:szCs w:val="20"/>
                <w:color w:val="auto"/>
              </w:rPr>
            </w:pPr>
            <w:r>
              <w:rPr>
                <w:rFonts w:ascii="Arial" w:cs="Arial" w:eastAsia="Arial" w:hAnsi="Arial"/>
                <w:sz w:val="16"/>
                <w:szCs w:val="16"/>
                <w:color w:val="auto"/>
              </w:rPr>
              <w:t>4 % $</w:t>
            </w:r>
          </w:p>
        </w:tc>
        <w:tc>
          <w:tcPr>
            <w:tcW w:w="1020" w:type="dxa"/>
            <w:vAlign w:val="bottom"/>
          </w:tcPr>
          <w:p>
            <w:pPr>
              <w:jc w:val="right"/>
              <w:spacing w:after="0"/>
              <w:rPr>
                <w:sz w:val="20"/>
                <w:szCs w:val="20"/>
                <w:color w:val="auto"/>
              </w:rPr>
            </w:pPr>
            <w:r>
              <w:rPr>
                <w:rFonts w:ascii="Arial" w:cs="Arial" w:eastAsia="Arial" w:hAnsi="Arial"/>
                <w:sz w:val="16"/>
                <w:szCs w:val="16"/>
                <w:color w:val="auto"/>
              </w:rPr>
              <w:t>35.86</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2027</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4 %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21.64</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442,000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6 %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48.29</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1,033,000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33.04</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2028</w:t>
            </w:r>
          </w:p>
        </w:tc>
        <w:tc>
          <w:tcPr>
            <w:tcW w:w="1200" w:type="dxa"/>
            <w:vAlign w:val="bottom"/>
          </w:tcPr>
          <w:p>
            <w:pPr>
              <w:jc w:val="right"/>
              <w:spacing w:after="0"/>
              <w:rPr>
                <w:sz w:val="20"/>
                <w:szCs w:val="20"/>
                <w:color w:val="auto"/>
              </w:rPr>
            </w:pPr>
            <w:r>
              <w:rPr>
                <w:rFonts w:ascii="Arial" w:cs="Arial" w:eastAsia="Arial" w:hAnsi="Arial"/>
                <w:sz w:val="16"/>
                <w:szCs w:val="16"/>
                <w:color w:val="auto"/>
              </w:rPr>
              <w:t>828,000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5 % $</w:t>
            </w:r>
          </w:p>
        </w:tc>
        <w:tc>
          <w:tcPr>
            <w:tcW w:w="900" w:type="dxa"/>
            <w:vAlign w:val="bottom"/>
          </w:tcPr>
          <w:p>
            <w:pPr>
              <w:jc w:val="right"/>
              <w:spacing w:after="0"/>
              <w:rPr>
                <w:sz w:val="20"/>
                <w:szCs w:val="20"/>
                <w:color w:val="auto"/>
              </w:rPr>
            </w:pPr>
            <w:r>
              <w:rPr>
                <w:rFonts w:ascii="Arial" w:cs="Arial" w:eastAsia="Arial" w:hAnsi="Arial"/>
                <w:sz w:val="16"/>
                <w:szCs w:val="16"/>
                <w:color w:val="auto"/>
              </w:rPr>
              <w:t>16.71</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401,000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6 % $</w:t>
            </w:r>
          </w:p>
        </w:tc>
        <w:tc>
          <w:tcPr>
            <w:tcW w:w="880" w:type="dxa"/>
            <w:vAlign w:val="bottom"/>
          </w:tcPr>
          <w:p>
            <w:pPr>
              <w:jc w:val="right"/>
              <w:spacing w:after="0"/>
              <w:rPr>
                <w:sz w:val="20"/>
                <w:szCs w:val="20"/>
                <w:color w:val="auto"/>
              </w:rPr>
            </w:pPr>
            <w:r>
              <w:rPr>
                <w:rFonts w:ascii="Arial" w:cs="Arial" w:eastAsia="Arial" w:hAnsi="Arial"/>
                <w:sz w:val="16"/>
                <w:szCs w:val="16"/>
                <w:color w:val="auto"/>
              </w:rPr>
              <w:t>48.17</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1,229,000</w:t>
            </w:r>
          </w:p>
        </w:tc>
        <w:tc>
          <w:tcPr>
            <w:tcW w:w="920" w:type="dxa"/>
            <w:vAlign w:val="bottom"/>
          </w:tcPr>
          <w:p>
            <w:pPr>
              <w:jc w:val="right"/>
              <w:spacing w:after="0"/>
              <w:rPr>
                <w:sz w:val="20"/>
                <w:szCs w:val="20"/>
                <w:color w:val="auto"/>
              </w:rPr>
            </w:pPr>
            <w:r>
              <w:rPr>
                <w:rFonts w:ascii="Arial" w:cs="Arial" w:eastAsia="Arial" w:hAnsi="Arial"/>
                <w:sz w:val="16"/>
                <w:szCs w:val="16"/>
                <w:color w:val="auto"/>
              </w:rPr>
              <w:t>5 % $</w:t>
            </w:r>
          </w:p>
        </w:tc>
        <w:tc>
          <w:tcPr>
            <w:tcW w:w="1020" w:type="dxa"/>
            <w:vAlign w:val="bottom"/>
          </w:tcPr>
          <w:p>
            <w:pPr>
              <w:jc w:val="right"/>
              <w:spacing w:after="0"/>
              <w:rPr>
                <w:sz w:val="20"/>
                <w:szCs w:val="20"/>
                <w:color w:val="auto"/>
              </w:rPr>
            </w:pPr>
            <w:r>
              <w:rPr>
                <w:rFonts w:ascii="Arial" w:cs="Arial" w:eastAsia="Arial" w:hAnsi="Arial"/>
                <w:sz w:val="16"/>
                <w:szCs w:val="16"/>
                <w:color w:val="auto"/>
              </w:rPr>
              <w:t>26.97</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2029</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5 %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24.73</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375,000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5 %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44.98</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1,224,000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30.94</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2030</w:t>
            </w:r>
          </w:p>
        </w:tc>
        <w:tc>
          <w:tcPr>
            <w:tcW w:w="1200" w:type="dxa"/>
            <w:vAlign w:val="bottom"/>
          </w:tcPr>
          <w:p>
            <w:pPr>
              <w:jc w:val="right"/>
              <w:spacing w:after="0"/>
              <w:rPr>
                <w:sz w:val="20"/>
                <w:szCs w:val="20"/>
                <w:color w:val="auto"/>
              </w:rPr>
            </w:pPr>
            <w:r>
              <w:rPr>
                <w:rFonts w:ascii="Arial" w:cs="Arial" w:eastAsia="Arial" w:hAnsi="Arial"/>
                <w:sz w:val="16"/>
                <w:szCs w:val="16"/>
                <w:color w:val="auto"/>
              </w:rPr>
              <w:t>552,000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4 % $</w:t>
            </w:r>
          </w:p>
        </w:tc>
        <w:tc>
          <w:tcPr>
            <w:tcW w:w="900" w:type="dxa"/>
            <w:vAlign w:val="bottom"/>
          </w:tcPr>
          <w:p>
            <w:pPr>
              <w:jc w:val="right"/>
              <w:spacing w:after="0"/>
              <w:rPr>
                <w:sz w:val="20"/>
                <w:szCs w:val="20"/>
                <w:color w:val="auto"/>
              </w:rPr>
            </w:pPr>
            <w:r>
              <w:rPr>
                <w:rFonts w:ascii="Arial" w:cs="Arial" w:eastAsia="Arial" w:hAnsi="Arial"/>
                <w:sz w:val="16"/>
                <w:szCs w:val="16"/>
                <w:color w:val="auto"/>
              </w:rPr>
              <w:t>19.26</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354,000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5 % $</w:t>
            </w:r>
          </w:p>
        </w:tc>
        <w:tc>
          <w:tcPr>
            <w:tcW w:w="880" w:type="dxa"/>
            <w:vAlign w:val="bottom"/>
          </w:tcPr>
          <w:p>
            <w:pPr>
              <w:jc w:val="right"/>
              <w:spacing w:after="0"/>
              <w:rPr>
                <w:sz w:val="20"/>
                <w:szCs w:val="20"/>
                <w:color w:val="auto"/>
              </w:rPr>
            </w:pPr>
            <w:r>
              <w:rPr>
                <w:rFonts w:ascii="Arial" w:cs="Arial" w:eastAsia="Arial" w:hAnsi="Arial"/>
                <w:sz w:val="16"/>
                <w:szCs w:val="16"/>
                <w:color w:val="auto"/>
              </w:rPr>
              <w:t>45.51</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905,000</w:t>
            </w:r>
          </w:p>
        </w:tc>
        <w:tc>
          <w:tcPr>
            <w:tcW w:w="920" w:type="dxa"/>
            <w:vAlign w:val="bottom"/>
          </w:tcPr>
          <w:p>
            <w:pPr>
              <w:jc w:val="right"/>
              <w:spacing w:after="0"/>
              <w:rPr>
                <w:sz w:val="20"/>
                <w:szCs w:val="20"/>
                <w:color w:val="auto"/>
              </w:rPr>
            </w:pPr>
            <w:r>
              <w:rPr>
                <w:rFonts w:ascii="Arial" w:cs="Arial" w:eastAsia="Arial" w:hAnsi="Arial"/>
                <w:sz w:val="16"/>
                <w:szCs w:val="16"/>
                <w:color w:val="auto"/>
              </w:rPr>
              <w:t>4 % $</w:t>
            </w:r>
          </w:p>
        </w:tc>
        <w:tc>
          <w:tcPr>
            <w:tcW w:w="1020" w:type="dxa"/>
            <w:vAlign w:val="bottom"/>
          </w:tcPr>
          <w:p>
            <w:pPr>
              <w:jc w:val="right"/>
              <w:spacing w:after="0"/>
              <w:rPr>
                <w:sz w:val="20"/>
                <w:szCs w:val="20"/>
                <w:color w:val="auto"/>
              </w:rPr>
            </w:pPr>
            <w:r>
              <w:rPr>
                <w:rFonts w:ascii="Arial" w:cs="Arial" w:eastAsia="Arial" w:hAnsi="Arial"/>
                <w:sz w:val="16"/>
                <w:szCs w:val="16"/>
                <w:color w:val="auto"/>
              </w:rPr>
              <w:t>29.52</w:t>
            </w:r>
          </w:p>
        </w:tc>
        <w:tc>
          <w:tcPr>
            <w:tcW w:w="0" w:type="dxa"/>
            <w:vAlign w:val="bottom"/>
          </w:tcPr>
          <w:p>
            <w:pPr>
              <w:spacing w:after="0"/>
              <w:rPr>
                <w:sz w:val="1"/>
                <w:szCs w:val="1"/>
                <w:color w:val="auto"/>
              </w:rPr>
            </w:pPr>
          </w:p>
        </w:tc>
      </w:tr>
      <w:tr>
        <w:trPr>
          <w:trHeight w:val="216"/>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10,061,000</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64 % $</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23.16</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2,271,000</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32 %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49.03</w:t>
            </w:r>
          </w:p>
        </w:tc>
        <w:tc>
          <w:tcPr>
            <w:tcW w:w="2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12,331,000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54 %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27.92</w:t>
            </w:r>
          </w:p>
        </w:tc>
        <w:tc>
          <w:tcPr>
            <w:tcW w:w="0" w:type="dxa"/>
            <w:vAlign w:val="bottom"/>
          </w:tcPr>
          <w:p>
            <w:pPr>
              <w:spacing w:after="0"/>
              <w:rPr>
                <w:sz w:val="1"/>
                <w:szCs w:val="1"/>
                <w:color w:val="auto"/>
              </w:rPr>
            </w:pPr>
          </w:p>
        </w:tc>
      </w:tr>
      <w:tr>
        <w:trPr>
          <w:trHeight w:val="212"/>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15,639,000</w:t>
            </w:r>
          </w:p>
        </w:tc>
        <w:tc>
          <w:tcPr>
            <w:tcW w:w="11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100 % $</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21.99</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7,036,000</w:t>
            </w:r>
          </w:p>
        </w:tc>
        <w:tc>
          <w:tcPr>
            <w:tcW w:w="11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100 %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45.46</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22,675,000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29.28</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1"/>
        <w:spacing w:after="0"/>
        <w:rPr>
          <w:sz w:val="20"/>
          <w:szCs w:val="20"/>
          <w:color w:val="auto"/>
        </w:rPr>
      </w:pPr>
      <w:r>
        <w:rPr>
          <w:rFonts w:ascii="Arial" w:cs="Arial" w:eastAsia="Arial" w:hAnsi="Arial"/>
          <w:sz w:val="16"/>
          <w:szCs w:val="16"/>
          <w:u w:val="single" w:color="auto"/>
          <w:color w:val="auto"/>
        </w:rPr>
        <w:t>Notes:</w:t>
      </w:r>
    </w:p>
    <w:p>
      <w:pPr>
        <w:spacing w:after="0" w:line="32" w:lineRule="exact"/>
        <w:rPr>
          <w:sz w:val="20"/>
          <w:szCs w:val="20"/>
          <w:color w:val="auto"/>
        </w:rPr>
      </w:pPr>
    </w:p>
    <w:p>
      <w:pPr>
        <w:ind w:left="781" w:hanging="781"/>
        <w:spacing w:after="0"/>
        <w:tabs>
          <w:tab w:leader="none" w:pos="781"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Anchor is defined as a commercial tenant leasing 10,000 square feet or more.</w:t>
      </w:r>
    </w:p>
    <w:p>
      <w:pPr>
        <w:spacing w:after="0" w:line="32" w:lineRule="exact"/>
        <w:rPr>
          <w:rFonts w:ascii="Arial" w:cs="Arial" w:eastAsia="Arial" w:hAnsi="Arial"/>
          <w:sz w:val="16"/>
          <w:szCs w:val="16"/>
          <w:color w:val="auto"/>
        </w:rPr>
      </w:pPr>
    </w:p>
    <w:p>
      <w:pPr>
        <w:ind w:left="781" w:right="320" w:hanging="781"/>
        <w:spacing w:after="0"/>
        <w:tabs>
          <w:tab w:leader="none" w:pos="781" w:val="left"/>
        </w:tabs>
        <w:numPr>
          <w:ilvl w:val="0"/>
          <w:numId w:val="22"/>
        </w:numPr>
        <w:rPr>
          <w:rFonts w:ascii="Arial" w:cs="Arial" w:eastAsia="Arial" w:hAnsi="Arial"/>
          <w:sz w:val="16"/>
          <w:szCs w:val="16"/>
          <w:color w:val="auto"/>
        </w:rPr>
      </w:pPr>
      <w:r>
        <w:rPr>
          <w:rFonts w:ascii="Arial" w:cs="Arial" w:eastAsia="Arial" w:hAnsi="Arial"/>
          <w:sz w:val="16"/>
          <w:szCs w:val="16"/>
          <w:color w:val="auto"/>
        </w:rPr>
        <w:t>Minimum Rent reflects in-place contractual (defined as rents on a cash-basis without taking the impacts of rent abatements into account) rent as of June 30, 2021.</w:t>
      </w:r>
    </w:p>
    <w:p>
      <w:pPr>
        <w:spacing w:after="0" w:line="10" w:lineRule="exact"/>
        <w:rPr>
          <w:rFonts w:ascii="Arial" w:cs="Arial" w:eastAsia="Arial" w:hAnsi="Arial"/>
          <w:sz w:val="16"/>
          <w:szCs w:val="16"/>
          <w:color w:val="auto"/>
        </w:rPr>
      </w:pPr>
    </w:p>
    <w:p>
      <w:pPr>
        <w:ind w:left="781" w:hanging="781"/>
        <w:spacing w:after="0"/>
        <w:tabs>
          <w:tab w:leader="none" w:pos="781"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occupied square footage of the commercial portion of our portfolio as of June 30, 2021.</w:t>
      </w:r>
    </w:p>
    <w:p>
      <w:pPr>
        <w:spacing w:after="0" w:line="32" w:lineRule="exact"/>
        <w:rPr>
          <w:rFonts w:ascii="Arial" w:cs="Arial" w:eastAsia="Arial" w:hAnsi="Arial"/>
          <w:sz w:val="16"/>
          <w:szCs w:val="16"/>
          <w:color w:val="auto"/>
        </w:rPr>
      </w:pPr>
    </w:p>
    <w:p>
      <w:pPr>
        <w:ind w:left="781" w:hanging="781"/>
        <w:spacing w:after="0"/>
        <w:tabs>
          <w:tab w:leader="none" w:pos="781"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81"/>
          </w:cols>
          <w:pgMar w:left="359" w:top="1026" w:right="359"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Portfolio Leased Statistics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June 30, 2021</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220" w:type="dxa"/>
            <w:vAlign w:val="bottom"/>
            <w:gridSpan w:val="4"/>
          </w:tcPr>
          <w:p>
            <w:pPr>
              <w:spacing w:after="0"/>
              <w:rPr>
                <w:sz w:val="20"/>
                <w:szCs w:val="20"/>
                <w:color w:val="auto"/>
              </w:rPr>
            </w:pPr>
            <w:r>
              <w:rPr>
                <w:rFonts w:ascii="Arial" w:cs="Arial" w:eastAsia="Arial" w:hAnsi="Arial"/>
                <w:sz w:val="16"/>
                <w:szCs w:val="16"/>
                <w:b w:val="1"/>
                <w:bCs w:val="1"/>
                <w:color w:val="auto"/>
              </w:rPr>
              <w:t>Overall Portfolio Statistics (1)</w:t>
            </w: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At June 30, 2021</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4"/>
              </w:rPr>
              <w:t>At June 30, 2020</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Arial" w:cs="Arial" w:eastAsia="Arial" w:hAnsi="Arial"/>
                <w:sz w:val="16"/>
                <w:szCs w:val="16"/>
                <w:color w:val="auto"/>
              </w:rPr>
              <w:t>Type</w:t>
            </w:r>
          </w:p>
        </w:tc>
        <w:tc>
          <w:tcPr>
            <w:tcW w:w="1160" w:type="dxa"/>
            <w:vAlign w:val="bottom"/>
            <w:gridSpan w:val="3"/>
          </w:tcPr>
          <w:p>
            <w:pPr>
              <w:ind w:left="840"/>
              <w:spacing w:after="0"/>
              <w:rPr>
                <w:sz w:val="20"/>
                <w:szCs w:val="20"/>
                <w:color w:val="auto"/>
              </w:rPr>
            </w:pPr>
            <w:r>
              <w:rPr>
                <w:rFonts w:ascii="Arial" w:cs="Arial" w:eastAsia="Arial" w:hAnsi="Arial"/>
                <w:sz w:val="16"/>
                <w:szCs w:val="16"/>
                <w:color w:val="auto"/>
                <w:w w:val="96"/>
              </w:rPr>
              <w:t>Size</w:t>
            </w:r>
          </w:p>
        </w:tc>
        <w:tc>
          <w:tcPr>
            <w:tcW w:w="62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6"/>
                <w:szCs w:val="16"/>
                <w:color w:val="auto"/>
              </w:rPr>
              <w:t>Leased</w:t>
            </w:r>
          </w:p>
        </w:tc>
        <w:tc>
          <w:tcPr>
            <w:tcW w:w="104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6"/>
                <w:szCs w:val="16"/>
                <w:color w:val="auto"/>
              </w:rPr>
              <w:t>Leased %</w:t>
            </w:r>
          </w:p>
        </w:tc>
        <w:tc>
          <w:tcPr>
            <w:tcW w:w="1140" w:type="dxa"/>
            <w:vAlign w:val="bottom"/>
            <w:gridSpan w:val="3"/>
          </w:tcPr>
          <w:p>
            <w:pPr>
              <w:ind w:left="800"/>
              <w:spacing w:after="0"/>
              <w:rPr>
                <w:sz w:val="20"/>
                <w:szCs w:val="20"/>
                <w:color w:val="auto"/>
              </w:rPr>
            </w:pPr>
            <w:r>
              <w:rPr>
                <w:rFonts w:ascii="Arial" w:cs="Arial" w:eastAsia="Arial" w:hAnsi="Arial"/>
                <w:sz w:val="16"/>
                <w:szCs w:val="16"/>
                <w:color w:val="auto"/>
              </w:rPr>
              <w:t>Size</w:t>
            </w:r>
          </w:p>
        </w:tc>
        <w:tc>
          <w:tcPr>
            <w:tcW w:w="600" w:type="dxa"/>
            <w:vAlign w:val="bottom"/>
          </w:tcPr>
          <w:p>
            <w:pPr>
              <w:spacing w:after="0"/>
              <w:rPr>
                <w:sz w:val="24"/>
                <w:szCs w:val="24"/>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6"/>
                <w:szCs w:val="16"/>
                <w:color w:val="auto"/>
                <w:w w:val="83"/>
              </w:rPr>
              <w:t>Leased</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w w:val="87"/>
              </w:rPr>
              <w:t>Leased %</w:t>
            </w:r>
          </w:p>
        </w:tc>
      </w:tr>
      <w:tr>
        <w:trPr>
          <w:trHeight w:val="237"/>
        </w:trPr>
        <w:tc>
          <w:tcPr>
            <w:tcW w:w="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Commercial Properties (2) (3) (4) (sf)</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25,300,000</w:t>
            </w: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23,456,000</w:t>
            </w:r>
          </w:p>
        </w:tc>
        <w:tc>
          <w:tcPr>
            <w:tcW w:w="26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92.7 %</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23,995,000</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22,323,000</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93.0 %</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Residential Properties (5) (units)</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2,782</w:t>
            </w: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2,725</w:t>
            </w:r>
          </w:p>
        </w:tc>
        <w:tc>
          <w:tcPr>
            <w:tcW w:w="26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98.0 %</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2,782</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2,647</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95.1 %</w:t>
            </w:r>
          </w:p>
        </w:tc>
      </w:tr>
      <w:tr>
        <w:trPr>
          <w:trHeight w:val="648"/>
        </w:trPr>
        <w:tc>
          <w:tcPr>
            <w:tcW w:w="2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Arial" w:cs="Arial" w:eastAsia="Arial" w:hAnsi="Arial"/>
                <w:sz w:val="16"/>
                <w:szCs w:val="16"/>
                <w:b w:val="1"/>
                <w:bCs w:val="1"/>
                <w:color w:val="auto"/>
              </w:rPr>
              <w:t>Comparable Property Statistics (1)</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At June 30, 2021</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4"/>
              </w:rPr>
              <w:t>At June 30, 2020</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Arial" w:cs="Arial" w:eastAsia="Arial" w:hAnsi="Arial"/>
                <w:sz w:val="16"/>
                <w:szCs w:val="16"/>
                <w:color w:val="auto"/>
              </w:rPr>
              <w:t>Type</w:t>
            </w:r>
          </w:p>
        </w:tc>
        <w:tc>
          <w:tcPr>
            <w:tcW w:w="1160" w:type="dxa"/>
            <w:vAlign w:val="bottom"/>
            <w:gridSpan w:val="3"/>
          </w:tcPr>
          <w:p>
            <w:pPr>
              <w:ind w:left="840"/>
              <w:spacing w:after="0"/>
              <w:rPr>
                <w:sz w:val="20"/>
                <w:szCs w:val="20"/>
                <w:color w:val="auto"/>
              </w:rPr>
            </w:pPr>
            <w:r>
              <w:rPr>
                <w:rFonts w:ascii="Arial" w:cs="Arial" w:eastAsia="Arial" w:hAnsi="Arial"/>
                <w:sz w:val="16"/>
                <w:szCs w:val="16"/>
                <w:color w:val="auto"/>
                <w:w w:val="96"/>
              </w:rPr>
              <w:t>Size</w:t>
            </w:r>
          </w:p>
        </w:tc>
        <w:tc>
          <w:tcPr>
            <w:tcW w:w="62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6"/>
                <w:szCs w:val="16"/>
                <w:color w:val="auto"/>
              </w:rPr>
              <w:t>Leased</w:t>
            </w:r>
          </w:p>
        </w:tc>
        <w:tc>
          <w:tcPr>
            <w:tcW w:w="104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6"/>
                <w:szCs w:val="16"/>
                <w:color w:val="auto"/>
              </w:rPr>
              <w:t>Leased %</w:t>
            </w:r>
          </w:p>
        </w:tc>
        <w:tc>
          <w:tcPr>
            <w:tcW w:w="1140" w:type="dxa"/>
            <w:vAlign w:val="bottom"/>
            <w:gridSpan w:val="3"/>
          </w:tcPr>
          <w:p>
            <w:pPr>
              <w:ind w:left="800"/>
              <w:spacing w:after="0"/>
              <w:rPr>
                <w:sz w:val="20"/>
                <w:szCs w:val="20"/>
                <w:color w:val="auto"/>
              </w:rPr>
            </w:pPr>
            <w:r>
              <w:rPr>
                <w:rFonts w:ascii="Arial" w:cs="Arial" w:eastAsia="Arial" w:hAnsi="Arial"/>
                <w:sz w:val="16"/>
                <w:szCs w:val="16"/>
                <w:color w:val="auto"/>
              </w:rPr>
              <w:t>Size</w:t>
            </w:r>
          </w:p>
        </w:tc>
        <w:tc>
          <w:tcPr>
            <w:tcW w:w="600" w:type="dxa"/>
            <w:vAlign w:val="bottom"/>
          </w:tcPr>
          <w:p>
            <w:pPr>
              <w:spacing w:after="0"/>
              <w:rPr>
                <w:sz w:val="24"/>
                <w:szCs w:val="24"/>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6"/>
                <w:szCs w:val="16"/>
                <w:color w:val="auto"/>
                <w:w w:val="83"/>
              </w:rPr>
              <w:t>Leased</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w w:val="87"/>
              </w:rPr>
              <w:t>Leased %</w:t>
            </w:r>
          </w:p>
        </w:tc>
      </w:tr>
      <w:tr>
        <w:trPr>
          <w:trHeight w:val="236"/>
        </w:trPr>
        <w:tc>
          <w:tcPr>
            <w:tcW w:w="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Commercial Properties (2) (4) (sf)</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22,921,000</w:t>
            </w: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21,193,000</w:t>
            </w:r>
          </w:p>
        </w:tc>
        <w:tc>
          <w:tcPr>
            <w:tcW w:w="26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92.5 %</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22,968,000</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21,543,000</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93.8 %</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Residential Properties (5) (units)</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2,780</w:t>
            </w: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2,723</w:t>
            </w:r>
          </w:p>
        </w:tc>
        <w:tc>
          <w:tcPr>
            <w:tcW w:w="26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97.9 %</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2,780</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2,645</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95.1 %</w:t>
            </w:r>
          </w:p>
        </w:tc>
      </w:tr>
    </w:tbl>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289" w:lineRule="exact"/>
        <w:rPr>
          <w:sz w:val="20"/>
          <w:szCs w:val="20"/>
          <w:color w:val="auto"/>
        </w:rPr>
      </w:pPr>
    </w:p>
    <w:p>
      <w:pPr>
        <w:ind w:left="600" w:hanging="574"/>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32" w:lineRule="exact"/>
        <w:rPr>
          <w:rFonts w:ascii="Arial" w:cs="Arial" w:eastAsia="Arial" w:hAnsi="Arial"/>
          <w:sz w:val="16"/>
          <w:szCs w:val="16"/>
          <w:color w:val="auto"/>
        </w:rPr>
      </w:pPr>
    </w:p>
    <w:p>
      <w:pPr>
        <w:ind w:left="600" w:hanging="574"/>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32" w:lineRule="exact"/>
        <w:rPr>
          <w:rFonts w:ascii="Arial" w:cs="Arial" w:eastAsia="Arial" w:hAnsi="Arial"/>
          <w:sz w:val="16"/>
          <w:szCs w:val="16"/>
          <w:color w:val="auto"/>
        </w:rPr>
      </w:pPr>
    </w:p>
    <w:p>
      <w:pPr>
        <w:ind w:left="600" w:hanging="574"/>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At June 30, 2021, leased percentage was 96.3% for anchor tenants and 85.7% for small shop tenants.</w:t>
      </w:r>
    </w:p>
    <w:p>
      <w:pPr>
        <w:spacing w:after="0" w:line="32" w:lineRule="exact"/>
        <w:rPr>
          <w:rFonts w:ascii="Arial" w:cs="Arial" w:eastAsia="Arial" w:hAnsi="Arial"/>
          <w:sz w:val="16"/>
          <w:szCs w:val="16"/>
          <w:color w:val="auto"/>
        </w:rPr>
      </w:pPr>
    </w:p>
    <w:p>
      <w:pPr>
        <w:ind w:left="600" w:right="140" w:hanging="574"/>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Occupied percentage was 89.6% and 90.8% at June 30, 2021 and 2020, respectively, and comparable property occupied percentage was 89.3% and 91.6% at June 30, 2021 and 2020, respectively.</w:t>
      </w:r>
    </w:p>
    <w:p>
      <w:pPr>
        <w:spacing w:after="0" w:line="10" w:lineRule="exact"/>
        <w:rPr>
          <w:rFonts w:ascii="Arial" w:cs="Arial" w:eastAsia="Arial" w:hAnsi="Arial"/>
          <w:sz w:val="16"/>
          <w:szCs w:val="16"/>
          <w:color w:val="auto"/>
        </w:rPr>
      </w:pPr>
    </w:p>
    <w:p>
      <w:pPr>
        <w:ind w:left="600" w:right="260" w:hanging="574"/>
        <w:spacing w:after="0" w:line="272" w:lineRule="auto"/>
        <w:tabs>
          <w:tab w:leader="none" w:pos="6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residential metrics exclude "The Delwyn," our 87 unit residential building that opened at Bala Cynwyd in late 2020, and is currently in the process of being leased-up for the first time. If these units were included, our total residential units would be 2,869 and our percentage leased would be 97.5%.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1026" w:right="359" w:bottom="1440" w:gutter="0" w:footer="0" w:header="0"/>
        </w:sectPr>
      </w:pPr>
    </w:p>
    <w:bookmarkStart w:id="30" w:name="page31"/>
    <w:bookmarkEnd w:id="30"/>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Summary of Top 25 Tenants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June 30, 2021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80" w:type="dxa"/>
            <w:vAlign w:val="bottom"/>
            <w:vMerge w:val="restart"/>
          </w:tcPr>
          <w:p>
            <w:pPr>
              <w:jc w:val="center"/>
              <w:ind w:left="140"/>
              <w:spacing w:after="0"/>
              <w:rPr>
                <w:sz w:val="20"/>
                <w:szCs w:val="20"/>
                <w:color w:val="auto"/>
              </w:rPr>
            </w:pPr>
            <w:r>
              <w:rPr>
                <w:rFonts w:ascii="Arial" w:cs="Arial" w:eastAsia="Arial" w:hAnsi="Arial"/>
                <w:sz w:val="14"/>
                <w:szCs w:val="14"/>
                <w:b w:val="1"/>
                <w:bCs w:val="1"/>
                <w:color w:val="auto"/>
                <w:w w:val="94"/>
              </w:rPr>
              <w:t>Credit Ratings</w:t>
            </w: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Annualized Base</w:t>
            </w:r>
          </w:p>
        </w:tc>
        <w:tc>
          <w:tcPr>
            <w:tcW w:w="1640" w:type="dxa"/>
            <w:vAlign w:val="bottom"/>
          </w:tcPr>
          <w:p>
            <w:pPr>
              <w:jc w:val="right"/>
              <w:ind w:right="40"/>
              <w:spacing w:after="0"/>
              <w:rPr>
                <w:sz w:val="20"/>
                <w:szCs w:val="20"/>
                <w:color w:val="auto"/>
              </w:rPr>
            </w:pPr>
            <w:r>
              <w:rPr>
                <w:rFonts w:ascii="Arial" w:cs="Arial" w:eastAsia="Arial" w:hAnsi="Arial"/>
                <w:sz w:val="14"/>
                <w:szCs w:val="14"/>
                <w:b w:val="1"/>
                <w:bCs w:val="1"/>
                <w:color w:val="auto"/>
              </w:rPr>
              <w:t>Percentage of Total</w:t>
            </w:r>
          </w:p>
        </w:tc>
        <w:tc>
          <w:tcPr>
            <w:tcW w:w="920" w:type="dxa"/>
            <w:vAlign w:val="bottom"/>
          </w:tcPr>
          <w:p>
            <w:pPr>
              <w:spacing w:after="0"/>
              <w:rPr>
                <w:sz w:val="14"/>
                <w:szCs w:val="14"/>
                <w:color w:val="auto"/>
              </w:rPr>
            </w:pPr>
          </w:p>
        </w:tc>
        <w:tc>
          <w:tcPr>
            <w:tcW w:w="118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rPr>
              <w:t>Percentage of</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35"/>
        </w:trPr>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Rank</w:t>
            </w:r>
          </w:p>
        </w:tc>
        <w:tc>
          <w:tcPr>
            <w:tcW w:w="2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Tenant Name</w:t>
            </w:r>
          </w:p>
        </w:tc>
        <w:tc>
          <w:tcPr>
            <w:tcW w:w="20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640" w:type="dxa"/>
            <w:vAlign w:val="bottom"/>
          </w:tcPr>
          <w:p>
            <w:pPr>
              <w:jc w:val="right"/>
              <w:ind w:right="40"/>
              <w:spacing w:after="0" w:line="135" w:lineRule="exact"/>
              <w:rPr>
                <w:sz w:val="20"/>
                <w:szCs w:val="20"/>
                <w:color w:val="auto"/>
              </w:rPr>
            </w:pPr>
            <w:r>
              <w:rPr>
                <w:rFonts w:ascii="Arial" w:cs="Arial" w:eastAsia="Arial" w:hAnsi="Arial"/>
                <w:sz w:val="14"/>
                <w:szCs w:val="14"/>
                <w:b w:val="1"/>
                <w:bCs w:val="1"/>
                <w:color w:val="auto"/>
              </w:rPr>
              <w:t>Annualized Base Rent</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Tenant GLA</w:t>
            </w:r>
          </w:p>
        </w:tc>
        <w:tc>
          <w:tcPr>
            <w:tcW w:w="1180" w:type="dxa"/>
            <w:vAlign w:val="bottom"/>
            <w:vMerge w:val="continue"/>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Locations</w:t>
            </w:r>
          </w:p>
        </w:tc>
        <w:tc>
          <w:tcPr>
            <w:tcW w:w="0" w:type="dxa"/>
            <w:vAlign w:val="bottom"/>
          </w:tcPr>
          <w:p>
            <w:pPr>
              <w:spacing w:after="0"/>
              <w:rPr>
                <w:sz w:val="1"/>
                <w:szCs w:val="1"/>
                <w:color w:val="auto"/>
              </w:rPr>
            </w:pPr>
          </w:p>
        </w:tc>
      </w:tr>
      <w:tr>
        <w:trPr>
          <w:trHeight w:val="188"/>
        </w:trPr>
        <w:tc>
          <w:tcPr>
            <w:tcW w:w="560" w:type="dxa"/>
            <w:vAlign w:val="bottom"/>
            <w:tcBorders>
              <w:bottom w:val="single" w:sz="8" w:color="auto"/>
            </w:tcBorders>
            <w:vMerge w:val="continue"/>
          </w:tcPr>
          <w:p>
            <w:pPr>
              <w:spacing w:after="0"/>
              <w:rPr>
                <w:sz w:val="16"/>
                <w:szCs w:val="16"/>
                <w:color w:val="auto"/>
              </w:rPr>
            </w:pPr>
          </w:p>
        </w:tc>
        <w:tc>
          <w:tcPr>
            <w:tcW w:w="2800" w:type="dxa"/>
            <w:vAlign w:val="bottom"/>
            <w:tcBorders>
              <w:bottom w:val="single" w:sz="8" w:color="auto"/>
            </w:tcBorders>
            <w:vMerge w:val="continue"/>
          </w:tcPr>
          <w:p>
            <w:pPr>
              <w:spacing w:after="0"/>
              <w:rPr>
                <w:sz w:val="16"/>
                <w:szCs w:val="16"/>
                <w:color w:val="auto"/>
              </w:rPr>
            </w:pPr>
          </w:p>
        </w:tc>
        <w:tc>
          <w:tcPr>
            <w:tcW w:w="2080" w:type="dxa"/>
            <w:vAlign w:val="bottom"/>
            <w:tcBorders>
              <w:bottom w:val="single" w:sz="8" w:color="auto"/>
            </w:tcBorders>
          </w:tcPr>
          <w:p>
            <w:pPr>
              <w:jc w:val="center"/>
              <w:ind w:left="140"/>
              <w:spacing w:after="0"/>
              <w:rPr>
                <w:sz w:val="20"/>
                <w:szCs w:val="20"/>
                <w:color w:val="auto"/>
              </w:rPr>
            </w:pPr>
            <w:r>
              <w:rPr>
                <w:rFonts w:ascii="Arial" w:cs="Arial" w:eastAsia="Arial" w:hAnsi="Arial"/>
                <w:sz w:val="14"/>
                <w:szCs w:val="14"/>
                <w:b w:val="1"/>
                <w:bCs w:val="1"/>
                <w:color w:val="auto"/>
                <w:w w:val="95"/>
              </w:rPr>
              <w:t>(S&amp;P/Moody's/Fitch) (1)</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Rent</w:t>
            </w:r>
          </w:p>
        </w:tc>
        <w:tc>
          <w:tcPr>
            <w:tcW w:w="16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(3)</w:t>
            </w:r>
          </w:p>
        </w:tc>
        <w:tc>
          <w:tcPr>
            <w:tcW w:w="9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Total GLA (3)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197"/>
        </w:trPr>
        <w:tc>
          <w:tcPr>
            <w:tcW w:w="5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TJX Companies, The</w:t>
            </w:r>
          </w:p>
        </w:tc>
        <w:tc>
          <w:tcPr>
            <w:tcW w:w="208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w w:val="97"/>
              </w:rPr>
              <w:t>A / A2 / NR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19,832,000</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2.66 %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3.54 %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2800" w:type="dxa"/>
            <w:vAlign w:val="bottom"/>
          </w:tcPr>
          <w:p>
            <w:pPr>
              <w:ind w:left="80"/>
              <w:spacing w:after="0"/>
              <w:rPr>
                <w:sz w:val="20"/>
                <w:szCs w:val="20"/>
                <w:color w:val="auto"/>
              </w:rPr>
            </w:pPr>
            <w:r>
              <w:rPr>
                <w:rFonts w:ascii="Arial" w:cs="Arial" w:eastAsia="Arial" w:hAnsi="Arial"/>
                <w:sz w:val="16"/>
                <w:szCs w:val="16"/>
                <w:color w:val="auto"/>
              </w:rPr>
              <w:t>Ahold Delhaize</w:t>
            </w:r>
          </w:p>
        </w:tc>
        <w:tc>
          <w:tcPr>
            <w:tcW w:w="2080" w:type="dxa"/>
            <w:vAlign w:val="bottom"/>
          </w:tcPr>
          <w:p>
            <w:pPr>
              <w:jc w:val="center"/>
              <w:ind w:left="140"/>
              <w:spacing w:after="0"/>
              <w:rPr>
                <w:sz w:val="20"/>
                <w:szCs w:val="20"/>
                <w:color w:val="auto"/>
              </w:rPr>
            </w:pPr>
            <w:r>
              <w:rPr>
                <w:rFonts w:ascii="Arial" w:cs="Arial" w:eastAsia="Arial" w:hAnsi="Arial"/>
                <w:sz w:val="16"/>
                <w:szCs w:val="16"/>
                <w:color w:val="auto"/>
                <w:w w:val="97"/>
              </w:rPr>
              <w:t>BBB / Baa1 / BBB+</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15,259,000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2.05 %</w:t>
            </w:r>
          </w:p>
        </w:tc>
        <w:tc>
          <w:tcPr>
            <w:tcW w:w="920" w:type="dxa"/>
            <w:vAlign w:val="bottom"/>
          </w:tcPr>
          <w:p>
            <w:pPr>
              <w:jc w:val="right"/>
              <w:spacing w:after="0"/>
              <w:rPr>
                <w:sz w:val="20"/>
                <w:szCs w:val="20"/>
                <w:color w:val="auto"/>
              </w:rPr>
            </w:pPr>
            <w:r>
              <w:rPr>
                <w:rFonts w:ascii="Arial" w:cs="Arial" w:eastAsia="Arial" w:hAnsi="Arial"/>
                <w:sz w:val="16"/>
                <w:szCs w:val="16"/>
                <w:color w:val="auto"/>
              </w:rPr>
              <w:t>852,000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3.04 %</w:t>
            </w: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NetApp, Inc.</w:t>
            </w:r>
          </w:p>
        </w:tc>
        <w:tc>
          <w:tcPr>
            <w:tcW w:w="208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w w:val="94"/>
              </w:rPr>
              <w:t>BBB+ / Baa2 / NR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13,927,000</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1.87 %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1.09 %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800" w:type="dxa"/>
            <w:vAlign w:val="bottom"/>
          </w:tcPr>
          <w:p>
            <w:pPr>
              <w:ind w:left="80"/>
              <w:spacing w:after="0"/>
              <w:rPr>
                <w:sz w:val="20"/>
                <w:szCs w:val="20"/>
                <w:color w:val="auto"/>
              </w:rPr>
            </w:pPr>
            <w:r>
              <w:rPr>
                <w:rFonts w:ascii="Arial" w:cs="Arial" w:eastAsia="Arial" w:hAnsi="Arial"/>
                <w:sz w:val="16"/>
                <w:szCs w:val="16"/>
                <w:color w:val="auto"/>
              </w:rPr>
              <w:t>Gap, Inc., The</w:t>
            </w:r>
          </w:p>
        </w:tc>
        <w:tc>
          <w:tcPr>
            <w:tcW w:w="2080" w:type="dxa"/>
            <w:vAlign w:val="bottom"/>
          </w:tcPr>
          <w:p>
            <w:pPr>
              <w:jc w:val="center"/>
              <w:ind w:left="140"/>
              <w:spacing w:after="0"/>
              <w:rPr>
                <w:sz w:val="20"/>
                <w:szCs w:val="20"/>
                <w:color w:val="auto"/>
              </w:rPr>
            </w:pPr>
            <w:r>
              <w:rPr>
                <w:rFonts w:ascii="Arial" w:cs="Arial" w:eastAsia="Arial" w:hAnsi="Arial"/>
                <w:sz w:val="16"/>
                <w:szCs w:val="16"/>
                <w:color w:val="auto"/>
                <w:w w:val="97"/>
              </w:rPr>
              <w:t>BB- / Ba2 / NR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12,604,000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1.69 %</w:t>
            </w:r>
          </w:p>
        </w:tc>
        <w:tc>
          <w:tcPr>
            <w:tcW w:w="920" w:type="dxa"/>
            <w:vAlign w:val="bottom"/>
          </w:tcPr>
          <w:p>
            <w:pPr>
              <w:jc w:val="right"/>
              <w:spacing w:after="0"/>
              <w:rPr>
                <w:sz w:val="20"/>
                <w:szCs w:val="20"/>
                <w:color w:val="auto"/>
              </w:rPr>
            </w:pPr>
            <w:r>
              <w:rPr>
                <w:rFonts w:ascii="Arial" w:cs="Arial" w:eastAsia="Arial" w:hAnsi="Arial"/>
                <w:sz w:val="16"/>
                <w:szCs w:val="16"/>
                <w:color w:val="auto"/>
              </w:rPr>
              <w:t>329,000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1.17 %</w:t>
            </w:r>
          </w:p>
        </w:tc>
        <w:tc>
          <w:tcPr>
            <w:tcW w:w="78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Splunk, Inc.</w:t>
            </w:r>
          </w:p>
        </w:tc>
        <w:tc>
          <w:tcPr>
            <w:tcW w:w="208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w w:val="97"/>
              </w:rPr>
              <w:t>NR / NR / NR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11,566,000</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1.55 %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0.84 %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2800" w:type="dxa"/>
            <w:vAlign w:val="bottom"/>
          </w:tcPr>
          <w:p>
            <w:pPr>
              <w:ind w:left="80"/>
              <w:spacing w:after="0"/>
              <w:rPr>
                <w:sz w:val="20"/>
                <w:szCs w:val="20"/>
                <w:color w:val="auto"/>
              </w:rPr>
            </w:pPr>
            <w:r>
              <w:rPr>
                <w:rFonts w:ascii="Arial" w:cs="Arial" w:eastAsia="Arial" w:hAnsi="Arial"/>
                <w:sz w:val="16"/>
                <w:szCs w:val="16"/>
                <w:color w:val="auto"/>
              </w:rPr>
              <w:t>CVS Corporation</w:t>
            </w:r>
          </w:p>
        </w:tc>
        <w:tc>
          <w:tcPr>
            <w:tcW w:w="2080" w:type="dxa"/>
            <w:vAlign w:val="bottom"/>
          </w:tcPr>
          <w:p>
            <w:pPr>
              <w:jc w:val="center"/>
              <w:ind w:left="140"/>
              <w:spacing w:after="0"/>
              <w:rPr>
                <w:sz w:val="20"/>
                <w:szCs w:val="20"/>
                <w:color w:val="auto"/>
              </w:rPr>
            </w:pPr>
            <w:r>
              <w:rPr>
                <w:rFonts w:ascii="Arial" w:cs="Arial" w:eastAsia="Arial" w:hAnsi="Arial"/>
                <w:sz w:val="16"/>
                <w:szCs w:val="16"/>
                <w:color w:val="auto"/>
                <w:w w:val="95"/>
              </w:rPr>
              <w:t>BBB / Baa2 / NR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10,802,000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1.45 %</w:t>
            </w:r>
          </w:p>
        </w:tc>
        <w:tc>
          <w:tcPr>
            <w:tcW w:w="920" w:type="dxa"/>
            <w:vAlign w:val="bottom"/>
          </w:tcPr>
          <w:p>
            <w:pPr>
              <w:jc w:val="right"/>
              <w:spacing w:after="0"/>
              <w:rPr>
                <w:sz w:val="20"/>
                <w:szCs w:val="20"/>
                <w:color w:val="auto"/>
              </w:rPr>
            </w:pPr>
            <w:r>
              <w:rPr>
                <w:rFonts w:ascii="Arial" w:cs="Arial" w:eastAsia="Arial" w:hAnsi="Arial"/>
                <w:sz w:val="16"/>
                <w:szCs w:val="16"/>
                <w:color w:val="auto"/>
              </w:rPr>
              <w:t>300,000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1.07 %</w:t>
            </w:r>
          </w:p>
        </w:tc>
        <w:tc>
          <w:tcPr>
            <w:tcW w:w="7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L.A. Fitness International LLC</w:t>
            </w:r>
          </w:p>
        </w:tc>
        <w:tc>
          <w:tcPr>
            <w:tcW w:w="208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w w:val="92"/>
              </w:rPr>
              <w:t>CCC+ / Caa1 / NR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10,383,000</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1.39 %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1.48 %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2800" w:type="dxa"/>
            <w:vAlign w:val="bottom"/>
          </w:tcPr>
          <w:p>
            <w:pPr>
              <w:ind w:left="80"/>
              <w:spacing w:after="0"/>
              <w:rPr>
                <w:sz w:val="20"/>
                <w:szCs w:val="20"/>
                <w:color w:val="auto"/>
              </w:rPr>
            </w:pPr>
            <w:r>
              <w:rPr>
                <w:rFonts w:ascii="Arial" w:cs="Arial" w:eastAsia="Arial" w:hAnsi="Arial"/>
                <w:sz w:val="16"/>
                <w:szCs w:val="16"/>
                <w:color w:val="auto"/>
              </w:rPr>
              <w:t>Home Depot, Inc.</w:t>
            </w:r>
          </w:p>
        </w:tc>
        <w:tc>
          <w:tcPr>
            <w:tcW w:w="2080" w:type="dxa"/>
            <w:vAlign w:val="bottom"/>
          </w:tcPr>
          <w:p>
            <w:pPr>
              <w:jc w:val="center"/>
              <w:ind w:left="140"/>
              <w:spacing w:after="0"/>
              <w:rPr>
                <w:sz w:val="20"/>
                <w:szCs w:val="20"/>
                <w:color w:val="auto"/>
              </w:rPr>
            </w:pPr>
            <w:r>
              <w:rPr>
                <w:rFonts w:ascii="Arial" w:cs="Arial" w:eastAsia="Arial" w:hAnsi="Arial"/>
                <w:sz w:val="16"/>
                <w:szCs w:val="16"/>
                <w:color w:val="auto"/>
              </w:rPr>
              <w:t>A / A2 / 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7,193,000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0.96 %</w:t>
            </w:r>
          </w:p>
        </w:tc>
        <w:tc>
          <w:tcPr>
            <w:tcW w:w="920" w:type="dxa"/>
            <w:vAlign w:val="bottom"/>
          </w:tcPr>
          <w:p>
            <w:pPr>
              <w:jc w:val="right"/>
              <w:spacing w:after="0"/>
              <w:rPr>
                <w:sz w:val="20"/>
                <w:szCs w:val="20"/>
                <w:color w:val="auto"/>
              </w:rPr>
            </w:pPr>
            <w:r>
              <w:rPr>
                <w:rFonts w:ascii="Arial" w:cs="Arial" w:eastAsia="Arial" w:hAnsi="Arial"/>
                <w:sz w:val="16"/>
                <w:szCs w:val="16"/>
                <w:color w:val="auto"/>
              </w:rPr>
              <w:t>478,000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1.71 %</w:t>
            </w: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Bed, Bath &amp; Beyond, Inc.</w:t>
            </w:r>
          </w:p>
        </w:tc>
        <w:tc>
          <w:tcPr>
            <w:tcW w:w="208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w w:val="95"/>
              </w:rPr>
              <w:t>B+ / Ba3 / NR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7,037,000</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0.94 %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1.70 %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2800" w:type="dxa"/>
            <w:vAlign w:val="bottom"/>
          </w:tcPr>
          <w:p>
            <w:pPr>
              <w:ind w:left="80"/>
              <w:spacing w:after="0"/>
              <w:rPr>
                <w:sz w:val="20"/>
                <w:szCs w:val="20"/>
                <w:color w:val="auto"/>
              </w:rPr>
            </w:pPr>
            <w:r>
              <w:rPr>
                <w:rFonts w:ascii="Arial" w:cs="Arial" w:eastAsia="Arial" w:hAnsi="Arial"/>
                <w:sz w:val="16"/>
                <w:szCs w:val="16"/>
                <w:color w:val="auto"/>
              </w:rPr>
              <w:t>Kroger Co., The</w:t>
            </w:r>
          </w:p>
        </w:tc>
        <w:tc>
          <w:tcPr>
            <w:tcW w:w="2080" w:type="dxa"/>
            <w:vAlign w:val="bottom"/>
          </w:tcPr>
          <w:p>
            <w:pPr>
              <w:jc w:val="center"/>
              <w:ind w:left="140"/>
              <w:spacing w:after="0"/>
              <w:rPr>
                <w:sz w:val="20"/>
                <w:szCs w:val="20"/>
                <w:color w:val="auto"/>
              </w:rPr>
            </w:pPr>
            <w:r>
              <w:rPr>
                <w:rFonts w:ascii="Arial" w:cs="Arial" w:eastAsia="Arial" w:hAnsi="Arial"/>
                <w:sz w:val="16"/>
                <w:szCs w:val="16"/>
                <w:color w:val="auto"/>
                <w:w w:val="95"/>
              </w:rPr>
              <w:t>BBB / Baa1 / NR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7,025,000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0.94 %</w:t>
            </w:r>
          </w:p>
        </w:tc>
        <w:tc>
          <w:tcPr>
            <w:tcW w:w="920" w:type="dxa"/>
            <w:vAlign w:val="bottom"/>
          </w:tcPr>
          <w:p>
            <w:pPr>
              <w:jc w:val="right"/>
              <w:spacing w:after="0"/>
              <w:rPr>
                <w:sz w:val="20"/>
                <w:szCs w:val="20"/>
                <w:color w:val="auto"/>
              </w:rPr>
            </w:pPr>
            <w:r>
              <w:rPr>
                <w:rFonts w:ascii="Arial" w:cs="Arial" w:eastAsia="Arial" w:hAnsi="Arial"/>
                <w:sz w:val="16"/>
                <w:szCs w:val="16"/>
                <w:color w:val="auto"/>
              </w:rPr>
              <w:t>611,000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2.18 %</w:t>
            </w: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Bank of America, N.A.</w:t>
            </w:r>
          </w:p>
        </w:tc>
        <w:tc>
          <w:tcPr>
            <w:tcW w:w="208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rPr>
              <w:t>A- / A2 / AA-</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6,810,000</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0.91 %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0.42 %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2800" w:type="dxa"/>
            <w:vAlign w:val="bottom"/>
          </w:tcPr>
          <w:p>
            <w:pPr>
              <w:ind w:left="80"/>
              <w:spacing w:after="0"/>
              <w:rPr>
                <w:sz w:val="20"/>
                <w:szCs w:val="20"/>
                <w:color w:val="auto"/>
              </w:rPr>
            </w:pPr>
            <w:r>
              <w:rPr>
                <w:rFonts w:ascii="Arial" w:cs="Arial" w:eastAsia="Arial" w:hAnsi="Arial"/>
                <w:sz w:val="16"/>
                <w:szCs w:val="16"/>
                <w:color w:val="auto"/>
              </w:rPr>
              <w:t>Puma North America, Inc.</w:t>
            </w:r>
          </w:p>
        </w:tc>
        <w:tc>
          <w:tcPr>
            <w:tcW w:w="2080" w:type="dxa"/>
            <w:vAlign w:val="bottom"/>
          </w:tcPr>
          <w:p>
            <w:pPr>
              <w:jc w:val="center"/>
              <w:ind w:left="140"/>
              <w:spacing w:after="0"/>
              <w:rPr>
                <w:sz w:val="20"/>
                <w:szCs w:val="20"/>
                <w:color w:val="auto"/>
              </w:rPr>
            </w:pPr>
            <w:r>
              <w:rPr>
                <w:rFonts w:ascii="Arial" w:cs="Arial" w:eastAsia="Arial" w:hAnsi="Arial"/>
                <w:sz w:val="16"/>
                <w:szCs w:val="16"/>
                <w:color w:val="auto"/>
                <w:w w:val="97"/>
              </w:rPr>
              <w:t>NR / NR / NR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6,801,000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0.91 %</w:t>
            </w:r>
          </w:p>
        </w:tc>
        <w:tc>
          <w:tcPr>
            <w:tcW w:w="920" w:type="dxa"/>
            <w:vAlign w:val="bottom"/>
          </w:tcPr>
          <w:p>
            <w:pPr>
              <w:jc w:val="right"/>
              <w:spacing w:after="0"/>
              <w:rPr>
                <w:sz w:val="20"/>
                <w:szCs w:val="20"/>
                <w:color w:val="auto"/>
              </w:rPr>
            </w:pPr>
            <w:r>
              <w:rPr>
                <w:rFonts w:ascii="Arial" w:cs="Arial" w:eastAsia="Arial" w:hAnsi="Arial"/>
                <w:sz w:val="16"/>
                <w:szCs w:val="16"/>
                <w:color w:val="auto"/>
              </w:rPr>
              <w:t>155,000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0.55 %</w:t>
            </w: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Michaels Stores, Inc.</w:t>
            </w:r>
          </w:p>
        </w:tc>
        <w:tc>
          <w:tcPr>
            <w:tcW w:w="208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w w:val="98"/>
              </w:rPr>
              <w:t>B / NR / NR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6,715,000</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0.90 %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1.24 %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2800" w:type="dxa"/>
            <w:vAlign w:val="bottom"/>
          </w:tcPr>
          <w:p>
            <w:pPr>
              <w:ind w:left="80"/>
              <w:spacing w:after="0"/>
              <w:rPr>
                <w:sz w:val="20"/>
                <w:szCs w:val="20"/>
                <w:color w:val="auto"/>
              </w:rPr>
            </w:pPr>
            <w:r>
              <w:rPr>
                <w:rFonts w:ascii="Arial" w:cs="Arial" w:eastAsia="Arial" w:hAnsi="Arial"/>
                <w:sz w:val="16"/>
                <w:szCs w:val="16"/>
                <w:color w:val="auto"/>
              </w:rPr>
              <w:t>Ross Stores, Inc.</w:t>
            </w:r>
          </w:p>
        </w:tc>
        <w:tc>
          <w:tcPr>
            <w:tcW w:w="2080" w:type="dxa"/>
            <w:vAlign w:val="bottom"/>
          </w:tcPr>
          <w:p>
            <w:pPr>
              <w:jc w:val="center"/>
              <w:ind w:left="140"/>
              <w:spacing w:after="0"/>
              <w:rPr>
                <w:sz w:val="20"/>
                <w:szCs w:val="20"/>
                <w:color w:val="auto"/>
              </w:rPr>
            </w:pPr>
            <w:r>
              <w:rPr>
                <w:rFonts w:ascii="Arial" w:cs="Arial" w:eastAsia="Arial" w:hAnsi="Arial"/>
                <w:sz w:val="16"/>
                <w:szCs w:val="16"/>
                <w:color w:val="auto"/>
                <w:w w:val="99"/>
              </w:rPr>
              <w:t>BBB+ / A2 / NR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6,591,000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0.88 %</w:t>
            </w:r>
          </w:p>
        </w:tc>
        <w:tc>
          <w:tcPr>
            <w:tcW w:w="920" w:type="dxa"/>
            <w:vAlign w:val="bottom"/>
          </w:tcPr>
          <w:p>
            <w:pPr>
              <w:jc w:val="right"/>
              <w:spacing w:after="0"/>
              <w:rPr>
                <w:sz w:val="20"/>
                <w:szCs w:val="20"/>
                <w:color w:val="auto"/>
              </w:rPr>
            </w:pPr>
            <w:r>
              <w:rPr>
                <w:rFonts w:ascii="Arial" w:cs="Arial" w:eastAsia="Arial" w:hAnsi="Arial"/>
                <w:sz w:val="16"/>
                <w:szCs w:val="16"/>
                <w:color w:val="auto"/>
              </w:rPr>
              <w:t>315,000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1.12 %</w:t>
            </w: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Best Buy Co., Inc.</w:t>
            </w:r>
          </w:p>
        </w:tc>
        <w:tc>
          <w:tcPr>
            <w:tcW w:w="208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w w:val="99"/>
              </w:rPr>
              <w:t>BBB+ / A3 / NR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6,496,000</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0.87 %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0.83 %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2800" w:type="dxa"/>
            <w:vAlign w:val="bottom"/>
          </w:tcPr>
          <w:p>
            <w:pPr>
              <w:ind w:left="80"/>
              <w:spacing w:after="0"/>
              <w:rPr>
                <w:sz w:val="20"/>
                <w:szCs w:val="20"/>
                <w:color w:val="auto"/>
              </w:rPr>
            </w:pPr>
            <w:r>
              <w:rPr>
                <w:rFonts w:ascii="Arial" w:cs="Arial" w:eastAsia="Arial" w:hAnsi="Arial"/>
                <w:sz w:val="16"/>
                <w:szCs w:val="16"/>
                <w:color w:val="auto"/>
              </w:rPr>
              <w:t>Dick's Sporting Goods, Inc.</w:t>
            </w:r>
          </w:p>
        </w:tc>
        <w:tc>
          <w:tcPr>
            <w:tcW w:w="2080" w:type="dxa"/>
            <w:vAlign w:val="bottom"/>
          </w:tcPr>
          <w:p>
            <w:pPr>
              <w:jc w:val="center"/>
              <w:ind w:left="140"/>
              <w:spacing w:after="0"/>
              <w:rPr>
                <w:sz w:val="20"/>
                <w:szCs w:val="20"/>
                <w:color w:val="auto"/>
              </w:rPr>
            </w:pPr>
            <w:r>
              <w:rPr>
                <w:rFonts w:ascii="Arial" w:cs="Arial" w:eastAsia="Arial" w:hAnsi="Arial"/>
                <w:sz w:val="16"/>
                <w:szCs w:val="16"/>
                <w:color w:val="auto"/>
                <w:w w:val="97"/>
              </w:rPr>
              <w:t>NR / NR / NR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6,318,000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0.85 %</w:t>
            </w:r>
          </w:p>
        </w:tc>
        <w:tc>
          <w:tcPr>
            <w:tcW w:w="920" w:type="dxa"/>
            <w:vAlign w:val="bottom"/>
          </w:tcPr>
          <w:p>
            <w:pPr>
              <w:jc w:val="right"/>
              <w:spacing w:after="0"/>
              <w:rPr>
                <w:sz w:val="20"/>
                <w:szCs w:val="20"/>
                <w:color w:val="auto"/>
              </w:rPr>
            </w:pPr>
            <w:r>
              <w:rPr>
                <w:rFonts w:ascii="Arial" w:cs="Arial" w:eastAsia="Arial" w:hAnsi="Arial"/>
                <w:sz w:val="16"/>
                <w:szCs w:val="16"/>
                <w:color w:val="auto"/>
              </w:rPr>
              <w:t>289,000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1.03 %</w:t>
            </w: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69"/>
        </w:trPr>
        <w:tc>
          <w:tcPr>
            <w:tcW w:w="560" w:type="dxa"/>
            <w:vAlign w:val="bottom"/>
            <w:shd w:val="clear" w:color="auto" w:fill="CCEEFF"/>
          </w:tcPr>
          <w:p>
            <w:pPr>
              <w:jc w:val="right"/>
              <w:ind w:right="39"/>
              <w:spacing w:after="0" w:line="169" w:lineRule="exact"/>
              <w:rPr>
                <w:sz w:val="20"/>
                <w:szCs w:val="20"/>
                <w:color w:val="auto"/>
              </w:rPr>
            </w:pPr>
            <w:r>
              <w:rPr>
                <w:rFonts w:ascii="Arial" w:cs="Arial" w:eastAsia="Arial" w:hAnsi="Arial"/>
                <w:sz w:val="16"/>
                <w:szCs w:val="16"/>
                <w:color w:val="auto"/>
              </w:rPr>
              <w:t>17</w:t>
            </w:r>
          </w:p>
        </w:tc>
        <w:tc>
          <w:tcPr>
            <w:tcW w:w="2800" w:type="dxa"/>
            <w:vAlign w:val="bottom"/>
            <w:shd w:val="clear" w:color="auto" w:fill="CCEEFF"/>
          </w:tcPr>
          <w:p>
            <w:pPr>
              <w:ind w:left="80"/>
              <w:spacing w:after="0" w:line="169" w:lineRule="exact"/>
              <w:rPr>
                <w:sz w:val="20"/>
                <w:szCs w:val="20"/>
                <w:color w:val="auto"/>
              </w:rPr>
            </w:pPr>
            <w:r>
              <w:rPr>
                <w:rFonts w:ascii="Arial" w:cs="Arial" w:eastAsia="Arial" w:hAnsi="Arial"/>
                <w:sz w:val="16"/>
                <w:szCs w:val="16"/>
                <w:color w:val="auto"/>
              </w:rPr>
              <w:t>Albertsons Companies, Inc. (Acme,</w:t>
            </w:r>
          </w:p>
        </w:tc>
        <w:tc>
          <w:tcPr>
            <w:tcW w:w="2080" w:type="dxa"/>
            <w:vAlign w:val="bottom"/>
            <w:shd w:val="clear" w:color="auto" w:fill="CCEEFF"/>
          </w:tcPr>
          <w:p>
            <w:pPr>
              <w:jc w:val="center"/>
              <w:ind w:left="140"/>
              <w:spacing w:after="0" w:line="169" w:lineRule="exact"/>
              <w:rPr>
                <w:sz w:val="20"/>
                <w:szCs w:val="20"/>
                <w:color w:val="auto"/>
              </w:rPr>
            </w:pPr>
            <w:r>
              <w:rPr>
                <w:rFonts w:ascii="Arial" w:cs="Arial" w:eastAsia="Arial" w:hAnsi="Arial"/>
                <w:sz w:val="16"/>
                <w:szCs w:val="16"/>
                <w:color w:val="auto"/>
                <w:w w:val="94"/>
              </w:rPr>
              <w:t>BB / Ba2 / NR</w:t>
            </w:r>
          </w:p>
        </w:tc>
        <w:tc>
          <w:tcPr>
            <w:tcW w:w="1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6,046,000</w:t>
            </w:r>
          </w:p>
        </w:tc>
        <w:tc>
          <w:tcPr>
            <w:tcW w:w="1640" w:type="dxa"/>
            <w:vAlign w:val="bottom"/>
            <w:shd w:val="clear" w:color="auto" w:fill="CCEEFF"/>
          </w:tcPr>
          <w:p>
            <w:pPr>
              <w:jc w:val="right"/>
              <w:ind w:right="40"/>
              <w:spacing w:after="0" w:line="169" w:lineRule="exact"/>
              <w:rPr>
                <w:sz w:val="20"/>
                <w:szCs w:val="20"/>
                <w:color w:val="auto"/>
              </w:rPr>
            </w:pPr>
            <w:r>
              <w:rPr>
                <w:rFonts w:ascii="Arial" w:cs="Arial" w:eastAsia="Arial" w:hAnsi="Arial"/>
                <w:sz w:val="16"/>
                <w:szCs w:val="16"/>
                <w:color w:val="auto"/>
              </w:rPr>
              <w:t>0.81 %</w:t>
            </w: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467,000</w:t>
            </w:r>
          </w:p>
        </w:tc>
        <w:tc>
          <w:tcPr>
            <w:tcW w:w="1180" w:type="dxa"/>
            <w:vAlign w:val="bottom"/>
            <w:shd w:val="clear" w:color="auto" w:fill="CCEEFF"/>
          </w:tcPr>
          <w:p>
            <w:pPr>
              <w:jc w:val="right"/>
              <w:ind w:right="20"/>
              <w:spacing w:after="0" w:line="169" w:lineRule="exact"/>
              <w:rPr>
                <w:sz w:val="20"/>
                <w:szCs w:val="20"/>
                <w:color w:val="auto"/>
              </w:rPr>
            </w:pPr>
            <w:r>
              <w:rPr>
                <w:rFonts w:ascii="Arial" w:cs="Arial" w:eastAsia="Arial" w:hAnsi="Arial"/>
                <w:sz w:val="16"/>
                <w:szCs w:val="16"/>
                <w:color w:val="auto"/>
              </w:rPr>
              <w:t>1.67 %</w:t>
            </w:r>
          </w:p>
        </w:tc>
        <w:tc>
          <w:tcPr>
            <w:tcW w:w="7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2"/>
        </w:trPr>
        <w:tc>
          <w:tcPr>
            <w:tcW w:w="560" w:type="dxa"/>
            <w:vAlign w:val="bottom"/>
            <w:shd w:val="clear" w:color="auto" w:fill="CCEEFF"/>
          </w:tcPr>
          <w:p>
            <w:pPr>
              <w:spacing w:after="0"/>
              <w:rPr>
                <w:sz w:val="18"/>
                <w:szCs w:val="18"/>
                <w:color w:val="auto"/>
              </w:rPr>
            </w:pP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Balducci's, Safeway)</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2800" w:type="dxa"/>
            <w:vAlign w:val="bottom"/>
          </w:tcPr>
          <w:p>
            <w:pPr>
              <w:ind w:left="80"/>
              <w:spacing w:after="0"/>
              <w:rPr>
                <w:sz w:val="20"/>
                <w:szCs w:val="20"/>
                <w:color w:val="auto"/>
              </w:rPr>
            </w:pPr>
            <w:r>
              <w:rPr>
                <w:rFonts w:ascii="Arial" w:cs="Arial" w:eastAsia="Arial" w:hAnsi="Arial"/>
                <w:sz w:val="16"/>
                <w:szCs w:val="16"/>
                <w:color w:val="auto"/>
              </w:rPr>
              <w:t>DSW, Inc</w:t>
            </w:r>
          </w:p>
        </w:tc>
        <w:tc>
          <w:tcPr>
            <w:tcW w:w="2080" w:type="dxa"/>
            <w:vAlign w:val="bottom"/>
          </w:tcPr>
          <w:p>
            <w:pPr>
              <w:jc w:val="center"/>
              <w:ind w:left="140"/>
              <w:spacing w:after="0"/>
              <w:rPr>
                <w:sz w:val="20"/>
                <w:szCs w:val="20"/>
                <w:color w:val="auto"/>
              </w:rPr>
            </w:pPr>
            <w:r>
              <w:rPr>
                <w:rFonts w:ascii="Arial" w:cs="Arial" w:eastAsia="Arial" w:hAnsi="Arial"/>
                <w:sz w:val="16"/>
                <w:szCs w:val="16"/>
                <w:color w:val="auto"/>
                <w:w w:val="97"/>
              </w:rPr>
              <w:t>NR / NR / NR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5,720,000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0.77 %</w:t>
            </w:r>
          </w:p>
        </w:tc>
        <w:tc>
          <w:tcPr>
            <w:tcW w:w="920" w:type="dxa"/>
            <w:vAlign w:val="bottom"/>
          </w:tcPr>
          <w:p>
            <w:pPr>
              <w:jc w:val="right"/>
              <w:spacing w:after="0"/>
              <w:rPr>
                <w:sz w:val="20"/>
                <w:szCs w:val="20"/>
                <w:color w:val="auto"/>
              </w:rPr>
            </w:pPr>
            <w:r>
              <w:rPr>
                <w:rFonts w:ascii="Arial" w:cs="Arial" w:eastAsia="Arial" w:hAnsi="Arial"/>
                <w:sz w:val="16"/>
                <w:szCs w:val="16"/>
                <w:color w:val="auto"/>
              </w:rPr>
              <w:t>224,000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0.80 %</w:t>
            </w: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Ulta Beauty, Inc.</w:t>
            </w:r>
          </w:p>
        </w:tc>
        <w:tc>
          <w:tcPr>
            <w:tcW w:w="208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w w:val="97"/>
              </w:rPr>
              <w:t>NR / NR / NR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5,643,000</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0.76 %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0.57 %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2800" w:type="dxa"/>
            <w:vAlign w:val="bottom"/>
          </w:tcPr>
          <w:p>
            <w:pPr>
              <w:ind w:left="80"/>
              <w:spacing w:after="0"/>
              <w:rPr>
                <w:sz w:val="20"/>
                <w:szCs w:val="20"/>
                <w:color w:val="auto"/>
              </w:rPr>
            </w:pPr>
            <w:r>
              <w:rPr>
                <w:rFonts w:ascii="Arial" w:cs="Arial" w:eastAsia="Arial" w:hAnsi="Arial"/>
                <w:sz w:val="16"/>
                <w:szCs w:val="16"/>
                <w:color w:val="auto"/>
              </w:rPr>
              <w:t>Nordstrom, Inc.</w:t>
            </w:r>
          </w:p>
        </w:tc>
        <w:tc>
          <w:tcPr>
            <w:tcW w:w="2080" w:type="dxa"/>
            <w:vAlign w:val="bottom"/>
          </w:tcPr>
          <w:p>
            <w:pPr>
              <w:jc w:val="center"/>
              <w:ind w:left="140"/>
              <w:spacing w:after="0"/>
              <w:rPr>
                <w:sz w:val="20"/>
                <w:szCs w:val="20"/>
                <w:color w:val="auto"/>
              </w:rPr>
            </w:pPr>
            <w:r>
              <w:rPr>
                <w:rFonts w:ascii="Arial" w:cs="Arial" w:eastAsia="Arial" w:hAnsi="Arial"/>
                <w:sz w:val="16"/>
                <w:szCs w:val="16"/>
                <w:color w:val="auto"/>
                <w:w w:val="95"/>
              </w:rPr>
              <w:t>BB+ / Baa3 / BBB-</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5,538,000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0.74 %</w:t>
            </w:r>
          </w:p>
        </w:tc>
        <w:tc>
          <w:tcPr>
            <w:tcW w:w="920" w:type="dxa"/>
            <w:vAlign w:val="bottom"/>
          </w:tcPr>
          <w:p>
            <w:pPr>
              <w:jc w:val="right"/>
              <w:spacing w:after="0"/>
              <w:rPr>
                <w:sz w:val="20"/>
                <w:szCs w:val="20"/>
                <w:color w:val="auto"/>
              </w:rPr>
            </w:pPr>
            <w:r>
              <w:rPr>
                <w:rFonts w:ascii="Arial" w:cs="Arial" w:eastAsia="Arial" w:hAnsi="Arial"/>
                <w:sz w:val="16"/>
                <w:szCs w:val="16"/>
                <w:color w:val="auto"/>
              </w:rPr>
              <w:t>226,000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0.81 %</w:t>
            </w: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AMC Entertainment Inc.</w:t>
            </w:r>
          </w:p>
        </w:tc>
        <w:tc>
          <w:tcPr>
            <w:tcW w:w="208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w w:val="92"/>
              </w:rPr>
              <w:t>CCC+ / Caa3 / NR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5,424,000</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0.73 %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0.83 %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2800" w:type="dxa"/>
            <w:vAlign w:val="bottom"/>
          </w:tcPr>
          <w:p>
            <w:pPr>
              <w:ind w:left="80"/>
              <w:spacing w:after="0"/>
              <w:rPr>
                <w:sz w:val="20"/>
                <w:szCs w:val="20"/>
                <w:color w:val="auto"/>
              </w:rPr>
            </w:pPr>
            <w:r>
              <w:rPr>
                <w:rFonts w:ascii="Arial" w:cs="Arial" w:eastAsia="Arial" w:hAnsi="Arial"/>
                <w:sz w:val="16"/>
                <w:szCs w:val="16"/>
                <w:color w:val="auto"/>
              </w:rPr>
              <w:t>Target Corporation</w:t>
            </w:r>
          </w:p>
        </w:tc>
        <w:tc>
          <w:tcPr>
            <w:tcW w:w="2080" w:type="dxa"/>
            <w:vAlign w:val="bottom"/>
          </w:tcPr>
          <w:p>
            <w:pPr>
              <w:jc w:val="center"/>
              <w:ind w:left="140"/>
              <w:spacing w:after="0"/>
              <w:rPr>
                <w:sz w:val="20"/>
                <w:szCs w:val="20"/>
                <w:color w:val="auto"/>
              </w:rPr>
            </w:pPr>
            <w:r>
              <w:rPr>
                <w:rFonts w:ascii="Arial" w:cs="Arial" w:eastAsia="Arial" w:hAnsi="Arial"/>
                <w:sz w:val="16"/>
                <w:szCs w:val="16"/>
                <w:color w:val="auto"/>
              </w:rPr>
              <w:t>A / A2 / 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5,356,000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0.72 %</w:t>
            </w:r>
          </w:p>
        </w:tc>
        <w:tc>
          <w:tcPr>
            <w:tcW w:w="920" w:type="dxa"/>
            <w:vAlign w:val="bottom"/>
          </w:tcPr>
          <w:p>
            <w:pPr>
              <w:jc w:val="right"/>
              <w:spacing w:after="0"/>
              <w:rPr>
                <w:sz w:val="20"/>
                <w:szCs w:val="20"/>
                <w:color w:val="auto"/>
              </w:rPr>
            </w:pPr>
            <w:r>
              <w:rPr>
                <w:rFonts w:ascii="Arial" w:cs="Arial" w:eastAsia="Arial" w:hAnsi="Arial"/>
                <w:sz w:val="16"/>
                <w:szCs w:val="16"/>
                <w:color w:val="auto"/>
              </w:rPr>
              <w:t>593,000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2.12 %</w:t>
            </w: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Hudson's Bay Company (Saks)</w:t>
            </w:r>
          </w:p>
        </w:tc>
        <w:tc>
          <w:tcPr>
            <w:tcW w:w="208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w w:val="97"/>
              </w:rPr>
              <w:t>NR / NR / NR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5,042,000</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0.68 %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0.36 %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2800" w:type="dxa"/>
            <w:vAlign w:val="bottom"/>
          </w:tcPr>
          <w:p>
            <w:pPr>
              <w:ind w:left="80"/>
              <w:spacing w:after="0"/>
              <w:rPr>
                <w:sz w:val="20"/>
                <w:szCs w:val="20"/>
                <w:color w:val="auto"/>
              </w:rPr>
            </w:pPr>
            <w:r>
              <w:rPr>
                <w:rFonts w:ascii="Arial" w:cs="Arial" w:eastAsia="Arial" w:hAnsi="Arial"/>
                <w:sz w:val="16"/>
                <w:szCs w:val="16"/>
                <w:color w:val="auto"/>
              </w:rPr>
              <w:t>Wells Fargo Bank, N.A.</w:t>
            </w:r>
          </w:p>
        </w:tc>
        <w:tc>
          <w:tcPr>
            <w:tcW w:w="2080" w:type="dxa"/>
            <w:vAlign w:val="bottom"/>
          </w:tcPr>
          <w:p>
            <w:pPr>
              <w:jc w:val="center"/>
              <w:ind w:left="140"/>
              <w:spacing w:after="0"/>
              <w:rPr>
                <w:sz w:val="20"/>
                <w:szCs w:val="20"/>
                <w:color w:val="auto"/>
              </w:rPr>
            </w:pPr>
            <w:r>
              <w:rPr>
                <w:rFonts w:ascii="Arial" w:cs="Arial" w:eastAsia="Arial" w:hAnsi="Arial"/>
                <w:sz w:val="16"/>
                <w:szCs w:val="16"/>
                <w:color w:val="auto"/>
                <w:w w:val="98"/>
              </w:rPr>
              <w:t>BBB+ / A2 / 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5,030,000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0.67 %</w:t>
            </w:r>
          </w:p>
        </w:tc>
        <w:tc>
          <w:tcPr>
            <w:tcW w:w="920" w:type="dxa"/>
            <w:vAlign w:val="bottom"/>
          </w:tcPr>
          <w:p>
            <w:pPr>
              <w:jc w:val="right"/>
              <w:spacing w:after="0"/>
              <w:rPr>
                <w:sz w:val="20"/>
                <w:szCs w:val="20"/>
                <w:color w:val="auto"/>
              </w:rPr>
            </w:pPr>
            <w:r>
              <w:rPr>
                <w:rFonts w:ascii="Arial" w:cs="Arial" w:eastAsia="Arial" w:hAnsi="Arial"/>
                <w:sz w:val="16"/>
                <w:szCs w:val="16"/>
                <w:color w:val="auto"/>
              </w:rPr>
              <w:t>66,000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0.24 %</w:t>
            </w:r>
          </w:p>
        </w:tc>
        <w:tc>
          <w:tcPr>
            <w:tcW w:w="7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Whole Foods Market, Inc.</w:t>
            </w:r>
          </w:p>
        </w:tc>
        <w:tc>
          <w:tcPr>
            <w:tcW w:w="208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rPr>
              <w:t>AA- / A1 / NR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4,772,000</w:t>
            </w:r>
          </w:p>
        </w:tc>
        <w:tc>
          <w:tcPr>
            <w:tcW w:w="16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0.64 %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167,000</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0.60 %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2800" w:type="dxa"/>
            <w:vAlign w:val="bottom"/>
          </w:tcPr>
          <w:p>
            <w:pPr>
              <w:ind w:left="80"/>
              <w:spacing w:after="0"/>
              <w:rPr>
                <w:sz w:val="20"/>
                <w:szCs w:val="20"/>
                <w:color w:val="auto"/>
              </w:rPr>
            </w:pPr>
            <w:r>
              <w:rPr>
                <w:rFonts w:ascii="Arial" w:cs="Arial" w:eastAsia="Arial" w:hAnsi="Arial"/>
                <w:sz w:val="16"/>
                <w:szCs w:val="16"/>
                <w:color w:val="auto"/>
              </w:rPr>
              <w:t>Totals - Top 25 Tenants</w:t>
            </w:r>
          </w:p>
        </w:tc>
        <w:tc>
          <w:tcPr>
            <w:tcW w:w="20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203,930,000</w:t>
            </w:r>
          </w:p>
        </w:tc>
        <w:tc>
          <w:tcPr>
            <w:tcW w:w="1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27.35 %</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8,684,000</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31.01 %</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0"/>
        </w:trPr>
        <w:tc>
          <w:tcPr>
            <w:tcW w:w="5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6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800" w:type="dxa"/>
            <w:vAlign w:val="bottom"/>
          </w:tcPr>
          <w:p>
            <w:pPr>
              <w:ind w:left="80"/>
              <w:spacing w:after="0"/>
              <w:rPr>
                <w:sz w:val="20"/>
                <w:szCs w:val="20"/>
                <w:color w:val="auto"/>
              </w:rPr>
            </w:pPr>
            <w:r>
              <w:rPr>
                <w:rFonts w:ascii="Arial" w:cs="Arial" w:eastAsia="Arial" w:hAnsi="Arial"/>
                <w:sz w:val="16"/>
                <w:szCs w:val="16"/>
                <w:color w:val="auto"/>
              </w:rPr>
              <w:t>Total (5):</w:t>
            </w:r>
          </w:p>
        </w:tc>
        <w:tc>
          <w:tcPr>
            <w:tcW w:w="20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745,536,000</w:t>
            </w:r>
          </w:p>
        </w:tc>
        <w:tc>
          <w:tcPr>
            <w:tcW w:w="1640" w:type="dxa"/>
            <w:vAlign w:val="bottom"/>
          </w:tcPr>
          <w:p>
            <w:pPr>
              <w:jc w:val="right"/>
              <w:ind w:right="1340"/>
              <w:spacing w:after="0"/>
              <w:rPr>
                <w:sz w:val="20"/>
                <w:szCs w:val="20"/>
                <w:color w:val="auto"/>
              </w:rPr>
            </w:pPr>
            <w:r>
              <w:rPr>
                <w:rFonts w:ascii="Arial" w:cs="Arial" w:eastAsia="Arial" w:hAnsi="Arial"/>
                <w:sz w:val="16"/>
                <w:szCs w:val="16"/>
                <w:color w:val="auto"/>
              </w:rPr>
              <w:t>(2)</w:t>
            </w:r>
          </w:p>
        </w:tc>
        <w:tc>
          <w:tcPr>
            <w:tcW w:w="920" w:type="dxa"/>
            <w:vAlign w:val="bottom"/>
          </w:tcPr>
          <w:p>
            <w:pPr>
              <w:jc w:val="right"/>
              <w:spacing w:after="0"/>
              <w:rPr>
                <w:sz w:val="20"/>
                <w:szCs w:val="20"/>
                <w:color w:val="auto"/>
              </w:rPr>
            </w:pPr>
            <w:r>
              <w:rPr>
                <w:rFonts w:ascii="Arial" w:cs="Arial" w:eastAsia="Arial" w:hAnsi="Arial"/>
                <w:sz w:val="16"/>
                <w:szCs w:val="16"/>
                <w:color w:val="auto"/>
              </w:rPr>
              <w:t>28,004,000</w:t>
            </w:r>
          </w:p>
        </w:tc>
        <w:tc>
          <w:tcPr>
            <w:tcW w:w="1180" w:type="dxa"/>
            <w:vAlign w:val="bottom"/>
          </w:tcPr>
          <w:p>
            <w:pPr>
              <w:jc w:val="right"/>
              <w:ind w:right="880"/>
              <w:spacing w:after="0"/>
              <w:rPr>
                <w:sz w:val="20"/>
                <w:szCs w:val="20"/>
                <w:color w:val="auto"/>
              </w:rPr>
            </w:pPr>
            <w:r>
              <w:rPr>
                <w:rFonts w:ascii="Arial" w:cs="Arial" w:eastAsia="Arial" w:hAnsi="Arial"/>
                <w:sz w:val="16"/>
                <w:szCs w:val="16"/>
                <w:color w:val="auto"/>
              </w:rPr>
              <w:t>(4)</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Notes:</w:t>
      </w:r>
    </w:p>
    <w:p>
      <w:pPr>
        <w:spacing w:after="0" w:line="32" w:lineRule="exact"/>
        <w:rPr>
          <w:sz w:val="20"/>
          <w:szCs w:val="20"/>
          <w:color w:val="auto"/>
        </w:rPr>
      </w:pPr>
    </w:p>
    <w:p>
      <w:pPr>
        <w:ind w:left="640" w:hanging="621"/>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Credit Ratings are as of June 30, 2021. Subsequent rating changes have not been reflected.</w:t>
      </w:r>
    </w:p>
    <w:p>
      <w:pPr>
        <w:spacing w:after="0" w:line="32" w:lineRule="exact"/>
        <w:rPr>
          <w:rFonts w:ascii="Arial" w:cs="Arial" w:eastAsia="Arial" w:hAnsi="Arial"/>
          <w:sz w:val="16"/>
          <w:szCs w:val="16"/>
          <w:color w:val="auto"/>
        </w:rPr>
      </w:pPr>
    </w:p>
    <w:p>
      <w:pPr>
        <w:ind w:left="640" w:hanging="621"/>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32" w:lineRule="exact"/>
        <w:rPr>
          <w:rFonts w:ascii="Arial" w:cs="Arial" w:eastAsia="Arial" w:hAnsi="Arial"/>
          <w:sz w:val="16"/>
          <w:szCs w:val="16"/>
          <w:color w:val="auto"/>
        </w:rPr>
      </w:pPr>
    </w:p>
    <w:p>
      <w:pPr>
        <w:ind w:left="640" w:hanging="621"/>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32" w:lineRule="exact"/>
        <w:rPr>
          <w:rFonts w:ascii="Arial" w:cs="Arial" w:eastAsia="Arial" w:hAnsi="Arial"/>
          <w:sz w:val="16"/>
          <w:szCs w:val="16"/>
          <w:color w:val="auto"/>
        </w:rPr>
      </w:pPr>
    </w:p>
    <w:p>
      <w:pPr>
        <w:ind w:left="640" w:hanging="621"/>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Excludes redevelopment square footage not yet placed in service.</w:t>
      </w:r>
    </w:p>
    <w:p>
      <w:pPr>
        <w:spacing w:after="0" w:line="32" w:lineRule="exact"/>
        <w:rPr>
          <w:rFonts w:ascii="Arial" w:cs="Arial" w:eastAsia="Arial" w:hAnsi="Arial"/>
          <w:sz w:val="16"/>
          <w:szCs w:val="16"/>
          <w:color w:val="auto"/>
        </w:rPr>
      </w:pPr>
    </w:p>
    <w:p>
      <w:pPr>
        <w:ind w:left="640" w:hanging="621"/>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Totals reflect both the commercial and residential portions of our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40" w:top="1026" w:right="359" w:bottom="1440" w:gutter="0" w:footer="0" w:header="0"/>
        </w:sectPr>
      </w:pPr>
    </w:p>
    <w:bookmarkStart w:id="31" w:name="page32"/>
    <w:bookmarkEnd w:id="31"/>
    <w:p>
      <w:pPr>
        <w:ind w:left="1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Tenant Diversification by Category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June 30, 2021</w:t>
      </w:r>
    </w:p>
    <w:p>
      <w:pPr>
        <w:spacing w:after="0" w:line="200" w:lineRule="exact"/>
        <w:rPr>
          <w:sz w:val="20"/>
          <w:szCs w:val="20"/>
          <w:color w:val="auto"/>
        </w:rPr>
      </w:pPr>
    </w:p>
    <w:p>
      <w:pPr>
        <w:spacing w:after="0" w:line="37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 below reflects the breakout of our Annualized Base Rent</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as of June 30, 2021 by type of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0</wp:posOffset>
            </wp:positionV>
            <wp:extent cx="7115175" cy="4594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459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24% of Annualized Base Rent comes from Essential Retail</w:t>
      </w:r>
    </w:p>
    <w:p>
      <w:pPr>
        <w:spacing w:after="0" w:line="7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22% of Annualized Base Rent comes from Office and Residential</w:t>
      </w:r>
    </w:p>
    <w:p>
      <w:pPr>
        <w:spacing w:after="0" w:line="200" w:lineRule="exact"/>
        <w:rPr>
          <w:sz w:val="20"/>
          <w:szCs w:val="20"/>
          <w:color w:val="auto"/>
        </w:rPr>
      </w:pPr>
    </w:p>
    <w:p>
      <w:pPr>
        <w:spacing w:after="0" w:line="390"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Notes:</w:t>
      </w:r>
    </w:p>
    <w:p>
      <w:pPr>
        <w:spacing w:after="0" w:line="144" w:lineRule="exact"/>
        <w:rPr>
          <w:sz w:val="20"/>
          <w:szCs w:val="20"/>
          <w:color w:val="auto"/>
        </w:rPr>
      </w:pPr>
    </w:p>
    <w:p>
      <w:pPr>
        <w:ind w:left="300" w:hanging="300"/>
        <w:spacing w:after="0"/>
        <w:tabs>
          <w:tab w:leader="none" w:pos="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See Glossary of Terms. Excludes redevelopment square footage not yet placed in service.</w:t>
      </w:r>
    </w:p>
    <w:p>
      <w:pPr>
        <w:spacing w:after="0" w:line="35" w:lineRule="exact"/>
        <w:rPr>
          <w:sz w:val="20"/>
          <w:szCs w:val="20"/>
          <w:color w:val="auto"/>
        </w:rPr>
      </w:pPr>
    </w:p>
    <w:p>
      <w:pPr>
        <w:ind w:left="300" w:hanging="300"/>
        <w:spacing w:after="0"/>
        <w:tabs>
          <w:tab w:leader="none" w:pos="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Communications &amp; Home Office includes: Telecommunications, Electronics, and Office Supply.</w:t>
      </w:r>
    </w:p>
    <w:p>
      <w:pPr>
        <w:spacing w:after="0" w:line="45" w:lineRule="exact"/>
        <w:rPr>
          <w:rFonts w:ascii="Arial" w:cs="Arial" w:eastAsia="Arial" w:hAnsi="Arial"/>
          <w:sz w:val="16"/>
          <w:szCs w:val="16"/>
          <w:color w:val="auto"/>
        </w:rPr>
      </w:pPr>
    </w:p>
    <w:p>
      <w:pPr>
        <w:ind w:left="300" w:hanging="300"/>
        <w:spacing w:after="0"/>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Essential includes: Auto, Liquor, Home Improvement, Pets, and Medical.</w:t>
      </w:r>
    </w:p>
    <w:p>
      <w:pPr>
        <w:spacing w:after="0" w:line="22" w:lineRule="exact"/>
        <w:rPr>
          <w:rFonts w:ascii="Arial" w:cs="Arial" w:eastAsia="Arial" w:hAnsi="Arial"/>
          <w:sz w:val="18"/>
          <w:szCs w:val="18"/>
          <w:color w:val="auto"/>
        </w:rPr>
      </w:pPr>
    </w:p>
    <w:p>
      <w:pPr>
        <w:ind w:left="300" w:hanging="300"/>
        <w:spacing w:after="0"/>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Restaurants comprise full service (8%) and quick service (8%).</w:t>
      </w:r>
    </w:p>
    <w:p>
      <w:pPr>
        <w:spacing w:after="0" w:line="22" w:lineRule="exact"/>
        <w:rPr>
          <w:rFonts w:ascii="Arial" w:cs="Arial" w:eastAsia="Arial" w:hAnsi="Arial"/>
          <w:sz w:val="18"/>
          <w:szCs w:val="18"/>
          <w:color w:val="auto"/>
        </w:rPr>
      </w:pPr>
    </w:p>
    <w:p>
      <w:pPr>
        <w:ind w:left="300" w:hanging="300"/>
        <w:spacing w:after="0"/>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Experiential includes: Activity, Cinema, and Entertainment.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239"/>
          </w:cols>
          <w:pgMar w:left="220" w:top="1026" w:right="1440" w:bottom="1440" w:gutter="0" w:footer="0" w:header="0"/>
        </w:sectPr>
      </w:pPr>
    </w:p>
    <w:bookmarkStart w:id="32" w:name="page33"/>
    <w:bookmarkEnd w:id="32"/>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Reconciliation of FFO Guidance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June 30, 2021</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a reconciliation of estimated earnings per diluted share to estimated FFO per diluted share for the full year 2021 and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Estimates do not include the impact from potential acquisitions or dispositions which have not closed as of August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177165</wp:posOffset>
            </wp:positionV>
            <wp:extent cx="1877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Estimated net income available to common shareholders,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Estimated gain on sale of real estate,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Estimated depreciation and amortization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Estimated FFO per diluted share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725805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Estimated net income available to common shareholders, per diluted share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Estimated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Estimated FFO per diluted share (1)</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(1) See Glossary of Terms. Individual items may not add up to total due to rounding.</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Full Year 2021 Guidance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18770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1340" w:type="dxa"/>
            <w:vAlign w:val="bottom"/>
            <w:gridSpan w:val="2"/>
          </w:tcPr>
          <w:p>
            <w:pPr>
              <w:ind w:left="380"/>
              <w:spacing w:after="0"/>
              <w:rPr>
                <w:sz w:val="20"/>
                <w:szCs w:val="20"/>
                <w:color w:val="auto"/>
              </w:rPr>
            </w:pPr>
            <w:r>
              <w:rPr>
                <w:rFonts w:ascii="Arial" w:cs="Arial" w:eastAsia="Arial" w:hAnsi="Arial"/>
                <w:sz w:val="18"/>
                <w:szCs w:val="18"/>
                <w:color w:val="auto"/>
              </w:rPr>
              <w:t>Low</w:t>
            </w:r>
          </w:p>
        </w:tc>
        <w:tc>
          <w:tcPr>
            <w:tcW w:w="340" w:type="dxa"/>
            <w:vAlign w:val="bottom"/>
          </w:tcPr>
          <w:p>
            <w:pPr>
              <w:spacing w:after="0"/>
              <w:rPr>
                <w:sz w:val="20"/>
                <w:szCs w:val="20"/>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High</w:t>
            </w:r>
          </w:p>
        </w:tc>
      </w:tr>
      <w:tr>
        <w:trPr>
          <w:trHeight w:val="224"/>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center"/>
              <w:ind w:left="690"/>
              <w:spacing w:after="0"/>
              <w:rPr>
                <w:sz w:val="20"/>
                <w:szCs w:val="20"/>
                <w:color w:val="auto"/>
              </w:rPr>
            </w:pPr>
            <w:r>
              <w:rPr>
                <w:rFonts w:ascii="Arial" w:cs="Arial" w:eastAsia="Arial" w:hAnsi="Arial"/>
                <w:sz w:val="18"/>
                <w:szCs w:val="18"/>
                <w:color w:val="auto"/>
                <w:w w:val="91"/>
              </w:rPr>
              <w:t>1.91</w:t>
            </w: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center"/>
              <w:ind w:left="550"/>
              <w:spacing w:after="0"/>
              <w:rPr>
                <w:sz w:val="20"/>
                <w:szCs w:val="20"/>
                <w:color w:val="auto"/>
              </w:rPr>
            </w:pPr>
            <w:r>
              <w:rPr>
                <w:rFonts w:ascii="Arial" w:cs="Arial" w:eastAsia="Arial" w:hAnsi="Arial"/>
                <w:sz w:val="18"/>
                <w:szCs w:val="18"/>
                <w:color w:val="auto"/>
                <w:w w:val="85"/>
              </w:rPr>
              <w:t>2.01</w:t>
            </w:r>
          </w:p>
        </w:tc>
      </w:tr>
      <w:tr>
        <w:trPr>
          <w:trHeight w:val="457"/>
        </w:trPr>
        <w:tc>
          <w:tcPr>
            <w:tcW w:w="180" w:type="dxa"/>
            <w:vAlign w:val="bottom"/>
          </w:tcPr>
          <w:p>
            <w:pPr>
              <w:spacing w:after="0"/>
              <w:rPr>
                <w:sz w:val="24"/>
                <w:szCs w:val="24"/>
                <w:color w:val="auto"/>
              </w:rPr>
            </w:pPr>
          </w:p>
        </w:tc>
        <w:tc>
          <w:tcPr>
            <w:tcW w:w="1260" w:type="dxa"/>
            <w:vAlign w:val="bottom"/>
          </w:tcPr>
          <w:p>
            <w:pPr>
              <w:jc w:val="center"/>
              <w:ind w:left="670"/>
              <w:spacing w:after="0"/>
              <w:rPr>
                <w:sz w:val="20"/>
                <w:szCs w:val="20"/>
                <w:color w:val="auto"/>
              </w:rPr>
            </w:pPr>
            <w:r>
              <w:rPr>
                <w:rFonts w:ascii="Arial" w:cs="Arial" w:eastAsia="Arial" w:hAnsi="Arial"/>
                <w:sz w:val="18"/>
                <w:szCs w:val="18"/>
                <w:color w:val="auto"/>
                <w:w w:val="89"/>
              </w:rPr>
              <w:t>(0.22)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center"/>
              <w:ind w:left="530"/>
              <w:spacing w:after="0"/>
              <w:rPr>
                <w:sz w:val="20"/>
                <w:szCs w:val="20"/>
                <w:color w:val="auto"/>
              </w:rPr>
            </w:pPr>
            <w:r>
              <w:rPr>
                <w:rFonts w:ascii="Arial" w:cs="Arial" w:eastAsia="Arial" w:hAnsi="Arial"/>
                <w:sz w:val="18"/>
                <w:szCs w:val="18"/>
                <w:color w:val="auto"/>
                <w:w w:val="93"/>
              </w:rPr>
              <w:t>(0.22)</w:t>
            </w:r>
          </w:p>
        </w:tc>
      </w:tr>
      <w:tr>
        <w:trPr>
          <w:trHeight w:val="230"/>
        </w:trPr>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color w:val="auto"/>
                <w:w w:val="91"/>
              </w:rPr>
              <w:t>3.36</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85"/>
              </w:rPr>
              <w:t>3.36</w:t>
            </w: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color w:val="auto"/>
                <w:w w:val="91"/>
              </w:rPr>
              <w:t>5.05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85"/>
              </w:rPr>
              <w:t>5.15</w:t>
            </w: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r>
      <w:tr>
        <w:trPr>
          <w:trHeight w:val="588"/>
        </w:trPr>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spacing w:after="0"/>
              <w:rPr>
                <w:sz w:val="24"/>
                <w:szCs w:val="24"/>
                <w:color w:val="auto"/>
              </w:rPr>
            </w:pPr>
          </w:p>
        </w:tc>
      </w:tr>
      <w:tr>
        <w:trPr>
          <w:trHeight w:val="223"/>
        </w:trPr>
        <w:tc>
          <w:tcPr>
            <w:tcW w:w="1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9"/>
              </w:rPr>
              <w:t>Full Year 2022 Guidance Range</w:t>
            </w:r>
          </w:p>
        </w:tc>
      </w:tr>
      <w:tr>
        <w:trPr>
          <w:trHeight w:val="426"/>
        </w:trPr>
        <w:tc>
          <w:tcPr>
            <w:tcW w:w="180" w:type="dxa"/>
            <w:vAlign w:val="bottom"/>
          </w:tcPr>
          <w:p>
            <w:pPr>
              <w:spacing w:after="0"/>
              <w:rPr>
                <w:sz w:val="24"/>
                <w:szCs w:val="24"/>
                <w:color w:val="auto"/>
              </w:rPr>
            </w:pPr>
          </w:p>
        </w:tc>
        <w:tc>
          <w:tcPr>
            <w:tcW w:w="1340" w:type="dxa"/>
            <w:vAlign w:val="bottom"/>
            <w:gridSpan w:val="2"/>
          </w:tcPr>
          <w:p>
            <w:pPr>
              <w:ind w:left="380"/>
              <w:spacing w:after="0"/>
              <w:rPr>
                <w:sz w:val="20"/>
                <w:szCs w:val="20"/>
                <w:color w:val="auto"/>
              </w:rPr>
            </w:pPr>
            <w:r>
              <w:rPr>
                <w:rFonts w:ascii="Arial" w:cs="Arial" w:eastAsia="Arial" w:hAnsi="Arial"/>
                <w:sz w:val="18"/>
                <w:szCs w:val="18"/>
                <w:color w:val="auto"/>
              </w:rPr>
              <w:t>Low</w:t>
            </w:r>
          </w:p>
        </w:tc>
        <w:tc>
          <w:tcPr>
            <w:tcW w:w="34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High</w:t>
            </w:r>
          </w:p>
        </w:tc>
      </w:tr>
      <w:tr>
        <w:trPr>
          <w:trHeight w:val="224"/>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center"/>
              <w:ind w:left="690"/>
              <w:spacing w:after="0"/>
              <w:rPr>
                <w:sz w:val="20"/>
                <w:szCs w:val="20"/>
                <w:color w:val="auto"/>
              </w:rPr>
            </w:pPr>
            <w:r>
              <w:rPr>
                <w:rFonts w:ascii="Arial" w:cs="Arial" w:eastAsia="Arial" w:hAnsi="Arial"/>
                <w:sz w:val="18"/>
                <w:szCs w:val="18"/>
                <w:color w:val="auto"/>
                <w:w w:val="91"/>
              </w:rPr>
              <w:t>1.99</w:t>
            </w: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center"/>
              <w:ind w:left="550"/>
              <w:spacing w:after="0"/>
              <w:rPr>
                <w:sz w:val="20"/>
                <w:szCs w:val="20"/>
                <w:color w:val="auto"/>
              </w:rPr>
            </w:pPr>
            <w:r>
              <w:rPr>
                <w:rFonts w:ascii="Arial" w:cs="Arial" w:eastAsia="Arial" w:hAnsi="Arial"/>
                <w:sz w:val="18"/>
                <w:szCs w:val="18"/>
                <w:color w:val="auto"/>
                <w:w w:val="85"/>
              </w:rPr>
              <w:t>2.19</w:t>
            </w:r>
          </w:p>
        </w:tc>
      </w:tr>
      <w:tr>
        <w:trPr>
          <w:trHeight w:val="458"/>
        </w:trPr>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color w:val="auto"/>
                <w:w w:val="91"/>
              </w:rPr>
              <w:t>3.31</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85"/>
              </w:rPr>
              <w:t>3.31</w:t>
            </w: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color w:val="auto"/>
                <w:w w:val="91"/>
              </w:rPr>
              <w:t>5.30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85"/>
              </w:rPr>
              <w:t>5.50</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63" w:lineRule="exact"/>
        <w:rPr>
          <w:sz w:val="20"/>
          <w:szCs w:val="20"/>
          <w:color w:val="auto"/>
        </w:rPr>
      </w:pPr>
    </w:p>
    <w:p>
      <w:pPr>
        <w:sectPr>
          <w:pgSz w:w="11900" w:h="16838" w:orient="portrait"/>
          <w:cols w:equalWidth="0" w:num="2">
            <w:col w:w="7560" w:space="720"/>
            <w:col w:w="2960"/>
          </w:cols>
          <w:pgMar w:left="320" w:top="931" w:right="339" w:bottom="1440" w:gutter="0" w:footer="0" w:header="0"/>
          <w:type w:val="continuous"/>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931" w:right="339"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135"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b w:val="1"/>
          <w:bCs w:val="1"/>
          <w:color w:val="auto"/>
        </w:rPr>
        <w:t xml:space="preserve">EBITDA for Real Estate ("EBITDAre"): </w:t>
      </w:r>
      <w:r>
        <w:rPr>
          <w:rFonts w:ascii="Arial" w:cs="Arial" w:eastAsia="Arial" w:hAnsi="Arial"/>
          <w:sz w:val="16"/>
          <w:szCs w:val="16"/>
          <w:color w:val="auto"/>
        </w:rPr>
        <w:t>EBITDAre is a non-GAAP measure that the National Association of Real Estate Investment Trusts ("NAREIT") defines as: net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income computed in accordance with GAAP plus net interest expense, income tax expense, depreciation and amortization, gain or loss on sale of real estate, impairments of real estate and change in control of interest,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 The reconciliation of net income to EBITDAre for the three and </w:t>
      </w:r>
      <w:r>
        <w:rPr>
          <w:rFonts w:ascii="Arial" w:cs="Arial" w:eastAsia="Arial" w:hAnsi="Arial"/>
          <w:sz w:val="17"/>
          <w:szCs w:val="17"/>
          <w:color w:val="auto"/>
        </w:rPr>
        <w:t>six</w:t>
      </w:r>
      <w:r>
        <w:rPr>
          <w:rFonts w:ascii="Arial" w:cs="Arial" w:eastAsia="Arial" w:hAnsi="Arial"/>
          <w:sz w:val="16"/>
          <w:szCs w:val="16"/>
          <w:color w:val="auto"/>
        </w:rPr>
        <w:t xml:space="preserve"> months ended June 30, 2021 and 2020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6"/>
                <w:szCs w:val="16"/>
                <w:color w:val="auto"/>
              </w:rPr>
            </w:pPr>
          </w:p>
        </w:tc>
      </w:tr>
      <w:tr>
        <w:trPr>
          <w:trHeight w:val="195"/>
        </w:trPr>
        <w:tc>
          <w:tcPr>
            <w:tcW w:w="5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37"/>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87"/>
        </w:trPr>
        <w:tc>
          <w:tcPr>
            <w:tcW w:w="5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w w:val="83"/>
              </w:rPr>
              <w:t>2020</w:t>
            </w:r>
          </w:p>
        </w:tc>
      </w:tr>
      <w:tr>
        <w:trPr>
          <w:trHeight w:val="183"/>
        </w:trPr>
        <w:tc>
          <w:tcPr>
            <w:tcW w:w="5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17"/>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10,859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7"/>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97,798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7"/>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67,300</w:t>
            </w:r>
          </w:p>
        </w:tc>
      </w:tr>
      <w:tr>
        <w:trPr>
          <w:trHeight w:val="213"/>
        </w:trPr>
        <w:tc>
          <w:tcPr>
            <w:tcW w:w="564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31,177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34,073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63,262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62,518</w:t>
            </w:r>
          </w:p>
        </w:tc>
      </w:tr>
      <w:tr>
        <w:trPr>
          <w:trHeight w:val="219"/>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interest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(817)</w:t>
            </w:r>
          </w:p>
        </w:tc>
      </w:tr>
      <w:tr>
        <w:trPr>
          <w:trHeight w:val="213"/>
        </w:trPr>
        <w:tc>
          <w:tcPr>
            <w:tcW w:w="5640" w:type="dxa"/>
            <w:vAlign w:val="bottom"/>
          </w:tcPr>
          <w:p>
            <w:pPr>
              <w:ind w:left="20"/>
              <w:spacing w:after="0"/>
              <w:rPr>
                <w:sz w:val="20"/>
                <w:szCs w:val="20"/>
                <w:color w:val="auto"/>
              </w:rPr>
            </w:pPr>
            <w:r>
              <w:rPr>
                <w:rFonts w:ascii="Arial" w:cs="Arial" w:eastAsia="Arial" w:hAnsi="Arial"/>
                <w:sz w:val="17"/>
                <w:szCs w:val="17"/>
                <w:color w:val="auto"/>
              </w:rPr>
              <w:t>Income tax provision (benefit)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(397)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(472)</w:t>
            </w:r>
          </w:p>
        </w:tc>
      </w:tr>
      <w:tr>
        <w:trPr>
          <w:trHeight w:val="219"/>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131,549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124,972</w:t>
            </w:r>
          </w:p>
        </w:tc>
      </w:tr>
      <w:tr>
        <w:trPr>
          <w:trHeight w:val="213"/>
        </w:trPr>
        <w:tc>
          <w:tcPr>
            <w:tcW w:w="5640" w:type="dxa"/>
            <w:vAlign w:val="bottom"/>
          </w:tcPr>
          <w:p>
            <w:pPr>
              <w:ind w:left="20"/>
              <w:spacing w:after="0"/>
              <w:rPr>
                <w:sz w:val="20"/>
                <w:szCs w:val="20"/>
                <w:color w:val="auto"/>
              </w:rPr>
            </w:pPr>
            <w:r>
              <w:rPr>
                <w:rFonts w:ascii="Arial" w:cs="Arial" w:eastAsia="Arial" w:hAnsi="Arial"/>
                <w:sz w:val="17"/>
                <w:szCs w:val="17"/>
                <w:color w:val="auto"/>
              </w:rPr>
              <w:t>Gain on sale of real estate and change in control of interest</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(11,682)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(17,428)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(11,682)</w:t>
            </w: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of EBITDAre of unconsolidated affiliates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1,613</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1,874</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3,343</w:t>
            </w:r>
          </w:p>
        </w:tc>
      </w:tr>
      <w:tr>
        <w:trPr>
          <w:trHeight w:val="213"/>
        </w:trPr>
        <w:tc>
          <w:tcPr>
            <w:tcW w:w="5640" w:type="dxa"/>
            <w:vAlign w:val="bottom"/>
          </w:tcPr>
          <w:p>
            <w:pPr>
              <w:ind w:left="360"/>
              <w:spacing w:after="0"/>
              <w:rPr>
                <w:sz w:val="20"/>
                <w:szCs w:val="20"/>
                <w:color w:val="auto"/>
              </w:rPr>
            </w:pPr>
            <w:r>
              <w:rPr>
                <w:rFonts w:ascii="Arial" w:cs="Arial" w:eastAsia="Arial" w:hAnsi="Arial"/>
                <w:sz w:val="17"/>
                <w:szCs w:val="17"/>
                <w:color w:val="auto"/>
              </w:rPr>
              <w:t>EBITDAre</w:t>
            </w:r>
          </w:p>
        </w:tc>
        <w:tc>
          <w:tcPr>
            <w:tcW w:w="30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147,760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96,741</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7"/>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276,375</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7"/>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245,162</w:t>
            </w:r>
          </w:p>
        </w:tc>
      </w:tr>
      <w:tr>
        <w:trPr>
          <w:trHeight w:val="21"/>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78" w:lineRule="exact"/>
        <w:rPr>
          <w:sz w:val="20"/>
          <w:szCs w:val="20"/>
          <w:color w:val="auto"/>
        </w:rPr>
      </w:pPr>
    </w:p>
    <w:p>
      <w:pPr>
        <w:spacing w:after="0" w:line="269" w:lineRule="auto"/>
        <w:rPr>
          <w:sz w:val="20"/>
          <w:szCs w:val="20"/>
          <w:color w:val="auto"/>
        </w:rPr>
      </w:pPr>
      <w:r>
        <w:rPr>
          <w:rFonts w:ascii="Arial" w:cs="Arial" w:eastAsia="Arial" w:hAnsi="Arial"/>
          <w:sz w:val="15"/>
          <w:szCs w:val="15"/>
          <w:b w:val="1"/>
          <w:bCs w:val="1"/>
          <w:color w:val="auto"/>
        </w:rPr>
        <w:t xml:space="preserve">Funds From Operations (FFO): </w:t>
      </w:r>
      <w:r>
        <w:rPr>
          <w:rFonts w:ascii="Arial" w:cs="Arial" w:eastAsia="Arial" w:hAnsi="Arial"/>
          <w:sz w:val="15"/>
          <w:szCs w:val="15"/>
          <w:color w:val="auto"/>
        </w:rPr>
        <w:t>FFO is a supplemental measure of real estate companies' operating performances. NAREIT defines FFO as follows: net income, computed</w:t>
      </w:r>
      <w:r>
        <w:rPr>
          <w:rFonts w:ascii="Arial" w:cs="Arial" w:eastAsia="Arial" w:hAnsi="Arial"/>
          <w:sz w:val="15"/>
          <w:szCs w:val="15"/>
          <w:b w:val="1"/>
          <w:bCs w:val="1"/>
          <w:color w:val="auto"/>
        </w:rPr>
        <w:t xml:space="preserve"> </w:t>
      </w:r>
      <w:r>
        <w:rPr>
          <w:rFonts w:ascii="Arial" w:cs="Arial" w:eastAsia="Arial" w:hAnsi="Arial"/>
          <w:sz w:val="15"/>
          <w:szCs w:val="15"/>
          <w:color w:val="auto"/>
        </w:rPr>
        <w:t>in accordance with GAAP plus real estate related depreciation and amortization,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Property Operating Income: </w:t>
      </w:r>
      <w:r>
        <w:rPr>
          <w:rFonts w:ascii="Arial" w:cs="Arial" w:eastAsia="Arial" w:hAnsi="Arial"/>
          <w:sz w:val="16"/>
          <w:szCs w:val="16"/>
          <w:color w:val="auto"/>
        </w:rPr>
        <w:t>Rental income and mortgage interest income, less rental expenses and real estate taxes.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Overall Portfolio: </w:t>
      </w:r>
      <w:r>
        <w:rPr>
          <w:rFonts w:ascii="Arial" w:cs="Arial" w:eastAsia="Arial" w:hAnsi="Arial"/>
          <w:sz w:val="16"/>
          <w:szCs w:val="16"/>
          <w:color w:val="auto"/>
        </w:rPr>
        <w:t>Includes all operating properties owned in reporting period.</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Comparable Properties: </w:t>
      </w:r>
      <w:r>
        <w:rPr>
          <w:rFonts w:ascii="Arial" w:cs="Arial" w:eastAsia="Arial" w:hAnsi="Arial"/>
          <w:sz w:val="15"/>
          <w:szCs w:val="15"/>
          <w:color w:val="auto"/>
        </w:rPr>
        <w:t>Represents our consolidated property portfolio other than those properties that distort comparability between periods in two primary categories:</w:t>
      </w:r>
    </w:p>
    <w:p>
      <w:pPr>
        <w:spacing w:after="0" w:line="35" w:lineRule="exact"/>
        <w:rPr>
          <w:sz w:val="20"/>
          <w:szCs w:val="20"/>
          <w:color w:val="auto"/>
        </w:rPr>
      </w:pPr>
    </w:p>
    <w:p>
      <w:pPr>
        <w:ind w:right="160" w:firstLine="8"/>
        <w:spacing w:after="0" w:line="257" w:lineRule="auto"/>
        <w:tabs>
          <w:tab w:leader="none" w:pos="229" w:val="left"/>
        </w:tabs>
        <w:numPr>
          <w:ilvl w:val="0"/>
          <w:numId w:val="27"/>
        </w:numPr>
        <w:rPr>
          <w:rFonts w:ascii="Arial" w:cs="Arial" w:eastAsia="Arial" w:hAnsi="Arial"/>
          <w:sz w:val="16"/>
          <w:szCs w:val="16"/>
          <w:color w:val="auto"/>
        </w:rPr>
      </w:pPr>
      <w:r>
        <w:rPr>
          <w:rFonts w:ascii="Arial" w:cs="Arial" w:eastAsia="Arial" w:hAnsi="Arial"/>
          <w:sz w:val="16"/>
          <w:szCs w:val="16"/>
          <w:color w:val="auto"/>
        </w:rPr>
        <w:t>assets that were not owned for the full quarter in both periods presented and (2) assets currently under development or being repositioned for significant redevelopment and investment. Comparable property growth statistics are calculated on a GAAP basis.</w:t>
      </w:r>
    </w:p>
    <w:p>
      <w:pPr>
        <w:spacing w:after="0" w:line="101" w:lineRule="exact"/>
        <w:rPr>
          <w:sz w:val="20"/>
          <w:szCs w:val="20"/>
          <w:color w:val="auto"/>
        </w:rPr>
      </w:pPr>
    </w:p>
    <w:p>
      <w:pPr>
        <w:ind w:right="160"/>
        <w:spacing w:after="0" w:line="280" w:lineRule="auto"/>
        <w:rPr>
          <w:sz w:val="20"/>
          <w:szCs w:val="20"/>
          <w:color w:val="auto"/>
        </w:rPr>
      </w:pPr>
      <w:r>
        <w:rPr>
          <w:rFonts w:ascii="Arial" w:cs="Arial" w:eastAsia="Arial" w:hAnsi="Arial"/>
          <w:sz w:val="16"/>
          <w:szCs w:val="16"/>
          <w:b w:val="1"/>
          <w:bCs w:val="1"/>
          <w:color w:val="auto"/>
        </w:rPr>
        <w:t xml:space="preserve">Annualized Base Rent (ABR): </w:t>
      </w:r>
      <w:r>
        <w:rPr>
          <w:rFonts w:ascii="Arial" w:cs="Arial" w:eastAsia="Arial" w:hAnsi="Arial"/>
          <w:sz w:val="16"/>
          <w:szCs w:val="16"/>
          <w:color w:val="auto"/>
        </w:rPr>
        <w:t>Represents aggregate, annualized in-place contractual (defined as rents billed on a cash basis without taking the impact of rent abatements</w:t>
      </w:r>
      <w:r>
        <w:rPr>
          <w:rFonts w:ascii="Arial" w:cs="Arial" w:eastAsia="Arial" w:hAnsi="Arial"/>
          <w:sz w:val="16"/>
          <w:szCs w:val="16"/>
          <w:b w:val="1"/>
          <w:bCs w:val="1"/>
          <w:color w:val="auto"/>
        </w:rPr>
        <w:t xml:space="preserve"> </w:t>
      </w:r>
      <w:r>
        <w:rPr>
          <w:rFonts w:ascii="Arial" w:cs="Arial" w:eastAsia="Arial" w:hAnsi="Arial"/>
          <w:sz w:val="16"/>
          <w:szCs w:val="16"/>
          <w:color w:val="auto"/>
        </w:rPr>
        <w:t>into account) minimum rent for all occupied spaces as of the reporting period.</w:t>
      </w:r>
    </w:p>
    <w:p>
      <w:pPr>
        <w:spacing w:after="0" w:line="70" w:lineRule="exact"/>
        <w:rPr>
          <w:sz w:val="20"/>
          <w:szCs w:val="20"/>
          <w:color w:val="auto"/>
        </w:rPr>
      </w:pPr>
    </w:p>
    <w:p>
      <w:pPr>
        <w:ind w:right="60"/>
        <w:spacing w:after="0" w:line="269" w:lineRule="auto"/>
        <w:rPr>
          <w:sz w:val="20"/>
          <w:szCs w:val="20"/>
          <w:color w:val="auto"/>
        </w:rPr>
      </w:pPr>
      <w:r>
        <w:rPr>
          <w:rFonts w:ascii="Arial" w:cs="Arial" w:eastAsia="Arial" w:hAnsi="Arial"/>
          <w:sz w:val="15"/>
          <w:szCs w:val="15"/>
          <w:b w:val="1"/>
          <w:bCs w:val="1"/>
          <w:color w:val="auto"/>
        </w:rPr>
        <w:t xml:space="preserve">Retail Leasing Summary - Lease Rollover Calculation: </w:t>
      </w:r>
      <w:r>
        <w:rPr>
          <w:rFonts w:ascii="Arial" w:cs="Arial" w:eastAsia="Arial" w:hAnsi="Arial"/>
          <w:sz w:val="15"/>
          <w:szCs w:val="15"/>
          <w:color w:val="auto"/>
        </w:rPr>
        <w:t>The rental increases associated with comparable spaces generally include all leases signed for retail space in</w:t>
      </w:r>
      <w:r>
        <w:rPr>
          <w:rFonts w:ascii="Arial" w:cs="Arial" w:eastAsia="Arial" w:hAnsi="Arial"/>
          <w:sz w:val="15"/>
          <w:szCs w:val="15"/>
          <w:b w:val="1"/>
          <w:bCs w:val="1"/>
          <w:color w:val="auto"/>
        </w:rPr>
        <w:t xml:space="preserve"> </w:t>
      </w:r>
      <w:r>
        <w:rPr>
          <w:rFonts w:ascii="Arial" w:cs="Arial" w:eastAsia="Arial" w:hAnsi="Arial"/>
          <w:sz w:val="15"/>
          <w:szCs w:val="15"/>
          <w:color w:val="auto"/>
        </w:rPr>
        <w:t>arms-length transactions reflecting market leverage between landlords and tenants during the period. The comparison between average rent for expiring leases and new leases is determined by including contractual rent on the expiring lease and annual market rent and in some instances, projections of percentage rent, to be paid on the new lease. In atypical circumstances, management may exercise judgement as to how to most effectively reflect the comparability of rents reported in the calculation. As a result of accommodations made to certain tenants to help them stay open during and after the COVID-19 pandemic, we have found it necessary to exercise more judgement in 2020 and 2021 than in prior years in order to appropriately reflect the comparability of rents in the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Rent abatement and short term rent restructuring agreements that are a result of COVID-19 impacts are not included in this calculation.</w:t>
      </w:r>
    </w:p>
    <w:p>
      <w:pPr>
        <w:spacing w:after="0" w:line="83" w:lineRule="exact"/>
        <w:rPr>
          <w:sz w:val="20"/>
          <w:szCs w:val="20"/>
          <w:color w:val="auto"/>
        </w:rPr>
      </w:pPr>
    </w:p>
    <w:p>
      <w:pPr>
        <w:ind w:right="240"/>
        <w:spacing w:after="0" w:line="280" w:lineRule="auto"/>
        <w:rPr>
          <w:sz w:val="20"/>
          <w:szCs w:val="20"/>
          <w:color w:val="auto"/>
        </w:rPr>
      </w:pPr>
      <w:r>
        <w:rPr>
          <w:rFonts w:ascii="Arial" w:cs="Arial" w:eastAsia="Arial" w:hAnsi="Arial"/>
          <w:sz w:val="16"/>
          <w:szCs w:val="16"/>
          <w:b w:val="1"/>
          <w:bCs w:val="1"/>
          <w:color w:val="auto"/>
        </w:rPr>
        <w:t xml:space="preserve">Tenant Improvements and Incentives: </w:t>
      </w:r>
      <w:r>
        <w:rPr>
          <w:rFonts w:ascii="Arial" w:cs="Arial" w:eastAsia="Arial" w:hAnsi="Arial"/>
          <w:sz w:val="16"/>
          <w:szCs w:val="16"/>
          <w:color w:val="auto"/>
        </w:rPr>
        <w:t>Represents the total dollars committed for the improvement (fit-out) of a space as it relates to a specific lease. Incentives include</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paid to tenants as an inducement to sign a lease that do not represent building improvements.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3"/>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lvl w:ilvl="1">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2"/>
    </w:lvl>
  </w:abstractNum>
  <w:abstractNum w:abstractNumId="8">
    <w:nsid w:val="431BD7B7"/>
    <w:multiLevelType w:val="hybridMultilevel"/>
    <w:lvl w:ilvl="0">
      <w:lvlJc w:val="left"/>
      <w:lvlText w:val="%1)"/>
      <w:numFmt w:val="decimal"/>
      <w:start w:val="6"/>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3"/>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3"/>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2021-08-04T15:40:35Z</dcterms:created>
  <dcterms:modified xsi:type="dcterms:W3CDTF">2021-08-04T15:40:35Z</dcterms:modified>
</cp:coreProperties>
</file>