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May 2, 2018</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340"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800" w:space="720"/>
            <w:col w:w="2580" w:space="720"/>
            <w:col w:w="2160"/>
          </w:cols>
          <w:pgMar w:left="240" w:top="679" w:right="679" w:bottom="1440" w:gutter="0" w:footer="0" w:header="0"/>
          <w:type w:val="continuous"/>
        </w:sectPr>
      </w:pPr>
    </w:p>
    <w:p>
      <w:pPr>
        <w:spacing w:after="0" w:line="1" w:lineRule="exact"/>
        <w:rPr>
          <w:sz w:val="24"/>
          <w:szCs w:val="24"/>
          <w:color w:val="auto"/>
        </w:rPr>
      </w:pPr>
    </w:p>
    <w:p>
      <w:pPr>
        <w:jc w:val="center"/>
        <w:ind w:right="18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right="1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3"/>
          <w:szCs w:val="13"/>
          <w:b w:val="1"/>
          <w:bCs w:val="1"/>
          <w:color w:val="auto"/>
        </w:rPr>
        <w:t>(IRS Employer</w:t>
      </w:r>
    </w:p>
    <w:p>
      <w:pPr>
        <w:jc w:val="center"/>
        <w:ind w:right="122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40" w:space="720"/>
            <w:col w:w="2580" w:space="720"/>
            <w:col w:w="2220"/>
          </w:cols>
          <w:pgMar w:left="240" w:top="679" w:right="679" w:bottom="1440" w:gutter="0" w:footer="0" w:header="0"/>
          <w:type w:val="continuous"/>
        </w:sectPr>
      </w:pPr>
    </w:p>
    <w:p>
      <w:pPr>
        <w:spacing w:after="0" w:line="16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520" w:right="100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980"/>
          </w:cols>
          <w:pgMar w:left="240" w:top="679" w:right="679" w:bottom="1440" w:gutter="0" w:footer="0" w:header="0"/>
          <w:type w:val="continuous"/>
        </w:sectPr>
      </w:pPr>
    </w:p>
    <w:p>
      <w:pPr>
        <w:spacing w:after="0" w:line="33" w:lineRule="exact"/>
        <w:rPr>
          <w:sz w:val="24"/>
          <w:szCs w:val="24"/>
          <w:color w:val="auto"/>
        </w:rPr>
      </w:pPr>
    </w:p>
    <w:p>
      <w:pPr>
        <w:ind w:left="83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2">
            <w:col w:w="10280" w:space="260"/>
            <w:col w:w="440"/>
          </w:cols>
          <w:pgMar w:left="240" w:top="679" w:right="679" w:bottom="1440" w:gutter="0" w:footer="0" w:header="0"/>
          <w:type w:val="continuous"/>
        </w:sectPr>
      </w:pPr>
    </w:p>
    <w:p>
      <w:pPr>
        <w:spacing w:after="0" w:line="33" w:lineRule="exact"/>
        <w:rPr>
          <w:sz w:val="24"/>
          <w:szCs w:val="24"/>
          <w:color w:val="auto"/>
        </w:rPr>
      </w:pPr>
    </w:p>
    <w:p>
      <w:pPr>
        <w:ind w:left="520" w:right="280"/>
        <w:spacing w:after="0" w:line="342" w:lineRule="auto"/>
        <w:rPr>
          <w:sz w:val="20"/>
          <w:szCs w:val="20"/>
          <w:color w:val="auto"/>
        </w:rPr>
      </w:pPr>
      <w:r>
        <w:rPr>
          <w:rFonts w:ascii="Arial" w:cs="Arial" w:eastAsia="Arial" w:hAnsi="Arial"/>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9820" w:space="720"/>
            <w:col w:w="440"/>
          </w:cols>
          <w:pgMar w:left="240" w:top="679" w:right="6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0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annual meeting of shareholders of the Trust was held on May 2, 2018 in North Bethesda, Maryland. The following table sets forth the matters presented for a vote by the shareholders and the voting results with respect to such matters: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0"/>
              </w:rPr>
              <w:t>Votes Withheld/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361"/>
              <w:spacing w:after="0"/>
              <w:rPr>
                <w:sz w:val="20"/>
                <w:szCs w:val="20"/>
                <w:color w:val="auto"/>
              </w:rPr>
            </w:pPr>
            <w:r>
              <w:rPr>
                <w:rFonts w:ascii="Arial" w:cs="Arial" w:eastAsia="Arial" w:hAnsi="Arial"/>
                <w:sz w:val="20"/>
                <w:szCs w:val="20"/>
                <w:b w:val="1"/>
                <w:bCs w:val="1"/>
                <w:color w:val="auto"/>
              </w:rPr>
              <w:t>Broker</w:t>
            </w:r>
          </w:p>
        </w:tc>
      </w:tr>
      <w:tr>
        <w:trPr>
          <w:trHeight w:val="256"/>
        </w:trPr>
        <w:tc>
          <w:tcPr>
            <w:tcW w:w="5000" w:type="dxa"/>
            <w:vAlign w:val="bottom"/>
            <w:gridSpan w:val="2"/>
          </w:tcPr>
          <w:p>
            <w:pPr>
              <w:ind w:left="2280"/>
              <w:spacing w:after="0"/>
              <w:rPr>
                <w:sz w:val="20"/>
                <w:szCs w:val="20"/>
                <w:color w:val="auto"/>
              </w:rPr>
            </w:pPr>
            <w:r>
              <w:rPr>
                <w:rFonts w:ascii="Arial" w:cs="Arial" w:eastAsia="Arial" w:hAnsi="Arial"/>
                <w:sz w:val="20"/>
                <w:szCs w:val="20"/>
                <w:b w:val="1"/>
                <w:bCs w:val="1"/>
                <w:color w:val="auto"/>
              </w:rPr>
              <w:t>Matter</w:t>
            </w:r>
          </w:p>
        </w:tc>
        <w:tc>
          <w:tcPr>
            <w:tcW w:w="1520" w:type="dxa"/>
            <w:vAlign w:val="bottom"/>
            <w:gridSpan w:val="2"/>
          </w:tcPr>
          <w:p>
            <w:pPr>
              <w:ind w:left="280"/>
              <w:spacing w:after="0"/>
              <w:rPr>
                <w:sz w:val="20"/>
                <w:szCs w:val="20"/>
                <w:color w:val="auto"/>
              </w:rPr>
            </w:pPr>
            <w:r>
              <w:rPr>
                <w:rFonts w:ascii="Arial" w:cs="Arial" w:eastAsia="Arial" w:hAnsi="Arial"/>
                <w:sz w:val="20"/>
                <w:szCs w:val="20"/>
                <w:b w:val="1"/>
                <w:bCs w:val="1"/>
                <w:color w:val="auto"/>
              </w:rPr>
              <w:t>Votes For</w:t>
            </w:r>
          </w:p>
        </w:tc>
        <w:tc>
          <w:tcPr>
            <w:tcW w:w="196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87"/>
              </w:rPr>
              <w:t>Against</w:t>
            </w:r>
          </w:p>
        </w:tc>
        <w:tc>
          <w:tcPr>
            <w:tcW w:w="1460" w:type="dxa"/>
            <w:vAlign w:val="bottom"/>
            <w:gridSpan w:val="2"/>
          </w:tcPr>
          <w:p>
            <w:pPr>
              <w:ind w:left="180"/>
              <w:spacing w:after="0"/>
              <w:rPr>
                <w:sz w:val="20"/>
                <w:szCs w:val="20"/>
                <w:color w:val="auto"/>
              </w:rPr>
            </w:pPr>
            <w:r>
              <w:rPr>
                <w:rFonts w:ascii="Arial" w:cs="Arial" w:eastAsia="Arial" w:hAnsi="Arial"/>
                <w:sz w:val="20"/>
                <w:szCs w:val="20"/>
                <w:b w:val="1"/>
                <w:bCs w:val="1"/>
                <w:color w:val="auto"/>
              </w:rPr>
              <w:t>Abstentions</w:t>
            </w:r>
          </w:p>
        </w:tc>
        <w:tc>
          <w:tcPr>
            <w:tcW w:w="1480" w:type="dxa"/>
            <w:vAlign w:val="bottom"/>
          </w:tcPr>
          <w:p>
            <w:pPr>
              <w:jc w:val="right"/>
              <w:ind w:right="201"/>
              <w:spacing w:after="0"/>
              <w:rPr>
                <w:sz w:val="20"/>
                <w:szCs w:val="20"/>
                <w:color w:val="auto"/>
              </w:rPr>
            </w:pPr>
            <w:r>
              <w:rPr>
                <w:rFonts w:ascii="Arial" w:cs="Arial" w:eastAsia="Arial" w:hAnsi="Arial"/>
                <w:sz w:val="20"/>
                <w:szCs w:val="20"/>
                <w:b w:val="1"/>
                <w:bCs w:val="1"/>
                <w:color w:val="auto"/>
              </w:rPr>
              <w:t>Non-Votes</w:t>
            </w:r>
          </w:p>
        </w:tc>
      </w:tr>
      <w:tr>
        <w:trPr>
          <w:trHeight w:val="23"/>
        </w:trPr>
        <w:tc>
          <w:tcPr>
            <w:tcW w:w="4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4"/>
        </w:trPr>
        <w:tc>
          <w:tcPr>
            <w:tcW w:w="5000" w:type="dxa"/>
            <w:vAlign w:val="bottom"/>
            <w:gridSpan w:val="2"/>
          </w:tcPr>
          <w:p>
            <w:pPr>
              <w:ind w:left="40"/>
              <w:spacing w:after="0"/>
              <w:rPr>
                <w:sz w:val="20"/>
                <w:szCs w:val="20"/>
                <w:color w:val="auto"/>
              </w:rPr>
            </w:pPr>
            <w:r>
              <w:rPr>
                <w:rFonts w:ascii="Arial" w:cs="Arial" w:eastAsia="Arial" w:hAnsi="Arial"/>
                <w:sz w:val="20"/>
                <w:szCs w:val="20"/>
                <w:b w:val="1"/>
                <w:bCs w:val="1"/>
                <w:color w:val="auto"/>
              </w:rPr>
              <w:t>Proposal 1: Election of Trustees</w:t>
            </w: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Jon E. Bortz</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62,243,175</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2,355,598</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55,380</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David W. Faeder</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61,078,862</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3,518,528</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56,764</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Elizabeth I. Holland</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64,016,333</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549,743</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88,077</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Gail P. Steinel</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63,321,462</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1,278,725</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53,967</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Warren M. Thompson</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63,190,902</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1,407,702</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55,550</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Joseph S. Vassalluzzo</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62,116,844</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2,395,822</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141,488</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84"/>
        </w:trPr>
        <w:tc>
          <w:tcPr>
            <w:tcW w:w="5000" w:type="dxa"/>
            <w:vAlign w:val="bottom"/>
            <w:gridSpan w:val="2"/>
          </w:tcPr>
          <w:p>
            <w:pPr>
              <w:ind w:left="340"/>
              <w:spacing w:after="0"/>
              <w:rPr>
                <w:sz w:val="20"/>
                <w:szCs w:val="20"/>
                <w:color w:val="auto"/>
              </w:rPr>
            </w:pPr>
            <w:r>
              <w:rPr>
                <w:rFonts w:ascii="Arial" w:cs="Arial" w:eastAsia="Arial" w:hAnsi="Arial"/>
                <w:sz w:val="20"/>
                <w:szCs w:val="20"/>
                <w:color w:val="auto"/>
              </w:rPr>
              <w:t>Donald C. Wood</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62,667,461</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1,931,093</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55,600</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540"/>
        </w:trPr>
        <w:tc>
          <w:tcPr>
            <w:tcW w:w="5000" w:type="dxa"/>
            <w:vAlign w:val="bottom"/>
            <w:gridSpan w:val="2"/>
          </w:tcPr>
          <w:p>
            <w:pPr>
              <w:ind w:left="40"/>
              <w:spacing w:after="0"/>
              <w:rPr>
                <w:sz w:val="20"/>
                <w:szCs w:val="20"/>
                <w:color w:val="auto"/>
              </w:rPr>
            </w:pPr>
            <w:r>
              <w:rPr>
                <w:rFonts w:ascii="Arial" w:cs="Arial" w:eastAsia="Arial" w:hAnsi="Arial"/>
                <w:sz w:val="20"/>
                <w:szCs w:val="20"/>
                <w:b w:val="1"/>
                <w:bCs w:val="1"/>
                <w:color w:val="auto"/>
                <w:w w:val="95"/>
              </w:rPr>
              <w:t>Proposal 2: Advisory vote on the compensation of our</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59,967,562</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4,492,852</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193,739</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3,063,096</w:t>
            </w:r>
          </w:p>
        </w:tc>
      </w:tr>
      <w:tr>
        <w:trPr>
          <w:trHeight w:val="256"/>
        </w:trPr>
        <w:tc>
          <w:tcPr>
            <w:tcW w:w="500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named executive officers</w:t>
            </w: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527"/>
        </w:trPr>
        <w:tc>
          <w:tcPr>
            <w:tcW w:w="5000" w:type="dxa"/>
            <w:vAlign w:val="bottom"/>
            <w:gridSpan w:val="2"/>
          </w:tcPr>
          <w:p>
            <w:pPr>
              <w:ind w:left="40"/>
              <w:spacing w:after="0"/>
              <w:rPr>
                <w:sz w:val="20"/>
                <w:szCs w:val="20"/>
                <w:color w:val="auto"/>
              </w:rPr>
            </w:pPr>
            <w:r>
              <w:rPr>
                <w:rFonts w:ascii="Arial" w:cs="Arial" w:eastAsia="Arial" w:hAnsi="Arial"/>
                <w:sz w:val="20"/>
                <w:szCs w:val="20"/>
                <w:b w:val="1"/>
                <w:bCs w:val="1"/>
                <w:color w:val="auto"/>
              </w:rPr>
              <w:t>Proposal 3: Ratification of the appointment of Grant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66,743,260</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Arial" w:cs="Arial" w:eastAsia="Arial" w:hAnsi="Arial"/>
                <w:sz w:val="20"/>
                <w:szCs w:val="20"/>
                <w:color w:val="auto"/>
              </w:rPr>
              <w:t>904,205</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69,785</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20"/>
                <w:szCs w:val="20"/>
                <w:b w:val="1"/>
                <w:bCs w:val="1"/>
                <w:color w:val="auto"/>
              </w:rPr>
              <w:t>Thornton LLP as the Trust’s independent registered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20"/>
                <w:szCs w:val="20"/>
                <w:b w:val="1"/>
                <w:bCs w:val="1"/>
                <w:color w:val="auto"/>
                <w:w w:val="98"/>
              </w:rPr>
              <w:t>public accounting firm for the year ending December</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6"/>
        </w:trPr>
        <w:tc>
          <w:tcPr>
            <w:tcW w:w="4840" w:type="dxa"/>
            <w:vAlign w:val="bottom"/>
          </w:tcPr>
          <w:p>
            <w:pPr>
              <w:ind w:left="40"/>
              <w:spacing w:after="0"/>
              <w:rPr>
                <w:sz w:val="20"/>
                <w:szCs w:val="20"/>
                <w:color w:val="auto"/>
              </w:rPr>
            </w:pPr>
            <w:r>
              <w:rPr>
                <w:rFonts w:ascii="Arial" w:cs="Arial" w:eastAsia="Arial" w:hAnsi="Arial"/>
                <w:sz w:val="20"/>
                <w:szCs w:val="20"/>
                <w:b w:val="1"/>
                <w:bCs w:val="1"/>
                <w:color w:val="auto"/>
              </w:rPr>
              <w:t>31, 2018</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FEDERAL REALTY INVESTMENT TRUST</w:t>
      </w:r>
    </w:p>
    <w:p>
      <w:pPr>
        <w:spacing w:after="0" w:line="384" w:lineRule="exact"/>
        <w:rPr>
          <w:sz w:val="20"/>
          <w:szCs w:val="20"/>
          <w:color w:val="auto"/>
        </w:rPr>
      </w:pPr>
    </w:p>
    <w:p>
      <w:pPr>
        <w:ind w:left="40"/>
        <w:spacing w:after="0"/>
        <w:tabs>
          <w:tab w:leader="none" w:pos="820" w:val="left"/>
          <w:tab w:leader="none" w:pos="43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May 4, 2018</w:t>
      </w:r>
      <w:r>
        <w:rPr>
          <w:sz w:val="20"/>
          <w:szCs w:val="20"/>
          <w:color w:val="auto"/>
        </w:rPr>
        <w:tab/>
      </w:r>
      <w:r>
        <w:rPr>
          <w:rFonts w:ascii="Arial" w:cs="Arial" w:eastAsia="Arial" w:hAnsi="Arial"/>
          <w:sz w:val="18"/>
          <w:szCs w:val="18"/>
          <w:color w:val="auto"/>
        </w:rPr>
        <w:t xml:space="preserve">By: </w:t>
      </w:r>
      <w:r>
        <w:rPr>
          <w:rFonts w:ascii="Arial" w:cs="Arial" w:eastAsia="Arial" w:hAnsi="Arial"/>
          <w:sz w:val="19"/>
          <w:szCs w:val="19"/>
          <w:u w:val="single" w:color="auto"/>
          <w:color w:val="auto"/>
        </w:rPr>
        <w:t>/s/ Dawn M. Becker</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2019-12-05T04:57:53Z</dcterms:created>
  <dcterms:modified xsi:type="dcterms:W3CDTF">2019-12-05T04:57:53Z</dcterms:modified>
</cp:coreProperties>
</file>