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WASHINGTON, D.C. 20549</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41275</wp:posOffset>
            </wp:positionV>
            <wp:extent cx="1895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-232410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93" w:lineRule="exact"/>
        <w:rPr>
          <w:sz w:val="24"/>
          <w:szCs w:val="24"/>
          <w:color w:val="auto"/>
        </w:rPr>
      </w:pPr>
    </w:p>
    <w:p>
      <w:pPr>
        <w:ind w:left="720" w:right="5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THE SECTION 13 OR 15(D) OF THE SECURITIES EXCHANGE ACT OF 1934</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the quarterly period ended September 30, 2013</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OR</w:t>
      </w:r>
    </w:p>
    <w:p>
      <w:pPr>
        <w:spacing w:after="0" w:line="157"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9" w:lineRule="exact"/>
        <w:rPr>
          <w:sz w:val="24"/>
          <w:szCs w:val="24"/>
          <w:color w:val="auto"/>
        </w:rPr>
      </w:pPr>
    </w:p>
    <w:p>
      <w:pPr>
        <w:ind w:left="3680"/>
        <w:spacing w:after="0"/>
        <w:tabs>
          <w:tab w:leader="none" w:pos="6920" w:val="left"/>
        </w:tabs>
        <w:rPr>
          <w:sz w:val="20"/>
          <w:szCs w:val="20"/>
          <w:color w:val="auto"/>
        </w:rPr>
      </w:pPr>
      <w:r>
        <w:rPr>
          <w:rFonts w:ascii="Arial" w:cs="Arial" w:eastAsia="Arial" w:hAnsi="Arial"/>
          <w:sz w:val="20"/>
          <w:szCs w:val="20"/>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81"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Commission file number: 1-07533</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FEDERAL REALTY INVESTMENT TRUST</w:t>
      </w:r>
    </w:p>
    <w:p>
      <w:pPr>
        <w:spacing w:after="0" w:line="7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Declaration of Trust)</w:t>
      </w:r>
    </w:p>
    <w:p>
      <w:pPr>
        <w:spacing w:after="0" w:line="248" w:lineRule="exact"/>
        <w:rPr>
          <w:sz w:val="24"/>
          <w:szCs w:val="24"/>
          <w:color w:val="auto"/>
        </w:rPr>
      </w:pPr>
    </w:p>
    <w:tbl>
      <w:tblPr>
        <w:tblLayout w:type="fixed"/>
        <w:tblInd w:w="620" w:type="dxa"/>
        <w:tblCellMar>
          <w:top w:w="0" w:type="dxa"/>
          <w:left w:w="0" w:type="dxa"/>
          <w:bottom w:w="0" w:type="dxa"/>
          <w:right w:w="0" w:type="dxa"/>
        </w:tblCellMar>
      </w:tblPr>
      <w:tr>
        <w:trPr>
          <w:trHeight w:val="256"/>
        </w:trPr>
        <w:tc>
          <w:tcPr>
            <w:tcW w:w="6780" w:type="dxa"/>
            <w:vAlign w:val="bottom"/>
          </w:tcPr>
          <w:p>
            <w:pPr>
              <w:jc w:val="center"/>
              <w:ind w:right="2653"/>
              <w:spacing w:after="0"/>
              <w:rPr>
                <w:sz w:val="20"/>
                <w:szCs w:val="20"/>
                <w:color w:val="auto"/>
              </w:rPr>
            </w:pPr>
            <w:r>
              <w:rPr>
                <w:rFonts w:ascii="Arial" w:cs="Arial" w:eastAsia="Arial" w:hAnsi="Arial"/>
                <w:sz w:val="20"/>
                <w:szCs w:val="20"/>
                <w:b w:val="1"/>
                <w:bCs w:val="1"/>
                <w:color w:val="auto"/>
                <w:w w:val="95"/>
              </w:rPr>
              <w:t>Maryland</w:t>
            </w:r>
          </w:p>
        </w:tc>
        <w:tc>
          <w:tcPr>
            <w:tcW w:w="2340" w:type="dxa"/>
            <w:vAlign w:val="bottom"/>
          </w:tcPr>
          <w:p>
            <w:pPr>
              <w:jc w:val="right"/>
              <w:ind w:right="610"/>
              <w:spacing w:after="0"/>
              <w:rPr>
                <w:sz w:val="20"/>
                <w:szCs w:val="20"/>
                <w:color w:val="auto"/>
              </w:rPr>
            </w:pPr>
            <w:r>
              <w:rPr>
                <w:rFonts w:ascii="Arial" w:cs="Arial" w:eastAsia="Arial" w:hAnsi="Arial"/>
                <w:sz w:val="20"/>
                <w:szCs w:val="20"/>
                <w:b w:val="1"/>
                <w:bCs w:val="1"/>
                <w:color w:val="auto"/>
              </w:rPr>
              <w:t>52-0782497</w:t>
            </w:r>
          </w:p>
        </w:tc>
      </w:tr>
      <w:tr>
        <w:trPr>
          <w:trHeight w:val="247"/>
        </w:trPr>
        <w:tc>
          <w:tcPr>
            <w:tcW w:w="6780" w:type="dxa"/>
            <w:vAlign w:val="bottom"/>
          </w:tcPr>
          <w:p>
            <w:pPr>
              <w:jc w:val="center"/>
              <w:ind w:right="2653"/>
              <w:spacing w:after="0"/>
              <w:rPr>
                <w:sz w:val="20"/>
                <w:szCs w:val="20"/>
                <w:color w:val="auto"/>
              </w:rPr>
            </w:pPr>
            <w:r>
              <w:rPr>
                <w:rFonts w:ascii="Arial" w:cs="Arial" w:eastAsia="Arial" w:hAnsi="Arial"/>
                <w:sz w:val="16"/>
                <w:szCs w:val="16"/>
                <w:b w:val="1"/>
                <w:bCs w:val="1"/>
                <w:color w:val="auto"/>
                <w:w w:val="93"/>
              </w:rPr>
              <w:t>(State of Organization)</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3"/>
              </w:rPr>
              <w:t>(IRS Employer Identification No.)</w:t>
            </w:r>
          </w:p>
        </w:tc>
      </w:tr>
      <w:tr>
        <w:trPr>
          <w:trHeight w:val="523"/>
        </w:trPr>
        <w:tc>
          <w:tcPr>
            <w:tcW w:w="6780" w:type="dxa"/>
            <w:vAlign w:val="bottom"/>
          </w:tcPr>
          <w:p>
            <w:pPr>
              <w:jc w:val="center"/>
              <w:ind w:right="2653"/>
              <w:spacing w:after="0"/>
              <w:rPr>
                <w:sz w:val="20"/>
                <w:szCs w:val="20"/>
                <w:color w:val="auto"/>
              </w:rPr>
            </w:pPr>
            <w:r>
              <w:rPr>
                <w:rFonts w:ascii="Arial" w:cs="Arial" w:eastAsia="Arial" w:hAnsi="Arial"/>
                <w:sz w:val="20"/>
                <w:szCs w:val="20"/>
                <w:b w:val="1"/>
                <w:bCs w:val="1"/>
                <w:color w:val="auto"/>
                <w:w w:val="90"/>
              </w:rPr>
              <w:t>1626 East Jefferson Street, Rockville, Maryland</w:t>
            </w:r>
          </w:p>
        </w:tc>
        <w:tc>
          <w:tcPr>
            <w:tcW w:w="2340" w:type="dxa"/>
            <w:vAlign w:val="bottom"/>
          </w:tcPr>
          <w:p>
            <w:pPr>
              <w:jc w:val="right"/>
              <w:ind w:right="830"/>
              <w:spacing w:after="0"/>
              <w:rPr>
                <w:sz w:val="20"/>
                <w:szCs w:val="20"/>
                <w:color w:val="auto"/>
              </w:rPr>
            </w:pPr>
            <w:r>
              <w:rPr>
                <w:rFonts w:ascii="Arial" w:cs="Arial" w:eastAsia="Arial" w:hAnsi="Arial"/>
                <w:sz w:val="20"/>
                <w:szCs w:val="20"/>
                <w:b w:val="1"/>
                <w:bCs w:val="1"/>
                <w:color w:val="auto"/>
              </w:rPr>
              <w:t>20852</w:t>
            </w:r>
          </w:p>
        </w:tc>
      </w:tr>
      <w:tr>
        <w:trPr>
          <w:trHeight w:val="247"/>
        </w:trPr>
        <w:tc>
          <w:tcPr>
            <w:tcW w:w="6780" w:type="dxa"/>
            <w:vAlign w:val="bottom"/>
          </w:tcPr>
          <w:p>
            <w:pPr>
              <w:jc w:val="center"/>
              <w:ind w:right="2673"/>
              <w:spacing w:after="0"/>
              <w:rPr>
                <w:sz w:val="20"/>
                <w:szCs w:val="20"/>
                <w:color w:val="auto"/>
              </w:rPr>
            </w:pPr>
            <w:r>
              <w:rPr>
                <w:rFonts w:ascii="Arial" w:cs="Arial" w:eastAsia="Arial" w:hAnsi="Arial"/>
                <w:sz w:val="16"/>
                <w:szCs w:val="16"/>
                <w:b w:val="1"/>
                <w:bCs w:val="1"/>
                <w:color w:val="auto"/>
                <w:w w:val="91"/>
              </w:rPr>
              <w:t>(Address of Principal Executive Offices)</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3"/>
              </w:rPr>
              <w:t>(Zip Code)</w:t>
            </w:r>
          </w:p>
        </w:tc>
      </w:tr>
      <w:tr>
        <w:trPr>
          <w:trHeight w:val="330"/>
        </w:trPr>
        <w:tc>
          <w:tcPr>
            <w:tcW w:w="6780" w:type="dxa"/>
            <w:vAlign w:val="bottom"/>
          </w:tcPr>
          <w:p>
            <w:pPr>
              <w:jc w:val="right"/>
              <w:ind w:right="1033"/>
              <w:spacing w:after="0"/>
              <w:rPr>
                <w:sz w:val="20"/>
                <w:szCs w:val="20"/>
                <w:color w:val="auto"/>
              </w:rPr>
            </w:pPr>
            <w:r>
              <w:rPr>
                <w:rFonts w:ascii="Arial" w:cs="Arial" w:eastAsia="Arial" w:hAnsi="Arial"/>
                <w:sz w:val="18"/>
                <w:szCs w:val="18"/>
                <w:b w:val="1"/>
                <w:bCs w:val="1"/>
                <w:color w:val="auto"/>
              </w:rPr>
              <w:t>(301) 998-8100</w:t>
            </w:r>
          </w:p>
        </w:tc>
        <w:tc>
          <w:tcPr>
            <w:tcW w:w="2340" w:type="dxa"/>
            <w:vAlign w:val="bottom"/>
          </w:tcPr>
          <w:p>
            <w:pPr>
              <w:spacing w:after="0"/>
              <w:rPr>
                <w:sz w:val="24"/>
                <w:szCs w:val="24"/>
                <w:color w:val="auto"/>
              </w:rPr>
            </w:pPr>
          </w:p>
        </w:tc>
      </w:tr>
      <w:tr>
        <w:trPr>
          <w:trHeight w:val="204"/>
        </w:trPr>
        <w:tc>
          <w:tcPr>
            <w:tcW w:w="6780" w:type="dxa"/>
            <w:vAlign w:val="bottom"/>
          </w:tcPr>
          <w:p>
            <w:pPr>
              <w:jc w:val="center"/>
              <w:ind w:left="3273"/>
              <w:spacing w:after="0"/>
              <w:rPr>
                <w:sz w:val="20"/>
                <w:szCs w:val="20"/>
                <w:color w:val="auto"/>
              </w:rPr>
            </w:pPr>
            <w:r>
              <w:rPr>
                <w:rFonts w:ascii="Arial" w:cs="Arial" w:eastAsia="Arial" w:hAnsi="Arial"/>
                <w:sz w:val="14"/>
                <w:szCs w:val="14"/>
                <w:b w:val="1"/>
                <w:bCs w:val="1"/>
                <w:color w:val="auto"/>
                <w:w w:val="92"/>
              </w:rPr>
              <w:t>(Registrant’s Telephone Number, Including Area Code)</w:t>
            </w:r>
          </w:p>
        </w:tc>
        <w:tc>
          <w:tcPr>
            <w:tcW w:w="2340" w:type="dxa"/>
            <w:vAlign w:val="bottom"/>
          </w:tcPr>
          <w:p>
            <w:pPr>
              <w:spacing w:after="0"/>
              <w:rPr>
                <w:sz w:val="17"/>
                <w:szCs w:val="17"/>
                <w:color w:val="auto"/>
              </w:rPr>
            </w:pPr>
          </w:p>
        </w:tc>
      </w:tr>
    </w:tbl>
    <w:p>
      <w:pPr>
        <w:spacing w:after="0" w:line="146"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ind w:right="38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4" w:right="239" w:bottom="1440" w:gutter="0" w:footer="0" w:header="0"/>
        </w:sectPr>
      </w:pPr>
    </w:p>
    <w:p>
      <w:pPr>
        <w:spacing w:after="0" w:line="70"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740" w:space="700"/>
            <w:col w:w="3960" w:space="720"/>
            <w:col w:w="3260" w:space="720"/>
            <w:col w:w="320"/>
          </w:cols>
          <w:pgMar w:left="240" w:top="234"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97" w:lineRule="exact"/>
        <w:rPr>
          <w:sz w:val="24"/>
          <w:szCs w:val="24"/>
          <w:color w:val="auto"/>
        </w:rPr>
      </w:pPr>
    </w:p>
    <w:p>
      <w:pPr>
        <w:sectPr>
          <w:pgSz w:w="11900" w:h="16838" w:orient="portrait"/>
          <w:cols w:equalWidth="0" w:num="4">
            <w:col w:w="1720" w:space="720"/>
            <w:col w:w="3960" w:space="720"/>
            <w:col w:w="3260" w:space="720"/>
            <w:col w:w="320"/>
          </w:cols>
          <w:pgMar w:left="240" w:top="234"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88" w:lineRule="exact"/>
        <w:rPr>
          <w:sz w:val="24"/>
          <w:szCs w:val="24"/>
          <w:color w:val="auto"/>
        </w:rPr>
      </w:pPr>
    </w:p>
    <w:p>
      <w:pPr>
        <w:sectPr>
          <w:pgSz w:w="11900" w:h="16838" w:orient="portrait"/>
          <w:cols w:equalWidth="0" w:num="3">
            <w:col w:w="8240" w:space="240"/>
            <w:col w:w="500" w:space="180"/>
            <w:col w:w="2260"/>
          </w:cols>
          <w:pgMar w:left="240" w:top="234"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Registrant’s common shares outstanding on October 28, 2013 was 65,040,956.</w:t>
      </w:r>
    </w:p>
    <w:p>
      <w:pPr>
        <w:sectPr>
          <w:pgSz w:w="11900" w:h="16838" w:orient="portrait"/>
          <w:cols w:equalWidth="0" w:num="1">
            <w:col w:w="11420"/>
          </w:cols>
          <w:pgMar w:left="240" w:top="23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1220" w:type="dxa"/>
            <w:vAlign w:val="bottom"/>
            <w:gridSpan w:val="3"/>
          </w:tcPr>
          <w:p>
            <w:pPr>
              <w:spacing w:after="0"/>
              <w:rPr>
                <w:sz w:val="20"/>
                <w:szCs w:val="20"/>
                <w:color w:val="auto"/>
              </w:rPr>
            </w:pPr>
            <w:r>
              <w:rPr>
                <w:rFonts w:ascii="Arial" w:cs="Arial" w:eastAsia="Arial" w:hAnsi="Arial"/>
                <w:sz w:val="16"/>
                <w:szCs w:val="16"/>
                <w:b w:val="1"/>
                <w:bCs w:val="1"/>
                <w:color w:val="0000FF"/>
              </w:rPr>
              <w:t>Table of Contents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66"/>
        </w:trPr>
        <w:tc>
          <w:tcPr>
            <w:tcW w:w="8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0000" w:type="dxa"/>
            <w:vAlign w:val="bottom"/>
          </w:tcPr>
          <w:p>
            <w:pPr>
              <w:jc w:val="center"/>
              <w:ind w:right="930"/>
              <w:spacing w:after="0"/>
              <w:rPr>
                <w:sz w:val="20"/>
                <w:szCs w:val="20"/>
                <w:color w:val="auto"/>
              </w:rPr>
            </w:pPr>
            <w:r>
              <w:rPr>
                <w:rFonts w:ascii="Arial" w:cs="Arial" w:eastAsia="Arial" w:hAnsi="Arial"/>
                <w:sz w:val="18"/>
                <w:szCs w:val="18"/>
                <w:b w:val="1"/>
                <w:bCs w:val="1"/>
                <w:color w:val="auto"/>
              </w:rPr>
              <w:t>FEDERAL REALTY INVESTMENT TRUST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2"/>
        </w:trPr>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0" w:type="dxa"/>
            <w:vAlign w:val="bottom"/>
          </w:tcPr>
          <w:p>
            <w:pPr>
              <w:jc w:val="center"/>
              <w:ind w:right="930"/>
              <w:spacing w:after="0"/>
              <w:rPr>
                <w:sz w:val="20"/>
                <w:szCs w:val="20"/>
                <w:color w:val="auto"/>
              </w:rPr>
            </w:pPr>
            <w:r>
              <w:rPr>
                <w:rFonts w:ascii="Arial" w:cs="Arial" w:eastAsia="Arial" w:hAnsi="Arial"/>
                <w:sz w:val="18"/>
                <w:szCs w:val="18"/>
                <w:b w:val="1"/>
                <w:bCs w:val="1"/>
                <w:color w:val="auto"/>
                <w:w w:val="99"/>
              </w:rPr>
              <w:t>QUARTERLY REPORT ON FORM 10-Q</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jc w:val="center"/>
              <w:ind w:right="910"/>
              <w:spacing w:after="0"/>
              <w:rPr>
                <w:sz w:val="20"/>
                <w:szCs w:val="20"/>
                <w:color w:val="auto"/>
              </w:rPr>
            </w:pPr>
            <w:r>
              <w:rPr>
                <w:rFonts w:ascii="Arial" w:cs="Arial" w:eastAsia="Arial" w:hAnsi="Arial"/>
                <w:sz w:val="18"/>
                <w:szCs w:val="18"/>
                <w:b w:val="1"/>
                <w:bCs w:val="1"/>
                <w:color w:val="auto"/>
                <w:w w:val="97"/>
              </w:rPr>
              <w:t>QUARTER ENDED SEPTEMBER 30, 2013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0" w:type="dxa"/>
            <w:vAlign w:val="bottom"/>
          </w:tcPr>
          <w:p>
            <w:pPr>
              <w:jc w:val="center"/>
              <w:ind w:right="91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08"/>
        </w:trPr>
        <w:tc>
          <w:tcPr>
            <w:tcW w:w="11220" w:type="dxa"/>
            <w:vAlign w:val="bottom"/>
            <w:gridSpan w:val="3"/>
          </w:tcPr>
          <w:p>
            <w:pPr>
              <w:ind w:left="40"/>
              <w:spacing w:after="0"/>
              <w:rPr>
                <w:sz w:val="20"/>
                <w:szCs w:val="20"/>
                <w:color w:val="auto"/>
              </w:rPr>
            </w:pPr>
            <w:r>
              <w:rPr>
                <w:rFonts w:ascii="Arial" w:cs="Arial" w:eastAsia="Arial" w:hAnsi="Arial"/>
                <w:sz w:val="18"/>
                <w:szCs w:val="18"/>
                <w:color w:val="auto"/>
              </w:rPr>
              <w:t>PART I. FINANCIAL INFORMATION</w:t>
            </w:r>
          </w:p>
        </w:tc>
        <w:tc>
          <w:tcPr>
            <w:tcW w:w="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r>
      <w:tr>
        <w:trPr>
          <w:trHeight w:val="250"/>
        </w:trPr>
        <w:tc>
          <w:tcPr>
            <w:tcW w:w="880" w:type="dxa"/>
            <w:vAlign w:val="bottom"/>
          </w:tcPr>
          <w:p>
            <w:pPr>
              <w:ind w:left="40"/>
              <w:spacing w:after="0"/>
              <w:rPr>
                <w:sz w:val="20"/>
                <w:szCs w:val="20"/>
                <w:color w:val="auto"/>
              </w:rPr>
            </w:pPr>
            <w:r>
              <w:rPr>
                <w:rFonts w:ascii="Arial" w:cs="Arial" w:eastAsia="Arial" w:hAnsi="Arial"/>
                <w:sz w:val="18"/>
                <w:szCs w:val="18"/>
                <w:color w:val="auto"/>
              </w:rPr>
              <w:t>Item 1.</w:t>
            </w: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Financial Statements</w:t>
            </w: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50"/>
        </w:trPr>
        <w:tc>
          <w:tcPr>
            <w:tcW w:w="880" w:type="dxa"/>
            <w:vAlign w:val="bottom"/>
          </w:tcPr>
          <w:p>
            <w:pPr>
              <w:spacing w:after="0"/>
              <w:rPr>
                <w:sz w:val="21"/>
                <w:szCs w:val="21"/>
                <w:color w:val="auto"/>
              </w:rPr>
            </w:pP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Consolidated Balance Sheets as of September 30, 2013 (unaudited) and December 31, 2012</w:t>
            </w: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r>
      <w:tr>
        <w:trPr>
          <w:trHeight w:val="250"/>
        </w:trPr>
        <w:tc>
          <w:tcPr>
            <w:tcW w:w="880" w:type="dxa"/>
            <w:vAlign w:val="bottom"/>
          </w:tcPr>
          <w:p>
            <w:pPr>
              <w:spacing w:after="0"/>
              <w:rPr>
                <w:sz w:val="21"/>
                <w:szCs w:val="21"/>
                <w:color w:val="auto"/>
              </w:rPr>
            </w:pP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w w:val="95"/>
              </w:rPr>
              <w:t>Consolidated Statements of Comprehensive Income (unaudited) for the three and nine months ended September 30, 2013 and 2012</w:t>
            </w: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r>
      <w:tr>
        <w:trPr>
          <w:trHeight w:val="250"/>
        </w:trPr>
        <w:tc>
          <w:tcPr>
            <w:tcW w:w="880" w:type="dxa"/>
            <w:vAlign w:val="bottom"/>
          </w:tcPr>
          <w:p>
            <w:pPr>
              <w:spacing w:after="0"/>
              <w:rPr>
                <w:sz w:val="21"/>
                <w:szCs w:val="21"/>
                <w:color w:val="auto"/>
              </w:rPr>
            </w:pP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Consolidated Statement of Shareholders' Equity (unaudited) for the nine months ended September 30, 2013</w:t>
            </w: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r>
      <w:tr>
        <w:trPr>
          <w:trHeight w:val="250"/>
        </w:trPr>
        <w:tc>
          <w:tcPr>
            <w:tcW w:w="880" w:type="dxa"/>
            <w:vAlign w:val="bottom"/>
          </w:tcPr>
          <w:p>
            <w:pPr>
              <w:spacing w:after="0"/>
              <w:rPr>
                <w:sz w:val="21"/>
                <w:szCs w:val="21"/>
                <w:color w:val="auto"/>
              </w:rPr>
            </w:pP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Consolidated Statements of Cash Flows (unaudited) for the nine months ended September 30, 2013 and 2012</w:t>
            </w: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r>
      <w:tr>
        <w:trPr>
          <w:trHeight w:val="250"/>
        </w:trPr>
        <w:tc>
          <w:tcPr>
            <w:tcW w:w="880" w:type="dxa"/>
            <w:vAlign w:val="bottom"/>
          </w:tcPr>
          <w:p>
            <w:pPr>
              <w:spacing w:after="0"/>
              <w:rPr>
                <w:sz w:val="21"/>
                <w:szCs w:val="21"/>
                <w:color w:val="auto"/>
              </w:rPr>
            </w:pP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Notes to Consolidated Financial Statements (unaudited)</w:t>
            </w: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r>
      <w:tr>
        <w:trPr>
          <w:trHeight w:val="250"/>
        </w:trPr>
        <w:tc>
          <w:tcPr>
            <w:tcW w:w="880" w:type="dxa"/>
            <w:vAlign w:val="bottom"/>
          </w:tcPr>
          <w:p>
            <w:pPr>
              <w:ind w:left="40"/>
              <w:spacing w:after="0"/>
              <w:rPr>
                <w:sz w:val="20"/>
                <w:szCs w:val="20"/>
                <w:color w:val="auto"/>
              </w:rPr>
            </w:pPr>
            <w:r>
              <w:rPr>
                <w:rFonts w:ascii="Arial" w:cs="Arial" w:eastAsia="Arial" w:hAnsi="Arial"/>
                <w:sz w:val="18"/>
                <w:szCs w:val="18"/>
                <w:color w:val="auto"/>
              </w:rPr>
              <w:t>Item 2.</w:t>
            </w: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15</w:t>
              </w:r>
            </w:hyperlink>
          </w:p>
        </w:tc>
      </w:tr>
      <w:tr>
        <w:trPr>
          <w:trHeight w:val="250"/>
        </w:trPr>
        <w:tc>
          <w:tcPr>
            <w:tcW w:w="880" w:type="dxa"/>
            <w:vAlign w:val="bottom"/>
          </w:tcPr>
          <w:p>
            <w:pPr>
              <w:ind w:left="40"/>
              <w:spacing w:after="0"/>
              <w:rPr>
                <w:sz w:val="20"/>
                <w:szCs w:val="20"/>
                <w:color w:val="auto"/>
              </w:rPr>
            </w:pPr>
            <w:r>
              <w:rPr>
                <w:rFonts w:ascii="Arial" w:cs="Arial" w:eastAsia="Arial" w:hAnsi="Arial"/>
                <w:sz w:val="18"/>
                <w:szCs w:val="18"/>
                <w:color w:val="auto"/>
              </w:rPr>
              <w:t>Item 3.</w:t>
            </w: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29</w:t>
              </w:r>
            </w:hyperlink>
          </w:p>
        </w:tc>
      </w:tr>
      <w:tr>
        <w:trPr>
          <w:trHeight w:val="250"/>
        </w:trPr>
        <w:tc>
          <w:tcPr>
            <w:tcW w:w="880" w:type="dxa"/>
            <w:vAlign w:val="bottom"/>
          </w:tcPr>
          <w:p>
            <w:pPr>
              <w:ind w:left="40"/>
              <w:spacing w:after="0"/>
              <w:rPr>
                <w:sz w:val="20"/>
                <w:szCs w:val="20"/>
                <w:color w:val="auto"/>
              </w:rPr>
            </w:pPr>
            <w:r>
              <w:rPr>
                <w:rFonts w:ascii="Arial" w:cs="Arial" w:eastAsia="Arial" w:hAnsi="Arial"/>
                <w:sz w:val="18"/>
                <w:szCs w:val="18"/>
                <w:color w:val="auto"/>
              </w:rPr>
              <w:t>Item 4.</w:t>
            </w: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30</w:t>
              </w:r>
            </w:hyperlink>
          </w:p>
        </w:tc>
      </w:tr>
      <w:tr>
        <w:trPr>
          <w:trHeight w:val="574"/>
        </w:trPr>
        <w:tc>
          <w:tcPr>
            <w:tcW w:w="11220" w:type="dxa"/>
            <w:vAlign w:val="bottom"/>
            <w:gridSpan w:val="3"/>
          </w:tcPr>
          <w:p>
            <w:pPr>
              <w:ind w:left="40"/>
              <w:spacing w:after="0"/>
              <w:rPr>
                <w:sz w:val="20"/>
                <w:szCs w:val="20"/>
                <w:color w:val="auto"/>
              </w:rPr>
            </w:pPr>
            <w:r>
              <w:rPr>
                <w:rFonts w:ascii="Arial" w:cs="Arial" w:eastAsia="Arial" w:hAnsi="Arial"/>
                <w:sz w:val="18"/>
                <w:szCs w:val="18"/>
                <w:color w:val="auto"/>
              </w:rPr>
              <w:t>PART II. OTHER INFORMATION</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30</w:t>
              </w:r>
            </w:hyperlink>
          </w:p>
        </w:tc>
      </w:tr>
      <w:tr>
        <w:trPr>
          <w:trHeight w:val="250"/>
        </w:trPr>
        <w:tc>
          <w:tcPr>
            <w:tcW w:w="880" w:type="dxa"/>
            <w:vAlign w:val="bottom"/>
          </w:tcPr>
          <w:p>
            <w:pPr>
              <w:ind w:left="40"/>
              <w:spacing w:after="0"/>
              <w:rPr>
                <w:sz w:val="20"/>
                <w:szCs w:val="20"/>
                <w:color w:val="auto"/>
              </w:rPr>
            </w:pPr>
            <w:r>
              <w:rPr>
                <w:rFonts w:ascii="Arial" w:cs="Arial" w:eastAsia="Arial" w:hAnsi="Arial"/>
                <w:sz w:val="18"/>
                <w:szCs w:val="18"/>
                <w:color w:val="auto"/>
              </w:rPr>
              <w:t>Item 1.</w:t>
            </w: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30</w:t>
              </w:r>
            </w:hyperlink>
          </w:p>
        </w:tc>
      </w:tr>
      <w:tr>
        <w:trPr>
          <w:trHeight w:val="250"/>
        </w:trPr>
        <w:tc>
          <w:tcPr>
            <w:tcW w:w="880" w:type="dxa"/>
            <w:vAlign w:val="bottom"/>
          </w:tcPr>
          <w:p>
            <w:pPr>
              <w:ind w:left="40"/>
              <w:spacing w:after="0"/>
              <w:rPr>
                <w:sz w:val="20"/>
                <w:szCs w:val="20"/>
                <w:color w:val="auto"/>
              </w:rPr>
            </w:pPr>
            <w:r>
              <w:rPr>
                <w:rFonts w:ascii="Arial" w:cs="Arial" w:eastAsia="Arial" w:hAnsi="Arial"/>
                <w:sz w:val="18"/>
                <w:szCs w:val="18"/>
                <w:color w:val="auto"/>
              </w:rPr>
              <w:t>Item 1A.</w:t>
            </w: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30</w:t>
              </w:r>
            </w:hyperlink>
          </w:p>
        </w:tc>
      </w:tr>
      <w:tr>
        <w:trPr>
          <w:trHeight w:val="250"/>
        </w:trPr>
        <w:tc>
          <w:tcPr>
            <w:tcW w:w="880" w:type="dxa"/>
            <w:vAlign w:val="bottom"/>
          </w:tcPr>
          <w:p>
            <w:pPr>
              <w:ind w:left="40"/>
              <w:spacing w:after="0"/>
              <w:rPr>
                <w:sz w:val="20"/>
                <w:szCs w:val="20"/>
                <w:color w:val="auto"/>
              </w:rPr>
            </w:pPr>
            <w:r>
              <w:rPr>
                <w:rFonts w:ascii="Arial" w:cs="Arial" w:eastAsia="Arial" w:hAnsi="Arial"/>
                <w:sz w:val="18"/>
                <w:szCs w:val="18"/>
                <w:color w:val="auto"/>
              </w:rPr>
              <w:t>Item 2.</w:t>
            </w: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31</w:t>
              </w:r>
            </w:hyperlink>
          </w:p>
        </w:tc>
      </w:tr>
      <w:tr>
        <w:trPr>
          <w:trHeight w:val="250"/>
        </w:trPr>
        <w:tc>
          <w:tcPr>
            <w:tcW w:w="880" w:type="dxa"/>
            <w:vAlign w:val="bottom"/>
          </w:tcPr>
          <w:p>
            <w:pPr>
              <w:ind w:left="40"/>
              <w:spacing w:after="0"/>
              <w:rPr>
                <w:sz w:val="20"/>
                <w:szCs w:val="20"/>
                <w:color w:val="auto"/>
              </w:rPr>
            </w:pPr>
            <w:r>
              <w:rPr>
                <w:rFonts w:ascii="Arial" w:cs="Arial" w:eastAsia="Arial" w:hAnsi="Arial"/>
                <w:sz w:val="18"/>
                <w:szCs w:val="18"/>
                <w:color w:val="auto"/>
              </w:rPr>
              <w:t>Item 3.</w:t>
            </w: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31</w:t>
              </w:r>
            </w:hyperlink>
          </w:p>
        </w:tc>
      </w:tr>
      <w:tr>
        <w:trPr>
          <w:trHeight w:val="250"/>
        </w:trPr>
        <w:tc>
          <w:tcPr>
            <w:tcW w:w="880" w:type="dxa"/>
            <w:vAlign w:val="bottom"/>
          </w:tcPr>
          <w:p>
            <w:pPr>
              <w:ind w:left="40"/>
              <w:spacing w:after="0"/>
              <w:rPr>
                <w:sz w:val="20"/>
                <w:szCs w:val="20"/>
                <w:color w:val="auto"/>
              </w:rPr>
            </w:pPr>
            <w:r>
              <w:rPr>
                <w:rFonts w:ascii="Arial" w:cs="Arial" w:eastAsia="Arial" w:hAnsi="Arial"/>
                <w:sz w:val="18"/>
                <w:szCs w:val="18"/>
                <w:color w:val="auto"/>
              </w:rPr>
              <w:t>Item 4.</w:t>
            </w: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31</w:t>
              </w:r>
            </w:hyperlink>
          </w:p>
        </w:tc>
      </w:tr>
      <w:tr>
        <w:trPr>
          <w:trHeight w:val="250"/>
        </w:trPr>
        <w:tc>
          <w:tcPr>
            <w:tcW w:w="880" w:type="dxa"/>
            <w:vAlign w:val="bottom"/>
          </w:tcPr>
          <w:p>
            <w:pPr>
              <w:ind w:left="40"/>
              <w:spacing w:after="0"/>
              <w:rPr>
                <w:sz w:val="20"/>
                <w:szCs w:val="20"/>
                <w:color w:val="auto"/>
              </w:rPr>
            </w:pPr>
            <w:r>
              <w:rPr>
                <w:rFonts w:ascii="Arial" w:cs="Arial" w:eastAsia="Arial" w:hAnsi="Arial"/>
                <w:sz w:val="18"/>
                <w:szCs w:val="18"/>
                <w:color w:val="auto"/>
              </w:rPr>
              <w:t>Item 5.</w:t>
            </w: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31</w:t>
              </w:r>
            </w:hyperlink>
          </w:p>
        </w:tc>
      </w:tr>
      <w:tr>
        <w:trPr>
          <w:trHeight w:val="250"/>
        </w:trPr>
        <w:tc>
          <w:tcPr>
            <w:tcW w:w="880" w:type="dxa"/>
            <w:vAlign w:val="bottom"/>
          </w:tcPr>
          <w:p>
            <w:pPr>
              <w:ind w:left="40"/>
              <w:spacing w:after="0"/>
              <w:rPr>
                <w:sz w:val="20"/>
                <w:szCs w:val="20"/>
                <w:color w:val="auto"/>
              </w:rPr>
            </w:pPr>
            <w:r>
              <w:rPr>
                <w:rFonts w:ascii="Arial" w:cs="Arial" w:eastAsia="Arial" w:hAnsi="Arial"/>
                <w:sz w:val="18"/>
                <w:szCs w:val="18"/>
                <w:color w:val="auto"/>
              </w:rPr>
              <w:t>Item 6.</w:t>
            </w: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31</w:t>
              </w:r>
            </w:hyperlink>
          </w:p>
        </w:tc>
      </w:tr>
      <w:tr>
        <w:trPr>
          <w:trHeight w:val="574"/>
        </w:trPr>
        <w:tc>
          <w:tcPr>
            <w:tcW w:w="11220" w:type="dxa"/>
            <w:vAlign w:val="bottom"/>
            <w:gridSpan w:val="3"/>
          </w:tcPr>
          <w:p>
            <w:pPr>
              <w:ind w:left="40"/>
              <w:spacing w:after="0"/>
              <w:rPr>
                <w:sz w:val="20"/>
                <w:szCs w:val="20"/>
                <w:color w:val="auto"/>
              </w:rPr>
            </w:pPr>
            <w:r>
              <w:rPr>
                <w:rFonts w:ascii="Arial" w:cs="Arial" w:eastAsia="Arial" w:hAnsi="Arial"/>
                <w:sz w:val="18"/>
                <w:szCs w:val="18"/>
                <w:color w:val="auto"/>
              </w:rPr>
              <w:t>SIGNATURES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32</w:t>
              </w:r>
            </w:hyperlink>
          </w:p>
        </w:tc>
      </w:tr>
      <w:tr>
        <w:trPr>
          <w:trHeight w:val="939"/>
        </w:trPr>
        <w:tc>
          <w:tcPr>
            <w:tcW w:w="880" w:type="dxa"/>
            <w:vAlign w:val="bottom"/>
          </w:tcPr>
          <w:p>
            <w:pPr>
              <w:spacing w:after="0"/>
              <w:rPr>
                <w:sz w:val="24"/>
                <w:szCs w:val="24"/>
                <w:color w:val="auto"/>
              </w:rPr>
            </w:pPr>
          </w:p>
        </w:tc>
        <w:tc>
          <w:tcPr>
            <w:tcW w:w="10340" w:type="dxa"/>
            <w:vAlign w:val="bottom"/>
            <w:gridSpan w:val="2"/>
          </w:tcPr>
          <w:p>
            <w:pPr>
              <w:jc w:val="center"/>
              <w:ind w:right="59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following balance sheet as of December 31, 2012, which has been derived from audited financial statements, and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the company believes that the disclosures made are adequate to make the information not misleading. It is suggested that these financial statements be read in conjunction with the financial statements and notes thereto included in the company’s latest Annual Report on Form 10-K. In the opinion of management, all adjustments (consisting of normal, recurring adjustments) necessary for a fair presentation for the periods presented have been included. The results of operations for the three and nine months ended September 30, 2013 are not necessarily indicative of the results that may be expected for the full year.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6" w:right="25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w:t>
            </w:r>
          </w:p>
        </w:tc>
      </w:tr>
      <w:tr>
        <w:trPr>
          <w:trHeight w:val="276"/>
        </w:trPr>
        <w:tc>
          <w:tcPr>
            <w:tcW w:w="8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r>
      <w:tr>
        <w:trPr>
          <w:trHeight w:val="190"/>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rPr>
              <w:t>(In thousands, except share data)</w:t>
            </w:r>
          </w:p>
        </w:tc>
      </w:tr>
      <w:tr>
        <w:trPr>
          <w:trHeight w:val="270"/>
        </w:trPr>
        <w:tc>
          <w:tcPr>
            <w:tcW w:w="8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w w:val="99"/>
              </w:rPr>
              <w:t>Operating (including $265,019 and $264,506 of consolidated variable interest entities, respectively)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4,574,676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4,473,813</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Construction-in-progress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452,406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288,714</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Assets held for sale (discontinued operations)</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17,147</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5,027,082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4,779,674</w:t>
            </w: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w w:val="93"/>
              </w:rPr>
              <w:t>Less accumulated depreciation and amortization (including $17,327 and $12,024 of consolidated variable</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interest entities, respectively)</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(1,316,358)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(1,224,295)</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real estate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3,710,724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3,555,379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127,831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36,988</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and notes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87,284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73,861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Mortgage notes receivable, net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55,198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55,648</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 partnership</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33,169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132,831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132,659</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issuance costs, net of accumulated amortization of $11,258 and $10,140, respectively</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10,861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4,159,476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3,898,565</w:t>
            </w:r>
          </w:p>
        </w:tc>
      </w:tr>
      <w:tr>
        <w:trPr>
          <w:trHeight w:val="67"/>
        </w:trPr>
        <w:tc>
          <w:tcPr>
            <w:tcW w:w="85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SHAREHOLDERS’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Mortgages payable (including $203,423 and $205,299 of consolidated variable interest entities,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respectively)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721,185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760,789</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Capital lease obligations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71,677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71,693</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Notes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299,828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299,575</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Senior notes and debentures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1,213,508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1,076,545</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160,634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120,929</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Dividends payable</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51,846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47,685</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Security deposits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12,957</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103,272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103,379</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2,634,546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2,493,552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Commitments and contingencies (Note 7)</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Redeemable 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93,820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94,420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9"/>
              </w:rPr>
              <w:t>Preferred shares, authorized 15,000,000 shares, $.01 par: 5.417% Series 1 Cumulative Convertible Preferred</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9,997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9,997</w:t>
            </w: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w w:val="90"/>
              </w:rPr>
              <w:t>Common shares of beneficial interest, $.01 par, 100,000,000 shares authorized, 66,036,174 and 64,815,446</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shares issued and outstanding, respectively</w:t>
            </w: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648</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2,000,965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1,875,525</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(600,091)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(586,970)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(12,388)</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1,407,992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1,286,812</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23,781</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1,431,110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1,310,593</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4,159,476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3,898,565</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20"/>
          </w:cols>
          <w:pgMar w:left="240" w:top="12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6"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5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0"/>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(In thousands, except per share data)</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520" w:type="dxa"/>
            <w:vAlign w:val="bottom"/>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income</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154,308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146,943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460,136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428,330</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Other property income</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9,007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9,661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17,842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interest income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237"/>
        </w:trPr>
        <w:tc>
          <w:tcPr>
            <w:tcW w:w="652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159,030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157,232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473,567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450,006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Rental expenses</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29,045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29,658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86,755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82,609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taxes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49,680</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7,543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8,751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22,902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22,894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34,847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119,615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106,451</w:t>
            </w:r>
          </w:p>
        </w:tc>
        <w:tc>
          <w:tcPr>
            <w:tcW w:w="0" w:type="dxa"/>
            <w:vAlign w:val="bottom"/>
          </w:tcPr>
          <w:p>
            <w:pPr>
              <w:spacing w:after="0"/>
              <w:rPr>
                <w:sz w:val="1"/>
                <w:szCs w:val="1"/>
                <w:color w:val="auto"/>
              </w:rPr>
            </w:pPr>
          </w:p>
        </w:tc>
      </w:tr>
      <w:tr>
        <w:trPr>
          <w:trHeight w:val="237"/>
        </w:trPr>
        <w:tc>
          <w:tcPr>
            <w:tcW w:w="65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94,329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90,480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282,876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261,634</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64,701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190,691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188,372</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Other interest income</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(85,744)</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real estate partnerships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39,390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39,285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108,208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104,437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Discontinued operations - income</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Discontinued operations - gain on sale of real estate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520" w:type="dxa"/>
            <w:vAlign w:val="bottom"/>
          </w:tcPr>
          <w:p>
            <w:pPr>
              <w:ind w:left="720"/>
              <w:spacing w:after="0"/>
              <w:rPr>
                <w:sz w:val="20"/>
                <w:szCs w:val="20"/>
                <w:color w:val="auto"/>
              </w:rPr>
            </w:pPr>
            <w:r>
              <w:rPr>
                <w:rFonts w:ascii="Arial" w:cs="Arial" w:eastAsia="Arial" w:hAnsi="Arial"/>
                <w:sz w:val="18"/>
                <w:szCs w:val="18"/>
                <w:color w:val="auto"/>
              </w:rPr>
              <w:t>Results from discontinued operations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23,976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24,803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GAIN ON SALE OF 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63,366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133,011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105,514</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Gain on sale of real estate</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4,994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11,860</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63,366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138,005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117,374</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(3,141)</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134,225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114,233</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Dividends on preferred shares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61,962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38,508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133,819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113,827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BASIC</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estate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2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number of common shares, basic</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64,014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63,711</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estate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2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number of common shares, diluted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65,647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64,202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65,271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63,891</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62,195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36,804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146,854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108,087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THE TRUST</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60,927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35,792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143,074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104,946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20"/>
          </w:cols>
          <w:pgMar w:left="240" w:top="126" w:right="239" w:bottom="90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6" w:right="239" w:bottom="908"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Nine Months Ended September 30, 2013</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w w:val="99"/>
              </w:rPr>
              <w:t>Shareholders’ Equity of the Trust</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1560" w:type="dxa"/>
            <w:vAlign w:val="bottom"/>
            <w:gridSpan w:val="4"/>
            <w:vMerge w:val="restart"/>
          </w:tcPr>
          <w:p>
            <w:pPr>
              <w:jc w:val="right"/>
              <w:ind w:right="179"/>
              <w:spacing w:after="0"/>
              <w:rPr>
                <w:sz w:val="20"/>
                <w:szCs w:val="20"/>
                <w:color w:val="auto"/>
              </w:rPr>
            </w:pPr>
            <w:r>
              <w:rPr>
                <w:rFonts w:ascii="Arial" w:cs="Arial" w:eastAsia="Arial" w:hAnsi="Arial"/>
                <w:sz w:val="14"/>
                <w:szCs w:val="14"/>
                <w:b w:val="1"/>
                <w:bCs w:val="1"/>
                <w:color w:val="auto"/>
              </w:rPr>
              <w:t>Preferred Shares</w:t>
            </w:r>
          </w:p>
        </w:tc>
        <w:tc>
          <w:tcPr>
            <w:tcW w:w="100" w:type="dxa"/>
            <w:vAlign w:val="bottom"/>
            <w:vMerge w:val="restart"/>
          </w:tcPr>
          <w:p>
            <w:pPr>
              <w:spacing w:after="0"/>
              <w:rPr>
                <w:sz w:val="13"/>
                <w:szCs w:val="13"/>
                <w:color w:val="auto"/>
              </w:rPr>
            </w:pPr>
          </w:p>
        </w:tc>
        <w:tc>
          <w:tcPr>
            <w:tcW w:w="1560" w:type="dxa"/>
            <w:vAlign w:val="bottom"/>
            <w:gridSpan w:val="4"/>
            <w:vMerge w:val="restart"/>
          </w:tcPr>
          <w:p>
            <w:pPr>
              <w:jc w:val="right"/>
              <w:ind w:right="139"/>
              <w:spacing w:after="0"/>
              <w:rPr>
                <w:sz w:val="20"/>
                <w:szCs w:val="20"/>
                <w:color w:val="auto"/>
              </w:rPr>
            </w:pPr>
            <w:r>
              <w:rPr>
                <w:rFonts w:ascii="Arial" w:cs="Arial" w:eastAsia="Arial" w:hAnsi="Arial"/>
                <w:sz w:val="14"/>
                <w:szCs w:val="14"/>
                <w:b w:val="1"/>
                <w:bCs w:val="1"/>
                <w:color w:val="auto"/>
              </w:rPr>
              <w:t>Common 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11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2860" w:type="dxa"/>
            <w:vAlign w:val="bottom"/>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Dividends in</w:t>
            </w:r>
          </w:p>
        </w:tc>
        <w:tc>
          <w:tcPr>
            <w:tcW w:w="200" w:type="dxa"/>
            <w:vAlign w:val="bottom"/>
          </w:tcPr>
          <w:p>
            <w:pPr>
              <w:spacing w:after="0"/>
              <w:rPr>
                <w:sz w:val="13"/>
                <w:szCs w:val="13"/>
                <w:color w:val="auto"/>
              </w:rPr>
            </w:pPr>
          </w:p>
        </w:tc>
        <w:tc>
          <w:tcPr>
            <w:tcW w:w="9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Excess of Net</w:t>
            </w:r>
          </w:p>
        </w:tc>
        <w:tc>
          <w:tcPr>
            <w:tcW w:w="110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78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gridSpan w:val="7"/>
          </w:tcPr>
          <w:p>
            <w:pPr>
              <w:spacing w:after="0"/>
              <w:rPr>
                <w:sz w:val="20"/>
                <w:szCs w:val="20"/>
                <w:color w:val="auto"/>
              </w:rPr>
            </w:pPr>
            <w:r>
              <w:rPr>
                <w:rFonts w:ascii="Arial" w:cs="Arial" w:eastAsia="Arial" w:hAnsi="Arial"/>
                <w:sz w:val="14"/>
                <w:szCs w:val="14"/>
                <w:b w:val="1"/>
                <w:bCs w:val="1"/>
                <w:color w:val="auto"/>
                <w:w w:val="96"/>
              </w:rPr>
              <w:t>(In thousands, except share data)</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2012</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399,896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9,997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64,815,446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$1,875,525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(586,970)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23,781</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$ 1,310,593</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w w:val="95"/>
              </w:rPr>
              <w:t>Net income, excluding $2,117 attributable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to redeemable noncontrolling interests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134,225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1,663</w:t>
            </w:r>
          </w:p>
        </w:tc>
        <w:tc>
          <w:tcPr>
            <w:tcW w:w="10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135,888</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Other comprehensive income - change in</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value of interest rate swaps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8,849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8,849</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rPr>
              <w:t>Dividends declared to common</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shareholders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9"/>
              </w:rPr>
              <w:t>(146,940)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(146,940)</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to preferred</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shareholders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rPr>
              <w:t>Distributions declared to noncontrolling</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interests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(1,529)</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(1,529)</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shares issued</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1,075,123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116,786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116,797</w:t>
            </w: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6"/>
                <w:szCs w:val="16"/>
                <w:color w:val="auto"/>
              </w:rPr>
              <w:t>Exercise of stock options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16,304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23"/>
              <w:spacing w:after="0"/>
              <w:rPr>
                <w:sz w:val="20"/>
                <w:szCs w:val="20"/>
                <w:color w:val="auto"/>
              </w:rPr>
            </w:pPr>
            <w:r>
              <w:rPr>
                <w:rFonts w:ascii="Arial" w:cs="Arial" w:eastAsia="Arial" w:hAnsi="Arial"/>
                <w:sz w:val="16"/>
                <w:szCs w:val="16"/>
                <w:color w:val="auto"/>
              </w:rPr>
              <w:t>1,005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Shares issued under dividend reinvestment</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15,002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1,610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1,610</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w w:val="90"/>
              </w:rPr>
              <w:t>Share-based compensation expense, net of</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shares withheld for employee taxes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91,823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040" w:type="dxa"/>
            <w:vAlign w:val="bottom"/>
            <w:gridSpan w:val="3"/>
          </w:tcPr>
          <w:p>
            <w:pPr>
              <w:jc w:val="right"/>
              <w:ind w:right="23"/>
              <w:spacing w:after="0"/>
              <w:rPr>
                <w:sz w:val="20"/>
                <w:szCs w:val="20"/>
                <w:color w:val="auto"/>
              </w:rPr>
            </w:pPr>
            <w:r>
              <w:rPr>
                <w:rFonts w:ascii="Arial" w:cs="Arial" w:eastAsia="Arial" w:hAnsi="Arial"/>
                <w:sz w:val="16"/>
                <w:szCs w:val="16"/>
                <w:color w:val="auto"/>
              </w:rPr>
              <w:t>6,664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6,665</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Conversion and redemption of OP units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22,476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(1,422)</w:t>
            </w:r>
          </w:p>
        </w:tc>
        <w:tc>
          <w:tcPr>
            <w:tcW w:w="0" w:type="dxa"/>
            <w:vAlign w:val="bottom"/>
          </w:tcPr>
          <w:p>
            <w:pPr>
              <w:spacing w:after="0"/>
              <w:rPr>
                <w:sz w:val="1"/>
                <w:szCs w:val="1"/>
                <w:color w:val="auto"/>
              </w:rPr>
            </w:pPr>
          </w:p>
        </w:tc>
      </w:tr>
      <w:tr>
        <w:trPr>
          <w:trHeight w:val="217"/>
        </w:trPr>
        <w:tc>
          <w:tcPr>
            <w:tcW w:w="2860" w:type="dxa"/>
            <w:vAlign w:val="bottom"/>
          </w:tcPr>
          <w:p>
            <w:pPr>
              <w:ind w:left="40"/>
              <w:spacing w:after="0"/>
              <w:rPr>
                <w:sz w:val="20"/>
                <w:szCs w:val="20"/>
                <w:color w:val="auto"/>
              </w:rPr>
            </w:pPr>
            <w:r>
              <w:rPr>
                <w:rFonts w:ascii="Arial" w:cs="Arial" w:eastAsia="Arial" w:hAnsi="Arial"/>
                <w:sz w:val="16"/>
                <w:szCs w:val="16"/>
                <w:color w:val="auto"/>
              </w:rPr>
              <w:t>BALANCE AT SEPTEMBER 30, 2013</w:t>
            </w: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399,896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9,997</w:t>
            </w:r>
          </w:p>
        </w:tc>
        <w:tc>
          <w:tcPr>
            <w:tcW w:w="100" w:type="dxa"/>
            <w:vAlign w:val="bottom"/>
          </w:tcPr>
          <w:p>
            <w:pPr>
              <w:spacing w:after="0"/>
              <w:rPr>
                <w:sz w:val="18"/>
                <w:szCs w:val="18"/>
                <w:color w:val="auto"/>
              </w:rPr>
            </w:pP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2"/>
              </w:rPr>
              <w:t>66,036,174</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660</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w w:val="92"/>
              </w:rPr>
              <w:t>$2,000,965</w:t>
            </w:r>
          </w:p>
        </w:tc>
        <w:tc>
          <w:tcPr>
            <w:tcW w:w="12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(600,091)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5"/>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(3,539)</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23,118</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2"/>
              </w:rPr>
              <w:t>$ 1,431,110</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consolidated statements.</w:t>
      </w: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126"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8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r>
      <w:tr>
        <w:trPr>
          <w:trHeight w:val="190"/>
        </w:trPr>
        <w:tc>
          <w:tcPr>
            <w:tcW w:w="8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138,005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117,374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Adjustment to reconcile net income to net cash provided by operating activities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 including discontinued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119,885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106,702</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Gain on sale of real estate</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(28,855)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(11,860)</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real estate partnerships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2,578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4,236</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Increase in accounts receivable</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(10,182)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(2,419)</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in prepaid expenses and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(7,393)</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Increase in accounts payable and accrued expenses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4,906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5,217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(decrease) in security deposits and 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226,728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209,155</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Acquisition of real estate</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(47,202)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(8,927)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 development and redevelopment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(156,651)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(92,316)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Capital expenditures - other</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(32,200)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(33,700)</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Distribution from real estate partnership in excess of earnings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420</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Leasing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(9,003)</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Repayment of mortgage and other notes receivable, net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91</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(201,487)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(143,435)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to upsize and extend revolving 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Issuance of senior notes, net of costs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269,347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244,807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Redemption and retirement of senior notes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Issuance of mortgages, capital leases and notes payable, net of costs</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5,399</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mortgages, capital leases and notes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(37,375)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Issuance of common shares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118,087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93,668</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 to common and preferred shareholders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(131,172)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Distributions to and redemptions of noncontrolling interests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(5,679)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(7,236)</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65,602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14,154</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Increase in cash and cash equivalents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90,843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79,874</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36,988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67,806</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127,831</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147,680</w:t>
            </w:r>
          </w:p>
        </w:tc>
      </w:tr>
      <w:tr>
        <w:trPr>
          <w:trHeight w:val="27"/>
        </w:trPr>
        <w:tc>
          <w:tcPr>
            <w:tcW w:w="8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6"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2013</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and California. As of September 30, 2013, we owned or had a controlling interest in community and neighborhood shopping centers and mixed-use properties which are operated as 87 predominantly retail real estate projects.</w:t>
      </w:r>
    </w:p>
    <w:p>
      <w:pPr>
        <w:spacing w:after="0" w:line="13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 Certain 2012 amounts have been reclassified to conform to current period 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4"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February 2013, the FASB issued ASU 2013-02, “Comprehensive Income (Topic 220): Reporting Amounts Reclassified Out of Accumulated Other Comprehensive Income.” ASU 2013-02 requires entities to disclose certain information relating to amounts reclassified out of accumulated other comprehensive income. We adopted the standard effective January 1, 2013 and it did not have a significant impact to our consolidated financial statements.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6" w:right="27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50"/>
        </w:trPr>
        <w:tc>
          <w:tcPr>
            <w:tcW w:w="85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Total interest costs incurred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91,208</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93,213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capitalized</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(7,469)</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Interest expense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80,314</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85,744</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Cash paid for interest, net of amounts capitalized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85,240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89,959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Cash paid (refunded) for income taxes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NON-CASH FINANCING TRANSACTION:</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Shares issued under dividend reinvestment plan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(1,325)</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17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On April 3, 2013, we acquired the fee interest in a 95,000 square foot retail property located in Darien, Connecticut for $47.3 million. The purchase price allocation will be finalized after our valuation studies are complete. We incurred approximately $0.2 million of acquisition costs which are included in "general and administrative expenses" for the nine months ended September 30, 2013.</w:t>
      </w:r>
    </w:p>
    <w:p>
      <w:pPr>
        <w:spacing w:after="0" w:line="20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On April 5, 2013, one of our tenants acquired our fee interest in the land under an office building at our Village of Shirlington property in Arlington, Virginia, that was subject to a long term ground lease. The ground lease included an option for the tenant to purchase the fee interest. The sales price was $6.5 million, and the gain was $5.0 million.</w:t>
      </w:r>
    </w:p>
    <w:p>
      <w:pPr>
        <w:spacing w:after="0" w:line="20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On July 22, 2013, we sold the fee interest in our final building at Fifth Avenue in San Diego, California, for a sales price of $15.3 million resulting in a gain of $10.7 million. On September 10, 2013 we sold the fee interest in a building in Forest Hills (Queens), New York, for a sales price of $20.4 million resulting in a gain of $13.2 million. Both sales were completed as a Section 1031 tax deferred exchange transaction with the acquisition of the property in Darien.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4—REAL ESTATE PARTNERSHIP</w:t>
      </w:r>
    </w:p>
    <w:p>
      <w:pPr>
        <w:spacing w:after="0" w:line="9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September 30, 2013, the Partnership owned seven retail real estate properties. We are the manager of the Partnership and its properties, earning fees for acquisitions, dispositions, management, leasing, and financing. Intercompany profit generated from fees is eliminated in consolidation. We also have the opportunity to receive performance-based earnings through our Partnership interest. Accounting policies for the Partnership are similar to accounting policies followed by the Trust. The Partnership is subject to a buy-sell provision which is customary for real estate joint venture agreements and the industry. Either partner may initiate this provision at any time, which could result in either the sale of our interest or the use of available cash or borrowings to acquire Clarion’s interest.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6"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summarized operating results and the financial position of the Partnership:</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96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66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0"/>
        </w:trPr>
        <w:tc>
          <w:tcPr>
            <w:tcW w:w="5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ind w:left="6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620" w:type="dxa"/>
            <w:vAlign w:val="bottom"/>
          </w:tcPr>
          <w:p>
            <w:pPr>
              <w:ind w:left="40"/>
              <w:spacing w:after="0"/>
              <w:rPr>
                <w:sz w:val="20"/>
                <w:szCs w:val="20"/>
                <w:color w:val="auto"/>
              </w:rPr>
            </w:pPr>
            <w:r>
              <w:rPr>
                <w:rFonts w:ascii="Arial" w:cs="Arial" w:eastAsia="Arial" w:hAnsi="Arial"/>
                <w:sz w:val="18"/>
                <w:szCs w:val="18"/>
                <w:color w:val="auto"/>
              </w:rPr>
              <w:t>OPERATING RESULTS</w:t>
            </w: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860" w:type="dxa"/>
            <w:vAlign w:val="bottom"/>
            <w:tcBorders>
              <w:bottom w:val="single" w:sz="8" w:color="CCEEFF"/>
            </w:tcBorders>
            <w:shd w:val="clear" w:color="auto" w:fill="CCEEFF"/>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4,642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14,070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Expenses</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expenses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1,321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1,369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4,099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3,530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3,458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11,078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10,465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CCEEFF"/>
            </w:tcBorders>
            <w:shd w:val="clear" w:color="auto" w:fill="CCEEFF"/>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1,112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Our share of net income from real estate partnership</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860" w:type="dxa"/>
            <w:vAlign w:val="bottom"/>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5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4"/>
                <w:szCs w:val="24"/>
                <w:color w:val="auto"/>
              </w:rPr>
            </w:pPr>
          </w:p>
        </w:tc>
        <w:tc>
          <w:tcPr>
            <w:tcW w:w="118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gridSpan w:val="4"/>
          </w:tcPr>
          <w:p>
            <w:pPr>
              <w:jc w:val="right"/>
              <w:ind w:right="87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SHEETS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 estate, net</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171,896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174,509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5,782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5,536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181,130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182,780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Mortgages payable</w:t>
            </w:r>
          </w:p>
        </w:tc>
        <w:tc>
          <w:tcPr>
            <w:tcW w:w="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56,982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57,155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4,771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Partners’ capital</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120,339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120,854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partners’ capital</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181,130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182,780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Our share of unconsolidated debt</w:t>
            </w:r>
          </w:p>
        </w:tc>
        <w:tc>
          <w:tcPr>
            <w:tcW w:w="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17,095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17,147</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860" w:type="dxa"/>
            <w:vAlign w:val="bottom"/>
            <w:tcBorders>
              <w:bottom w:val="single" w:sz="8" w:color="CCEEFF"/>
            </w:tcBorders>
          </w:tcPr>
          <w:p>
            <w:pPr>
              <w:spacing w:after="0"/>
              <w:rPr>
                <w:sz w:val="5"/>
                <w:szCs w:val="5"/>
                <w:color w:val="auto"/>
              </w:rPr>
            </w:pPr>
          </w:p>
        </w:tc>
        <w:tc>
          <w:tcPr>
            <w:tcW w:w="5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Our investment in real estate partnership</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32,971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33,169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2013, we repaid the following mortgage loans at par:</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4"/>
              </w:rPr>
              <w:t>Payoff Amount</w:t>
            </w:r>
          </w:p>
        </w:tc>
        <w:tc>
          <w:tcPr>
            <w:tcW w:w="220" w:type="dxa"/>
            <w:vAlign w:val="bottom"/>
          </w:tcPr>
          <w:p>
            <w:pPr>
              <w:spacing w:after="0"/>
              <w:rPr>
                <w:sz w:val="16"/>
                <w:szCs w:val="16"/>
                <w:color w:val="auto"/>
              </w:rPr>
            </w:pPr>
          </w:p>
        </w:tc>
        <w:tc>
          <w:tcPr>
            <w:tcW w:w="182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b w:val="1"/>
                <w:bCs w:val="1"/>
                <w:color w:val="auto"/>
              </w:rPr>
              <w:t>Repayment Date</w:t>
            </w:r>
          </w:p>
        </w:tc>
        <w:tc>
          <w:tcPr>
            <w:tcW w:w="220" w:type="dxa"/>
            <w:vAlign w:val="bottom"/>
          </w:tcPr>
          <w:p>
            <w:pPr>
              <w:spacing w:after="0"/>
              <w:rPr>
                <w:sz w:val="16"/>
                <w:szCs w:val="16"/>
                <w:color w:val="auto"/>
              </w:rPr>
            </w:pPr>
          </w:p>
        </w:tc>
        <w:tc>
          <w:tcPr>
            <w:tcW w:w="18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Maturity Date</w:t>
            </w:r>
          </w:p>
        </w:tc>
      </w:tr>
      <w:tr>
        <w:trPr>
          <w:trHeight w:val="264"/>
        </w:trPr>
        <w:tc>
          <w:tcPr>
            <w:tcW w:w="5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(In millions)</w:t>
            </w:r>
          </w:p>
        </w:tc>
        <w:tc>
          <w:tcPr>
            <w:tcW w:w="1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White Marsh Plaza</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January 2,</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2013</w:t>
            </w:r>
          </w:p>
        </w:tc>
        <w:tc>
          <w:tcPr>
            <w:tcW w:w="2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April 1, 2013</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Crow Canyon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9"/>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June 11,</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2013</w:t>
            </w: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August 11, 2013</w:t>
            </w:r>
          </w:p>
        </w:tc>
      </w:tr>
    </w:tbl>
    <w:p>
      <w:pPr>
        <w:spacing w:after="0" w:line="17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On April 22, 2013, we upsized our $400.0 million revolving credit facility to $600.0 million and extended the maturity date to April 21, 2017, subject to a one-year extension at our option. Under the amended credit facility, the spread over LIBOR is 90 basis points based on our credit rating as of May 1, 2013.</w:t>
      </w:r>
    </w:p>
    <w:p>
      <w:pPr>
        <w:spacing w:after="0" w:line="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May 9, 2013, we issued $275.0 million of fixed rate senior notes that mature on June 1, 2023 and bear interest at 2.75%. The net proceeds from this note offering after issuance discounts, underwriting fees and other costs were approximately $269.3 million.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On June 9, 2013, we redeemed our $135.0 million 5.40% senior notes prior to the original maturity date of December 1, 2013. The redemption price of</w:t>
      </w:r>
    </w:p>
    <w:p>
      <w:pPr>
        <w:spacing w:after="0" w:line="3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$138.5 million included a make-whole premium of approximately $3.3 million and accrued but unpaid interest of $0.2 million. The make-whole premium is included in "early extinguishment of debt" for the nine months ended September 30, 2013.</w:t>
      </w:r>
    </w:p>
    <w:p>
      <w:pPr>
        <w:spacing w:after="0" w:line="13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was no balance outstanding on our revolving credit facility as of and for the three months ended September 30, 2013. During the nine months ended September 30, 2013, the maximum amount of borrowings outstanding under our revolving credit</w:t>
      </w:r>
    </w:p>
    <w:p>
      <w:pPr>
        <w:sectPr>
          <w:pgSz w:w="11900" w:h="16838" w:orient="portrait"/>
          <w:cols w:equalWidth="0" w:num="1">
            <w:col w:w="11420"/>
          </w:cols>
          <w:pgMar w:left="240" w:top="126"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6"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facility was $76.0 million, the weighted average amount of borrowings outstanding was $13.0 million, and the weighted average interest rate, before amortization of debt fees, was 1.29%.</w:t>
      </w:r>
    </w:p>
    <w:p>
      <w:pPr>
        <w:spacing w:after="0" w:line="35"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Our revolving credit facility, term loan and certain notes require us to comply with various financial covenants, including the maintenance of minimum shareholders’ equity and debt coverage ratios and a maximum ratio of debt to net worth. As of September 30, 2013, we were in compliance with all loan covenants.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6—FAIR VALUE OF FINANCIAL INSTRUMENTS</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September 30, 2013</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3"/>
                <w:szCs w:val="13"/>
                <w:color w:val="auto"/>
              </w:rPr>
            </w:pPr>
          </w:p>
        </w:tc>
        <w:tc>
          <w:tcPr>
            <w:tcW w:w="98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3"/>
                <w:szCs w:val="13"/>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and notes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1,021,013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1,055,657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1,060,364</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1,110,757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Senior notes and debentures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1,213,508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1,247,124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41"/>
              <w:spacing w:after="0"/>
              <w:rPr>
                <w:sz w:val="20"/>
                <w:szCs w:val="20"/>
                <w:color w:val="auto"/>
              </w:rPr>
            </w:pPr>
            <w:r>
              <w:rPr>
                <w:rFonts w:ascii="Arial" w:cs="Arial" w:eastAsia="Arial" w:hAnsi="Arial"/>
                <w:sz w:val="18"/>
                <w:szCs w:val="18"/>
                <w:color w:val="auto"/>
              </w:rPr>
              <w:t>1,076,545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1,190,833</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of September 30, 2013, we have two interest rate swap agreements with a notional amount of $275.0 million that are measured at fair value on a recurring basis. The interest rate swap agreements fix the variable portion of our $275.0 million term loan at 1.72% from December 1, 2011 through November 1, 2018. We assess effectiveness of our cash flow hedges both at inception and on an ongoing basis. The effective portion of changes in fair value of the interest rate swaps associated with our cash flow hedges is recorded in accumulated other comprehensive income/loss and is subsequently reclassified into interest expense as interest is incurred on the related variable rate debt. Within the next 12 months, we expect to reclassify an estimated $4.5 million as an increase to interest expense.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When ineffectiveness exists, the ineffective portion of changes in fair value of the interest rate swaps associated with our cash flow hedges is recognized in earnings in the period affected. Hedge ineffectiveness has not impacted earnings as of September 30, 2013, and we do not anticipate it will have a significant effect in the future.</w:t>
      </w:r>
    </w:p>
    <w:p>
      <w:pPr>
        <w:spacing w:after="0" w:line="1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September 30, 2013 was a liability of $3.5 million and is included in "accounts payable and accrued expenses" on our consolidated balance sheets. For the three and nine months ended September 30, 2013, the change in valuation on our interest rate swaps was a decrease of $1.2 million and an increase of $8.8 million, respectively, (including $1.1 million and $3.2 million, respectively, reclassified from other comprehensive loss to interest expense) and is included in "accumulated other comprehensive loss."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financial liabilities that are measured at fair value on a recurring basis, by level within the fair value hierarchy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September 30, 2013</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December 31, 2012</w:t>
            </w:r>
          </w:p>
        </w:tc>
        <w:tc>
          <w:tcPr>
            <w:tcW w:w="100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10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10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50"/>
        </w:trPr>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4"/>
          </w:tcPr>
          <w:p>
            <w:pPr>
              <w:ind w:left="28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3,539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3,539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  12,388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12,388</w:t>
            </w:r>
          </w:p>
        </w:tc>
      </w:tr>
      <w:tr>
        <w:trPr>
          <w:trHeight w:val="27"/>
        </w:trPr>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9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285,722 operating partnership units are outstanding which have a total fair value of $29.0 million, based on our closing stock price on September 30,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7"/>
              </w:rPr>
              <w:t>Nine Months Ended September 30,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w w:val="89"/>
              </w:rPr>
              <w:t>2013</w:t>
            </w: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2012</w:t>
            </w:r>
          </w:p>
        </w:tc>
        <w:tc>
          <w:tcPr>
            <w:tcW w:w="860" w:type="dxa"/>
            <w:vAlign w:val="bottom"/>
            <w:tcBorders>
              <w:bottom w:val="single" w:sz="8" w:color="auto"/>
            </w:tcBorders>
          </w:tcPr>
          <w:p>
            <w:pPr>
              <w:spacing w:after="0"/>
              <w:rPr>
                <w:sz w:val="22"/>
                <w:szCs w:val="22"/>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Declared</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Paid</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50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2.070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5.417% Series 1 Cumulative Convertible Preferred shares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1.016</w:t>
            </w:r>
          </w:p>
        </w:tc>
        <w:tc>
          <w:tcPr>
            <w:tcW w:w="500" w:type="dxa"/>
            <w:vAlign w:val="bottom"/>
            <w:gridSpan w:val="3"/>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1.016</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1.016</w:t>
            </w:r>
          </w:p>
        </w:tc>
      </w:tr>
    </w:tbl>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have an at the market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outstanding under our revolving credit facility and/or for general corporate purposes. For the three months ended September 30, 2013, we issued 340,457 common shares at a weighted average price per share of $103.36 for net cash proceeds of $34.8 million and paid $0.4 million in commissions and less than $0.1 million in additional offering expenses related to the sales of these common shares. For the nine months ended September 30, 2013, we issued 1,075,036 common shares at a weighted average price per share of $110.00 for net cash proceeds of $116.8 million and paid $1.3 million in commissions and $0.1 million in additional offering expenses related to the sales of these common shares. As of September 30, 2013, we had the capacity to issue up to $95.1 million in common shares under our ATM equity program.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9—COMPONENTS OF RENTAL INCOME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r>
      <w:tr>
        <w:trPr>
          <w:trHeight w:val="190"/>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ind w:left="6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5"/>
        </w:trPr>
        <w:tc>
          <w:tcPr>
            <w:tcW w:w="5620" w:type="dxa"/>
            <w:vAlign w:val="bottom"/>
          </w:tcPr>
          <w:p>
            <w:pPr>
              <w:ind w:left="40"/>
              <w:spacing w:after="0"/>
              <w:rPr>
                <w:sz w:val="20"/>
                <w:szCs w:val="20"/>
                <w:color w:val="auto"/>
              </w:rPr>
            </w:pPr>
            <w:r>
              <w:rPr>
                <w:rFonts w:ascii="Arial" w:cs="Arial" w:eastAsia="Arial" w:hAnsi="Arial"/>
                <w:sz w:val="18"/>
                <w:szCs w:val="18"/>
                <w:color w:val="auto"/>
              </w:rPr>
              <w:t>Minimum rents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Retail and commercial</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111,928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105,858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334,628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312,519</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Residential</w:t>
            </w:r>
          </w:p>
        </w:tc>
        <w:tc>
          <w:tcPr>
            <w:tcW w:w="2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7,196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7,116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21,525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20,467</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reimbursement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30,364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89,850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82,376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Percentage rent</w:t>
            </w:r>
          </w:p>
        </w:tc>
        <w:tc>
          <w:tcPr>
            <w:tcW w:w="2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1,912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6,036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5,167</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8,097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7,801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rental income</w:t>
            </w: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154,308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146,943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460,136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428,330</w:t>
            </w:r>
          </w:p>
        </w:tc>
      </w:tr>
      <w:tr>
        <w:trPr>
          <w:trHeight w:val="27"/>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72"/>
        </w:trPr>
        <w:tc>
          <w:tcPr>
            <w:tcW w:w="56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12</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Minimum rents include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2500" w:type="dxa"/>
            <w:vAlign w:val="bottom"/>
            <w:gridSpan w:val="3"/>
          </w:tcPr>
          <w:p>
            <w:pPr>
              <w:jc w:val="right"/>
              <w:ind w:right="254"/>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56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r>
      <w:tr>
        <w:trPr>
          <w:trHeight w:val="190"/>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5"/>
        </w:trPr>
        <w:tc>
          <w:tcPr>
            <w:tcW w:w="5620" w:type="dxa"/>
            <w:vAlign w:val="bottom"/>
          </w:tcPr>
          <w:p>
            <w:pPr>
              <w:ind w:left="40"/>
              <w:spacing w:after="0"/>
              <w:rPr>
                <w:sz w:val="20"/>
                <w:szCs w:val="20"/>
                <w:color w:val="auto"/>
              </w:rPr>
            </w:pPr>
            <w:r>
              <w:rPr>
                <w:rFonts w:ascii="Arial" w:cs="Arial" w:eastAsia="Arial" w:hAnsi="Arial"/>
                <w:sz w:val="18"/>
                <w:szCs w:val="18"/>
                <w:color w:val="auto"/>
              </w:rPr>
              <w:t>Straight-line rents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7"/>
              <w:spacing w:after="0"/>
              <w:rPr>
                <w:sz w:val="20"/>
                <w:szCs w:val="20"/>
                <w:color w:val="auto"/>
              </w:rPr>
            </w:pPr>
            <w:r>
              <w:rPr>
                <w:rFonts w:ascii="Arial" w:cs="Arial" w:eastAsia="Arial" w:hAnsi="Arial"/>
                <w:sz w:val="18"/>
                <w:szCs w:val="18"/>
                <w:color w:val="auto"/>
              </w:rPr>
              <w:t>1.1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7"/>
              <w:spacing w:after="0"/>
              <w:rPr>
                <w:sz w:val="20"/>
                <w:szCs w:val="20"/>
                <w:color w:val="auto"/>
              </w:rPr>
            </w:pPr>
            <w:r>
              <w:rPr>
                <w:rFonts w:ascii="Arial" w:cs="Arial" w:eastAsia="Arial" w:hAnsi="Arial"/>
                <w:sz w:val="18"/>
                <w:szCs w:val="18"/>
                <w:color w:val="auto"/>
              </w:rPr>
              <w:t>3.7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3.8</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above market leases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Amortization of below market leases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7"/>
              <w:spacing w:after="0"/>
              <w:rPr>
                <w:sz w:val="20"/>
                <w:szCs w:val="20"/>
                <w:color w:val="auto"/>
              </w:rPr>
            </w:pPr>
            <w:r>
              <w:rPr>
                <w:rFonts w:ascii="Arial" w:cs="Arial" w:eastAsia="Arial" w:hAnsi="Arial"/>
                <w:sz w:val="18"/>
                <w:szCs w:val="18"/>
                <w:color w:val="auto"/>
              </w:rPr>
              <w:t>1.3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7"/>
              <w:spacing w:after="0"/>
              <w:rPr>
                <w:sz w:val="20"/>
                <w:szCs w:val="20"/>
                <w:color w:val="auto"/>
              </w:rPr>
            </w:pPr>
            <w:r>
              <w:rPr>
                <w:rFonts w:ascii="Arial" w:cs="Arial" w:eastAsia="Arial" w:hAnsi="Arial"/>
                <w:sz w:val="18"/>
                <w:szCs w:val="18"/>
                <w:color w:val="auto"/>
              </w:rPr>
              <w:t>4.3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10—DISCONTINUED OPERATIONS</w:t>
      </w:r>
    </w:p>
    <w:p>
      <w:pPr>
        <w:spacing w:after="0" w:line="94"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Results of properties disposed or held for disposal which meet certain requirements, constitute discontinued operations and as such, the operations of these properties are classified as discontinued operations for all periods presented. A summary of the financial information for the discontinued operations is as follows: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9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2500" w:type="dxa"/>
            <w:vAlign w:val="bottom"/>
            <w:gridSpan w:val="3"/>
          </w:tcPr>
          <w:p>
            <w:pPr>
              <w:jc w:val="right"/>
              <w:ind w:right="256"/>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56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r>
      <w:tr>
        <w:trPr>
          <w:trHeight w:val="196"/>
        </w:trPr>
        <w:tc>
          <w:tcPr>
            <w:tcW w:w="5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gridSpan w:val="3"/>
          </w:tcPr>
          <w:p>
            <w:pPr>
              <w:ind w:left="720"/>
              <w:spacing w:after="0"/>
              <w:rPr>
                <w:sz w:val="20"/>
                <w:szCs w:val="20"/>
                <w:color w:val="auto"/>
              </w:rPr>
            </w:pPr>
            <w:r>
              <w:rPr>
                <w:rFonts w:ascii="Arial" w:cs="Arial" w:eastAsia="Arial" w:hAnsi="Arial"/>
                <w:sz w:val="14"/>
                <w:szCs w:val="14"/>
                <w:b w:val="1"/>
                <w:bCs w:val="1"/>
                <w:color w:val="auto"/>
                <w:w w:val="94"/>
              </w:rPr>
              <w:t>(in millions)</w:t>
            </w: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discontinued operations</w:t>
            </w: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from discontinued operations</w:t>
            </w:r>
          </w:p>
        </w:tc>
        <w:tc>
          <w:tcPr>
            <w:tcW w:w="94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21"/>
                <w:szCs w:val="21"/>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8"/>
                <w:szCs w:val="18"/>
                <w:color w:val="auto"/>
              </w:rPr>
              <w:t>0.9</w:t>
            </w:r>
          </w:p>
        </w:tc>
        <w:tc>
          <w:tcPr>
            <w:tcW w:w="4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11—SHARE-BASED COMPENSATION PLANS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r>
      <w:tr>
        <w:trPr>
          <w:trHeight w:val="190"/>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ind w:left="6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5"/>
        </w:trPr>
        <w:tc>
          <w:tcPr>
            <w:tcW w:w="5620" w:type="dxa"/>
            <w:vAlign w:val="bottom"/>
          </w:tcPr>
          <w:p>
            <w:pPr>
              <w:ind w:left="40"/>
              <w:spacing w:after="0"/>
              <w:rPr>
                <w:sz w:val="20"/>
                <w:szCs w:val="20"/>
                <w:color w:val="auto"/>
              </w:rPr>
            </w:pPr>
            <w:r>
              <w:rPr>
                <w:rFonts w:ascii="Arial" w:cs="Arial" w:eastAsia="Arial" w:hAnsi="Arial"/>
                <w:sz w:val="18"/>
                <w:szCs w:val="18"/>
                <w:color w:val="auto"/>
              </w:rPr>
              <w:t>Share-based compensation incurred</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Grants of common shares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7,644</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Grants of options</w:t>
            </w:r>
          </w:p>
        </w:tc>
        <w:tc>
          <w:tcPr>
            <w:tcW w:w="2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358</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8,002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Capitalized share-based compensation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(683)</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7,714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7,319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6"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12—EARNINGS PER SHARE</w:t>
      </w:r>
    </w:p>
    <w:p>
      <w:pPr>
        <w:spacing w:after="0" w:line="94"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the three and nine months ended September 30, 2013 and 2012, we had 0.3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04" w:lineRule="exact"/>
        <w:rPr>
          <w:sz w:val="20"/>
          <w:szCs w:val="20"/>
          <w:color w:val="auto"/>
        </w:rPr>
      </w:pPr>
    </w:p>
    <w:p>
      <w:pPr>
        <w:ind w:right="440"/>
        <w:spacing w:after="0" w:line="291" w:lineRule="auto"/>
        <w:rPr>
          <w:sz w:val="20"/>
          <w:szCs w:val="20"/>
          <w:color w:val="auto"/>
        </w:rPr>
      </w:pPr>
      <w:r>
        <w:rPr>
          <w:rFonts w:ascii="Arial" w:cs="Arial" w:eastAsia="Arial" w:hAnsi="Arial"/>
          <w:sz w:val="16"/>
          <w:szCs w:val="16"/>
          <w:color w:val="auto"/>
        </w:rPr>
        <w:t>In the dilutive EPS calculation, dilutive stock options were calculated using the treasury stock method consistent with prior periods. There were no anti-dilutive stock options for the three and nine months ended September 30, 2013 and 2012. The conversions of downREIT operating partnership units and</w:t>
      </w:r>
    </w:p>
    <w:p>
      <w:pPr>
        <w:ind w:right="180"/>
        <w:spacing w:after="0" w:line="261" w:lineRule="auto"/>
        <w:rPr>
          <w:sz w:val="20"/>
          <w:szCs w:val="20"/>
          <w:color w:val="auto"/>
        </w:rPr>
      </w:pPr>
      <w:r>
        <w:rPr>
          <w:rFonts w:ascii="Arial" w:cs="Arial" w:eastAsia="Arial" w:hAnsi="Arial"/>
          <w:sz w:val="18"/>
          <w:szCs w:val="18"/>
          <w:color w:val="auto"/>
        </w:rPr>
        <w:t>5.417% Series 1 Cumulative Convertible Preferred Shares are anti-dilutive for all periods presented and accordingly, have been excluded from the weighted average common shares used to compute diluted EPS.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760" w:type="dxa"/>
            <w:vAlign w:val="bottom"/>
            <w:gridSpan w:val="4"/>
          </w:tcPr>
          <w:p>
            <w:pPr>
              <w:jc w:val="right"/>
              <w:ind w:right="2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76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9"/>
          </w:tcPr>
          <w:p>
            <w:pPr>
              <w:jc w:val="right"/>
              <w:ind w:right="10"/>
              <w:spacing w:after="0"/>
              <w:rPr>
                <w:sz w:val="20"/>
                <w:szCs w:val="20"/>
                <w:color w:val="auto"/>
              </w:rPr>
            </w:pPr>
            <w:r>
              <w:rPr>
                <w:rFonts w:ascii="Arial" w:cs="Arial" w:eastAsia="Arial" w:hAnsi="Arial"/>
                <w:sz w:val="14"/>
                <w:szCs w:val="14"/>
                <w:b w:val="1"/>
                <w:bCs w:val="1"/>
                <w:color w:val="auto"/>
              </w:rPr>
              <w:t>(In thousands, except per share data)</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440" w:type="dxa"/>
            <w:vAlign w:val="bottom"/>
          </w:tcPr>
          <w:p>
            <w:pPr>
              <w:ind w:left="40"/>
              <w:spacing w:after="0"/>
              <w:rPr>
                <w:sz w:val="20"/>
                <w:szCs w:val="20"/>
                <w:color w:val="auto"/>
              </w:rPr>
            </w:pPr>
            <w:r>
              <w:rPr>
                <w:rFonts w:ascii="Arial" w:cs="Arial" w:eastAsia="Arial" w:hAnsi="Arial"/>
                <w:sz w:val="18"/>
                <w:szCs w:val="18"/>
                <w:color w:val="auto"/>
              </w:rPr>
              <w:t>NUMERATOR</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39,390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108,208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104,437</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Preferred share dividends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Income from continuing operations attributable to 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Earnings allocated to unvested shares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37,708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37,916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103,363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100,252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Results from discontinued operations attributable to the Trust</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23,976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24,803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11,860</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 basic and diluted</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61,684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38,287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5"/>
              </w:rPr>
              <w:t>133,160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5"/>
              </w:rPr>
              <w:t>113,189</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65,504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64,014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65,118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63,711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Stock options</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65,647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64,202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65,271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63,891</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BASIC</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DILUTED</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from continuing operations attributable to the Trust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38,122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38,273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5"/>
              </w:rPr>
              <w:t>104,428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w w:val="95"/>
              </w:rPr>
              <w:t>101,296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13—SUBSEQUENT EVENT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On October 1, 2013, we acquired an 11.8 acre parcel of land adjacent to our Assembly Row development project for a purchase price of $18.0 million.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6"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2012 filed with the Securities and Exchange Commission (the “SEC”) on February 12, 2013.</w:t>
      </w:r>
    </w:p>
    <w:p>
      <w:pPr>
        <w:spacing w:after="0" w:line="12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3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2012 and under Part II, Item 1A in this Quarterly Report on Form 10-Q, before making any investments in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and California. As of September 30, 2013, we owned or had a controlling interest in community and neighborhood shopping centers and mixed-use properties which are operated as 87 predominantly retail real estate projects comprising approximately 19.5 million square feet (excludes unconsolidated joint venture properties). In total, the real estate projects were 95.3% leased and 94.6% occupied at September 30, 2013. A joint venture in which we own a 30% interest owned seven retail real estate projects totaling approximately 1.0 million square feet as of September 30, 2013. In total, the joint venture properties in which we own a 30% interest were 85.3% leased and occupied at September 30, 2013.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Significant Property Acquisition &amp; Dispositions</w:t>
      </w:r>
    </w:p>
    <w:p>
      <w:pPr>
        <w:spacing w:after="0" w:line="17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On April 3, 2013, we acquired the fee interest in a 95,000 square foot retail property located in Darien, Connecticut for $47.3 million. The purchase price allocation will be finalized after our valuation studies are complete. We incurred approximately $0.2 million of acquisition costs which are included in "general and administrative expenses" for the nine months ended September 30, 2013.</w:t>
      </w:r>
    </w:p>
    <w:p>
      <w:pPr>
        <w:spacing w:after="0" w:line="20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On April 5, 2013, one of our tenants acquired our fee interest in the land under an office building at our Village of Shirlington property in Arlington, Virginia, that was subject to a long term ground lease. The ground lease included an option for the tenant to purchase the fee interest. The sales price was $6.5 million, and the gain was $5.0 million.</w:t>
      </w:r>
    </w:p>
    <w:p>
      <w:pPr>
        <w:spacing w:after="0" w:line="2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July 22, 2013, we sold the fee interest in our final building at Fifth Avenue in San Diego, California for a sales price of $15.3 million resulting in a gain of approximately $10.7 million. On September 10, 2013, we sold the fee interest in Forest Hills in Forest Hills (Queens), New York for a sales price of $20.4 million resulting in a gain of approximately $13.2 million. Both sales were completed as a Section 1031 tax deferred exchange transaction with the acquisition of the property in Darien.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On October 1, 2013, we acquired an 11.8 acre parcel of land adjacent to our Assembly Row development project for a purchase price of $18.0 million.</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6"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Significant Debt and Equity Transactions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2013, we repaid the following mortgage loans at par: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4"/>
              </w:rPr>
              <w:t>Payoff Amount</w:t>
            </w:r>
          </w:p>
        </w:tc>
        <w:tc>
          <w:tcPr>
            <w:tcW w:w="220" w:type="dxa"/>
            <w:vAlign w:val="bottom"/>
          </w:tcPr>
          <w:p>
            <w:pPr>
              <w:spacing w:after="0"/>
              <w:rPr>
                <w:sz w:val="16"/>
                <w:szCs w:val="16"/>
                <w:color w:val="auto"/>
              </w:rPr>
            </w:pPr>
          </w:p>
        </w:tc>
        <w:tc>
          <w:tcPr>
            <w:tcW w:w="182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b w:val="1"/>
                <w:bCs w:val="1"/>
                <w:color w:val="auto"/>
              </w:rPr>
              <w:t>Repayment Date</w:t>
            </w:r>
          </w:p>
        </w:tc>
        <w:tc>
          <w:tcPr>
            <w:tcW w:w="220" w:type="dxa"/>
            <w:vAlign w:val="bottom"/>
          </w:tcPr>
          <w:p>
            <w:pPr>
              <w:spacing w:after="0"/>
              <w:rPr>
                <w:sz w:val="16"/>
                <w:szCs w:val="16"/>
                <w:color w:val="auto"/>
              </w:rPr>
            </w:pPr>
          </w:p>
        </w:tc>
        <w:tc>
          <w:tcPr>
            <w:tcW w:w="18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Maturity Date</w:t>
            </w:r>
          </w:p>
        </w:tc>
      </w:tr>
      <w:tr>
        <w:trPr>
          <w:trHeight w:val="264"/>
        </w:trPr>
        <w:tc>
          <w:tcPr>
            <w:tcW w:w="5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(In millions)</w:t>
            </w:r>
          </w:p>
        </w:tc>
        <w:tc>
          <w:tcPr>
            <w:tcW w:w="1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White Marsh Plaza</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January 2,</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2013</w:t>
            </w:r>
          </w:p>
        </w:tc>
        <w:tc>
          <w:tcPr>
            <w:tcW w:w="2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April 1, 2013</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Crow Canyon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9"/>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June 11,</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2013</w:t>
            </w: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August 11, 2013</w:t>
            </w:r>
          </w:p>
        </w:tc>
      </w:tr>
    </w:tbl>
    <w:p>
      <w:pPr>
        <w:spacing w:after="0" w:line="17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On April 22, 2013, we upsized our $400.0 million revolving credit facility to $600.0 million and extended the maturity date to April 21, 2017, subject to a one-year extension at our option. Under the amended credit facility, the spread over LIBOR is 90 basis points based on our credit rating as of May 1, 2013.</w:t>
      </w:r>
    </w:p>
    <w:p>
      <w:pPr>
        <w:spacing w:after="0" w:line="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May 9, 2013, we issued $275.0 million of fixed rate senior notes that mature on June 1, 2023 and bear interest at 2.75%. The net proceeds from this note offering after issuance discounts, underwriting fees and other costs were approximately $269.3 million.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On June 9, 2013, we redeemed our $135.0 million 5.40% senior notes prior to the original maturity date of December 1, 2013. The redemption price of</w:t>
      </w:r>
    </w:p>
    <w:p>
      <w:pPr>
        <w:spacing w:after="0" w:line="3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$138.5 million included a make-whole premium of approximately $3.3 million and accrued but unpaid interest of $0.2 million. The make-whole premium is included in "early extinguishment of debt" for the nine months ended September 30, 2013.</w:t>
      </w:r>
    </w:p>
    <w:p>
      <w:pPr>
        <w:spacing w:after="0" w:line="13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have an at the market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outstanding under our revolving credit facility and/or for general corporate purposes. For the three months ended September 30, 2013, we issued 340,457 common shares at the weighted average price per share of $103.36 for net cash proceeds of $34.8 million and paid $0.4 million in commissions and less than $0.1 million in additional offering expenses related to the sales of these common shares. For the nine months ended September 30, 2013, we issued 1,075,036 common shares at a weighted average price per share of $110.00 for net cash proceeds of $116.8 million and paid $1.3 million in commissions and $0.1 million in additional offering expenses related to the sales of these common shares. As of September 30, 2013, we had the capacity to issue up to $95.1 million in common shares under our ATM equity program.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9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external and internal costs related to both development and redevelopment activities of $196 million and $4 million, respectively, for the nine months ended September 30, 2013 and $92 million and $5 million, respectively, for the nine months ended September 30, 2012. We capitalized external and internal costs related to other property improvements of $31 million and $1 million, respectively, for the nine months ended September 30, 2013 and $33 million and $1 million, respectively, for the nine months ended September 30, 2012. We capitalized external and internal costs related to leasing activities of $6 million and $5 million, respectively, for the nine months ended September 30, 2013 and $5 million and $4 million, respectively, for the nine months ended September 30, 2012. The amount of capitalized internal costs for salaries and related benefits for development and redevelopment activities, other property improvements, and leasing activities were $4 million, $1 million, and $4 million, respectively, for the nine months ended September 30, 2013 and $4 million, $1 million, and $4 million, respectively, for the nine months ended September 30,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same-center portfolio,</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portfolio from property development and redevelopments,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same-center growth is primarily driven by increases in rental rates on new leases and lease renewals and changes in portfolio occupancy. Over the long-term, the infill nature and strong demographics of our properties provide a strategic advantage allowing us to maintain relatively high occupancy and increase rental rates. We have continued to see signs of improvement for many of our tenants as well as increased interest from prospective tenants for our retail spaces. While there can be no assurance that these positive signs will continue, we remain cautiously optimistic regarding the improved trends we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6"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have seen over the past few years. We believe the locations of our centers and diverse tenant base mitigates the negative impact of the economic environment, however, any reduction in our tenants' abilities to pay base rent, percentage rent or other charges, will adversely affect our financial condition and results of operations. During the last quarter of 2013, we expect to continue to see increases in rental income as a result of our significant leasing activity over the past two years which resulted in higher occupancy in the latter half of 2012. We seek to maintain a mix of strong national, regional, and local retailers. At September 30, 2013, no single tenant accounted for more than 3.4% of annualized base rent.</w:t>
      </w:r>
    </w:p>
    <w:p>
      <w:pPr>
        <w:spacing w:after="0" w:line="11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properties are located in densely populated 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In 2013, we expect to have redevelopment projects stabilizing with projected costs of approximately $29 million.</w:t>
      </w:r>
    </w:p>
    <w:p>
      <w:pPr>
        <w:spacing w:after="0" w:line="9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continue our ongoing redevelopment efforts at Santana Row and are currently under construction on a 212 unit residential building which we expect to stabilize during 2014. Santana Row currently has zoning entitlements to build an additional 348 residential units and 305,000 square feet of retail and office space. The 212 unit residential building is expected to cost approximately $75 million of which $56 million has been incurred to date. We expect to incur the remaining costs for the project throughout 2013 and early 2014.</w:t>
      </w:r>
    </w:p>
    <w:p>
      <w:pPr>
        <w:spacing w:after="0" w:line="13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continue to invest in the development at Assembly Row which is a long-term development project we expect to be involved in over the coming years. The carrying value of the development portion of this project at September 30, 2013 is approximately $228 million. The project currently has zoning entitlements to build 2.3 million square feet of commercial-use buildings, 2,100 residential units, and a 200 room hotel. In December 2011, we entered into agreements with AvalonBay Communities ("AvalonBay") for the residential portion of the first phase of development at Assembly Row which will include 450 apartment units (by AvalonBay) and approximately 326,000 square feet of retail space and 98,000 square feet of office space (both by the Trust). The Massachusetts Bay Transit Authority (MBTA) is constructing the new orange line T-Stop at the property. Our construction on the first phase commenced during first quarter 2012. Total expected costs for Phase I of Assembly Row range from $190 million to $200 million of which $93 million has been incurred to date. We expect Phase I to stabilize in 2015. Additionally during 2013, we are continuing our infrastructure work. In total, we expect to invest between $90 million and $100 million in Assembly Row in 2013, net of expected public funding.</w:t>
      </w:r>
    </w:p>
    <w:p>
      <w:pPr>
        <w:spacing w:after="0" w:line="128"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In the third quarter 2012, we broke ground on the first phase of Pike &amp; Rose in Rockville, MD, a long-term multi-phased mixed-use project located on a portion of our Mid-Pike Plaza property. The property currently has zoning entitlements to build 1.7 million square feet of commercial-use buildings and 1,583 residential units. Phase I of Pike &amp; Rose involves demolition of roughly 25% of the existing gross leasable area at Mid-Pike Plaza (which was completed during the second quarter 2012) and construction of 493 residential units, 151,000 square feet of retail space and 79,000 square feet of office space. Total expected costs for Phase I of Pike &amp; Rose range from $245 million to $255 million of which $81 million has been incurred to date. We expect Phase I of the project to stabilize in 2015/2016. We expect to invest between $90 million and $100 million in Pike and Rose in 2013.</w:t>
      </w:r>
    </w:p>
    <w:p>
      <w:pPr>
        <w:spacing w:after="0" w:line="11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development of future phases of Assembly Row, Pike &amp; Rose and Santana Row will be pursued opportunistically based on, among other things, market conditions, tenant demand, and our evaluation of whether those phases will generate an appropriate risk adjusted financial return.</w:t>
      </w:r>
    </w:p>
    <w:p>
      <w:pPr>
        <w:spacing w:after="0" w:line="9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continue to review acquisition opportunities in our primary markets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On occasion we also finance our acquisitions through the issuance of common shares, preferred shares, or downREIT units as well as through new or assumed mortgages.</w:t>
      </w:r>
    </w:p>
    <w:p>
      <w:pPr>
        <w:spacing w:after="0" w:line="1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September 30, 2013, the leasable square feet in our properties was 94.6% occupied and 95.3%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6" w:right="25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Rollovers</w:t>
      </w:r>
    </w:p>
    <w:p>
      <w:pPr>
        <w:spacing w:after="0" w:line="9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For the third quarter 2013, we signed leases for a total of 399,000 square feet of retail space including 274,000 square feet of comparable space leases (leases for which there was a prior tenant) at an average rental increase of 20% on a cash basis and 34% on a straight-line basis. New leases for comparable spaces were signed for 104,000 square feet at an average rental increase of 39% on a cash basis and 57% on a straight-line basis. Renewals for comparable spaces were signed for 169,000 square feet at an average rental increase of 9% on a cash basis and 20% on a straight-line basis.</w:t>
      </w:r>
    </w:p>
    <w:p>
      <w:pPr>
        <w:spacing w:after="0" w:line="1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For the nine months ended September 30, 2013, we signed leases for a total of 1,145,000 square feet of retail space including 974,000 square feet of comparable space leases (leases for which there was a prior tenant) at an average rental increase of 18% on a cash basis and 32% on a straight-line basis. New leases for comparable spaces were signed for 477,000 square feet at an average rental increase of 36% on a cash basis and 51% on a straight-line basis. Renewals for comparable spaces were signed for 497,000 square feet at an average rental increase of 6% on a cash basis and 18% on a straight-line basis.</w:t>
      </w:r>
    </w:p>
    <w:p>
      <w:pPr>
        <w:spacing w:after="0" w:line="1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Tenant improvements and incentives were $42.82 per square foot for new leases and $1.51 per square foot for renewals for the nine months ended September 30, 2013. Tenant improvements and incentives increased for new leases relative to our historical experience primarily due to one grocery anchor lease at Ellisburg Shopping Center and an anchor tenant at Westgate Center which is currently being redeveloped. We expect the amount to return to levels more in line with our historical experience in future periods.</w:t>
      </w:r>
    </w:p>
    <w:p>
      <w:pPr>
        <w:spacing w:after="0" w:line="52"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some instances, management exercises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(fit-out) of a space as it relates to a specific lease but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1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leases signed in 2013 generally become effective over the following two years though some may not become effective until 2016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3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2013, we believe our leasing volume will be in-line with our historical averages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and properties classified as discontinued operations. For the three and nine months ended September 30, 2013, all or a portion of 79 properties were considered same-center and ten properties were considered redevelopment or expansion for both periods. For the nine months ended September 30, 2013, two properties were moved from acquisitions to same-center designation and one property was moved from redevelopment to same-center designation when compared to the designations as of December 31, 2012. While there is judgment surrounding changes in designations, we typically move redevelopment properties to same-center once they have stabilized, which is typically considered 95% occupancy or when the growth expected from the redevelopment has been included in the comparable periods. We typically remove properties from same center when the redevelopment has or is expected to have a significant impact to property operating income within the calendar year. Acquisitions are moved to same-center once we have owned the property for the entirety of comparable periods and the property is not under significant redevelopment or expansion.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6" w:right="25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THREE MONTHS ENDED SEPTEMBER 30, 2013 AND 2012</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6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154,308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146,943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7,365</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9,007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(5,527)</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(61.4)%</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159,030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157,232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1,798</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18,400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17,224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1,176</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46,882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563</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111,585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110,350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1,235</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2,456</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1,208</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(72,195)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(71,065)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39,285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Discontinued operations -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(256)</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(69.0)%</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 - 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23,861</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63,366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39,656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23,710</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59.8 %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25.3 %</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62,098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38,644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23,454</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60.7 %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Total property revenue increased $1.8 million, or 1.1%, to $159.0 million in the three months ended September 30, 2013 compared to $157.2 million in the three months ended September 30, 2012. The percentage occupied at our shopping centers increased to 94.6% at September 30, 2013 compared to 94.2% at September 30, 2012. Changes in the components of property revenue are discussed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$7.4 million, or 5.0%, to $154.3 million in the three months ended September 30, 2013 compared to $146.9 million in the three months ended September 30, 2012 due primarily to the following:</w:t>
      </w:r>
    </w:p>
    <w:p>
      <w:pPr>
        <w:spacing w:after="0" w:line="19" w:lineRule="exact"/>
        <w:rPr>
          <w:sz w:val="20"/>
          <w:szCs w:val="20"/>
          <w:color w:val="auto"/>
        </w:rPr>
      </w:pPr>
    </w:p>
    <w:p>
      <w:pPr>
        <w:ind w:left="1700" w:right="620" w:hanging="801"/>
        <w:spacing w:after="0" w:line="277"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$3.9 million at same-center properties due primarily to higher rental rates of approximately $2.5 million, higher occupancy of approximately $0.8 million, and an increase in recovery income, and</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$3.7 million attributable to properties acquired in 2013 and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Other property income decreased $5.5 million, or 61.4%, to $3.5 million in the three months ended September 30, 2013 compared to $9.0 million in the three months ended September 30, 2012. Included in other property income are items which, although recurring, inherently tend to fluctuate more than rental income from period to period, such as lease termination fees. This decrease is primarily due to a $6.0 million lease termination fee received in 2012 from an anchor tenant at Ellisburg Shopping Center.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6"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Total property expenses increased $0.6 million, or 1.2%, to $47.4 million in the three months ended September 30, 2013 compared to $46.9 million in the three months ended September 30, 2012.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Rental expenses decreased $0.6 million, or 2.1%, to $29.0 million in the three months ended September 30, 2013 compared to $29.7 million in the three months ended September 30, 2012. This decrease is primarily due to a $0.8 million decrease in bad debt expense at same-center properties partially offset by a $0.5 million increase in rental expenses related to properties acquired in 2013 and 2012.</w:t>
      </w:r>
    </w:p>
    <w:p>
      <w:pPr>
        <w:spacing w:after="0" w:line="127" w:lineRule="exact"/>
        <w:rPr>
          <w:sz w:val="20"/>
          <w:szCs w:val="20"/>
          <w:color w:val="auto"/>
        </w:rPr>
      </w:pPr>
    </w:p>
    <w:p>
      <w:pPr>
        <w:jc w:val="both"/>
        <w:ind w:right="240"/>
        <w:spacing w:after="0" w:line="381" w:lineRule="auto"/>
        <w:rPr>
          <w:sz w:val="20"/>
          <w:szCs w:val="20"/>
          <w:color w:val="auto"/>
        </w:rPr>
      </w:pPr>
      <w:r>
        <w:rPr>
          <w:rFonts w:ascii="Arial" w:cs="Arial" w:eastAsia="Arial" w:hAnsi="Arial"/>
          <w:sz w:val="15"/>
          <w:szCs w:val="15"/>
          <w:color w:val="auto"/>
        </w:rPr>
        <w:t>As a result of the changes in rental income, other property income and rental expenses as discussed above, rental expenses as a percentage of rental income plus other property income decreased to 18.4% in the three months ended September 30, 2013 from 19.0% in the three months ended September 30, 2012.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Real estate tax expense increased $1.2 million, or 6.8% to $18.4 million in the three months ended September 30, 2013 compared to $17.2 million in the three months ended September 30, 2012 due primarily to properties acquired in 2013 and 2012 and annual increases in assessments.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jc w:val="both"/>
        <w:ind w:right="240"/>
        <w:spacing w:after="0" w:line="279" w:lineRule="auto"/>
        <w:rPr>
          <w:sz w:val="20"/>
          <w:szCs w:val="20"/>
          <w:color w:val="auto"/>
        </w:rPr>
      </w:pPr>
      <w:r>
        <w:rPr>
          <w:rFonts w:ascii="Arial" w:cs="Arial" w:eastAsia="Arial" w:hAnsi="Arial"/>
          <w:sz w:val="17"/>
          <w:szCs w:val="17"/>
          <w:color w:val="auto"/>
        </w:rPr>
        <w:t>Property operating income increased $1.2 million, or 1.1%, to $111.6 million in the three months ended September 30, 2013 compared to $110.4 million in the three months ended September 30, 2012. This increase is primarily due to growth in earnings at same center properties and properties acquired in 2013 and 2012 partially offset by a decrease in lease termination fees at our same center properties. Excluding the $6.0 million termination fee in 2012, property operating income for the three months ended September 30, 2013 would have increased $7.2 million, or 6.9%.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Interest expense decreased $2.5 million, or 8.7%, to $25.8 million in the three months ended September 30, 2013 compared to $28.2 million in the three months ended September 30, 2012. This decrease is due primarily to the following:</w:t>
      </w:r>
    </w:p>
    <w:p>
      <w:pPr>
        <w:spacing w:after="0" w:line="8" w:lineRule="exact"/>
        <w:rPr>
          <w:sz w:val="20"/>
          <w:szCs w:val="20"/>
          <w:color w:val="auto"/>
        </w:rPr>
      </w:pPr>
    </w:p>
    <w:p>
      <w:pPr>
        <w:ind w:left="1700" w:hanging="801"/>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 of $2.6 million due to a lower overall weighted average borrowing rate,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$1.8 million in capitalized interest,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$2.0 million due to higher borrowings.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Gross interest costs were $30.1 million and $30.7 million in the three months ended September 30, 2013 and 2012, respectively. Capitalized interest was $4.3 million and $2.5 million in the three months ended September 30, 2013 and 2012,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General and administrative expense decreased $1.2 million, or 13.8%, to $7.5 million in the three months ended September 30, 2013 from $8.8 million in the three months ended September 30, 2012. This decrease is due primarily to costs related to our CFO change in 2012 partially offset by higher personnel related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Depreciation and amortization expense increased $4.5 million, or 12.9%, to $39.3 million in the three months ended September 30, 2013 from $34.8 million in the three months ended September 30, 2012. This increase is due primarily to 2013 and 2012 acquisitions and accelerated depreciation due to the change in use of a redevelopment property.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 Income</w:t>
      </w:r>
    </w:p>
    <w:p>
      <w:pPr>
        <w:spacing w:after="0" w:line="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Income from discontinued operations represents the operating income of properties that have been disposed or will be disposed, which is required to be reported separately from results of ongoing operations. For the three months ended September 30, 2013, the amount primarily represents the operating income for the period during which we owned properties sold in 2013.</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6"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 Gain on Sale of Real Estate</w:t>
      </w:r>
    </w:p>
    <w:p>
      <w:pPr>
        <w:spacing w:after="0" w:line="9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$23.9 million gain on sale of real estate from discontinued operations for the three months ended September 30, 2013 is due to the sale of the fee interest in our final building at Fifth Avenue on July 22, 2013, and the sale of our fee interest in our building in Forest Hills on September 10, 2013.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NINE MONTHS ENDED SEPTEMBER 30, 2013 AND 2012</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Dollars</w:t>
            </w:r>
          </w:p>
        </w:tc>
      </w:tr>
      <w:tr>
        <w:trPr>
          <w:trHeight w:val="250"/>
        </w:trPr>
        <w:tc>
          <w:tcPr>
            <w:tcW w:w="5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92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920" w:type="dxa"/>
            <w:vAlign w:val="bottom"/>
          </w:tcPr>
          <w:p>
            <w:pPr>
              <w:spacing w:after="0"/>
              <w:rPr>
                <w:sz w:val="21"/>
                <w:szCs w:val="21"/>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460,136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428,330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31,806</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9,661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17,842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(8,181)</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473,567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450,006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23,561</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86,755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82,609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4,146</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53,604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49,680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3,924</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140,359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132,289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8,070</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333,208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317,717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15,491</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5,430</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(3,399)</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(119,615)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(106,451)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(13,164)</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(213,280)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(11,720)</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108,208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104,437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3,771</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 -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Discontinued operations - gain on sale of real estate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23,861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23,861</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(6,866)</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138,005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117,374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20,631</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20.3 %</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134,225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114,233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19,992</w:t>
            </w:r>
          </w:p>
        </w:tc>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Total property revenue increased $23.6 million, or 5.2%, to $473.6 million in the nine months ended September 30, 2013 compared to $450.0 million in the nine months ended September 30, 2012. The percentage occupied at our shopping centers increased to 94.6% at September 30, 2013 compared to 94.2% at September 30, 2012. Changes in the components of property revenue are discussed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$31.8 million, or 7.4%, to $460.1 million in the nine months ended September 30, 2013 compared to $428.3 million in the nine months ended September 30, 2012 due primarily to the following:</w:t>
      </w:r>
    </w:p>
    <w:p>
      <w:pPr>
        <w:spacing w:after="0" w:line="19" w:lineRule="exact"/>
        <w:rPr>
          <w:sz w:val="20"/>
          <w:szCs w:val="20"/>
          <w:color w:val="auto"/>
        </w:rPr>
      </w:pPr>
    </w:p>
    <w:p>
      <w:pPr>
        <w:ind w:left="1700" w:right="320" w:hanging="801"/>
        <w:spacing w:after="0" w:line="298" w:lineRule="auto"/>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 increase of $18.9 million at same-center properties due primarily to higher rental rates of approximately $8.8 million, increased occupancy of approximately $4.0 million, an increase in recovery income, and an increase in percentage rent,</w:t>
      </w:r>
    </w:p>
    <w:p>
      <w:pPr>
        <w:ind w:left="1700" w:hanging="801"/>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$10.6 million attributable to properties acquired in 2013 and 2012, and</w:t>
      </w:r>
    </w:p>
    <w:p>
      <w:pPr>
        <w:spacing w:after="0" w:line="63" w:lineRule="exact"/>
        <w:rPr>
          <w:rFonts w:ascii="Arial" w:cs="Arial" w:eastAsia="Arial" w:hAnsi="Arial"/>
          <w:sz w:val="18"/>
          <w:szCs w:val="18"/>
          <w:color w:val="auto"/>
        </w:rPr>
      </w:pPr>
    </w:p>
    <w:p>
      <w:pPr>
        <w:ind w:left="1700" w:right="60" w:hanging="801"/>
        <w:spacing w:after="0" w:line="342" w:lineRule="auto"/>
        <w:tabs>
          <w:tab w:leader="none" w:pos="1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 increase of $1.7 million at redevelopment properties due primarily to the lease-up and stabilization of certain of our redevelopment properties partially offset by lower income from Mid-Pike Plaza as the property is prepared for the development of Pike &amp; Rose.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6"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3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left="60" w:right="20"/>
        <w:spacing w:after="0" w:line="279" w:lineRule="auto"/>
        <w:rPr>
          <w:sz w:val="20"/>
          <w:szCs w:val="20"/>
          <w:color w:val="auto"/>
        </w:rPr>
      </w:pPr>
      <w:r>
        <w:rPr>
          <w:rFonts w:ascii="Arial" w:cs="Arial" w:eastAsia="Arial" w:hAnsi="Arial"/>
          <w:sz w:val="17"/>
          <w:szCs w:val="17"/>
          <w:color w:val="auto"/>
        </w:rPr>
        <w:t>Other property income decreased $8.2 million, or 45.9%, to $9.7 million in the nine months ended September 30, 2013 compared to $17.8 million in the nine months ended September 30, 2012. Included in other property income are items which, although recurring, inherently tend to fluctuate more than rental income from period to period, such as lease termination fees. This decrease is primarily due to lower lease termination fees at same center properties, largely from a $6.0 million lease termination fee received in 2012 from an anchor tenant at Ellisburg Shopping Center.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Total property expenses increased $8.1 million, or 6.1%, to $140.4 million in the nine months ended September 30, 2013 compared to $132.3 million in the nine months ended September 30, 2012.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Rental expenses increased $4.1 million, or 5.0%, to $86.8 million in the nine months ended September 30, 2013 compared to $82.6 million in the nine months ended September 30, 2012. This increase is primarily due to the following:</w:t>
      </w:r>
    </w:p>
    <w:p>
      <w:pPr>
        <w:spacing w:after="0" w:line="8" w:lineRule="exact"/>
        <w:rPr>
          <w:sz w:val="20"/>
          <w:szCs w:val="20"/>
          <w:color w:val="auto"/>
        </w:rPr>
      </w:pPr>
    </w:p>
    <w:p>
      <w:pPr>
        <w:ind w:left="1700" w:hanging="801"/>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$3.1 million in recoverable rental expenses at same center properties primarily due to snow removal costs,</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$1.6 million related to properties acquired in 2013 and 2012,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$0.5 million in marketing expenses at our Assembly Row and Pike &amp; Rose projects,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of $1.4 million in bad debt expense.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Rental expenses as a percentage of rental income plus other property income was 18.5% for the nine months ended September 30, 2013 and 2012.</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Real estate tax expense increased $3.9 million, or 7.9% to $53.6 million in the nine months ended September 30, 2013 compared to $49.7 million in the nine months ended September 30, 2012 due primarily to properties acquired in 2013 and 2012 and annual increases in assessments.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Property operating income increased $15.5 million, or 4.9% , to $333.2 million in the nine months ended September 30, 2013 compared to $317.7 million in the nine months ended September 30, 2012. This increase is primarily due to growth in earnings at same-center properties, properties acquired in 2013 and 2012, and redevelopment properties.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Interest expense decreased $5.4 million, or 6.3%, to $80.3 million in the nine months ended September 30, 2013 compared to $85.7 million in the nine months ended September 30, 2012. This decrease is due primarily to the following:</w:t>
      </w:r>
    </w:p>
    <w:p>
      <w:pPr>
        <w:spacing w:after="0" w:line="8" w:lineRule="exact"/>
        <w:rPr>
          <w:sz w:val="20"/>
          <w:szCs w:val="20"/>
          <w:color w:val="auto"/>
        </w:rPr>
      </w:pPr>
    </w:p>
    <w:p>
      <w:pPr>
        <w:ind w:left="1700" w:hanging="801"/>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of $8.8 million due to a lower overall weighted average borrowing rate,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$3.4 million in capitalized interest,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$6.8 million due to higher borrowings.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Gross interest costs were $91.2 million and $93.2 million in the nine months ended September 30, 2013 and 2012, respectively. Capitalized interest was $10.9 million and $7.5 million in the nine months ended September 30, 2013 and 2012,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$3.4 million of early extinguishment of debt in the nine months ended September 30, 2013 relates to the make-whole premium paid as part of the early redemption of our 5.40% senior notes and the related write-off of unamortized debt fees.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6" w:right="25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Depreciation and amortization expense increased $13.2 million, or 12.4%, to $119.6 million in the nine months ended September 30, 2013 from $106.5 million in the nine months ended September 30, 2012. This increase is due primarily to 2013 and 2012 acquisitions and accelerated depreciation due to the change in use of a redevelopment property.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 Income</w:t>
      </w:r>
    </w:p>
    <w:p>
      <w:pPr>
        <w:spacing w:after="0" w:line="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Income from discontinued operations represents the operating income of properties that have been disposed or will be disposed, which is required to be reported separately from results of ongoing operations. For the nine months ended September 30, 2013, the amount primarily represents the operating income for the period during which we owned properties sold in 2013.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 Gain on Sale of Real Estate</w:t>
      </w:r>
    </w:p>
    <w:p>
      <w:pPr>
        <w:spacing w:after="0" w:line="9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$23.9 million gain on sale of real estate from discontinued operations for the the nine months ended September 30, 2013 is due to the sale of the fee interest in our final building at Fifth Avenue on July 22, 2013 and the sale of the fee interest in our building in Forest Hills on September 10, 2013.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w:t>
      </w:r>
    </w:p>
    <w:p>
      <w:pPr>
        <w:spacing w:after="0" w:line="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$5.0 million gain on sale of real estate for the nine months ended September 30, 2013 is primarily due to the sale of the fee interest in the land under an office building at our Village of Shirlington property in Arlington, Virginia, that was subject to a long term ground lease. The ground lease included an option for the tenant to purchase the fee interest.</w:t>
      </w:r>
    </w:p>
    <w:p>
      <w:pPr>
        <w:spacing w:after="0" w:line="46"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The $11.9 million gain on sale of real estate in the nine months ended September 30, 2012 is due to the sale of our Newbury Street Partnership's entire portfolio of three buildings on October 31, 2011. Due to the timing of receiving financial information from the general partner, our share of earnings was recorded one quarter in arrears. Therefore, we recognized the gain on sale of $11.9 million in the nine months ended September 30,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4"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 February 2013, the FASB issued ASU 2013-02, “Comprehensive Income (Topic 220): Reporting Amounts Reclassified Out of Accumulated Other Comprehensive Income.” ASU 2013-02 requires entities to disclose certain information relating to amounts reclassified out of accumulated other comprehensive income. We adopted the standard effective January 1, 2013 and it did not have a significant impact to our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12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0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September 30, 2013, we had $127.8 million of cash and cash equivalents and no borrowings outstanding on our $600.0 million revolving credit facility that matures on April 21, 2017. In addition, we have an option (subject to bank approval) to increase the credit facility through an accordion feature to $1.0 billion. Our $275.0 million unsecured term loan which matures on November 21, 2018 also has an option (subject to bank approval) to increase the term loan through an accordion feature to $350.0 million. As of September 30, 2013, we had the capacity to issue up to $95.1 million in common shares under our ATM equity program.</w:t>
      </w:r>
    </w:p>
    <w:p>
      <w:pPr>
        <w:spacing w:after="0" w:line="13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nine months ended September 30, 2013, the maximum amount of borrowings outstanding under our revolving credit facility was $76.0 million, the weighted average amount of borrowings outstanding was $13.0 million and the weighted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6" w:right="25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average interest rate, before amortization of debt fees, was 1.29%. On May 9, 2013, we issued $275.0 million of fixed rate senior notes that mature on June 1, 2023 and bear interest at 2.75%. The net proceeds from this note offering after issuance discounts, underwriting fees and other costs were approximately $269.3 million. On June 9, 2013, we redeemed our $135.0 million 5.40% senior notes prior to the original maturity date of December 1, 2013. The redemption included a $3.3 million make-whole premium. We have no additional debt maturing for the remainder of 2013. We currently believe that cash flows from operations, cash on hand, our ATM equity program, our revolving credit facility and our general ability to access the capital markets will be sufficient to finance our operations and fund our debt service requirements (including maturities) and capital expenditures.</w:t>
      </w:r>
    </w:p>
    <w:p>
      <w:pPr>
        <w:spacing w:after="0" w:line="12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overall capital requirements for the remainder of 2013 will depend upon acquisition opportunities, the level of improvements and redevelopments on existing properties and the timing and cost of development of Assembly Row, Pike &amp; Rose and future phases of Santana Row. While the amount of future expenditures will depend on numerous factors, we expect to continue to see higher levels of capital investments in our properties under development and redevelopment in 2013 which is the result of the 212 unit residential building at Santana Row, which will open in late 2013, and the continued construction of Phase 1 at both Assembly Row and Pike &amp; Rose with expected openings of portions of both projects in 2014. Over the next two years, we expect to invest approximately $300 million related to the current phases of these three projects. With respect to other capital investments related to our existing properties, we expect to incur levels consistent with prior years. Our capital investments will be funded on a short-term basis with cash flow from operations, cash on hand and/or our revolving credit facility, and on a long-term basis, with long-term debt or equity including shares issued under our ATM equity program. If necessary, we may access the debt or equity capital markets to finance significant acquisitions. Given our past ability to access the capital markets, we expect debt or equity to be available to us. Although there is no intent at this time, if market conditions deteriorate, we may also delay the timing of future development and redevelopment projects as well as limit future acquisitions, reduce our operating expenditures, or re-evaluate our dividend policy.</w:t>
      </w:r>
    </w:p>
    <w:p>
      <w:pPr>
        <w:spacing w:after="0" w:line="11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addition to conditions in the capital markets which could affect our ability to access those markets, the following factors could affect our ability to meet our liquidity requirements:</w:t>
      </w:r>
    </w:p>
    <w:p>
      <w:pPr>
        <w:spacing w:after="0" w:line="1" w:lineRule="exact"/>
        <w:rPr>
          <w:sz w:val="20"/>
          <w:szCs w:val="20"/>
          <w:color w:val="auto"/>
        </w:rPr>
      </w:pPr>
    </w:p>
    <w:p>
      <w:pPr>
        <w:ind w:left="1700" w:right="40" w:hanging="801"/>
        <w:spacing w:after="0" w:line="250" w:lineRule="auto"/>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shares may limit us from incurring debt or issuing equity at all, or on acceptable terms under then-prevailing market conditions; and</w:t>
      </w:r>
    </w:p>
    <w:p>
      <w:pPr>
        <w:ind w:left="1700" w:hanging="801"/>
        <w:spacing w:after="0"/>
        <w:tabs>
          <w:tab w:leader="none" w:pos="1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8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r>
      <w:tr>
        <w:trPr>
          <w:trHeight w:val="196"/>
        </w:trPr>
        <w:tc>
          <w:tcPr>
            <w:tcW w:w="8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226,728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209,155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(201,487)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(143,435)</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financing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65,602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14,154</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Increase in cash and cash equivalents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90,843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79,874</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36,988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67,806</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127,831</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147,680</w:t>
            </w:r>
          </w:p>
        </w:tc>
      </w:tr>
      <w:tr>
        <w:trPr>
          <w:trHeight w:val="27"/>
        </w:trPr>
        <w:tc>
          <w:tcPr>
            <w:tcW w:w="8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Net cash provided by operating activities increased $17.6 million to $226.7 million during the nine months ended September 30, 2013 from $209.2 million during the nine months ended September 30, 2012. The increase was primarily attributable to higher net income before certain non-cash items.</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cash used in investing activities increased $58.1 million to $201.5 million during the nine months ended September 30, 2013 from $143.4 million during the nine months ended September 30, 2012. The increase was primarily attributable to:</w:t>
      </w:r>
    </w:p>
    <w:p>
      <w:pPr>
        <w:spacing w:after="0" w:line="8" w:lineRule="exact"/>
        <w:rPr>
          <w:sz w:val="20"/>
          <w:szCs w:val="20"/>
          <w:color w:val="auto"/>
        </w:rPr>
      </w:pPr>
    </w:p>
    <w:p>
      <w:pPr>
        <w:ind w:left="1700" w:hanging="801"/>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$47.2 million acquisition of a shopping center in Darien, Connecticut in April 2013,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$62.8 million increase in capital investments in 2013 due primarily to our projects at Assembly Row, Pike &amp; Rose and Santana Row,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5620" w:right="5280" w:hanging="4721"/>
        <w:spacing w:after="0" w:line="659" w:lineRule="auto"/>
        <w:tabs>
          <w:tab w:leader="none" w:pos="1706" w:val="left"/>
        </w:tabs>
        <w:numPr>
          <w:ilvl w:val="0"/>
          <w:numId w:val="14"/>
        </w:numPr>
        <w:rPr>
          <w:rFonts w:ascii="Arial" w:cs="Arial" w:eastAsia="Arial" w:hAnsi="Arial"/>
          <w:sz w:val="16"/>
          <w:szCs w:val="16"/>
          <w:color w:val="auto"/>
        </w:rPr>
      </w:pPr>
      <w:r>
        <w:rPr>
          <w:rFonts w:ascii="Arial" w:cs="Arial" w:eastAsia="Arial" w:hAnsi="Arial"/>
          <w:sz w:val="16"/>
          <w:szCs w:val="16"/>
          <w:color w:val="auto"/>
        </w:rPr>
        <w:t>$42.9 million in proceeds from the sale of real estate in 2013. 24</w:t>
      </w:r>
    </w:p>
    <w:p>
      <w:pPr>
        <w:sectPr>
          <w:pgSz w:w="11900" w:h="16838" w:orient="portrait"/>
          <w:cols w:equalWidth="0" w:num="1">
            <w:col w:w="11420"/>
          </w:cols>
          <w:pgMar w:left="240" w:top="126" w:right="2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Net cash provided by financing activities increased $51.4 million to $65.6 million during the nine months ended September 30, 2013 from $14.2 million during the nine months ended September 30, 2012. The increase was primarily attributable to:</w:t>
      </w:r>
    </w:p>
    <w:p>
      <w:pPr>
        <w:spacing w:after="0" w:line="8" w:lineRule="exact"/>
        <w:rPr>
          <w:sz w:val="20"/>
          <w:szCs w:val="20"/>
          <w:color w:val="auto"/>
        </w:rPr>
      </w:pPr>
    </w:p>
    <w:p>
      <w:pPr>
        <w:ind w:left="1700" w:right="80" w:hanging="801"/>
        <w:spacing w:after="0" w:line="277" w:lineRule="auto"/>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$40.0 million increase due to the $135.0 million redemption of our 5.4% senior notes in June 2013 as compared to the $175.0 million retirement of our 6.00% senior notes in July 2012,</w:t>
      </w:r>
    </w:p>
    <w:p>
      <w:pPr>
        <w:spacing w:after="0" w:line="8" w:lineRule="exact"/>
        <w:rPr>
          <w:rFonts w:ascii="Arial" w:cs="Arial" w:eastAsia="Arial" w:hAnsi="Arial"/>
          <w:sz w:val="18"/>
          <w:szCs w:val="18"/>
          <w:color w:val="auto"/>
        </w:rPr>
      </w:pPr>
    </w:p>
    <w:p>
      <w:pPr>
        <w:ind w:left="1700" w:right="40" w:hanging="801"/>
        <w:spacing w:after="0" w:line="277" w:lineRule="auto"/>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$24.5 million increase due to $269.3 million in net proceeds from the issuance of our 2.75% senior notes in May 2013 as compared to $244.8 million in net proceeds from the issuance of our 3.00% senior notes in July 2012, and</w:t>
      </w:r>
    </w:p>
    <w:p>
      <w:pPr>
        <w:spacing w:after="0" w:line="8" w:lineRule="exact"/>
        <w:rPr>
          <w:rFonts w:ascii="Arial" w:cs="Arial" w:eastAsia="Arial" w:hAnsi="Arial"/>
          <w:sz w:val="18"/>
          <w:szCs w:val="18"/>
          <w:color w:val="auto"/>
        </w:rPr>
      </w:pPr>
    </w:p>
    <w:p>
      <w:pPr>
        <w:ind w:left="1700" w:right="220" w:hanging="801"/>
        <w:spacing w:after="0" w:line="286" w:lineRule="auto"/>
        <w:tabs>
          <w:tab w:leader="none" w:pos="1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$24.4 million increase in net proceeds from the issuance of common shares due primarily to the sale of 1.1 million shares under our ATM equity program at a weighted average price of $110.00 during the nine months ended September 30, 2013 compared to 0.9 million shares at a weighted average price of $103.54 during the nine months ended September 30, 2012,</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333" w:lineRule="exact"/>
        <w:rPr>
          <w:sz w:val="20"/>
          <w:szCs w:val="20"/>
          <w:color w:val="auto"/>
        </w:rPr>
      </w:pPr>
    </w:p>
    <w:p>
      <w:pPr>
        <w:ind w:left="1700" w:right="120" w:hanging="801"/>
        <w:spacing w:after="0" w:line="277" w:lineRule="auto"/>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$21.1 million increase in repayment of mortgages, capital leases and notes payable due to the payoff of two mortgages totaling $28.2 million in 2013 compared to one mortgage for $6.9 million in 2012,</w:t>
      </w:r>
    </w:p>
    <w:p>
      <w:pPr>
        <w:spacing w:after="0" w:line="8" w:lineRule="exact"/>
        <w:rPr>
          <w:rFonts w:ascii="Arial" w:cs="Arial" w:eastAsia="Arial" w:hAnsi="Arial"/>
          <w:sz w:val="18"/>
          <w:szCs w:val="18"/>
          <w:color w:val="auto"/>
        </w:rPr>
      </w:pPr>
    </w:p>
    <w:p>
      <w:pPr>
        <w:ind w:left="1700" w:right="560" w:hanging="801"/>
        <w:spacing w:after="0" w:line="277" w:lineRule="auto"/>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$10.7 million increase in dividends paid to shareholders due to an increase in the dividend rate and increased number of shares outstanding, and</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$5.4 million issuance of notes payable in June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September 30, 2013, the Partnership owned seven retail real estate properties. We are the manager of the Partnership and its properties, earning fees for acquisitions, management, leasing and financing. We also have the opportunity to receive performance-based earnings through our Partnership interest. The Partnership is subject to a buy-sell provision which is customary in real estate joint venture agreements and the industry. Either partner may initiate this provision at any time, which could result in either the sale of our interest or the use of available cash or borrowings to acquire Clarion’s interest. Accounting policies for the Partnership are similar to accounting policies followed by the Trust. At September 30, 2013, our investment in the Partnership was $33.0 million and the Partnership had approximately $57.0 million of mortgages payable outstanding.</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6" w:right="25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September 30, 2013:</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80" w:type="dxa"/>
            <w:vAlign w:val="bottom"/>
          </w:tcPr>
          <w:p>
            <w:pPr>
              <w:jc w:val="center"/>
              <w:ind w:right="40"/>
              <w:spacing w:after="0"/>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4"/>
                <w:szCs w:val="14"/>
                <w:color w:val="auto"/>
              </w:rPr>
            </w:pPr>
          </w:p>
        </w:tc>
        <w:tc>
          <w:tcPr>
            <w:tcW w:w="156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1"/>
              </w:rPr>
              <w:t>Principal Balance as of</w:t>
            </w:r>
          </w:p>
        </w:tc>
        <w:tc>
          <w:tcPr>
            <w:tcW w:w="120" w:type="dxa"/>
            <w:vAlign w:val="bottom"/>
          </w:tcPr>
          <w:p>
            <w:pPr>
              <w:spacing w:after="0"/>
              <w:rPr>
                <w:sz w:val="14"/>
                <w:szCs w:val="14"/>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Stated Interest Rate as of</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4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Debt</w:t>
            </w: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16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4120" w:type="dxa"/>
            <w:vAlign w:val="bottom"/>
            <w:vMerge w:val="continue"/>
          </w:tcPr>
          <w:p>
            <w:pPr>
              <w:spacing w:after="0"/>
              <w:rPr>
                <w:sz w:val="16"/>
                <w:szCs w:val="16"/>
                <w:color w:val="auto"/>
              </w:rPr>
            </w:pPr>
          </w:p>
        </w:tc>
        <w:tc>
          <w:tcPr>
            <w:tcW w:w="148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Issued</w:t>
            </w:r>
          </w:p>
        </w:tc>
        <w:tc>
          <w:tcPr>
            <w:tcW w:w="120" w:type="dxa"/>
            <w:vAlign w:val="bottom"/>
          </w:tcPr>
          <w:p>
            <w:pPr>
              <w:spacing w:after="0"/>
              <w:rPr>
                <w:sz w:val="16"/>
                <w:szCs w:val="16"/>
                <w:color w:val="auto"/>
              </w:rPr>
            </w:pPr>
          </w:p>
        </w:tc>
        <w:tc>
          <w:tcPr>
            <w:tcW w:w="1560" w:type="dxa"/>
            <w:vAlign w:val="bottom"/>
          </w:tcPr>
          <w:p>
            <w:pPr>
              <w:jc w:val="right"/>
              <w:ind w:right="159"/>
              <w:spacing w:after="0"/>
              <w:rPr>
                <w:sz w:val="20"/>
                <w:szCs w:val="20"/>
                <w:color w:val="auto"/>
              </w:rPr>
            </w:pPr>
            <w:r>
              <w:rPr>
                <w:rFonts w:ascii="Arial" w:cs="Arial" w:eastAsia="Arial" w:hAnsi="Arial"/>
                <w:sz w:val="14"/>
                <w:szCs w:val="14"/>
                <w:b w:val="1"/>
                <w:bCs w:val="1"/>
                <w:color w:val="auto"/>
                <w:w w:val="99"/>
              </w:rPr>
              <w:t>September 30, 2013</w:t>
            </w:r>
          </w:p>
        </w:tc>
        <w:tc>
          <w:tcPr>
            <w:tcW w:w="120" w:type="dxa"/>
            <w:vAlign w:val="bottom"/>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 2013</w:t>
            </w: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160" w:type="dxa"/>
            <w:vAlign w:val="bottom"/>
            <w:tcBorders>
              <w:top w:val="single" w:sz="8" w:color="auto"/>
            </w:tcBorders>
            <w:gridSpan w:val="3"/>
          </w:tcPr>
          <w:p>
            <w:pPr>
              <w:jc w:val="right"/>
              <w:ind w:right="799"/>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 (1)</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180"/>
              <w:spacing w:after="0"/>
              <w:rPr>
                <w:sz w:val="20"/>
                <w:szCs w:val="20"/>
                <w:color w:val="auto"/>
              </w:rPr>
            </w:pPr>
            <w:r>
              <w:rPr>
                <w:rFonts w:ascii="Arial" w:cs="Arial" w:eastAsia="Arial" w:hAnsi="Arial"/>
                <w:sz w:val="16"/>
                <w:szCs w:val="16"/>
                <w:i w:val="1"/>
                <w:iCs w:val="1"/>
                <w:color w:val="auto"/>
              </w:rPr>
              <w:t>Secured fixed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Idylwood Plaza</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16,910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15,756</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5, 2014</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Leesburg Plaza</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29,423</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27,416</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June 5, 2014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Loehmann’s Plaza</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38,047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35,452</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5, 2014</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Pentagon Row</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54,619</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50,893</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June 5, 2014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Melville Mall (2)</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20,917</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1, 2014</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THE AVENUE at White Marsh</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54,452</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Barracks Road</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44,300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37,327</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Hauppauge</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16,700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14,071</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Lawrence Park</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31,400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26,458</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Wildwood</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27,600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23,256</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Wynnewood</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32,000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26,963</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Brick Plaza</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33,000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27,454</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East Bay Bridge</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62,228</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March 1, 2016</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Plaza El Segundo</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175,000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August 5, 2017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Rollingwood Apartments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24,050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22,616</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May 1, 2019</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29th Place (Shoppers’ World)</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5,162</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31, 2021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Montrose Crossing</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80,000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77,700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Chelsea</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7,316</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710,437</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920"/>
              <w:spacing w:after="0"/>
              <w:rPr>
                <w:sz w:val="20"/>
                <w:szCs w:val="20"/>
                <w:color w:val="auto"/>
              </w:rPr>
            </w:pPr>
            <w:r>
              <w:rPr>
                <w:rFonts w:ascii="Arial" w:cs="Arial" w:eastAsia="Arial" w:hAnsi="Arial"/>
                <w:sz w:val="16"/>
                <w:szCs w:val="16"/>
                <w:color w:val="auto"/>
              </w:rPr>
              <w:t>Net unamortized premium</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10,748</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mortgages payable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721,185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Notes payable</w:t>
            </w:r>
          </w:p>
        </w:tc>
        <w:tc>
          <w:tcPr>
            <w:tcW w:w="1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Term loan (3)</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6"/>
                <w:szCs w:val="16"/>
                <w:color w:val="auto"/>
              </w:rPr>
              <w:t>LIBOR + 1.30%</w:t>
            </w:r>
          </w:p>
        </w:tc>
        <w:tc>
          <w:tcPr>
            <w:tcW w:w="2160" w:type="dxa"/>
            <w:vAlign w:val="bottom"/>
          </w:tcPr>
          <w:p>
            <w:pPr>
              <w:jc w:val="right"/>
              <w:spacing w:after="0"/>
              <w:rPr>
                <w:sz w:val="20"/>
                <w:szCs w:val="20"/>
                <w:color w:val="auto"/>
              </w:rPr>
            </w:pPr>
            <w:r>
              <w:rPr>
                <w:rFonts w:ascii="Arial" w:cs="Arial" w:eastAsia="Arial" w:hAnsi="Arial"/>
                <w:sz w:val="16"/>
                <w:szCs w:val="16"/>
                <w:color w:val="auto"/>
              </w:rPr>
              <w:t>November 21, 2018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Various (4)</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16,005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15,428</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2028</w:t>
            </w:r>
          </w:p>
        </w:tc>
        <w:tc>
          <w:tcPr>
            <w:tcW w:w="0" w:type="dxa"/>
            <w:vAlign w:val="bottom"/>
          </w:tcPr>
          <w:p>
            <w:pPr>
              <w:spacing w:after="0"/>
              <w:rPr>
                <w:sz w:val="1"/>
                <w:szCs w:val="1"/>
                <w:color w:val="auto"/>
              </w:rPr>
            </w:pPr>
          </w:p>
        </w:tc>
      </w:tr>
      <w:tr>
        <w:trPr>
          <w:trHeight w:val="224"/>
        </w:trPr>
        <w:tc>
          <w:tcPr>
            <w:tcW w:w="4120" w:type="dxa"/>
            <w:vAlign w:val="bottom"/>
          </w:tcPr>
          <w:p>
            <w:pPr>
              <w:ind w:left="180"/>
              <w:spacing w:after="0"/>
              <w:rPr>
                <w:sz w:val="20"/>
                <w:szCs w:val="20"/>
                <w:color w:val="auto"/>
              </w:rPr>
            </w:pPr>
            <w:r>
              <w:rPr>
                <w:rFonts w:ascii="Arial" w:cs="Arial" w:eastAsia="Arial" w:hAnsi="Arial"/>
                <w:sz w:val="16"/>
                <w:szCs w:val="16"/>
                <w:i w:val="1"/>
                <w:iCs w:val="1"/>
                <w:color w:val="auto"/>
              </w:rPr>
              <w:t>Unsecured variable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Escondido (municipal bonds) (5)</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9,400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October 1, 2016</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Revolving credit facility (6)</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600,000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6"/>
                <w:szCs w:val="16"/>
                <w:color w:val="auto"/>
              </w:rPr>
              <w:t>LIBOR + 0.90%</w:t>
            </w:r>
          </w:p>
        </w:tc>
        <w:tc>
          <w:tcPr>
            <w:tcW w:w="2160" w:type="dxa"/>
            <w:vAlign w:val="bottom"/>
          </w:tcPr>
          <w:p>
            <w:pPr>
              <w:jc w:val="right"/>
              <w:spacing w:after="0"/>
              <w:rPr>
                <w:sz w:val="20"/>
                <w:szCs w:val="20"/>
                <w:color w:val="auto"/>
              </w:rPr>
            </w:pPr>
            <w:r>
              <w:rPr>
                <w:rFonts w:ascii="Arial" w:cs="Arial" w:eastAsia="Arial" w:hAnsi="Arial"/>
                <w:sz w:val="16"/>
                <w:szCs w:val="16"/>
                <w:color w:val="auto"/>
              </w:rPr>
              <w:t>April 21, 2017</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notes payable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299,828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5.95% notes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150,000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August 15, 2014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5.65%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125,000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1, 2016</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6.20% notes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200,000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15, 2017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5.90%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150,000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1, 2020</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3.00% notes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August 1, 2022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2.75%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7.48% debentures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29,200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6.82% medium term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217"/>
        </w:trPr>
        <w:tc>
          <w:tcPr>
            <w:tcW w:w="4120" w:type="dxa"/>
            <w:vAlign w:val="bottom"/>
          </w:tcPr>
          <w:p>
            <w:pPr>
              <w:ind w:left="720"/>
              <w:spacing w:after="0"/>
              <w:rPr>
                <w:sz w:val="20"/>
                <w:szCs w:val="20"/>
                <w:color w:val="auto"/>
              </w:rPr>
            </w:pPr>
            <w:r>
              <w:rPr>
                <w:rFonts w:ascii="Arial" w:cs="Arial" w:eastAsia="Arial" w:hAnsi="Arial"/>
                <w:sz w:val="16"/>
                <w:szCs w:val="16"/>
                <w:color w:val="auto"/>
              </w:rPr>
              <w:t>Subtotal</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1,219,200</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discount</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(5,692)</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720"/>
              <w:spacing w:after="0"/>
              <w:rPr>
                <w:sz w:val="20"/>
                <w:szCs w:val="20"/>
                <w:color w:val="auto"/>
              </w:rPr>
            </w:pPr>
            <w:r>
              <w:rPr>
                <w:rFonts w:ascii="Arial" w:cs="Arial" w:eastAsia="Arial" w:hAnsi="Arial"/>
                <w:sz w:val="16"/>
                <w:szCs w:val="16"/>
                <w:color w:val="auto"/>
              </w:rPr>
              <w:t>Total senior notes and debentures</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1,213,508</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Capital lease obligations</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600"/>
              <w:spacing w:after="0"/>
              <w:rPr>
                <w:sz w:val="20"/>
                <w:szCs w:val="20"/>
                <w:color w:val="auto"/>
              </w:rPr>
            </w:pPr>
            <w:r>
              <w:rPr>
                <w:rFonts w:ascii="Arial" w:cs="Arial" w:eastAsia="Arial" w:hAnsi="Arial"/>
                <w:sz w:val="16"/>
                <w:szCs w:val="16"/>
                <w:color w:val="auto"/>
              </w:rPr>
              <w:t>Various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71,677</w:t>
            </w:r>
          </w:p>
        </w:tc>
        <w:tc>
          <w:tcPr>
            <w:tcW w:w="12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6"/>
                <w:szCs w:val="16"/>
                <w:color w:val="auto"/>
              </w:rPr>
              <w:t>Various</w:t>
            </w:r>
          </w:p>
        </w:tc>
        <w:tc>
          <w:tcPr>
            <w:tcW w:w="2160" w:type="dxa"/>
            <w:vAlign w:val="bottom"/>
          </w:tcPr>
          <w:p>
            <w:pPr>
              <w:jc w:val="right"/>
              <w:spacing w:after="0"/>
              <w:rPr>
                <w:sz w:val="20"/>
                <w:szCs w:val="20"/>
                <w:color w:val="auto"/>
              </w:rPr>
            </w:pPr>
            <w:r>
              <w:rPr>
                <w:rFonts w:ascii="Arial" w:cs="Arial" w:eastAsia="Arial" w:hAnsi="Arial"/>
                <w:sz w:val="16"/>
                <w:szCs w:val="16"/>
                <w:color w:val="auto"/>
              </w:rPr>
              <w:t>Various through 2106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and capital lease obligations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2,306,198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24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Mortgages payable do not include our 30% share ($17.1 million) of the $57.0 million debt of the partnership with a discretionary fund created and advised by ING Clarion Partners.</w:t>
      </w:r>
    </w:p>
    <w:p>
      <w:pPr>
        <w:spacing w:after="0" w:line="8"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w:t>
      </w:r>
    </w:p>
    <w:p>
      <w:pPr>
        <w:sectPr>
          <w:pgSz w:w="11900" w:h="16838" w:orient="portrait"/>
          <w:cols w:equalWidth="0" w:num="1">
            <w:col w:w="11420"/>
          </w:cols>
          <w:pgMar w:left="240" w:top="126" w:right="239" w:bottom="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mortgage loan is reflected on the balance sheet, though it is not our legal obligation.</w:t>
      </w:r>
    </w:p>
    <w:p>
      <w:pPr>
        <w:sectPr>
          <w:pgSz w:w="11900" w:h="16838" w:orient="portrait"/>
          <w:cols w:equalWidth="0" w:num="1">
            <w:col w:w="9559"/>
          </w:cols>
          <w:pgMar w:left="900" w:top="125" w:right="1440" w:bottom="1440" w:gutter="0" w:footer="0" w:header="0"/>
        </w:sectPr>
      </w:pPr>
    </w:p>
    <w:p>
      <w:pPr>
        <w:spacing w:after="0" w:line="275"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9559"/>
          </w:cols>
          <w:pgMar w:left="900" w:top="125" w:right="1440"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302" w:lineRule="exact"/>
        <w:rPr>
          <w:sz w:val="20"/>
          <w:szCs w:val="20"/>
          <w:color w:val="auto"/>
        </w:rPr>
      </w:pPr>
    </w:p>
    <w:p>
      <w:pPr>
        <w:ind w:left="660" w:right="60" w:hanging="652"/>
        <w:spacing w:after="0" w:line="317"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entered into two interest rate swap agreements that fix the LIBOR portion of the interest rate on the term loan at 1.72%. The spread on the term loan was reduced from 145 basis points to 130 basis points based on our credit rating at May 1, 2013 resulting in a fixed rate of 3.02%.</w:t>
      </w:r>
    </w:p>
    <w:p>
      <w:pPr>
        <w:ind w:left="660" w:right="62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interest rate of 5.37% represents the weighted average interest rate for ten unsecured fixed rate notes payable. These notes mature from November 15, 2014 to May 31, 2028.</w:t>
      </w:r>
    </w:p>
    <w:p>
      <w:pPr>
        <w:spacing w:after="0" w:line="8" w:lineRule="exact"/>
        <w:rPr>
          <w:rFonts w:ascii="Arial" w:cs="Arial" w:eastAsia="Arial" w:hAnsi="Arial"/>
          <w:sz w:val="18"/>
          <w:szCs w:val="18"/>
          <w:color w:val="auto"/>
        </w:rPr>
      </w:pPr>
    </w:p>
    <w:p>
      <w:pPr>
        <w:ind w:left="660" w:right="340" w:hanging="652"/>
        <w:spacing w:after="0" w:line="317"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bonds require monthly interest only payments through maturity. The bonds bear interest at a variable rate determined weekly, which would enable the bonds to be remarketed at 100% of their principal amount. The Escondido Promenade property is not encumbered by a lien.</w:t>
      </w:r>
    </w:p>
    <w:p>
      <w:pPr>
        <w:ind w:left="660" w:right="42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maximum amount drawn under our revolving credit facility during the nine months ended September 30, 2013 was $76.0 million, and the weighted average interest rate on borrowings under our revolving credit facility, before amortization of debt fees, was 1.29%.</w:t>
      </w:r>
    </w:p>
    <w:p>
      <w:pPr>
        <w:spacing w:after="0" w:line="9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revolving credit facility, term loan and other debt agreements include financial and other covenants that may limit our operating activities in the future. As of September 30, 2013, we were in compliance with all of the financial and other covenants. If we were to breach any of our debt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September 30, 2013:</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Unsecured</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Secured</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Capital Lease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w:t>
            </w:r>
          </w:p>
        </w:tc>
        <w:tc>
          <w:tcPr>
            <w:tcW w:w="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3,023</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160,268</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158,855</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319,148</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206,007</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206,331</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134,727</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62,412</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197,169</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200,361</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(1)</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177,654</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378,049</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1,023,361</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102,509</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71,552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1,197,422</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1,519,028</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710,437</w:t>
            </w:r>
          </w:p>
        </w:tc>
        <w:tc>
          <w:tcPr>
            <w:tcW w:w="4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71,677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2,301,142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44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revolving credit facility matures on April 21, 2017, subject to a one-year extension at our option. As of September 30, 2013, there was no balance outstanding on our revolving credit facility.</w:t>
      </w:r>
    </w:p>
    <w:p>
      <w:pPr>
        <w:spacing w:after="0" w:line="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 or discount on certain mortgage loans, senior notes and debentures as of September 30,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other comprehensive income which is included in accumulated other comprehensive loss on our consolidated balance sheet and our consolidated statement of of shareholders' equity.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However, management does not anticipate non-performance by the counterparty. If a</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20"/>
          </w:cols>
          <w:pgMar w:left="240" w:top="126"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cash flow hedge is deemed ineffective, the ineffective portion of changes in fair value of the interest rate swaps associated with our cash flow hedges is recognized in earnings in the period affected.</w:t>
      </w:r>
    </w:p>
    <w:p>
      <w:pPr>
        <w:spacing w:after="0" w:line="1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September 30, 2013, we are party to two interest rate swap agreements that effectively fixed the rate on the term loan at 3.02%. Both swaps were designated and qualified as cash flow hedges and were recorded at fair value. Hedge ineffectiveness has not impacted earnings as of September 30, 2013, and we do not anticipate it will have a significant effect in the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9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real estate related depreciation and amortization and excluding extraordinary items, gains and losses on the sale of real estate, and impairment write-downs of depreciable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10" w:lineRule="exact"/>
        <w:rPr>
          <w:sz w:val="20"/>
          <w:szCs w:val="20"/>
          <w:color w:val="auto"/>
        </w:rPr>
      </w:pPr>
    </w:p>
    <w:p>
      <w:pPr>
        <w:ind w:left="1700" w:right="460" w:hanging="801"/>
        <w:spacing w:after="0" w:line="277" w:lineRule="auto"/>
        <w:tabs>
          <w:tab w:leader="none" w:pos="1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13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addition to FFO, we have also included FFO excluding the current period “early extinguishment of debt” charge which relates to the early redemption of our 5.40% senior notes. We believe the unusual nature of this charge, being a make-whole payment on the remaining principal and interest on the redeemed notes, is worthy of separate evaluation and consequently have provided both relevant metrics.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6"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reconciliation of net income to FFO available for common shareholders and to FFO available for common shareholders excluding early extinguishment of debt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4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63,366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138,005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117,374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35,334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30,556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107,730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94,328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Depreciation of joint venture real estate assets</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76,625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72,301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222,308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206,164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Dividends on preferred shares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attributable to unvested shares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Funds from operations available for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76,368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72,061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221,566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205,495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Early extinguishment of debt, net of allocation to unvested shares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3,383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Funds from operations available for common shareholders excluding early</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76,368</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72,061</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224,949</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205,495</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extinguishment of debt</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Weighted average number of common shares, diluted (1)</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65,933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64,526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65,568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64,227</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8"/>
              </w:rPr>
              <w:t>Funds from operations available for common shareholders, per diluted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rPr>
              <w:t>Funds from operations available for common shareholders excluding early</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2"/>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32"/>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11"/>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extinguishment of debt, per diluted share</w:t>
            </w:r>
          </w:p>
        </w:tc>
        <w:tc>
          <w:tcPr>
            <w:tcW w:w="16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8890</wp:posOffset>
            </wp:positionV>
            <wp:extent cx="34048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3404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3" w:lineRule="exact"/>
        <w:rPr>
          <w:sz w:val="20"/>
          <w:szCs w:val="20"/>
          <w:color w:val="auto"/>
        </w:rPr>
      </w:pPr>
    </w:p>
    <w:p>
      <w:pPr>
        <w:jc w:val="both"/>
        <w:ind w:left="660" w:right="6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200" w:lineRule="exact"/>
        <w:rPr>
          <w:sz w:val="20"/>
          <w:szCs w:val="20"/>
          <w:color w:val="auto"/>
        </w:rPr>
      </w:pP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As of September 30, 2013, we were party to two interest rate swap agreements that effectively fixed the rate on the term loan at 3.02%.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6"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3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majority of our outstanding debt obligations (maturing at various times through 2031 or, with respect to capital lease obligations, through 2106) have fixed interest rates which limit the risk of fluctuating interest rates. However, interest rate fluctuations may affect the fair value of our fixed rate debt instruments. At September 30, 2013, we had $2.2 billion of fixed-rate debt outstanding, including our $275.0 million term loan as the rate is effectively fixed by two interest rate swap agreements; we also had capital lease obligations of $71.7 million. If market interest rates used to calculate the fair value on our fixed-rate debt instruments at September 30, 2013 had been 1.0% higher, the fair value of those debt instruments on that date would have decreased by approximately $83.7 million. If market interest rates used to calculate the fair value on our fixed-rate debt instruments at September 30, 2013 had been 1.0% lower, the fair value of those debt instruments on that date would have increased by approximately $89.4 million.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Generally, we believe that our primary interest rate risk is due to fluctuations in interest rates on our variable rate debt. At September 30, 2013, we had $9.4 million of variable rate debt outstanding which consisted of municipal bonds. Our revolving credit facility had no outstanding balance as of September 30, 2013. Based upon this amount of variable rate debt and the specific terms, if market interest rates increased 1.0%, our annual interest expense would increase by approximately $0.1 million, and our net income and cash flows for the year would decrease by approximately $0.1 million. Conversely, if market interest rates decreased 1.0%, our annual interest expense would decrease by less than $0.1 million with a corresponding increase in our net income and cash flows for the year.</w:t>
      </w:r>
    </w:p>
    <w:p>
      <w:pPr>
        <w:spacing w:after="0" w:line="200" w:lineRule="exact"/>
        <w:rPr>
          <w:sz w:val="20"/>
          <w:szCs w:val="20"/>
          <w:color w:val="auto"/>
        </w:rPr>
      </w:pP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September 30, 2013. Based on this evaluation, our management, including our Chief Executive Officer and Chief Financial Officer, concluded that our disclosure controls and procedures were effective as of September 30, 2013 to provide reasonable assurance that information required to be disclosed in our reports filed or submitted under the Securities Exchange Act of 1934 is recorded, processed, summarized and reported within the time periods specified in the rules and forms of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quarterly period covered by this reports that materially affected, or is reasonably likely to materially affect, our internal control over financial reporting.</w:t>
      </w: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our Annual Report for the year ended December 31, 2012 filed with the SEC on February 12, 2013. These factors include, but are not limited to, the following:</w:t>
      </w:r>
    </w:p>
    <w:p>
      <w:pPr>
        <w:spacing w:after="0" w:line="8" w:lineRule="exact"/>
        <w:rPr>
          <w:sz w:val="20"/>
          <w:szCs w:val="20"/>
          <w:color w:val="auto"/>
        </w:rPr>
      </w:pPr>
    </w:p>
    <w:p>
      <w:pPr>
        <w:ind w:left="1700" w:right="20" w:hanging="801"/>
        <w:spacing w:after="0" w:line="277" w:lineRule="auto"/>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126" w:right="31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302" w:lineRule="exact"/>
        <w:rPr>
          <w:sz w:val="20"/>
          <w:szCs w:val="20"/>
          <w:color w:val="auto"/>
        </w:rPr>
      </w:pPr>
    </w:p>
    <w:p>
      <w:pPr>
        <w:ind w:left="1700" w:hanging="801"/>
        <w:spacing w:after="0" w:line="264" w:lineRule="auto"/>
        <w:tabs>
          <w:tab w:leader="none" w:pos="1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9" w:lineRule="exact"/>
        <w:rPr>
          <w:rFonts w:ascii="Arial" w:cs="Arial" w:eastAsia="Arial" w:hAnsi="Arial"/>
          <w:sz w:val="18"/>
          <w:szCs w:val="18"/>
          <w:color w:val="auto"/>
        </w:rPr>
      </w:pPr>
    </w:p>
    <w:p>
      <w:pPr>
        <w:ind w:left="1700" w:right="220" w:hanging="801"/>
        <w:spacing w:after="0" w:line="264" w:lineRule="auto"/>
        <w:tabs>
          <w:tab w:leader="none" w:pos="1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9" w:lineRule="exact"/>
        <w:rPr>
          <w:rFonts w:ascii="Arial" w:cs="Arial" w:eastAsia="Arial" w:hAnsi="Arial"/>
          <w:sz w:val="18"/>
          <w:szCs w:val="18"/>
          <w:color w:val="auto"/>
        </w:rPr>
      </w:pPr>
    </w:p>
    <w:p>
      <w:pPr>
        <w:ind w:left="1700" w:hanging="801"/>
        <w:spacing w:after="0"/>
        <w:tabs>
          <w:tab w:leader="none" w:pos="1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63" w:lineRule="exact"/>
        <w:rPr>
          <w:rFonts w:ascii="Arial" w:cs="Arial" w:eastAsia="Arial" w:hAnsi="Arial"/>
          <w:sz w:val="18"/>
          <w:szCs w:val="18"/>
          <w:color w:val="auto"/>
        </w:rPr>
      </w:pPr>
    </w:p>
    <w:p>
      <w:pPr>
        <w:ind w:left="2760" w:right="500" w:hanging="807"/>
        <w:spacing w:after="0" w:line="277" w:lineRule="auto"/>
        <w:tabs>
          <w:tab w:leader="none" w:pos="2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8" w:lineRule="exact"/>
        <w:rPr>
          <w:rFonts w:ascii="Arial" w:cs="Arial" w:eastAsia="Arial" w:hAnsi="Arial"/>
          <w:sz w:val="18"/>
          <w:szCs w:val="18"/>
          <w:color w:val="auto"/>
        </w:rPr>
      </w:pPr>
    </w:p>
    <w:p>
      <w:pPr>
        <w:ind w:left="2760" w:hanging="807"/>
        <w:spacing w:after="0"/>
        <w:tabs>
          <w:tab w:leader="none" w:pos="2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63" w:lineRule="exact"/>
        <w:rPr>
          <w:rFonts w:ascii="Arial" w:cs="Arial" w:eastAsia="Arial" w:hAnsi="Arial"/>
          <w:sz w:val="18"/>
          <w:szCs w:val="18"/>
          <w:color w:val="auto"/>
        </w:rPr>
      </w:pPr>
    </w:p>
    <w:p>
      <w:pPr>
        <w:ind w:left="1700" w:right="220" w:hanging="801"/>
        <w:spacing w:after="0" w:line="286" w:lineRule="auto"/>
        <w:tabs>
          <w:tab w:leader="none" w:pos="1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 w:lineRule="exact"/>
        <w:rPr>
          <w:rFonts w:ascii="Arial" w:cs="Arial" w:eastAsia="Arial" w:hAnsi="Arial"/>
          <w:sz w:val="17"/>
          <w:szCs w:val="17"/>
          <w:color w:val="auto"/>
        </w:rPr>
      </w:pPr>
    </w:p>
    <w:p>
      <w:pPr>
        <w:ind w:left="1700" w:right="40" w:hanging="801"/>
        <w:spacing w:after="0" w:line="264" w:lineRule="auto"/>
        <w:tabs>
          <w:tab w:leader="none" w:pos="1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Under the terms of various operating partnership agreements of certain of our affiliated limited partnerships, the interest of limited partners in those limited partnerships may be redeemed, subject to certain conditions, for cash or an equivalent number of our common shares, at our option. During the three months ended September 30, 2013, we redeemed 310 operating partnership units for cash.</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126" w:right="29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302"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40"/>
        <w:spacing w:after="0"/>
        <w:tabs>
          <w:tab w:leader="none" w:pos="7640" w:val="left"/>
          <w:tab w:leader="none" w:pos="8000" w:val="left"/>
        </w:tabs>
        <w:rPr>
          <w:sz w:val="20"/>
          <w:szCs w:val="20"/>
          <w:color w:val="auto"/>
        </w:rPr>
      </w:pPr>
      <w:r>
        <w:rPr>
          <w:rFonts w:ascii="Arial" w:cs="Arial" w:eastAsia="Arial" w:hAnsi="Arial"/>
          <w:sz w:val="18"/>
          <w:szCs w:val="18"/>
          <w:color w:val="auto"/>
        </w:rPr>
        <w:t>October 31, 2013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Executive Officer)</w:t>
      </w:r>
    </w:p>
    <w:p>
      <w:pPr>
        <w:spacing w:after="0" w:line="189" w:lineRule="exact"/>
        <w:rPr>
          <w:sz w:val="20"/>
          <w:szCs w:val="20"/>
          <w:color w:val="auto"/>
        </w:rPr>
      </w:pPr>
    </w:p>
    <w:p>
      <w:pPr>
        <w:ind w:left="40"/>
        <w:spacing w:after="0"/>
        <w:tabs>
          <w:tab w:leader="none" w:pos="7640" w:val="left"/>
          <w:tab w:leader="none" w:pos="7980" w:val="left"/>
        </w:tabs>
        <w:rPr>
          <w:sz w:val="20"/>
          <w:szCs w:val="20"/>
          <w:color w:val="auto"/>
        </w:rPr>
      </w:pPr>
      <w:r>
        <w:rPr>
          <w:rFonts w:ascii="Arial" w:cs="Arial" w:eastAsia="Arial" w:hAnsi="Arial"/>
          <w:sz w:val="18"/>
          <w:szCs w:val="18"/>
          <w:color w:val="auto"/>
        </w:rPr>
        <w:t>October 31, 2013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James M. Taylor, Jr.,</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Executive Vice President -</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80"/>
          </w:cols>
          <w:pgMar w:left="240" w:top="126" w:right="37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 of Declaration of Trust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of Federal Realty Investment Trust dated May 6, 2004, as corrected by the Certificate of Correction of Articles of Amendment of Declaration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of Trust of Federal Realty Investment Trust dated June 17, 2004, as amended by the Articles of Amendment of Declaration of Trust of Federal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Realty Investment Trust dated May 6, 2009 (previously filed as Exhibit 3.1 to the Trust’s Registration Statement on Form S-3 (File No. 333-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160009)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Amended and Restated Bylaws of Federal Realty Investment Trust dated February 12, 2003, as amended October 29, 2003, May 5, 2004,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February 17, 2006 and May 6, 2009 (previously filed as Exhibit 3.2 to the Trust’s Registration Statement on Form S-3 (File No. 333-160009)</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Specimen Common Share certificate (previously filed as Exhibit 4(i) to the Trust’s Annual Report on Form 10-K for the year ended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December 31, 1999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Articles Supplementary relating to the 5.417% Series 1 Cumulative Convertible Preferred Shares of Beneficial Interest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Exhibit 4.1 to the Trust’s Current Report on Form 8-K filed on March 13, 2007,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Indenture dated December 1, 1993 related to the Trust’s 7.48% Debentures due August 15, 2026; and 6.82% Medium Term Notes due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August 1, 2027; (previously filed as Exhibit 4(a) to the Trust’s Registration Statement on Form S-3 (File No. 33-51029), and amended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S-3 (File No. 33-63687), filed on December 13, 1993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Indenture dated September 1, 1998 related to the Trust’s 5.65% Notes due 2016; 6.00% Notes due 2012; 6.20% Notes due 2017; 5.40% Notes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due 2013; 5.95% Notes due 2014; 5.90% Notes due 2020; 3.00% Notes due 2022; and 2.75% Notes due 2023 (previously filed as Exhibit 4(a)</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to the Trust’s Registration Statement on Form S-3 (File No. 333-63619) filed on September 17, 1998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Severance Agreement between the Trust and Donald C. Wood dated February 22, 1999 (previously filed as a portion of Exhibit 10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Trust’s Quarterly Report on Form 10-Q for the quarter ended March 31, 1999 (File No. 1-07533) (the “1999 1Q Form 10-Q”)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Executive Agreement between Federal Realty Investment Trust and Donald C. Wood dated February 22, 1999 (previously filed as a portion of</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 to the 1999 1Q Form 10-Q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Amendment to Executive Agreement between Federal Realty Investment Trust and Donald C. Wood dated February 16, 2005 (previously filed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as Exhibit 10.12 to the Trust’s Annual Report on Form 10-K for the year ended December 31, 2004 (File No. 1-07533) (the “2004 Form 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Split Dollar Life Insurance Agreement dated August 12, 1998 between the Trust and Donald C. Wood (previously filed as a portion of</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Exhibit 10 to the Trust’s Annual Report on Form 10-K for the year ended December 31, 2000 (File No. 1-07533) and incorporated herein by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2001 Long-Term Incentive Plan (previously filed as Exhibit 99.1 to the Trust’s S-8 Registration Number 333-60364 filed on May 7, 2001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Health Coverage Continuation Agreement between Federal Realty Investment Trust and Donald C. Wood dated February 16, 2005 (previously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filed as Exhibit 10.26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Severance Agreement between the Trust and Dawn M. Becker dated April 19, 2000 (previously filed as Exhibit 10.26 to the Trust’s 2005 2Q</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10-Q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Amendment to Severance Agreement between the Trust and Dawn M. Becker dated February 16, 2005 (previously filed as Exhibit 10.27 to</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2003 Long-Term Incentive Award Program for shares issued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out of 2001 Long-Term Incentive Plan (previously filed as Exhibit 10.28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Form of Restricted Share Award Agreement for awards made under the Trust’s Annual Incentive Bonus Program for shares issued out of 2001</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Long-Term Incentive Plan (previously filed as Exhibit 10.29 to the 2004 Form 10-K and incorporated herein by reference)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6"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00" w:type="dxa"/>
            <w:vAlign w:val="bottom"/>
            <w:tcBorders>
              <w:top w:val="single" w:sz="8" w:color="auto"/>
            </w:tcBorders>
          </w:tcPr>
          <w:p>
            <w:pPr>
              <w:jc w:val="right"/>
              <w:ind w:right="372"/>
              <w:spacing w:after="0"/>
              <w:rPr>
                <w:sz w:val="20"/>
                <w:szCs w:val="20"/>
                <w:color w:val="auto"/>
              </w:rPr>
            </w:pPr>
            <w:r>
              <w:rPr>
                <w:rFonts w:ascii="Arial" w:cs="Arial" w:eastAsia="Arial" w:hAnsi="Arial"/>
                <w:sz w:val="18"/>
                <w:szCs w:val="18"/>
                <w:color w:val="auto"/>
                <w:w w:val="93"/>
              </w:rPr>
              <w:t>10.11</w:t>
            </w:r>
          </w:p>
        </w:tc>
        <w:tc>
          <w:tcPr>
            <w:tcW w:w="14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Form of Option Award Agreement for awards made under the Trust’s 2003 Long-Term Incentive Award Program for shares issued out of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2001 Long-Term Incentive Plan (previously filed as Exhibit 10.32 to the 2005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Amended and Restated 2001 Long-Term Incentive Plan (previously filed as Exhibit 10.34 to the Trust’s Quarterly Report on Form 10-Q for</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quarter ended June 30, 2008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Amendment to Severance Agreement between the Trust and Donald C. Wood dated January 1, 2009 (previously filed as Exhibit 10.26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Trust’s Annual Report on Form 10-K for the year ended December 31, 2008 (File No. 1-07533) (“the 2008 Form 10-K”)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Second Amendment to Executive Agreement between the Trust and Donald C. Wood dated January 1, 2009 (previously filed as Exhibit 10.27</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Amendment to Health Coverage Continuation Agreement between the Trust and Donald C. Wood dated January 1, 2009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10.28 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Second Amendment to Severance Agreement between the Trust and Dawn M. Becker dated January 1, 2009 (previously filed as Exhibit 10.30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2010 Performance Incentive Plan (previously filed as Appendix A to the Trust’s Definitive Proxy Statement for the 2010 Annual Meeting of</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Shareholders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Amendment to 2010 Performance Incentive Plan (“the 2010 Plan”) (previously filed as Appendix A to the Trust’s Proxy Supplement for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2010 Annual Meeting of Shareholders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Restricted Share Award Agreement between the Trust and Donald C. Wood dated October 12, 2010 (previously filed as Exhibit 10.36 to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Trust’s Quarterly Report on Form 10-Q for the quarter ended September 30, 2010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Long-Term Incentive Award Program and the Trust’s Annual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Incentive Bonus Program and basic awards with annual vesting for shares issued out of the 2010 Plan (previously filed as Exhibit 10.34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Trust’s Annual Report on Form 10-K for the year ended December 31, 2010 (File No. 1-07533) (the “2010 Form 10-K”)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awards made under the Trust’s Long-Term Incentive Award Program for shares issued out of the 2010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Plan (previously filed as Exhibit 10.38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front loaded awards made under the Trust’s Long-Term Incentive Award Program for shares issued out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of the 2010 Plan (previously filed as Exhibit 10.39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Form of Option Award Agreement for basic options awarded out of the 2010 Plan (previously filed as Exhibit 10.40 to the Trust’s 2010 Form</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Form of Restricted Share Award Agreement, dated as of February 10, 2011, between the Trust and Dawn M. Becker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10.41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Severance Agreement between the Trust and James M. Taylor dated July 30, 2012 (previously filed as Exhibit 10.35 to the Trust's Quarterly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Report on Form 10-Q for the quarter ended September 30, 2012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Credit Agreement dated as of July 7, 2011, by and among the Trust, as Borrower, the financial institutions party thereto and their permitted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assignees under Section 12.6., as Lenders, Wells Fargo Bank, National Association, as Administrative Agent, PNC Bank, National</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Association, as Syndication Agent, Wells Fargo Securities, LLC, as a Lead Arranger and Book Manager, and PNC Capital Markets LLC, as a</w:t>
            </w:r>
          </w:p>
        </w:tc>
        <w:tc>
          <w:tcPr>
            <w:tcW w:w="0" w:type="dxa"/>
            <w:vAlign w:val="bottom"/>
          </w:tcPr>
          <w:p>
            <w:pPr>
              <w:spacing w:after="0"/>
              <w:rPr>
                <w:sz w:val="1"/>
                <w:szCs w:val="1"/>
                <w:color w:val="auto"/>
              </w:rPr>
            </w:pPr>
          </w:p>
        </w:tc>
      </w:tr>
    </w:tbl>
    <w:p>
      <w:pPr>
        <w:ind w:left="1080" w:right="340"/>
        <w:spacing w:after="0" w:line="261" w:lineRule="auto"/>
        <w:rPr>
          <w:sz w:val="20"/>
          <w:szCs w:val="20"/>
          <w:color w:val="auto"/>
        </w:rPr>
      </w:pPr>
      <w:r>
        <w:rPr>
          <w:rFonts w:ascii="Arial" w:cs="Arial" w:eastAsia="Arial" w:hAnsi="Arial"/>
          <w:sz w:val="18"/>
          <w:szCs w:val="18"/>
          <w:color w:val="auto"/>
        </w:rPr>
        <w:t>Lead Arranger and Book Manager (previously filed as Exhibit 10.1 to the Trust’s Current Report on Form 8-K (File No. 1-07533), filed on July 11, 2011 and incorporated herein by reference)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6"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10.27</w:t>
            </w:r>
          </w:p>
        </w:tc>
        <w:tc>
          <w:tcPr>
            <w:tcW w:w="14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Term Loan Agreement dated as of November 22, 2011, by and among the Trust, as Borrower, the financial institutions party thereto and their</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permitted assignees under Section 12.6., as Lenders, PNC Bank, National Association, as Administrative Agent, Capital One, N.A., as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Syndication Agent, PNC Capital Markets, LLC, as a Lead Arranger and Book Manager, and Capital One, N.A., as a Lead Arranger and Book</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Manager (previously filed as Exhibit 10.1 to the Trust’s Current Report on Form 8-K (File No. 1-07533), filed on November 28, 2011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front loaded awards made under the Trust’s Long-Term Incentive Award Program for shares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issued out of the 2010 Plan (previously filed as Exhibit 10.35 to the Trust's Annual Report on Form 10-K for the year ended December 31,</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2012 (File No. 1-07533) (the "2012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Form of Restricted Share Award Agreement for long-term vesting and retention awards made under the Trust’s Long-Term Incentive Award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Program for shares issued out of the 2010 Plan (previously filed as Exhibit 10.36 to the Trust's 2012 Form 10-K (File No. 1-07533)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Performance Share Award Agreement for shares awarded out of the 2010 Plan (previously filed as Exhibit 10.37 to the Trust's 2012</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Revised Form of Restricted Share Award Agreement for awards made under the Trust’s Long-Term Incentive Award Program and the Trust’s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Annual Incentive Bonus Program and basic awards with annual vesting for shares issued out of the 2010 Plan (previously filed as Exhibit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10.38 to the Trust's 2012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First Amendment to Credit Agreement, dated as of April 22, 2013, by and among Federal Realty Investment Trust, each of the Lenders party</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thereto, and Wells Fargo Bank, National Association, as Administrative Agent (previously filed as Exhibit 10.1 to the Trust's Current Report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on Form 8-K (File No. 1-07533), filed on April 26, 2013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First Amendment to Term Loan Agreement, dated as of April 22, 2013, by and among Federal Realty Investment Trust, each of the Lenders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party thereto, and PNC Bank, National Association, as Administrative Agent (previously filed as Exhibit 10.40 to the Trust's Quarterly Report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on Form 10-Q for the quarter ended March 31, 2013 (File No. 1-07533) and incorporated herein by reference)</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Rule 13a-14(a) Certification of Chief Executive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Rule 13a-14(a) Certification of Chief Financial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Section 1350 Certification of Chief Executive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Section 1350 Certification of Chief Financial Officer (filed herewith)</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080" w:right="460" w:hanging="1045"/>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materials from Federal Realty Investment Trust’s Quarterly Report on Form 10-Q for the quarter ended June 30, 2013,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6"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October 31, 2013</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James M. Taylor, Jr.</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18"/>
          <w:szCs w:val="18"/>
          <w:color w:val="auto"/>
        </w:rPr>
        <w:t>October 31, 2013</w:t>
      </w:r>
      <w:r>
        <w:rPr>
          <w:sz w:val="20"/>
          <w:szCs w:val="20"/>
          <w:color w:val="auto"/>
        </w:rPr>
        <w:tab/>
      </w:r>
      <w:r>
        <w:rPr>
          <w:rFonts w:ascii="Arial" w:cs="Arial" w:eastAsia="Arial" w:hAnsi="Arial"/>
          <w:sz w:val="15"/>
          <w:szCs w:val="15"/>
          <w:color w:val="auto"/>
        </w:rPr>
        <w:t>/s/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James M. Taylor, Jr.</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September 30, 2013 (the “Report”). The undersigned hereby certifies, to the best of his knowledge, that:</w:t>
      </w:r>
    </w:p>
    <w:p>
      <w:pPr>
        <w:spacing w:after="0" w:line="73" w:lineRule="exact"/>
        <w:rPr>
          <w:sz w:val="20"/>
          <w:szCs w:val="20"/>
          <w:color w:val="auto"/>
        </w:rPr>
      </w:pPr>
    </w:p>
    <w:p>
      <w:pPr>
        <w:ind w:left="1300" w:hanging="887"/>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October 31, 2013</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The undersigned, James M. Taylor, Jr.,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September 30, 2013 (the “Report”). The undersigned hereby certifies, to the best of his knowledge, that:</w:t>
      </w:r>
    </w:p>
    <w:p>
      <w:pPr>
        <w:spacing w:after="0" w:line="39" w:lineRule="exact"/>
        <w:rPr>
          <w:sz w:val="20"/>
          <w:szCs w:val="20"/>
          <w:color w:val="auto"/>
        </w:rPr>
      </w:pPr>
    </w:p>
    <w:p>
      <w:pPr>
        <w:ind w:left="1300" w:hanging="887"/>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18"/>
          <w:szCs w:val="18"/>
          <w:color w:val="auto"/>
        </w:rPr>
        <w:t>October 31, 2013</w:t>
      </w:r>
      <w:r>
        <w:rPr>
          <w:sz w:val="20"/>
          <w:szCs w:val="20"/>
          <w:color w:val="auto"/>
        </w:rPr>
        <w:tab/>
      </w:r>
      <w:r>
        <w:rPr>
          <w:rFonts w:ascii="Arial" w:cs="Arial" w:eastAsia="Arial" w:hAnsi="Arial"/>
          <w:sz w:val="15"/>
          <w:szCs w:val="15"/>
          <w:color w:val="auto"/>
        </w:rPr>
        <w:t>/s/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James M. Taylor, Jr.</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3"/>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lvl w:ilvl="1">
      <w:lvlJc w:val="left"/>
      <w:lvlText w:val="•"/>
      <w:numFmt w:val="bullet"/>
      <w:start w:val="1"/>
    </w:lvl>
  </w:abstractNum>
  <w:abstractNum w:abstractNumId="23">
    <w:nsid w:val="B03E0C6"/>
    <w:multiLevelType w:val="hybridMultilevel"/>
    <w:lvl w:ilvl="0">
      <w:lvlJc w:val="left"/>
      <w:lvlText w:val="%1"/>
      <w:numFmt w:val="decimal"/>
      <w:start w:val="10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2019-12-05T10:01:00Z</dcterms:created>
  <dcterms:modified xsi:type="dcterms:W3CDTF">2019-12-05T10:01:00Z</dcterms:modified>
</cp:coreProperties>
</file>