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333-224807</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(TO PROSPECTUS DATED MAY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160020</wp:posOffset>
            </wp:positionV>
            <wp:extent cx="2461260" cy="1054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1054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848,390 Common Shares of Beneficial Interest</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(par value $0.01 per share)</w:t>
      </w:r>
    </w:p>
    <w:p>
      <w:pPr>
        <w:spacing w:after="0" w:line="191" w:lineRule="exact"/>
        <w:rPr>
          <w:sz w:val="24"/>
          <w:szCs w:val="24"/>
          <w:color w:val="auto"/>
        </w:rPr>
      </w:pPr>
    </w:p>
    <w:p>
      <w:pPr>
        <w:ind w:left="200" w:right="160"/>
        <w:spacing w:after="0" w:line="254" w:lineRule="auto"/>
        <w:rPr>
          <w:sz w:val="20"/>
          <w:szCs w:val="20"/>
          <w:color w:val="auto"/>
        </w:rPr>
      </w:pPr>
      <w:r>
        <w:rPr>
          <w:rFonts w:ascii="Times New Roman" w:cs="Times New Roman" w:eastAsia="Times New Roman" w:hAnsi="Times New Roman"/>
          <w:sz w:val="18"/>
          <w:szCs w:val="18"/>
          <w:color w:val="auto"/>
        </w:rPr>
        <w:t>This prospectus supplement no. 1 supplements and amends the prospectus dated May 9, 2018, relating to the offer and sale from time to time by the selling shareholders named therein or their pledgees of up to 848,390 of our common shares of beneficial interest, par value $0.01 per share, which we refer to as our common shares, comprised of (i) common shares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w:t>
      </w:r>
    </w:p>
    <w:p>
      <w:pPr>
        <w:spacing w:after="0" w:line="3" w:lineRule="exact"/>
        <w:rPr>
          <w:sz w:val="24"/>
          <w:szCs w:val="24"/>
          <w:color w:val="auto"/>
        </w:rPr>
      </w:pPr>
    </w:p>
    <w:p>
      <w:pPr>
        <w:ind w:left="200" w:right="320" w:firstLine="4"/>
        <w:spacing w:after="0" w:line="252" w:lineRule="auto"/>
        <w:tabs>
          <w:tab w:leader="none" w:pos="4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issuable upon redemption of units of (A) NVI-Avenue, LLC, a Maryland limited liability company, (B) Route 35 Shrewsbury Limited Partnership, a New Jersey limited partnership, (C) 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w:t>
      </w:r>
    </w:p>
    <w:p>
      <w:pPr>
        <w:spacing w:after="0" w:line="190" w:lineRule="exact"/>
        <w:rPr>
          <w:sz w:val="24"/>
          <w:szCs w:val="24"/>
          <w:color w:val="auto"/>
        </w:rPr>
      </w:pPr>
    </w:p>
    <w:p>
      <w:pPr>
        <w:ind w:left="200" w:right="60"/>
        <w:spacing w:after="0" w:line="258" w:lineRule="auto"/>
        <w:rPr>
          <w:sz w:val="20"/>
          <w:szCs w:val="20"/>
          <w:color w:val="auto"/>
        </w:rPr>
      </w:pPr>
      <w:r>
        <w:rPr>
          <w:rFonts w:ascii="Times New Roman" w:cs="Times New Roman" w:eastAsia="Times New Roman" w:hAnsi="Times New Roman"/>
          <w:sz w:val="18"/>
          <w:szCs w:val="18"/>
          <w:color w:val="auto"/>
        </w:rPr>
        <w:t>As more fully described under “Plan of Distribution” in the prospectus, the selling shareholders or their successors in interest may from time to time transfer, pledge or grant a security interest in some or all of the common shares, preferred shares or downREIT units, and any such transferee or pledgee (if the selling shareholders default in the performance of their secured obligations) may offer and sell the applicable common shares from time to time under the prospectus. The purpose of this prospectus supplement is to update the list of selling shareholders in the prospectus to include one or more such transferees and/or pledgees, so that such transferee(s) and/or pledgee(s) may offer and sell the applicable securities.</w:t>
      </w:r>
    </w:p>
    <w:p>
      <w:pPr>
        <w:spacing w:after="0" w:line="184" w:lineRule="exact"/>
        <w:rPr>
          <w:sz w:val="24"/>
          <w:szCs w:val="24"/>
          <w:color w:val="auto"/>
        </w:rPr>
      </w:pPr>
    </w:p>
    <w:p>
      <w:pPr>
        <w:ind w:left="2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additional and updated information concerning beneficial ownership of the common shares, and supplements, amends and supersedes in its entirety the table appearing under “</w:t>
      </w:r>
      <w:hyperlink w:anchor="page14">
        <w:r>
          <w:rPr>
            <w:rFonts w:ascii="Times New Roman" w:cs="Times New Roman" w:eastAsia="Times New Roman" w:hAnsi="Times New Roman"/>
            <w:sz w:val="18"/>
            <w:szCs w:val="18"/>
            <w:u w:val="single" w:color="auto"/>
            <w:color w:val="0000EE"/>
          </w:rPr>
          <w:t>Selling Shareholders</w:t>
        </w:r>
      </w:hyperlink>
      <w:r>
        <w:rPr>
          <w:rFonts w:ascii="Times New Roman" w:cs="Times New Roman" w:eastAsia="Times New Roman" w:hAnsi="Times New Roman"/>
          <w:sz w:val="18"/>
          <w:szCs w:val="18"/>
          <w:color w:val="auto"/>
        </w:rPr>
        <w:t>” beginning on page 3 of the prospectus. We have prepared this table based on information given to us by the selling shareholders listed below prior to the date hereof.</w:t>
      </w:r>
    </w:p>
    <w:p>
      <w:pPr>
        <w:spacing w:after="0" w:line="184"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2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02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02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Offering (1)</w:t>
            </w:r>
          </w:p>
        </w:tc>
        <w:tc>
          <w:tcPr>
            <w:tcW w:w="7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Being Offered (2)</w:t>
            </w:r>
          </w:p>
        </w:tc>
        <w:tc>
          <w:tcPr>
            <w:tcW w:w="9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 Thomas Campbell</w:t>
            </w:r>
          </w:p>
        </w:tc>
        <w:tc>
          <w:tcPr>
            <w:tcW w:w="12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vMerge w:val="continue"/>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5,306(4)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Bruce S. Campbell, III</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16,780(5)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220"/>
          </w:cols>
          <w:pgMar w:left="24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4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14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1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Offering (1)</w:t>
            </w:r>
          </w:p>
        </w:tc>
        <w:tc>
          <w:tcPr>
            <w:tcW w:w="760" w:type="dxa"/>
            <w:vAlign w:val="bottom"/>
          </w:tcPr>
          <w:p>
            <w:pPr>
              <w:spacing w:after="0"/>
              <w:rPr>
                <w:sz w:val="15"/>
                <w:szCs w:val="15"/>
                <w:color w:val="auto"/>
              </w:rPr>
            </w:pPr>
          </w:p>
        </w:tc>
        <w:tc>
          <w:tcPr>
            <w:tcW w:w="2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Being Offered (2)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S. Campbell, IV</w:t>
            </w:r>
          </w:p>
        </w:tc>
        <w:tc>
          <w:tcPr>
            <w:tcW w:w="12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1,025(6)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Carol C. Haislip</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5,306(7)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Caroline Campbell Hill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656(8)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Carolyn C. Beall</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1,672</w:t>
            </w:r>
          </w:p>
        </w:tc>
        <w:tc>
          <w:tcPr>
            <w:tcW w:w="21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7,442(9)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Charlton G. Campbell Hughes</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33,585(10)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Douglas Franklin Campbell</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1,101</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6,020(11)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T.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3,008</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36,515(12)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Judith F. Campbell</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232(13)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Campbell Ackerman</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656(14)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Madeline C. Modica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7,679(15)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Marcie C. McHale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1,090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6,020(16)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Robert Bruce Campbell</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7,177(17)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Tyler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6,020(18)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 James Campbell, Jr.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5,306(19)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T.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1,025(20)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Taber C. Hook</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9,007(21)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20,822(22)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Trustee of the Richard L. Campbell, Jr.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Residuary Trust</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2,566(23)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Trustees of the Generation Skipping</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Tax Exempt Trust u/w of</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 James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9,550(24)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Trustees of the Laurence Thomsen Trust</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 10/16/67</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25,467(25)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D. Dollenberg, Jr.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1,500(26)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Jamie N. Campbell</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21,339(27)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T. Campbell</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6,136(28)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Kathleen B. Dollenberg</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1,201(29)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Campbell Alcarese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1,756(30)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Kristin D. Chottiner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3,548(31)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Connor M. Campbell under</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386(32)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Mitchell W. Campbell under</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386(33)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Sarah A. Campbell under OR-UGMA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386(34)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 Mills Dancy</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348(35)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Beall Disabato</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64(36)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James C. Alban, IV</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348(37)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Jesse R. Modica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348(38)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Jessica C. Hughes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9,647(39)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Claire J. McHale under WA-UGMA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386(40)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Madeline C. McHale under</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WA-UGMA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386(41)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Samuel H. McHale under WA-UGMA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386(42)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Meredith McLean Alcarese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1,756(43)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Mitchell W. Hook</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348(44)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Natal Modica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348(45)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Hook, IV</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174(46)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Jessica J. Campbell under OR-UGMA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290(47)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0340"/>
          </w:cols>
          <w:pgMar w:left="240" w:top="455" w:right="1319" w:bottom="1440" w:gutter="0" w:footer="0" w:header="0"/>
        </w:sect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40"/>
          </w:cols>
          <w:pgMar w:left="240" w:top="455" w:right="131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4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140" w:type="dxa"/>
            <w:vAlign w:val="bottom"/>
            <w:gridSpan w:val="2"/>
            <w:vMerge w:val="continue"/>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1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Prior to Offering (1)</w:t>
            </w:r>
          </w:p>
        </w:tc>
        <w:tc>
          <w:tcPr>
            <w:tcW w:w="2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Being Offered (2)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178"/>
        </w:trPr>
        <w:tc>
          <w:tcPr>
            <w:tcW w:w="37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Russell T. Campbell, Custodian for</w:t>
            </w:r>
          </w:p>
        </w:tc>
        <w:tc>
          <w:tcPr>
            <w:tcW w:w="1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Kelsey N. Campbell under</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290(48)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Lindsey M. Campbell under</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290(49)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Tyler W. Campbell under OR-UGMA</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290(50)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Trustees u/a dated 4/23/85 (Richard E.</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Hook, IV, Grantor)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348(51)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Taber A. Frederick</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348(52)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 Douglas Dollenberg, Sr.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1,200(53)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Terranomics</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8,850(54)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Merritt &amp; Pamela Sher Living Trust</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(Merritt &amp; Pamela Sher, Trustees)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84,943(55)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Survivor’s Trust established under the</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Merritt and Pamela Sher Living Trust</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84,942(56)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Ronald Sher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129,742(57)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 Kabat</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36,148(58)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VT Trust (J. Victor Fandel, Trustee)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13,711(59)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Castillo</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2,569(60)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Cori Linn</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2,377(61)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A. Bloch</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4,360(62)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Joseph D. Blum</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864(63)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Bomar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864(64)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Cohen Family Trust (George Cohen,</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864(65)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 Culbertson Revocable Trust (B.L.</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Culbertson, Trustee)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864(66)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Fazekas Living Trust (Thomas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Fazekas, Trustee)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864(67)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 &amp; S.M. Javaras Trust (A.N. Javaras,</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864(68)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L.H. &amp; M.R. Miller Trust (Lindley H.</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Miller, Trustee)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864(69)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Morse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2,292(70)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David Naggar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864(71)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Bruce C. Spikell Trust, UDT 9/13/10</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(Bruce C. Spikell, Trustee)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864(72)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 &amp; P Steuart Trust dated 9/13/11</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(William &amp; Pamela Steuart,</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Co-Trustees)</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1,836(73)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Williamson</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3,749(74)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Offel Trust Agreement (Mignon</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Offel, Trustee)</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648(75)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Lynne Bremer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216(76)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Sher GP, Inc.</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1,964(77)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Lacey Sher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8,060(78)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 L. Seiler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718(79)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Colton M. Rodoski</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6,048(80)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Rebecca Wellington</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6,048(81)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Nigel Sher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5,286(82)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Seiler Family Revocable Trust</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718(83)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Circe Sher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8,060(84)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Stephen V. Palevich and Kathleen J.</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Palevich Trust</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1,473(85)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Antonio Center, LLC</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35,639(86)</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0340"/>
          </w:cols>
          <w:pgMar w:left="240" w:top="455" w:right="1319" w:bottom="1440" w:gutter="0" w:footer="0" w:header="0"/>
        </w:sect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40"/>
          </w:cols>
          <w:pgMar w:left="240" w:top="455" w:right="131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12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12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Prior to Offering (1)</w:t>
            </w:r>
          </w:p>
        </w:tc>
        <w:tc>
          <w:tcPr>
            <w:tcW w:w="7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Being Offered (2)</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R. Buck</w:t>
            </w:r>
          </w:p>
        </w:tc>
        <w:tc>
          <w:tcPr>
            <w:tcW w:w="12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vMerge w:val="continue"/>
            <w:shd w:val="clear" w:color="auto" w:fill="CCEEFF"/>
          </w:tcPr>
          <w:p>
            <w:pPr>
              <w:spacing w:after="0"/>
              <w:rPr>
                <w:sz w:val="18"/>
                <w:szCs w:val="18"/>
                <w:color w:val="auto"/>
              </w:rPr>
            </w:pP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3,601(87)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Jeremy Buck</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3,052(88)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Buck</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2,852(89)</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Dorothy Beer Lodato as Trustee of The</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Frank J. Lodato Bypass Trust created</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the terms of The Frank J. Lodato</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dated March 30, 1976, as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16,769(90)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 Bush Miller, Trustee of the Jane</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Buch Miiler Trust dated August 7,</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1990 as amended on December 23,</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1996</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16,769(91)</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Janet M. Gunn and Karl Isacson,</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Co-Trustees of the Charles H. Gunn</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Revocable Trust</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21,769(92)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Elizabeth M. McCarthy, a married</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women, as her separate property</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11,238(93)</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Lindley H. Miller, III, as Trustee under</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Declaration of Trust dated May 10,</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1996</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11,238(94)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M. Carter</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2,000(95)</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Benjamin Weiner</w:t>
            </w: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30,508(96)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Price</w:t>
            </w: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2,026(97)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40" w:right="20" w:hanging="536"/>
        <w:spacing w:after="0" w:line="255"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column is partially based on information in the records of the transfer agent and registrar for the common shares on or about May 8, 2018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Times New Roman" w:cs="Times New Roman" w:eastAsia="Times New Roman" w:hAnsi="Times New Roman"/>
          <w:sz w:val="18"/>
          <w:szCs w:val="18"/>
          <w:color w:val="auto"/>
        </w:rPr>
      </w:pPr>
    </w:p>
    <w:p>
      <w:pPr>
        <w:ind w:left="740" w:hanging="536"/>
        <w:spacing w:after="0" w:line="250"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of the common shares being offered under this registration statement.</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right="340" w:hanging="536"/>
        <w:spacing w:after="0" w:line="250"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740" w:right="200" w:hanging="536"/>
        <w:spacing w:after="0" w:line="250"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7,442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conversion of 140,644 preferred shares.</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232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7,679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7,177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right="40" w:hanging="536"/>
        <w:spacing w:after="0" w:line="250"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740" w:right="260" w:hanging="536"/>
        <w:spacing w:after="0" w:line="250"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740" w:right="100" w:hanging="536"/>
        <w:spacing w:after="0" w:line="250"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9,550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25,467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1,500 downREIT units of NVI-Avenue, LLC.</w:t>
      </w:r>
    </w:p>
    <w:p>
      <w:pPr>
        <w:spacing w:after="0" w:line="9" w:lineRule="exact"/>
        <w:rPr>
          <w:rFonts w:ascii="Times New Roman" w:cs="Times New Roman" w:eastAsia="Times New Roman" w:hAnsi="Times New Roman"/>
          <w:sz w:val="18"/>
          <w:szCs w:val="18"/>
          <w:color w:val="auto"/>
        </w:rPr>
      </w:pPr>
    </w:p>
    <w:p>
      <w:pPr>
        <w:ind w:left="740" w:right="100" w:hanging="536"/>
        <w:spacing w:after="0" w:line="250"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6,136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1,201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 downREIT units of NVI-Avenue, LLC.</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240" w:top="455" w:right="6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27"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9,647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174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1,200 downREIT units of NVI-Avenue, LLC.</w:t>
      </w:r>
    </w:p>
    <w:p>
      <w:pPr>
        <w:spacing w:after="0" w:line="9" w:lineRule="exact"/>
        <w:rPr>
          <w:rFonts w:ascii="Times New Roman" w:cs="Times New Roman" w:eastAsia="Times New Roman" w:hAnsi="Times New Roman"/>
          <w:sz w:val="18"/>
          <w:szCs w:val="18"/>
          <w:color w:val="auto"/>
        </w:rPr>
      </w:pPr>
    </w:p>
    <w:p>
      <w:pPr>
        <w:jc w:val="both"/>
        <w:ind w:left="740" w:right="200" w:hanging="536"/>
        <w:spacing w:after="0" w:line="265"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w:t>
      </w:r>
    </w:p>
    <w:p>
      <w:pPr>
        <w:ind w:left="1040" w:hanging="296"/>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 downREIT units of 35 West, LLC.</w:t>
      </w:r>
    </w:p>
    <w:p>
      <w:pPr>
        <w:spacing w:after="0" w:line="9" w:lineRule="exact"/>
        <w:rPr>
          <w:rFonts w:ascii="Times New Roman" w:cs="Times New Roman" w:eastAsia="Times New Roman" w:hAnsi="Times New Roman"/>
          <w:sz w:val="18"/>
          <w:szCs w:val="18"/>
          <w:color w:val="auto"/>
        </w:rPr>
      </w:pPr>
    </w:p>
    <w:p>
      <w:pPr>
        <w:ind w:left="740" w:hanging="536"/>
        <w:spacing w:after="0" w:line="265"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(i) 46,087 downREIT units of Route 35 Shrewsbury Limited Partnership, (ii) 8,119 downREIT units of Shrewsbury Commons L.P., (iii) 29,619 downREIT units of Sea Girt Limited Partnership and</w:t>
      </w:r>
    </w:p>
    <w:p>
      <w:pPr>
        <w:ind w:left="1040" w:hanging="296"/>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1,118 downREIT units of 35 West, LLC.</w:t>
      </w:r>
    </w:p>
    <w:p>
      <w:pPr>
        <w:spacing w:after="0" w:line="9" w:lineRule="exact"/>
        <w:rPr>
          <w:rFonts w:ascii="Times New Roman" w:cs="Times New Roman" w:eastAsia="Times New Roman" w:hAnsi="Times New Roman"/>
          <w:sz w:val="18"/>
          <w:szCs w:val="18"/>
          <w:color w:val="auto"/>
        </w:rPr>
      </w:pPr>
    </w:p>
    <w:p>
      <w:pPr>
        <w:ind w:left="740" w:hanging="536"/>
        <w:spacing w:after="0" w:line="265"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(i) 46,086 downREIT units of Route 35 Shrewsbury Limited Partnership, (ii) 8,119 downREIT units of Shrewsbury Commons L.P., (iii) 29,619 downREIT units of Sea Girt Limited Partnership and</w:t>
      </w:r>
    </w:p>
    <w:p>
      <w:pPr>
        <w:ind w:left="1040" w:hanging="296"/>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1,118 downREIT units of 35 West, LLC.</w:t>
      </w:r>
    </w:p>
    <w:p>
      <w:pPr>
        <w:spacing w:after="0" w:line="9" w:lineRule="exact"/>
        <w:rPr>
          <w:rFonts w:ascii="Times New Roman" w:cs="Times New Roman" w:eastAsia="Times New Roman" w:hAnsi="Times New Roman"/>
          <w:sz w:val="18"/>
          <w:szCs w:val="18"/>
          <w:color w:val="auto"/>
        </w:rPr>
      </w:pPr>
    </w:p>
    <w:p>
      <w:pPr>
        <w:ind w:left="740" w:right="120" w:hanging="536"/>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65,433 downREIT units of Route 35 Shrewsbury Limited Partnership and (ii) 64,309 downREIT units of Sea Girt Limited Partnership.</w:t>
      </w:r>
    </w:p>
    <w:p>
      <w:pPr>
        <w:ind w:left="740" w:right="320" w:hanging="536"/>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36,148 downREIT units of Route 35 Shrewsbury Limited Partnership.</w:t>
      </w:r>
    </w:p>
    <w:p>
      <w:pPr>
        <w:ind w:left="740" w:right="340" w:hanging="536"/>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13,711 downREIT units of Route 35 Shrewsbury Limited Partnership.</w:t>
      </w:r>
    </w:p>
    <w:p>
      <w:pPr>
        <w:ind w:left="740" w:right="420" w:hanging="536"/>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2,569 downREIT units of Route 35 Shrewsbury Limited Partnership.</w:t>
      </w:r>
    </w:p>
    <w:p>
      <w:pPr>
        <w:ind w:left="740" w:right="420" w:hanging="536"/>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2,377 downREIT units of Route 35 Shrewsbury Limited Partnership.</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24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right="400" w:hanging="536"/>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right="48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right="48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1,836 downREIT units of Route 35 Shrewsbury Limited Partnership.</w:t>
      </w:r>
    </w:p>
    <w:p>
      <w:pPr>
        <w:ind w:left="740" w:right="28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Times New Roman" w:cs="Times New Roman" w:eastAsia="Times New Roman" w:hAnsi="Times New Roman"/>
          <w:sz w:val="18"/>
          <w:szCs w:val="18"/>
          <w:color w:val="auto"/>
        </w:rPr>
      </w:pP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648 downREIT units of Route 35 Shrewsbury Limited Partnership.</w:t>
      </w:r>
    </w:p>
    <w:p>
      <w:pPr>
        <w:ind w:left="74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216 downREIT units of Route 35 Shrewsbury Limited Partnership.</w:t>
      </w:r>
    </w:p>
    <w:p>
      <w:pPr>
        <w:ind w:left="740" w:right="8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1,964 downREIT units of Sea Girt Limited Partnership.</w:t>
      </w:r>
    </w:p>
    <w:p>
      <w:pPr>
        <w:ind w:left="740" w:right="3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740" w:hanging="536"/>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740" w:right="3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740" w:right="3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740" w:right="3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3,437 downREIT units of Sea Girt Limited Partnership and (iii) 1,490 downREIT units of 35 West, LLC.</w:t>
      </w:r>
    </w:p>
    <w:p>
      <w:pPr>
        <w:ind w:left="740" w:hanging="536"/>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740" w:right="320" w:hanging="536"/>
        <w:spacing w:after="0" w:line="250"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740" w:right="820" w:hanging="536"/>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1,473 downREIT units of Sea Girt Limited Partnership.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24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right="240" w:hanging="536"/>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35,639 downREIT units of Federal Realty Partners L.P.</w:t>
      </w:r>
    </w:p>
    <w:p>
      <w:pPr>
        <w:ind w:left="740" w:hanging="536"/>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3,601 downREIT units of Federal Realty Partners L.P.</w:t>
      </w:r>
    </w:p>
    <w:p>
      <w:pPr>
        <w:spacing w:after="0" w:line="20" w:lineRule="exact"/>
        <w:rPr>
          <w:rFonts w:ascii="Times New Roman" w:cs="Times New Roman" w:eastAsia="Times New Roman" w:hAnsi="Times New Roman"/>
          <w:sz w:val="17"/>
          <w:szCs w:val="17"/>
          <w:color w:val="auto"/>
        </w:rPr>
      </w:pPr>
    </w:p>
    <w:p>
      <w:pPr>
        <w:ind w:left="740" w:hanging="536"/>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3,052 downREIT units of Federal Realty Partners L.P.</w:t>
      </w:r>
    </w:p>
    <w:p>
      <w:pPr>
        <w:spacing w:after="0" w:line="20" w:lineRule="exact"/>
        <w:rPr>
          <w:rFonts w:ascii="Times New Roman" w:cs="Times New Roman" w:eastAsia="Times New Roman" w:hAnsi="Times New Roman"/>
          <w:sz w:val="17"/>
          <w:szCs w:val="17"/>
          <w:color w:val="auto"/>
        </w:rPr>
      </w:pPr>
    </w:p>
    <w:p>
      <w:pPr>
        <w:ind w:left="740" w:hanging="536"/>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2,852 downREIT units of Federal Realty Partners L.P.</w:t>
      </w:r>
    </w:p>
    <w:p>
      <w:pPr>
        <w:spacing w:after="0" w:line="20" w:lineRule="exact"/>
        <w:rPr>
          <w:rFonts w:ascii="Times New Roman" w:cs="Times New Roman" w:eastAsia="Times New Roman" w:hAnsi="Times New Roman"/>
          <w:sz w:val="17"/>
          <w:szCs w:val="17"/>
          <w:color w:val="auto"/>
        </w:rPr>
      </w:pP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21,769 downREIT units of Federal Realty Partners L.P.</w:t>
      </w: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11,238 downREIT units of Federal Realty Partners L.P.</w:t>
      </w: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11,238 downREIT units of Federal Realty Partners L.P.</w:t>
      </w:r>
    </w:p>
    <w:p>
      <w:pPr>
        <w:ind w:left="740" w:hanging="536"/>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2,000 downREIT units of Federal Realty Partners L.P.</w:t>
      </w:r>
    </w:p>
    <w:p>
      <w:pPr>
        <w:spacing w:after="0" w:line="20" w:lineRule="exact"/>
        <w:rPr>
          <w:rFonts w:ascii="Times New Roman" w:cs="Times New Roman" w:eastAsia="Times New Roman" w:hAnsi="Times New Roman"/>
          <w:sz w:val="17"/>
          <w:szCs w:val="17"/>
          <w:color w:val="auto"/>
        </w:rPr>
      </w:pPr>
    </w:p>
    <w:p>
      <w:pPr>
        <w:ind w:left="740" w:right="240" w:hanging="536"/>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30,508 downREIT units of Federal Realty Partners L.P.</w:t>
      </w:r>
    </w:p>
    <w:p>
      <w:pPr>
        <w:ind w:left="740" w:hanging="536"/>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2,026 downREIT units of Federal Realty Partners L.P.</w:t>
      </w:r>
    </w:p>
    <w:p>
      <w:pPr>
        <w:spacing w:after="0" w:line="218"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The prospectus and this prospectus supplement no. 1 constitute the prospectus required to be delivered by Section 5(b) of the Securities Act of 1933 with respect to offers and sales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208915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shares involves certain risks. See “</w:t>
      </w:r>
      <w:hyperlink w:anchor="page13">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incorporated by reference on page 2 of the prospectus.</w:t>
      </w:r>
    </w:p>
    <w:p>
      <w:pPr>
        <w:spacing w:after="0" w:line="225" w:lineRule="exact"/>
        <w:rPr>
          <w:sz w:val="20"/>
          <w:szCs w:val="20"/>
          <w:color w:val="auto"/>
        </w:rPr>
      </w:pPr>
    </w:p>
    <w:p>
      <w:pPr>
        <w:ind w:left="200"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19, 2019</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24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174625</wp:posOffset>
            </wp:positionV>
            <wp:extent cx="2383790" cy="943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848,390 Common Shares of Beneficial Interest</w:t>
      </w:r>
    </w:p>
    <w:p>
      <w:pPr>
        <w:spacing w:after="0" w:line="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(par value $0.01 per share)</w:t>
      </w:r>
    </w:p>
    <w:p>
      <w:pPr>
        <w:spacing w:after="0" w:line="191"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shareholders named in this prospectus or their pledgees of up to 848,390 of our common shares of beneficial interest, par value $0.01 per share, which we refer to as our common shares, comprised of (i) common shares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common shares issuable upon redemption of units of (A) NVI-Avenue, LLC, a Maryland limited liability company, (B) Route 35 Shrewsbury Limited Partnership, a New Jersey limited partnership, (C) 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ind w:left="200" w:right="80"/>
        <w:spacing w:after="0" w:line="254" w:lineRule="auto"/>
        <w:rPr>
          <w:sz w:val="20"/>
          <w:szCs w:val="20"/>
          <w:color w:val="auto"/>
        </w:rPr>
      </w:pPr>
      <w:r>
        <w:rPr>
          <w:rFonts w:ascii="Times New Roman" w:cs="Times New Roman" w:eastAsia="Times New Roman" w:hAnsi="Times New Roman"/>
          <w:sz w:val="18"/>
          <w:szCs w:val="18"/>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Conversions are subject to (a) limitations on real estate investment trust share ownership, (b) a minimum conversion amount,</w:t>
      </w:r>
    </w:p>
    <w:p>
      <w:pPr>
        <w:spacing w:after="0" w:line="3" w:lineRule="exact"/>
        <w:rPr>
          <w:sz w:val="20"/>
          <w:szCs w:val="20"/>
          <w:color w:val="auto"/>
        </w:rPr>
      </w:pPr>
    </w:p>
    <w:p>
      <w:pPr>
        <w:ind w:left="200" w:right="60" w:firstLine="4"/>
        <w:spacing w:after="0" w:line="252" w:lineRule="auto"/>
        <w:tabs>
          <w:tab w:leader="none" w:pos="4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89" w:lineRule="exact"/>
        <w:rPr>
          <w:sz w:val="20"/>
          <w:szCs w:val="20"/>
          <w:color w:val="auto"/>
        </w:rPr>
      </w:pPr>
    </w:p>
    <w:p>
      <w:pPr>
        <w:ind w:left="200" w:right="480"/>
        <w:spacing w:after="0" w:line="282" w:lineRule="auto"/>
        <w:rPr>
          <w:sz w:val="20"/>
          <w:szCs w:val="20"/>
          <w:color w:val="auto"/>
        </w:rPr>
      </w:pPr>
      <w:r>
        <w:rPr>
          <w:rFonts w:ascii="Times New Roman" w:cs="Times New Roman" w:eastAsia="Times New Roman" w:hAnsi="Times New Roman"/>
          <w:sz w:val="18"/>
          <w:szCs w:val="18"/>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ectPr>
          <w:pgSz w:w="11900" w:h="16838" w:orient="portrait"/>
          <w:cols w:equalWidth="0" w:num="1">
            <w:col w:w="11140"/>
          </w:cols>
          <w:pgMar w:left="240" w:top="455" w:right="5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In some cases, we are registering the common shares being offered under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84" w:lineRule="exact"/>
        <w:rPr>
          <w:sz w:val="20"/>
          <w:szCs w:val="20"/>
          <w:color w:val="auto"/>
        </w:rPr>
      </w:pPr>
    </w:p>
    <w:p>
      <w:pPr>
        <w:jc w:val="both"/>
        <w:ind w:left="200" w:right="200"/>
        <w:spacing w:after="0" w:line="266" w:lineRule="auto"/>
        <w:rPr>
          <w:sz w:val="20"/>
          <w:szCs w:val="20"/>
          <w:color w:val="auto"/>
        </w:rPr>
      </w:pPr>
      <w:r>
        <w:rPr>
          <w:rFonts w:ascii="Times New Roman" w:cs="Times New Roman" w:eastAsia="Times New Roman" w:hAnsi="Times New Roman"/>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76"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 On May 7, 2018, the last reported sales price of our common shares, as reported on the New York Stock Exchange, was $118.85 per share.</w:t>
      </w:r>
    </w:p>
    <w:p>
      <w:pPr>
        <w:spacing w:after="0" w:line="158" w:lineRule="exact"/>
        <w:rPr>
          <w:sz w:val="20"/>
          <w:szCs w:val="20"/>
          <w:color w:val="auto"/>
        </w:rPr>
      </w:pPr>
    </w:p>
    <w:p>
      <w:pPr>
        <w:ind w:left="200" w:right="180"/>
        <w:spacing w:after="0" w:line="268" w:lineRule="auto"/>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auto"/>
          </w:rPr>
          <w:t>Please read this prospectus and any supplement hereto carefully before you invest. Investing in our common shares involves risks. See “</w:t>
        </w:r>
        <w:r>
          <w:rPr>
            <w:rFonts w:ascii="Times New Roman" w:cs="Times New Roman" w:eastAsia="Times New Roman" w:hAnsi="Times New Roman"/>
            <w:sz w:val="18"/>
            <w:szCs w:val="18"/>
            <w:b w:val="1"/>
            <w:bCs w:val="1"/>
            <w:u w:val="single" w:color="auto"/>
            <w:color w:val="0000EE"/>
          </w:rPr>
          <w:t>Risk</w:t>
        </w:r>
      </w:hyperlink>
      <w:r>
        <w:rPr>
          <w:rFonts w:ascii="Times New Roman" w:cs="Times New Roman" w:eastAsia="Times New Roman" w:hAnsi="Times New Roman"/>
          <w:sz w:val="18"/>
          <w:szCs w:val="18"/>
          <w:b w:val="1"/>
          <w:bCs w:val="1"/>
          <w:color w:val="auto"/>
        </w:rPr>
        <w:t xml:space="preserve"> </w:t>
      </w:r>
      <w:hyperlink w:anchor="page13">
        <w:r>
          <w:rPr>
            <w:rFonts w:ascii="Times New Roman" w:cs="Times New Roman" w:eastAsia="Times New Roman" w:hAnsi="Times New Roman"/>
            <w:sz w:val="18"/>
            <w:szCs w:val="18"/>
            <w:b w:val="1"/>
            <w:bCs w:val="1"/>
            <w:u w:val="single" w:color="auto"/>
            <w:color w:val="0000EE"/>
          </w:rPr>
          <w:t>Factors</w:t>
        </w:r>
        <w:r>
          <w:rPr>
            <w:rFonts w:ascii="Times New Roman" w:cs="Times New Roman" w:eastAsia="Times New Roman" w:hAnsi="Times New Roman"/>
            <w:sz w:val="18"/>
            <w:szCs w:val="18"/>
            <w:b w:val="1"/>
            <w:bCs w:val="1"/>
            <w:color w:val="000000"/>
          </w:rPr>
          <w:t>” beginning on page 7 of our Annual Report on Form 10-K for the fiscal year ended December 31, 2017, and on page 2 of this</w:t>
        </w:r>
      </w:hyperlink>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prospectus, for risks relating to an investment in our common shares.</w:t>
      </w:r>
    </w:p>
    <w:p>
      <w:pPr>
        <w:spacing w:after="0" w:line="171" w:lineRule="exact"/>
        <w:rPr>
          <w:sz w:val="20"/>
          <w:szCs w:val="20"/>
          <w:color w:val="auto"/>
        </w:rPr>
      </w:pPr>
    </w:p>
    <w:p>
      <w:pPr>
        <w:ind w:left="200" w:right="4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1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9, 2018</w:t>
      </w:r>
    </w:p>
    <w:p>
      <w:pPr>
        <w:sectPr>
          <w:pgSz w:w="11900" w:h="16838" w:orient="portrait"/>
          <w:cols w:equalWidth="0" w:num="1">
            <w:col w:w="11120"/>
          </w:cols>
          <w:pgMar w:left="24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10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4"/>
        </w:trPr>
        <w:tc>
          <w:tcPr>
            <w:tcW w:w="3880" w:type="dxa"/>
            <w:vAlign w:val="bottom"/>
            <w:gridSpan w:val="12"/>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About this Prospectus</w:t>
              </w:r>
            </w:hyperlink>
          </w:p>
        </w:tc>
        <w:tc>
          <w:tcPr>
            <w:tcW w:w="6800" w:type="dxa"/>
            <w:vAlign w:val="bottom"/>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304"/>
        </w:trPr>
        <w:tc>
          <w:tcPr>
            <w:tcW w:w="3880" w:type="dxa"/>
            <w:vAlign w:val="bottom"/>
            <w:gridSpan w:val="12"/>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Forward-Looking Information</w:t>
              </w:r>
            </w:hyperlink>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2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1700" w:type="dxa"/>
            <w:vAlign w:val="bottom"/>
            <w:gridSpan w:val="3"/>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9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The Trust</w:t>
              </w:r>
            </w:hyperlink>
          </w:p>
        </w:tc>
        <w:tc>
          <w:tcPr>
            <w:tcW w:w="2980" w:type="dxa"/>
            <w:vAlign w:val="bottom"/>
            <w:gridSpan w:val="9"/>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304"/>
        </w:trPr>
        <w:tc>
          <w:tcPr>
            <w:tcW w:w="1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Use of Proceeds</w:t>
              </w:r>
            </w:hyperlink>
          </w:p>
        </w:tc>
        <w:tc>
          <w:tcPr>
            <w:tcW w:w="2700" w:type="dxa"/>
            <w:vAlign w:val="bottom"/>
            <w:gridSpan w:val="7"/>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Selling Shareholders</w:t>
              </w:r>
            </w:hyperlink>
          </w:p>
        </w:tc>
        <w:tc>
          <w:tcPr>
            <w:tcW w:w="2380" w:type="dxa"/>
            <w:vAlign w:val="bottom"/>
            <w:gridSpan w:val="5"/>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3880" w:type="dxa"/>
            <w:vAlign w:val="bottom"/>
            <w:gridSpan w:val="1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Material Federal Income Tax Considerations</w:t>
              </w:r>
            </w:hyperlink>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4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Plan of Distribution</w:t>
              </w:r>
            </w:hyperlink>
          </w:p>
        </w:tc>
        <w:tc>
          <w:tcPr>
            <w:tcW w:w="1780" w:type="dxa"/>
            <w:vAlign w:val="bottom"/>
            <w:tcBorders>
              <w:top w:val="single" w:sz="8" w:color="0000EE"/>
            </w:tcBorders>
            <w:gridSpan w:val="5"/>
          </w:tcPr>
          <w:p>
            <w:pPr>
              <w:spacing w:after="0"/>
              <w:rPr>
                <w:sz w:val="24"/>
                <w:szCs w:val="24"/>
                <w:color w:val="auto"/>
              </w:rPr>
            </w:pPr>
          </w:p>
        </w:tc>
        <w:tc>
          <w:tcPr>
            <w:tcW w:w="660" w:type="dxa"/>
            <w:vAlign w:val="bottom"/>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Experts</w:t>
              </w:r>
            </w:hyperlink>
          </w:p>
        </w:tc>
        <w:tc>
          <w:tcPr>
            <w:tcW w:w="3320" w:type="dxa"/>
            <w:vAlign w:val="bottom"/>
            <w:gridSpan w:val="11"/>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3880" w:type="dxa"/>
            <w:vAlign w:val="bottom"/>
            <w:gridSpan w:val="12"/>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Matters</w:t>
              </w:r>
            </w:hyperlink>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304"/>
        </w:trPr>
        <w:tc>
          <w:tcPr>
            <w:tcW w:w="2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Where You Can Find More Information</w:t>
              </w:r>
            </w:hyperlink>
          </w:p>
        </w:tc>
        <w:tc>
          <w:tcPr>
            <w:tcW w:w="1000" w:type="dxa"/>
            <w:vAlign w:val="bottom"/>
            <w:gridSpan w:val="2"/>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180"/>
          </w:cols>
          <w:pgMar w:left="24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1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9"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8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left="200" w:right="12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89"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62" w:lineRule="exact"/>
        <w:rPr>
          <w:sz w:val="20"/>
          <w:szCs w:val="20"/>
          <w:color w:val="auto"/>
        </w:rPr>
      </w:pPr>
    </w:p>
    <w:p>
      <w:pPr>
        <w:ind w:left="200" w:right="440" w:firstLine="441"/>
        <w:spacing w:after="0" w:line="276" w:lineRule="auto"/>
        <w:rPr>
          <w:sz w:val="20"/>
          <w:szCs w:val="20"/>
          <w:color w:val="auto"/>
        </w:rPr>
      </w:pPr>
      <w:r>
        <w:rPr>
          <w:rFonts w:ascii="Times New Roman" w:cs="Times New Roman" w:eastAsia="Times New Roman" w:hAnsi="Times New Roman"/>
          <w:sz w:val="17"/>
          <w:szCs w:val="17"/>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spacing w:after="0" w:line="1" w:lineRule="exact"/>
        <w:rPr>
          <w:sz w:val="20"/>
          <w:szCs w:val="20"/>
          <w:color w:val="auto"/>
        </w:rPr>
      </w:pPr>
    </w:p>
    <w:p>
      <w:pPr>
        <w:ind w:left="200" w:right="380" w:firstLine="4"/>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200" w:right="18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240" w:top="455"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The selling shareholders hold an aggregate of 399,896 preferred shares and 752,900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w:t>
      </w:r>
    </w:p>
    <w:p>
      <w:pPr>
        <w:spacing w:after="0" w:line="186"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May 7, 2018.</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4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04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2080" w:type="dxa"/>
            <w:vAlign w:val="bottom"/>
            <w:vMerge w:val="restart"/>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04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5"/>
        </w:trPr>
        <w:tc>
          <w:tcPr>
            <w:tcW w:w="178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98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 (1)</w:t>
            </w:r>
          </w:p>
        </w:tc>
        <w:tc>
          <w:tcPr>
            <w:tcW w:w="204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Being Offered(2)</w:t>
            </w: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 Thomas Campbell</w:t>
            </w:r>
          </w:p>
        </w:tc>
        <w:tc>
          <w:tcPr>
            <w:tcW w:w="12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780"/>
              <w:spacing w:after="0" w:line="203" w:lineRule="exact"/>
              <w:rPr>
                <w:sz w:val="20"/>
                <w:szCs w:val="20"/>
                <w:color w:val="auto"/>
              </w:rPr>
            </w:pPr>
            <w:r>
              <w:rPr>
                <w:rFonts w:ascii="Times New Roman" w:cs="Times New Roman" w:eastAsia="Times New Roman" w:hAnsi="Times New Roman"/>
                <w:sz w:val="18"/>
                <w:szCs w:val="18"/>
                <w:color w:val="auto"/>
              </w:rPr>
              <w:t>5,306(4)</w:t>
            </w:r>
          </w:p>
        </w:tc>
        <w:tc>
          <w:tcPr>
            <w:tcW w:w="13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S. Campbell, III</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16,780(5)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S. Campbell, IV</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1,025(6)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C. Haislip</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5,306(7)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Caroline Campbell Hill</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656(8)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Carolyn C. Beall</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1,672</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7,442(9)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Charlton G. Campbell Hughes</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33,585(10)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Franklin Campbell</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1,101</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6,020(11)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T. Campbell</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3,008</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36,515(12)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F. Campbell</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232(13)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Campbell Ackerman</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656(14)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Madeline C. Modica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720" w:type="dxa"/>
            <w:vAlign w:val="bottom"/>
          </w:tcPr>
          <w:p>
            <w:pPr>
              <w:spacing w:after="0"/>
              <w:rPr>
                <w:sz w:val="18"/>
                <w:szCs w:val="18"/>
                <w:color w:val="auto"/>
              </w:rPr>
            </w:pP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7,679(15)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Marcie C. McHale</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1,090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6,020(16)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Bruce Campbell</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7,177(17)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Tyler Campbell</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6,020(18)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Campbell, Jr.</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5,306(19)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T. Campbell</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1,025(20)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Taber C. Hook</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9,007(21)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Campbell</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20,822(22)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Trustee of the Richard L. Campbell, Jr.</w:t>
            </w: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Residuary Trust</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2,566(23)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Table of Contents</w:t>
              </w:r>
            </w:hyperlink>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Borders>
              <w:top w:val="single" w:sz="8" w:color="0000EE"/>
            </w:tcBorders>
            <w:vMerge w:val="restart"/>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8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Trustees of the Generation Skipping Transfer Tax Exempt</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u/w of S. James Campbell</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9,550(24)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of the Laurence Thomsen Trust u/a 10/16/67</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25,467(25)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D. Dollenberg, Jr.</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1,500(26)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N. Campbell</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21,339(27)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T. Campbell</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6,136(28)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B. Dollenberg</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1,201(29)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Campbell Alcarese</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1,756(30)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D. Chottiner</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3,548(31)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Connor M. Campbell</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386(32)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Mitchell W. Campbell</w:t>
            </w: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386(33)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Sarah A. Campbell</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386(34)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Mills Dancy</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348(35)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Beall Disabato</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64(36)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Alban, IV</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348(37)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Jesse R. Modica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348(38)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Jessica C. Hughes</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9,647(39)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Claire J. McHale under</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386(40)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Madeline C. McHale</w:t>
            </w: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WA-UGMA</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386(41)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Samuel H. McHale under</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386(42)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Meredith McLean Alcarese</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1,756(43)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Mitchell W. Hook</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348(44)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 Modica</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348(45)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Hook, IV</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174(46)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Jessica J. Campbell</w:t>
            </w: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290(47)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Kelsey N. Campbell</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290(48)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Lindsey M. Campbell</w:t>
            </w: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290(49)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Tyler W. Campbell under</w:t>
            </w:r>
          </w:p>
        </w:tc>
        <w:tc>
          <w:tcPr>
            <w:tcW w:w="1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290(50)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u/a dated 4/23/85 (Richard E. Hook, IV, Grantor)</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348(51)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Taber A. Frederick</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348(52)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Dollenberg, Sr.</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1,200(53)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6"/>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0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46" w:right="13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540" w:type="dxa"/>
            <w:vAlign w:val="bottom"/>
            <w:gridSpan w:val="3"/>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Table of Contents</w:t>
              </w:r>
            </w:hyperlink>
          </w:p>
        </w:tc>
        <w:tc>
          <w:tcPr>
            <w:tcW w:w="1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Borders>
              <w:top w:val="single" w:sz="8" w:color="0000EE"/>
            </w:tcBorders>
            <w:vMerge w:val="restart"/>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Terranomics</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8,850(54)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Merritt &amp; Pamela Sher Living Trust (Merritt &amp; Pamela</w:t>
            </w:r>
          </w:p>
        </w:tc>
        <w:tc>
          <w:tcPr>
            <w:tcW w:w="1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Sher, Trustees)</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169,885(55)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Sher</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129,742(56)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Kabat</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36,148(57)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VT Trust (J. Victor Fandel, Trustee)</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13,711(58)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Castillo</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2,569(59)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 Linn</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2,377(60)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A. Bloch</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4,360(61)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 Blum</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864(62)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Bomar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864(63)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Cohen Family Trust (George Cohen, Trustee)</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864(64)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 Culbertson Revocable Trust (B.L. Culbertson, Trustee)</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864(65)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Fazekas Living Trust (Thomas Fazekas, Trustee)</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864(66)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&amp; S.M. Javaras Trust (A.N. Javaras, Trustee)</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864(67)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L.H. &amp; M.R. Miller Trust (Lindley H. Miller, Trustee)</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864(68)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Morse</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2,292(69)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Naggar</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864(70)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Bruce C. Spikell Trust, UDT 9/13/10 (Bruce C. Spikell,</w:t>
            </w:r>
          </w:p>
        </w:tc>
        <w:tc>
          <w:tcPr>
            <w:tcW w:w="1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864(71)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 &amp; P Steuart Trust dated 9/13/11 (William &amp; Pamela</w:t>
            </w:r>
          </w:p>
        </w:tc>
        <w:tc>
          <w:tcPr>
            <w:tcW w:w="18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Steuart, Co-Trustees)</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1,836(72)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Williamson</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3,749(73)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Offel Trust Agreement (Mignon Offel, Trustee)</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648(74)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Lynne Bremer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216(75)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Sher GP, Inc.</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1,964(76)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Lacey Sher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8,060(77)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Seiler</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718(78)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Sher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6,048(79)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Wellington</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6,048(80)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Nigel Sher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5,286(81)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Seiler Family Revocable Trust</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718(82)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Circe Sher</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8,060(83)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V. Palevich and Kathleen J. Palevich Trust</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1,473(84)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Antonio Center, LLC</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35,639(85)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R. Buck</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3,601(86)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Buck</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3,052(87)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Buck</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2,852(88)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Dorothy Beer Lodato as Trustee of The Frank J. Lodato</w:t>
            </w:r>
          </w:p>
        </w:tc>
        <w:tc>
          <w:tcPr>
            <w:tcW w:w="1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Bypass Trust created under the terms of The Frank J.</w:t>
            </w:r>
          </w:p>
        </w:tc>
        <w:tc>
          <w:tcPr>
            <w:tcW w:w="1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Lodato Trust dated March 30, 1976, as amended</w:t>
            </w: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16,769(89)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4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 Bush Miller, Trustee of the Jane Buch Miiler Trust</w:t>
            </w:r>
          </w:p>
        </w:tc>
        <w:tc>
          <w:tcPr>
            <w:tcW w:w="18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dated August 7, 1990 as amended on December 23, 1996</w:t>
            </w:r>
          </w:p>
        </w:tc>
        <w:tc>
          <w:tcPr>
            <w:tcW w:w="1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16,769(90)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5</w:t>
            </w: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46" w:right="13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Table of Contents</w:t>
              </w:r>
            </w:hyperlink>
          </w:p>
        </w:tc>
        <w:tc>
          <w:tcPr>
            <w:tcW w:w="1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tcBorders>
              <w:top w:val="single" w:sz="8" w:color="0000EE"/>
            </w:tcBorders>
            <w:vMerge w:val="restart"/>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80" w:type="dxa"/>
            <w:vAlign w:val="bottom"/>
            <w:vMerge w:val="continue"/>
          </w:tcPr>
          <w:p>
            <w:pPr>
              <w:spacing w:after="0"/>
              <w:rPr>
                <w:sz w:val="17"/>
                <w:szCs w:val="17"/>
                <w:color w:val="auto"/>
              </w:rPr>
            </w:pPr>
          </w:p>
        </w:tc>
        <w:tc>
          <w:tcPr>
            <w:tcW w:w="5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Janet M. Gunn and Karl Isacson, Co-Trustees of the Charles</w:t>
            </w:r>
          </w:p>
        </w:tc>
        <w:tc>
          <w:tcPr>
            <w:tcW w:w="14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 Gunn Revocable Trust</w:t>
            </w:r>
          </w:p>
        </w:tc>
        <w:tc>
          <w:tcPr>
            <w:tcW w:w="14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21,769(91)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Elizabeth M. McCarthy, a married women, as her separate</w:t>
            </w:r>
          </w:p>
        </w:tc>
        <w:tc>
          <w:tcPr>
            <w:tcW w:w="1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11,238(92)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Lindley H. Miller, III, as Trustee under Declaration of Trust</w:t>
            </w:r>
          </w:p>
        </w:tc>
        <w:tc>
          <w:tcPr>
            <w:tcW w:w="14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dated May 10, 1996</w:t>
            </w:r>
          </w:p>
        </w:tc>
        <w:tc>
          <w:tcPr>
            <w:tcW w:w="14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11,238(93)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Ernest M. Carter</w:t>
            </w: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2,000(94)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Weiner</w:t>
            </w:r>
          </w:p>
        </w:tc>
        <w:tc>
          <w:tcPr>
            <w:tcW w:w="14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30,508(95)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Elaine Price</w:t>
            </w: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2,026(96)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40" w:right="20" w:hanging="536"/>
        <w:spacing w:after="0" w:line="255"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column is partially based on information in the records of the transfer agent and registrar for the common shares on or about May 8, 2018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Times New Roman" w:cs="Times New Roman" w:eastAsia="Times New Roman" w:hAnsi="Times New Roman"/>
          <w:sz w:val="18"/>
          <w:szCs w:val="18"/>
          <w:color w:val="auto"/>
        </w:rPr>
      </w:pPr>
    </w:p>
    <w:p>
      <w:pPr>
        <w:ind w:left="740" w:hanging="536"/>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of the common shares being offered under this registration statement.</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right="340" w:hanging="536"/>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740" w:right="200" w:hanging="536"/>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7,442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conversion of 140,644 preferred shares.</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740" w:right="160" w:hanging="536"/>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232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7,679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46"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7,177 downREIT units of NVI-Avenue, LLC.</w:t>
      </w:r>
    </w:p>
    <w:p>
      <w:pPr>
        <w:spacing w:after="0" w:line="27"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740" w:right="220" w:hanging="536"/>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740" w:right="60" w:hanging="536"/>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9,550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25,467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1,500 downREIT units of NVI-Avenue, LLC.</w:t>
      </w:r>
    </w:p>
    <w:p>
      <w:pPr>
        <w:spacing w:after="0" w:line="9" w:lineRule="exact"/>
        <w:rPr>
          <w:rFonts w:ascii="Times New Roman" w:cs="Times New Roman" w:eastAsia="Times New Roman" w:hAnsi="Times New Roman"/>
          <w:sz w:val="18"/>
          <w:szCs w:val="18"/>
          <w:color w:val="auto"/>
        </w:rPr>
      </w:pPr>
    </w:p>
    <w:p>
      <w:pPr>
        <w:ind w:left="740" w:right="60" w:hanging="536"/>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6,136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1,201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9,647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24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27"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174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1,200 downREIT units of NVI-Avenue, LLC.</w:t>
      </w:r>
    </w:p>
    <w:p>
      <w:pPr>
        <w:spacing w:after="0" w:line="9" w:lineRule="exact"/>
        <w:rPr>
          <w:rFonts w:ascii="Times New Roman" w:cs="Times New Roman" w:eastAsia="Times New Roman" w:hAnsi="Times New Roman"/>
          <w:sz w:val="18"/>
          <w:szCs w:val="18"/>
          <w:color w:val="auto"/>
        </w:rPr>
      </w:pPr>
    </w:p>
    <w:p>
      <w:pPr>
        <w:jc w:val="both"/>
        <w:ind w:left="740" w:right="26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spacing w:after="0" w:line="1" w:lineRule="exact"/>
        <w:rPr>
          <w:rFonts w:ascii="Times New Roman" w:cs="Times New Roman" w:eastAsia="Times New Roman" w:hAnsi="Times New Roman"/>
          <w:sz w:val="18"/>
          <w:szCs w:val="18"/>
          <w:color w:val="auto"/>
        </w:rPr>
      </w:pPr>
    </w:p>
    <w:p>
      <w:pPr>
        <w:ind w:left="740" w:right="18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92,173 downREIT units of Route 35 Shrewsbury Limited Partnership, (ii) 16,238 downREIT units of Shrewsbury Commons L.P., (iii) 59,238 downREIT units of Sea Girt Limited Partnership and (iv) 2,236 downREIT units of 35 West, LLC.</w:t>
      </w:r>
    </w:p>
    <w:p>
      <w:pPr>
        <w:spacing w:after="0" w:line="1" w:lineRule="exact"/>
        <w:rPr>
          <w:rFonts w:ascii="Times New Roman" w:cs="Times New Roman" w:eastAsia="Times New Roman" w:hAnsi="Times New Roman"/>
          <w:sz w:val="18"/>
          <w:szCs w:val="18"/>
          <w:color w:val="auto"/>
        </w:rPr>
      </w:pPr>
    </w:p>
    <w:p>
      <w:pPr>
        <w:ind w:left="740" w:right="18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65,433 downREIT units of Route 35 Shrewsbury Limited Partnership and (ii) 64,309 downREIT units of Sea Girt Limited Partnership.</w:t>
      </w:r>
    </w:p>
    <w:p>
      <w:pPr>
        <w:ind w:left="740" w:right="38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36,148 downREIT units of Route 35 Shrewsbury Limited Partnership.</w:t>
      </w:r>
    </w:p>
    <w:p>
      <w:pPr>
        <w:ind w:left="740" w:right="40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13,711 downREIT units of Route 35 Shrewsbury Limited Partnership.</w:t>
      </w:r>
    </w:p>
    <w:p>
      <w:pPr>
        <w:ind w:left="740" w:right="48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2,569 downREIT units of Route 35 Shrewsbury Limited Partnership.</w:t>
      </w:r>
    </w:p>
    <w:p>
      <w:pPr>
        <w:ind w:left="740" w:right="48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2,377 downREIT units of Route 35 Shrewsbury Limited Partnership.</w:t>
      </w:r>
    </w:p>
    <w:p>
      <w:pPr>
        <w:ind w:left="740" w:right="40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74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6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line="261"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right="48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74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740" w:right="48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1,836 downREIT units of Route 35 Shrewsbury Limited Partnership.</w:t>
      </w:r>
    </w:p>
    <w:p>
      <w:pPr>
        <w:ind w:left="740" w:right="28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Times New Roman" w:cs="Times New Roman" w:eastAsia="Times New Roman" w:hAnsi="Times New Roman"/>
          <w:sz w:val="18"/>
          <w:szCs w:val="18"/>
          <w:color w:val="auto"/>
        </w:rPr>
      </w:pPr>
    </w:p>
    <w:p>
      <w:pPr>
        <w:ind w:left="74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648 downREIT units of Route 35 Shrewsbury Limited Partnership.</w:t>
      </w:r>
    </w:p>
    <w:p>
      <w:pPr>
        <w:ind w:left="74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216 downREIT units of Route 35 Shrewsbury Limited Partnership.</w:t>
      </w:r>
    </w:p>
    <w:p>
      <w:pPr>
        <w:ind w:left="740" w:right="8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1,964 downREIT units of Sea Girt Limited Partnership.</w:t>
      </w:r>
    </w:p>
    <w:p>
      <w:pPr>
        <w:ind w:left="740" w:right="3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740" w:hanging="53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740" w:right="3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740" w:right="3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740" w:right="3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 (ii) 3,437 downREIT units of Sea Girt Limited Partnership and (iii) 1,490 downREIT units of 35 West, LLC.</w:t>
      </w:r>
    </w:p>
    <w:p>
      <w:pPr>
        <w:ind w:left="740" w:hanging="53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740" w:right="3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740" w:right="82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1,473 downREIT units of Sea Girt Limited Partnership.</w:t>
      </w:r>
    </w:p>
    <w:p>
      <w:pPr>
        <w:ind w:left="740" w:right="26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35,639 downREIT units of Federal Realty Partners L.P.</w:t>
      </w:r>
    </w:p>
    <w:p>
      <w:pPr>
        <w:ind w:left="740" w:hanging="53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3,601 downREIT units of Federal Realty Partners L.P.</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3,052 downREIT units of Federal Realty Partners L.P.</w:t>
      </w:r>
    </w:p>
    <w:p>
      <w:pPr>
        <w:spacing w:after="0" w:line="9"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2,852 downREIT units of Federal Realty Partners L.P.</w:t>
      </w:r>
    </w:p>
    <w:p>
      <w:pPr>
        <w:spacing w:after="0" w:line="9" w:lineRule="exact"/>
        <w:rPr>
          <w:rFonts w:ascii="Times New Roman" w:cs="Times New Roman" w:eastAsia="Times New Roman" w:hAnsi="Times New Roman"/>
          <w:sz w:val="18"/>
          <w:szCs w:val="18"/>
          <w:color w:val="auto"/>
        </w:rPr>
      </w:pPr>
    </w:p>
    <w:p>
      <w:pPr>
        <w:ind w:left="740" w:right="26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ind w:left="740" w:right="260" w:hanging="536"/>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ind w:left="740" w:right="260" w:hanging="536"/>
        <w:spacing w:after="0" w:line="261"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21,769 downREIT units of Federal Realty Partners L.P.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right="240" w:hanging="536"/>
        <w:spacing w:after="0" w:line="261"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11,238 downREIT units of Federal Realty Partners L.P.</w:t>
      </w:r>
    </w:p>
    <w:p>
      <w:pPr>
        <w:ind w:left="740" w:right="240" w:hanging="536"/>
        <w:spacing w:after="0" w:line="250"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11,238 downREIT units of Federal Realty Partners L.P.</w:t>
      </w:r>
    </w:p>
    <w:p>
      <w:pPr>
        <w:ind w:left="740" w:hanging="536"/>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2,000 downREIT units of Federal Realty Partners L.P.</w:t>
      </w:r>
    </w:p>
    <w:p>
      <w:pPr>
        <w:spacing w:after="0" w:line="20" w:lineRule="exact"/>
        <w:rPr>
          <w:rFonts w:ascii="Times New Roman" w:cs="Times New Roman" w:eastAsia="Times New Roman" w:hAnsi="Times New Roman"/>
          <w:sz w:val="17"/>
          <w:szCs w:val="17"/>
          <w:color w:val="auto"/>
        </w:rPr>
      </w:pPr>
    </w:p>
    <w:p>
      <w:pPr>
        <w:ind w:left="740" w:right="240" w:hanging="536"/>
        <w:spacing w:after="0" w:line="250"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30,508 downREIT units of Federal Realty Partners L.P.</w:t>
      </w:r>
    </w:p>
    <w:p>
      <w:pPr>
        <w:ind w:left="740" w:hanging="536"/>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2,026 downREIT units of Federal Realty Partners L.P.</w:t>
      </w:r>
    </w:p>
    <w:p>
      <w:pPr>
        <w:spacing w:after="0" w:line="1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24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200" w:right="340"/>
        <w:spacing w:after="0" w:line="282"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shares.</w:t>
      </w:r>
    </w:p>
    <w:p>
      <w:pPr>
        <w:spacing w:after="0" w:line="162" w:lineRule="exact"/>
        <w:rPr>
          <w:sz w:val="20"/>
          <w:szCs w:val="20"/>
          <w:color w:val="auto"/>
        </w:rPr>
      </w:pPr>
    </w:p>
    <w:p>
      <w:pPr>
        <w:ind w:left="200" w:right="2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9" w:lineRule="exact"/>
        <w:rPr>
          <w:sz w:val="20"/>
          <w:szCs w:val="20"/>
          <w:color w:val="auto"/>
        </w:rPr>
      </w:pPr>
    </w:p>
    <w:p>
      <w:pPr>
        <w:ind w:left="200" w:right="60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200" w:right="280"/>
        <w:spacing w:after="0" w:line="289"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200" w:right="140"/>
        <w:spacing w:after="0" w:line="313" w:lineRule="auto"/>
        <w:rPr>
          <w:sz w:val="20"/>
          <w:szCs w:val="20"/>
          <w:color w:val="auto"/>
        </w:rPr>
      </w:pPr>
      <w:r>
        <w:rPr>
          <w:rFonts w:ascii="Times New Roman" w:cs="Times New Roman" w:eastAsia="Times New Roman" w:hAnsi="Times New Roman"/>
          <w:sz w:val="17"/>
          <w:szCs w:val="17"/>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38"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3"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6" w:lineRule="exact"/>
        <w:rPr>
          <w:sz w:val="20"/>
          <w:szCs w:val="20"/>
          <w:color w:val="auto"/>
        </w:rPr>
      </w:pPr>
    </w:p>
    <w:p>
      <w:pPr>
        <w:ind w:left="1060" w:right="8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60" w:right="38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67"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60" w:right="48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60" w:right="40" w:hanging="316"/>
        <w:spacing w:after="0" w:line="261"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60" w:right="160" w:hanging="316"/>
        <w:spacing w:after="0" w:line="261"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1060" w:right="220" w:hanging="316"/>
        <w:spacing w:after="0" w:line="266"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24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61"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60" w:hanging="316"/>
        <w:spacing w:after="0" w:line="25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60" w:right="10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60" w:right="56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60" w:right="54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24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1" w:lineRule="auto"/>
        <w:rPr>
          <w:sz w:val="20"/>
          <w:szCs w:val="20"/>
          <w:color w:val="auto"/>
        </w:rPr>
      </w:pPr>
      <w:r>
        <w:rPr>
          <w:rFonts w:ascii="Times New Roman" w:cs="Times New Roman" w:eastAsia="Times New Roman" w:hAnsi="Times New Roman"/>
          <w:sz w:val="17"/>
          <w:szCs w:val="17"/>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2017 under the caption “Risk Factors – To maintain our status as a REIT, we limit the amount of shares any one shareholder can own.”</w:t>
      </w:r>
    </w:p>
    <w:p>
      <w:pPr>
        <w:spacing w:after="0" w:line="165" w:lineRule="exact"/>
        <w:rPr>
          <w:sz w:val="20"/>
          <w:szCs w:val="20"/>
          <w:color w:val="auto"/>
        </w:rPr>
      </w:pPr>
    </w:p>
    <w:p>
      <w:pPr>
        <w:ind w:left="200" w:right="160"/>
        <w:spacing w:after="0" w:line="254"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9"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r>
        <w:rPr>
          <w:rFonts w:ascii="Times New Roman" w:cs="Times New Roman" w:eastAsia="Times New Roman" w:hAnsi="Times New Roman"/>
          <w:sz w:val="18"/>
          <w:szCs w:val="18"/>
          <w:color w:val="auto"/>
        </w:rPr>
        <w:t>. We must satisfy two gross income tests annually to maintain our qualification as a REIT:</w:t>
      </w:r>
    </w:p>
    <w:p>
      <w:pPr>
        <w:spacing w:after="0" w:line="135" w:lineRule="exact"/>
        <w:rPr>
          <w:sz w:val="20"/>
          <w:szCs w:val="20"/>
          <w:color w:val="auto"/>
        </w:rPr>
      </w:pPr>
    </w:p>
    <w:p>
      <w:pPr>
        <w:ind w:left="1060" w:hanging="316"/>
        <w:spacing w:after="0" w:line="255"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61"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20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60" w:right="40" w:hanging="316"/>
        <w:spacing w:after="0" w:line="25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3" w:lineRule="exact"/>
        <w:rPr>
          <w:rFonts w:ascii="Times New Roman" w:cs="Times New Roman" w:eastAsia="Times New Roman" w:hAnsi="Times New Roman"/>
          <w:sz w:val="18"/>
          <w:szCs w:val="18"/>
          <w:color w:val="auto"/>
        </w:rPr>
      </w:pPr>
    </w:p>
    <w:p>
      <w:pPr>
        <w:ind w:left="1060" w:hanging="316"/>
        <w:spacing w:after="0" w:line="253"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6" w:lineRule="exact"/>
        <w:rPr>
          <w:rFonts w:ascii="Times New Roman" w:cs="Times New Roman" w:eastAsia="Times New Roman" w:hAnsi="Times New Roman"/>
          <w:sz w:val="18"/>
          <w:szCs w:val="18"/>
          <w:color w:val="auto"/>
        </w:rPr>
      </w:pPr>
    </w:p>
    <w:p>
      <w:pPr>
        <w:ind w:left="1060" w:hanging="316"/>
        <w:spacing w:after="0" w:line="25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3" w:lineRule="exact"/>
        <w:rPr>
          <w:rFonts w:ascii="Times New Roman" w:cs="Times New Roman" w:eastAsia="Times New Roman" w:hAnsi="Times New Roman"/>
          <w:sz w:val="18"/>
          <w:szCs w:val="18"/>
          <w:color w:val="auto"/>
        </w:rPr>
      </w:pPr>
    </w:p>
    <w:p>
      <w:pPr>
        <w:ind w:left="1060" w:right="100" w:hanging="316"/>
        <w:spacing w:after="0" w:line="255"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380"/>
        <w:spacing w:after="0" w:line="266" w:lineRule="auto"/>
        <w:rPr>
          <w:sz w:val="20"/>
          <w:szCs w:val="20"/>
          <w:color w:val="auto"/>
        </w:rPr>
      </w:pPr>
      <w:r>
        <w:rPr>
          <w:rFonts w:ascii="Times New Roman" w:cs="Times New Roman" w:eastAsia="Times New Roman" w:hAnsi="Times New Roman"/>
          <w:sz w:val="18"/>
          <w:szCs w:val="18"/>
          <w:color w:val="auto"/>
        </w:rPr>
        <w:t>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2" w:lineRule="exact"/>
        <w:rPr>
          <w:sz w:val="20"/>
          <w:szCs w:val="20"/>
          <w:color w:val="auto"/>
        </w:rPr>
      </w:pPr>
    </w:p>
    <w:p>
      <w:pPr>
        <w:ind w:left="1060" w:right="40" w:hanging="316"/>
        <w:spacing w:after="0" w:line="254"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6" w:lineRule="exact"/>
        <w:rPr>
          <w:sz w:val="20"/>
          <w:szCs w:val="20"/>
          <w:color w:val="auto"/>
        </w:rPr>
      </w:pPr>
    </w:p>
    <w:p>
      <w:pPr>
        <w:jc w:val="both"/>
        <w:ind w:left="200" w:right="20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lef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 indirectly,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7"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89" w:lineRule="exact"/>
        <w:rPr>
          <w:sz w:val="20"/>
          <w:szCs w:val="20"/>
          <w:color w:val="auto"/>
        </w:rPr>
      </w:pPr>
    </w:p>
    <w:p>
      <w:pPr>
        <w:ind w:left="200"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200" w:right="4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Tax on Income From Property Acquired in Foreclosure</w:t>
      </w:r>
      <w:r>
        <w:rPr>
          <w:rFonts w:ascii="Times New Roman" w:cs="Times New Roman" w:eastAsia="Times New Roman" w:hAnsi="Times New Roman"/>
          <w:sz w:val="17"/>
          <w:szCs w:val="17"/>
          <w:color w:val="auto"/>
        </w:rPr>
        <w:t>. We will be subject to tax at the maximum corporate rate on any income from foreclosure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60" w:right="360" w:hanging="316"/>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2" w:lineRule="exact"/>
        <w:rPr>
          <w:sz w:val="20"/>
          <w:szCs w:val="20"/>
          <w:color w:val="auto"/>
        </w:rPr>
      </w:pPr>
    </w:p>
    <w:p>
      <w:pPr>
        <w:ind w:left="1060" w:right="6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60" w:right="60" w:hanging="316"/>
        <w:spacing w:after="0" w:line="266"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60" w:right="80" w:hanging="316"/>
        <w:spacing w:after="0" w:line="266"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 on Prohibited Transactions</w:t>
      </w:r>
      <w:r>
        <w:rPr>
          <w:rFonts w:ascii="Times New Roman" w:cs="Times New Roman" w:eastAsia="Times New Roman" w:hAnsi="Times New Roman"/>
          <w:sz w:val="18"/>
          <w:szCs w:val="18"/>
          <w:color w:val="auto"/>
        </w:rPr>
        <w:t>. A REIT will incur a 100% tax on net income (taking into account foreign currency gains and losses) derived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200" w:right="100"/>
        <w:spacing w:after="0" w:line="270" w:lineRule="auto"/>
        <w:rPr>
          <w:sz w:val="20"/>
          <w:szCs w:val="20"/>
          <w:color w:val="auto"/>
        </w:rPr>
      </w:pPr>
      <w:r>
        <w:rPr>
          <w:rFonts w:ascii="Times New Roman" w:cs="Times New Roman" w:eastAsia="Times New Roman" w:hAnsi="Times New Roman"/>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3" w:lineRule="exact"/>
        <w:rPr>
          <w:sz w:val="20"/>
          <w:szCs w:val="20"/>
          <w:color w:val="auto"/>
        </w:rPr>
      </w:pPr>
    </w:p>
    <w:p>
      <w:pPr>
        <w:ind w:left="200" w:right="80" w:firstLine="4"/>
        <w:spacing w:after="0" w:line="252" w:lineRule="auto"/>
        <w:tabs>
          <w:tab w:leader="none" w:pos="5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4" w:lineRule="exact"/>
        <w:rPr>
          <w:sz w:val="20"/>
          <w:szCs w:val="20"/>
          <w:color w:val="auto"/>
        </w:rPr>
      </w:pPr>
    </w:p>
    <w:p>
      <w:pPr>
        <w:ind w:left="20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0"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20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7" w:lineRule="exact"/>
        <w:rPr>
          <w:sz w:val="20"/>
          <w:szCs w:val="20"/>
          <w:color w:val="auto"/>
        </w:rPr>
      </w:pPr>
    </w:p>
    <w:p>
      <w:pPr>
        <w:ind w:left="20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r>
        <w:rPr>
          <w:rFonts w:ascii="Times New Roman" w:cs="Times New Roman" w:eastAsia="Times New Roman" w:hAnsi="Times New Roman"/>
          <w:sz w:val="18"/>
          <w:szCs w:val="18"/>
          <w:color w:val="auto"/>
        </w:rPr>
        <w:t>. To maintain our qualification as a REIT, we also must satisfy the following asset tests at the close of each quarter of each taxable year:</w:t>
      </w:r>
    </w:p>
    <w:p>
      <w:pPr>
        <w:spacing w:after="0" w:line="135" w:lineRule="exact"/>
        <w:rPr>
          <w:sz w:val="20"/>
          <w:szCs w:val="20"/>
          <w:color w:val="auto"/>
        </w:rPr>
      </w:pPr>
    </w:p>
    <w:p>
      <w:pPr>
        <w:ind w:left="1060" w:right="4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620" w:right="180" w:hanging="430"/>
        <w:spacing w:after="0" w:line="261"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85" w:lineRule="exact"/>
        <w:rPr>
          <w:rFonts w:ascii="Times New Roman" w:cs="Times New Roman" w:eastAsia="Times New Roman" w:hAnsi="Times New Roman"/>
          <w:sz w:val="18"/>
          <w:szCs w:val="18"/>
          <w:color w:val="auto"/>
        </w:rPr>
      </w:pPr>
    </w:p>
    <w:p>
      <w:pPr>
        <w:ind w:left="1620" w:right="200" w:hanging="430"/>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20" w:right="180" w:hanging="430"/>
        <w:spacing w:after="0" w:line="282" w:lineRule="auto"/>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60" w:hanging="316"/>
        <w:spacing w:after="0" w:line="253"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6"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6"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80" w:lineRule="exact"/>
        <w:rPr>
          <w:sz w:val="20"/>
          <w:szCs w:val="20"/>
          <w:color w:val="auto"/>
        </w:rPr>
      </w:pPr>
    </w:p>
    <w:p>
      <w:pPr>
        <w:ind w:left="20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24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55"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1" w:lineRule="exact"/>
        <w:rPr>
          <w:sz w:val="20"/>
          <w:szCs w:val="20"/>
          <w:color w:val="auto"/>
        </w:rPr>
      </w:pPr>
    </w:p>
    <w:p>
      <w:pPr>
        <w:ind w:left="20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1" w:lineRule="exact"/>
        <w:rPr>
          <w:sz w:val="20"/>
          <w:szCs w:val="20"/>
          <w:color w:val="auto"/>
        </w:rPr>
      </w:pPr>
    </w:p>
    <w:p>
      <w:pPr>
        <w:jc w:val="both"/>
        <w:ind w:left="200" w:right="8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88"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85"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85"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jc w:val="both"/>
        <w:ind w:left="20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Record Keeping Requirements</w:t>
      </w:r>
      <w:r>
        <w:rPr>
          <w:rFonts w:ascii="Times New Roman" w:cs="Times New Roman" w:eastAsia="Times New Roman" w:hAnsi="Times New Roman"/>
          <w:sz w:val="18"/>
          <w:szCs w:val="18"/>
          <w:color w:val="auto"/>
        </w:rPr>
        <w:t>. 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7"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shares that for U.S. federal income tax purposes is:</w:t>
      </w:r>
    </w:p>
    <w:p>
      <w:pPr>
        <w:spacing w:after="0" w:line="67" w:lineRule="exact"/>
        <w:rPr>
          <w:sz w:val="20"/>
          <w:szCs w:val="20"/>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87"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200" w:right="6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4"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2"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 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24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4" w:lineRule="exact"/>
        <w:rPr>
          <w:sz w:val="20"/>
          <w:szCs w:val="20"/>
          <w:color w:val="auto"/>
        </w:rPr>
      </w:pPr>
    </w:p>
    <w:p>
      <w:pPr>
        <w:ind w:left="20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shares will not be treated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7" w:lineRule="exact"/>
        <w:rPr>
          <w:sz w:val="20"/>
          <w:szCs w:val="20"/>
          <w:color w:val="auto"/>
        </w:rPr>
      </w:pPr>
    </w:p>
    <w:p>
      <w:pPr>
        <w:ind w:left="20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 all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77"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93" w:lineRule="exact"/>
        <w:rPr>
          <w:sz w:val="20"/>
          <w:szCs w:val="20"/>
          <w:color w:val="auto"/>
        </w:rPr>
      </w:pPr>
    </w:p>
    <w:p>
      <w:pPr>
        <w:ind w:left="1060" w:hanging="316"/>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1060" w:right="80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200" w:right="8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4" w:lineRule="exact"/>
        <w:rPr>
          <w:sz w:val="20"/>
          <w:szCs w:val="20"/>
          <w:color w:val="auto"/>
        </w:rPr>
      </w:pPr>
    </w:p>
    <w:p>
      <w:pPr>
        <w:ind w:left="1060" w:hanging="316"/>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Ordinary Dividends</w:t>
      </w:r>
      <w:r>
        <w:rPr>
          <w:rFonts w:ascii="Times New Roman" w:cs="Times New Roman" w:eastAsia="Times New Roman" w:hAnsi="Times New Roman"/>
          <w:sz w:val="18"/>
          <w:szCs w:val="18"/>
          <w:color w:val="auto"/>
        </w:rPr>
        <w:t>. A non-U.S. shareholder that receives a distribution that is not attributable to gain from our sale or exchange of “U.S. real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9"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8"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Provided that a particular class of our shares is “regularly traded” on an established securities market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1" w:lineRule="exact"/>
        <w:rPr>
          <w:sz w:val="20"/>
          <w:szCs w:val="20"/>
          <w:color w:val="auto"/>
        </w:rPr>
      </w:pPr>
    </w:p>
    <w:p>
      <w:pPr>
        <w:ind w:left="200" w:right="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6"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left="200"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shares as long as we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200" w:firstLine="4"/>
        <w:spacing w:after="0" w:line="252"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6" w:lineRule="exact"/>
        <w:rPr>
          <w:sz w:val="20"/>
          <w:szCs w:val="20"/>
          <w:color w:val="auto"/>
        </w:rPr>
      </w:pPr>
    </w:p>
    <w:p>
      <w:pPr>
        <w:ind w:left="200"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shares avoids a taxable distribution of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3" w:lineRule="exact"/>
        <w:rPr>
          <w:sz w:val="20"/>
          <w:szCs w:val="20"/>
          <w:color w:val="auto"/>
        </w:rPr>
      </w:pPr>
    </w:p>
    <w:p>
      <w:pPr>
        <w:ind w:left="20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color w:val="auto"/>
        </w:rPr>
        <w:t>. We must report annually to the IRS and to each non-U.S. shareholder the amount of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1"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93" w:lineRule="exact"/>
        <w:rPr>
          <w:sz w:val="20"/>
          <w:szCs w:val="20"/>
          <w:color w:val="auto"/>
        </w:rPr>
      </w:pPr>
    </w:p>
    <w:p>
      <w:pPr>
        <w:ind w:left="1060" w:hanging="316"/>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ind w:lef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State and Local Taxes</w:t>
      </w:r>
      <w:r>
        <w:rPr>
          <w:rFonts w:ascii="Times New Roman" w:cs="Times New Roman" w:eastAsia="Times New Roman" w:hAnsi="Times New Roman"/>
          <w:sz w:val="18"/>
          <w:szCs w:val="18"/>
          <w:color w:val="auto"/>
        </w:rPr>
        <w:t>. We and/or you may be subject to state and local tax in various states and localities, including those states and localities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7" w:lineRule="exact"/>
        <w:rPr>
          <w:sz w:val="20"/>
          <w:szCs w:val="20"/>
          <w:color w:val="auto"/>
        </w:rPr>
      </w:pPr>
    </w:p>
    <w:p>
      <w:pPr>
        <w:ind w:left="200"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80"/>
          </w:cols>
          <w:pgMar w:left="24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common shares covered by this prospectus.</w:t>
      </w:r>
    </w:p>
    <w:p>
      <w:pPr>
        <w:spacing w:after="0" w:line="117"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88"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methods by which the common shares covered by this prospectus may be sold or distributed include any one or more of the following:</w:t>
      </w:r>
    </w:p>
    <w:p>
      <w:pPr>
        <w:spacing w:after="0" w:line="131" w:lineRule="exact"/>
        <w:rPr>
          <w:sz w:val="20"/>
          <w:szCs w:val="20"/>
          <w:color w:val="auto"/>
        </w:rPr>
      </w:pPr>
    </w:p>
    <w:p>
      <w:pPr>
        <w:ind w:left="1060" w:right="160" w:hanging="316"/>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account pursuant to this prospectus;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60" w:right="400" w:hanging="316"/>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as part of the liquidation and winding up of the affairs of the selling shareholders or successor in interest that is an entity;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to a lender as collateral to secure loans, credit or other financing arrangements and any subsequent foreclosure thereunder;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jc w:val="both"/>
        <w:ind w:left="200" w:right="260"/>
        <w:spacing w:after="0" w:line="266" w:lineRule="auto"/>
        <w:rPr>
          <w:sz w:val="20"/>
          <w:szCs w:val="20"/>
          <w:color w:val="auto"/>
        </w:rPr>
      </w:pPr>
      <w:r>
        <w:rPr>
          <w:rFonts w:ascii="Times New Roman" w:cs="Times New Roman" w:eastAsia="Times New Roman" w:hAnsi="Times New Roman"/>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76"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84" w:lineRule="exact"/>
        <w:rPr>
          <w:sz w:val="20"/>
          <w:szCs w:val="20"/>
          <w:color w:val="auto"/>
        </w:rPr>
      </w:pPr>
    </w:p>
    <w:p>
      <w:pPr>
        <w:ind w:left="200" w:right="300"/>
        <w:spacing w:after="0" w:line="261" w:lineRule="auto"/>
        <w:rPr>
          <w:sz w:val="20"/>
          <w:szCs w:val="20"/>
          <w:color w:val="auto"/>
        </w:rPr>
      </w:pPr>
      <w:r>
        <w:rPr>
          <w:rFonts w:ascii="Times New Roman" w:cs="Times New Roman" w:eastAsia="Times New Roman" w:hAnsi="Times New Roman"/>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76" w:lineRule="exact"/>
        <w:rPr>
          <w:sz w:val="20"/>
          <w:szCs w:val="20"/>
          <w:color w:val="auto"/>
        </w:rPr>
      </w:pPr>
    </w:p>
    <w:p>
      <w:pPr>
        <w:ind w:left="200" w:right="440"/>
        <w:spacing w:after="0" w:line="282" w:lineRule="auto"/>
        <w:rPr>
          <w:sz w:val="20"/>
          <w:szCs w:val="20"/>
          <w:color w:val="auto"/>
        </w:rPr>
      </w:pPr>
      <w:r>
        <w:rPr>
          <w:rFonts w:ascii="Times New Roman" w:cs="Times New Roman" w:eastAsia="Times New Roman" w:hAnsi="Times New Roman"/>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62"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76"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4"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modified or superseded will not be deemed, except as so modified or superseded, to constitute a part of this prospectus. We incorporate by reference the documents listed below (to the extent deemed filed and not furnished)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86" w:lineRule="exact"/>
        <w:rPr>
          <w:sz w:val="20"/>
          <w:szCs w:val="20"/>
          <w:color w:val="auto"/>
        </w:rPr>
      </w:pPr>
    </w:p>
    <w:p>
      <w:pPr>
        <w:ind w:left="1060" w:hanging="316"/>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2017, filed with the SEC on February 13, 2018;</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for our 2018 Annual Meeting of Shareholders, filed with the SEC on March 23, 2018;</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2018, filed with the SEC on May 2, 2018;</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May 4, 2018;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w:t>
      </w:r>
    </w:p>
    <w:p>
      <w:pPr>
        <w:spacing w:after="0" w:line="223" w:lineRule="exact"/>
        <w:rPr>
          <w:sz w:val="20"/>
          <w:szCs w:val="20"/>
          <w:color w:val="auto"/>
        </w:rPr>
      </w:pPr>
    </w:p>
    <w:p>
      <w:pPr>
        <w:ind w:left="200"/>
        <w:spacing w:after="0" w:line="267" w:lineRule="auto"/>
        <w:rPr>
          <w:sz w:val="20"/>
          <w:szCs w:val="20"/>
          <w:color w:val="auto"/>
        </w:rPr>
      </w:pPr>
      <w:r>
        <w:rPr>
          <w:rFonts w:ascii="Times New Roman" w:cs="Times New Roman" w:eastAsia="Times New Roman" w:hAnsi="Times New Roman"/>
          <w:sz w:val="18"/>
          <w:szCs w:val="18"/>
          <w:color w:val="auto"/>
        </w:rPr>
        <w:t xml:space="preserve">Copies of our SEC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84"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160"/>
      </w:cols>
      <w:pgMar w:left="24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Roman"/>
      <w:start w:val="2"/>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2"/>
    </w:lvl>
  </w:abstractNum>
  <w:abstractNum w:abstractNumId="3">
    <w:nsid w:val="3F2DBA31"/>
    <w:multiLevelType w:val="hybridMultilevel"/>
    <w:lvl w:ilvl="0">
      <w:lvlJc w:val="left"/>
      <w:lvlText w:val="(%1)"/>
      <w:numFmt w:val="decimal"/>
      <w:start w:val="37"/>
    </w:lvl>
    <w:lvl w:ilvl="1">
      <w:lvlJc w:val="left"/>
      <w:lvlText w:val="(%2)"/>
      <w:numFmt w:val="lowerRoman"/>
      <w:start w:val="4"/>
    </w:lvl>
  </w:abstractNum>
  <w:abstractNum w:abstractNumId="4">
    <w:nsid w:val="7C83E458"/>
    <w:multiLevelType w:val="hybridMultilevel"/>
    <w:lvl w:ilvl="0">
      <w:lvlJc w:val="left"/>
      <w:lvlText w:val="(%1)"/>
      <w:numFmt w:val="decimal"/>
      <w:start w:val="62"/>
    </w:lvl>
  </w:abstractNum>
  <w:abstractNum w:abstractNumId="5">
    <w:nsid w:val="257130A3"/>
    <w:multiLevelType w:val="hybridMultilevel"/>
    <w:lvl w:ilvl="0">
      <w:lvlJc w:val="left"/>
      <w:lvlText w:val="(%1)"/>
      <w:numFmt w:val="decimal"/>
      <w:start w:val="86"/>
    </w:lvl>
  </w:abstractNum>
  <w:abstractNum w:abstractNumId="6">
    <w:nsid w:val="62BBD95A"/>
    <w:multiLevelType w:val="hybridMultilevel"/>
    <w:lvl w:ilvl="0">
      <w:lvlJc w:val="left"/>
      <w:lvlText w:val="(%1)"/>
      <w:numFmt w:val="lowerLetter"/>
      <w:start w:val="3"/>
    </w:lvl>
  </w:abstractNum>
  <w:abstractNum w:abstractNumId="7">
    <w:nsid w:val="436C6125"/>
    <w:multiLevelType w:val="hybridMultilevel"/>
    <w:lvl w:ilvl="0">
      <w:lvlJc w:val="left"/>
      <w:lvlText w:val="(%1)"/>
      <w:numFmt w:val="decimal"/>
      <w:start w:val="30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7"/>
    </w:lvl>
  </w:abstractNum>
  <w:abstractNum w:abstractNumId="10">
    <w:nsid w:val="721DA317"/>
    <w:multiLevelType w:val="hybridMultilevel"/>
    <w:lvl w:ilvl="0">
      <w:lvlJc w:val="left"/>
      <w:lvlText w:val="(%1)"/>
      <w:numFmt w:val="decimal"/>
      <w:start w:val="43"/>
    </w:lvl>
  </w:abstractNum>
  <w:abstractNum w:abstractNumId="11">
    <w:nsid w:val="2443A858"/>
    <w:multiLevelType w:val="hybridMultilevel"/>
    <w:lvl w:ilvl="0">
      <w:lvlJc w:val="left"/>
      <w:lvlText w:val="(%1)"/>
      <w:numFmt w:val="decimal"/>
      <w:start w:val="68"/>
    </w:lvl>
  </w:abstractNum>
  <w:abstractNum w:abstractNumId="12">
    <w:nsid w:val="2D1D5AE9"/>
    <w:multiLevelType w:val="hybridMultilevel"/>
    <w:lvl w:ilvl="0">
      <w:lvlJc w:val="left"/>
      <w:lvlText w:val="(%1)"/>
      <w:numFmt w:val="decimal"/>
      <w:start w:val="92"/>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Roman"/>
      <w:start w:val="3"/>
    </w:lvl>
  </w:abstractNum>
  <w:abstractNum w:abstractNumId="23">
    <w:nsid w:val="836C40E"/>
    <w:multiLevelType w:val="hybridMultilevel"/>
    <w:lvl w:ilvl="0">
      <w:lvlJc w:val="left"/>
      <w:lvlText w:val="•"/>
      <w:numFmt w:val="bullet"/>
      <w:start w:val="1"/>
    </w:lvl>
    <w:lvl w:ilvl="1">
      <w:lvlJc w:val="left"/>
      <w:lvlText w:val="•"/>
      <w:numFmt w:val="bullet"/>
      <w:start w:val="1"/>
    </w:lvl>
  </w:abstractNum>
  <w:abstractNum w:abstractNumId="24">
    <w:nsid w:val="2901D82"/>
    <w:multiLevelType w:val="hybridMultilevel"/>
    <w:lvl w:ilvl="0">
      <w:lvlJc w:val="left"/>
      <w:lvlText w:val="•"/>
      <w:numFmt w:val="bullet"/>
      <w:start w:val="1"/>
    </w:lvl>
    <w:lvl w:ilvl="1">
      <w:lvlJc w:val="left"/>
      <w:lvlText w:val="•"/>
      <w:numFmt w:val="bullet"/>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2019-12-04T23:12:50Z</dcterms:created>
  <dcterms:modified xsi:type="dcterms:W3CDTF">2019-12-04T23:12:50Z</dcterms:modified>
</cp:coreProperties>
</file>