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 Number 333-56908</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June 19, 2001)</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under the caption "The Offering" on page 3 of our prospectus dated June 19, 2001, the contracts we entered into for the acquisitions of two corporations that had been our partners since 1996 in the ownership of several properties located in Santa Monica and San Diego, contained an earnout provision. Under this provision, we assumed the obligation to issue additional common shares to the selling shareholders named in the prospectus if the selling shareholders and we were able to relet spaces in the Santa Monica properties on terms more favorable to us than the terms on which the spaces were previously leased.</w:t>
      </w:r>
    </w:p>
    <w:p>
      <w:pPr>
        <w:spacing w:after="0" w:line="214"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is being prepared as a result of our issuance to the selling shareholders named in the prospectus pursuant to this earnout provision of an aggregate of 2,907 additional common shares. These earnout shares had an aggregate value, based on the average of the closing prices of our common shares on the New York Stock Exchange over the 30 consecutive trading days during the period ending May 24, 2002, of $77,528.28</w:t>
      </w: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shows:</w:t>
      </w:r>
    </w:p>
    <w:p>
      <w:pPr>
        <w:spacing w:after="0" w:line="207" w:lineRule="exact"/>
        <w:rPr>
          <w:sz w:val="24"/>
          <w:szCs w:val="24"/>
          <w:color w:val="auto"/>
        </w:rPr>
      </w:pPr>
    </w:p>
    <w:p>
      <w:pPr>
        <w:ind w:left="740" w:right="199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additional common shares each of the selling shareholders have acquired as a result of the earnout; and</w:t>
      </w:r>
    </w:p>
    <w:p>
      <w:pPr>
        <w:spacing w:after="0" w:line="208" w:lineRule="exact"/>
        <w:rPr>
          <w:sz w:val="24"/>
          <w:szCs w:val="24"/>
          <w:color w:val="auto"/>
        </w:rPr>
      </w:pPr>
    </w:p>
    <w:p>
      <w:pPr>
        <w:ind w:left="740" w:right="1779" w:hanging="205"/>
        <w:spacing w:after="0" w:line="236"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currently held by each selling shareholder, giving effect to prior sales made pursuant to the prospectus, and offered hereby.</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879" w:firstLine="2950"/>
        <w:spacing w:after="0" w:line="235" w:lineRule="auto"/>
        <w:rPr>
          <w:sz w:val="20"/>
          <w:szCs w:val="20"/>
          <w:color w:val="auto"/>
        </w:rPr>
      </w:pPr>
      <w:r>
        <w:rPr>
          <w:rFonts w:ascii="Courier New" w:cs="Courier New" w:eastAsia="Courier New" w:hAnsi="Courier New"/>
          <w:sz w:val="18"/>
          <w:szCs w:val="18"/>
          <w:color w:val="auto"/>
        </w:rPr>
        <w:t>Number of Shares Acquired Number of Shares Owned Name of Selling Shareholder in Earnout and Offered Hereby</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Richard Ressler</w:t>
            </w:r>
          </w:p>
        </w:tc>
        <w:tc>
          <w:tcPr>
            <w:tcW w:w="2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1,453</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169,071</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Shaul Kuba</w:t>
            </w:r>
          </w:p>
        </w:tc>
        <w:tc>
          <w:tcPr>
            <w:tcW w:w="310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727</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84,536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200" w:val="left"/>
          <w:tab w:leader="none" w:pos="6940" w:val="left"/>
        </w:tabs>
        <w:rPr>
          <w:sz w:val="20"/>
          <w:szCs w:val="20"/>
          <w:color w:val="auto"/>
        </w:rPr>
      </w:pPr>
      <w:r>
        <w:rPr>
          <w:rFonts w:ascii="Courier New" w:cs="Courier New" w:eastAsia="Courier New" w:hAnsi="Courier New"/>
          <w:sz w:val="18"/>
          <w:szCs w:val="18"/>
          <w:color w:val="auto"/>
        </w:rPr>
        <w:t>Avraham Shemesh</w:t>
      </w:r>
      <w:r>
        <w:rPr>
          <w:sz w:val="20"/>
          <w:szCs w:val="20"/>
          <w:color w:val="auto"/>
        </w:rPr>
        <w:tab/>
      </w:r>
      <w:r>
        <w:rPr>
          <w:rFonts w:ascii="Courier New" w:cs="Courier New" w:eastAsia="Courier New" w:hAnsi="Courier New"/>
          <w:sz w:val="18"/>
          <w:szCs w:val="18"/>
          <w:color w:val="auto"/>
        </w:rPr>
        <w:t>727</w:t>
      </w:r>
      <w:r>
        <w:rPr>
          <w:sz w:val="20"/>
          <w:szCs w:val="20"/>
          <w:color w:val="auto"/>
        </w:rPr>
        <w:tab/>
      </w:r>
      <w:r>
        <w:rPr>
          <w:rFonts w:ascii="Courier New" w:cs="Courier New" w:eastAsia="Courier New" w:hAnsi="Courier New"/>
          <w:sz w:val="16"/>
          <w:szCs w:val="16"/>
          <w:color w:val="auto"/>
        </w:rPr>
        <w:t>84,536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tabs>
          <w:tab w:leader="none" w:pos="4000" w:val="left"/>
          <w:tab w:leader="none" w:pos="684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2,907</w:t>
      </w:r>
      <w:r>
        <w:rPr>
          <w:sz w:val="20"/>
          <w:szCs w:val="20"/>
          <w:color w:val="auto"/>
        </w:rPr>
        <w:tab/>
      </w:r>
      <w:r>
        <w:rPr>
          <w:rFonts w:ascii="Courier New" w:cs="Courier New" w:eastAsia="Courier New" w:hAnsi="Courier New"/>
          <w:sz w:val="16"/>
          <w:szCs w:val="16"/>
          <w:color w:val="auto"/>
        </w:rPr>
        <w:t>338,143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of the offered shares may be offered by the selling shareholders. The address for each selling shareholder is c/o CIM Group, LLC, 6922 Hollywood Boulevard, Suite 900, Los Angeles, California, 90028. Since the selling shareholders may sell all, some or none of the offered shares, no estimate can be made of the number of offered shares that will be sold by the selling shareholders or that will be owned by the selling shareholders upon completion of the offering. The offered shares represent less than 1% of our common shares outstanding as of the date of this prospectus supplement.</w:t>
      </w: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date of this Prospectus Supplement is August 29, 2002.</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2019-12-13T00:50:32Z</dcterms:created>
  <dcterms:modified xsi:type="dcterms:W3CDTF">2019-12-13T00:50:32Z</dcterms:modified>
</cp:coreProperties>
</file>