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640"/>
        <w:spacing w:after="0" w:line="237" w:lineRule="auto"/>
        <w:rPr>
          <w:sz w:val="20"/>
          <w:szCs w:val="20"/>
          <w:color w:val="auto"/>
        </w:rPr>
      </w:pPr>
      <w:r>
        <w:rPr>
          <w:rFonts w:ascii="Courier New" w:cs="Courier New" w:eastAsia="Courier New" w:hAnsi="Courier New"/>
          <w:sz w:val="15"/>
          <w:szCs w:val="15"/>
          <w:color w:val="auto"/>
        </w:rPr>
        <w:t>Washington, DC 20549</w:t>
      </w:r>
    </w:p>
    <w:p>
      <w:pPr>
        <w:ind w:left="3160"/>
        <w:spacing w:after="0" w:line="238" w:lineRule="auto"/>
        <w:rPr>
          <w:sz w:val="20"/>
          <w:szCs w:val="20"/>
          <w:color w:val="auto"/>
        </w:rPr>
      </w:pPr>
      <w:r>
        <w:rPr>
          <w:rFonts w:ascii="Courier New" w:cs="Courier New" w:eastAsia="Courier New" w:hAnsi="Courier New"/>
          <w:sz w:val="15"/>
          <w:szCs w:val="15"/>
          <w:color w:val="auto"/>
        </w:rPr>
        <w:t>Form 10-Q</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QUARTERLY REPORT UNDER SECTION 13 OR 15(d)</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33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For the Quarter Ended: September 30,2002</w:t>
      </w:r>
    </w:p>
    <w:p>
      <w:pPr>
        <w:ind w:left="2380"/>
        <w:spacing w:after="0" w:line="237" w:lineRule="auto"/>
        <w:rPr>
          <w:sz w:val="20"/>
          <w:szCs w:val="20"/>
          <w:color w:val="auto"/>
        </w:rPr>
      </w:pPr>
      <w:r>
        <w:rPr>
          <w:rFonts w:ascii="Courier New" w:cs="Courier New" w:eastAsia="Courier New" w:hAnsi="Courier New"/>
          <w:sz w:val="15"/>
          <w:szCs w:val="15"/>
          <w:color w:val="auto"/>
        </w:rPr>
        <w:t>Commission File No. 1-07533</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5" w:lineRule="exact"/>
        <w:rPr>
          <w:sz w:val="24"/>
          <w:szCs w:val="24"/>
          <w:color w:val="auto"/>
        </w:rPr>
      </w:pPr>
    </w:p>
    <w:tbl>
      <w:tblPr>
        <w:tblLayout w:type="fixed"/>
        <w:tblInd w:w="1240" w:type="dxa"/>
        <w:tblCellMar>
          <w:top w:w="0" w:type="dxa"/>
          <w:left w:w="0" w:type="dxa"/>
          <w:bottom w:w="0" w:type="dxa"/>
          <w:right w:w="0" w:type="dxa"/>
        </w:tblCellMar>
      </w:tblPr>
      <w:tr>
        <w:trPr>
          <w:trHeight w:val="170"/>
        </w:trPr>
        <w:tc>
          <w:tcPr>
            <w:tcW w:w="2400" w:type="dxa"/>
            <w:vAlign w:val="bottom"/>
          </w:tcPr>
          <w:p>
            <w:pPr>
              <w:spacing w:after="0"/>
              <w:rPr>
                <w:sz w:val="20"/>
                <w:szCs w:val="20"/>
                <w:color w:val="auto"/>
              </w:rPr>
            </w:pPr>
            <w:r>
              <w:rPr>
                <w:rFonts w:ascii="Courier New" w:cs="Courier New" w:eastAsia="Courier New" w:hAnsi="Courier New"/>
                <w:sz w:val="15"/>
                <w:szCs w:val="15"/>
                <w:color w:val="auto"/>
              </w:rPr>
              <w:t>Maryland</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52-0782497</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7" w:lineRule="exact"/>
        <w:rPr>
          <w:sz w:val="24"/>
          <w:szCs w:val="24"/>
          <w:color w:val="auto"/>
        </w:rPr>
      </w:pPr>
    </w:p>
    <w:p>
      <w:pPr>
        <w:ind w:left="360" w:right="3679" w:hanging="87"/>
        <w:spacing w:after="0"/>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 xml:space="preserve"> </w:t>
      </w:r>
      <w:r>
        <w:rPr>
          <w:rFonts w:ascii="Courier New" w:cs="Courier New" w:eastAsia="Courier New" w:hAnsi="Courier New"/>
          <w:sz w:val="15"/>
          <w:szCs w:val="15"/>
          <w:color w:val="auto"/>
        </w:rPr>
        <w:t>(I.R.S. Employer incorporation or organization) Identification No.)</w:t>
      </w:r>
    </w:p>
    <w:p>
      <w:pPr>
        <w:spacing w:after="0" w:line="200" w:lineRule="exact"/>
        <w:rPr>
          <w:sz w:val="24"/>
          <w:szCs w:val="24"/>
          <w:color w:val="auto"/>
        </w:rPr>
      </w:pPr>
    </w:p>
    <w:p>
      <w:pPr>
        <w:spacing w:after="0" w:line="296" w:lineRule="exact"/>
        <w:rPr>
          <w:sz w:val="24"/>
          <w:szCs w:val="24"/>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(301)998-8100</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3"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729" w:right="1440" w:bottom="1440" w:gutter="0" w:footer="0" w:header="0"/>
        </w:sectPr>
      </w:pPr>
    </w:p>
    <w:p>
      <w:pPr>
        <w:spacing w:after="0" w:line="17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 _____.</w:t>
      </w:r>
    </w:p>
    <w:p>
      <w:pPr>
        <w:spacing w:after="0" w:line="346" w:lineRule="exact"/>
        <w:rPr>
          <w:sz w:val="24"/>
          <w:szCs w:val="24"/>
          <w:color w:val="auto"/>
        </w:rPr>
      </w:pPr>
    </w:p>
    <w:p>
      <w:pPr>
        <w:sectPr>
          <w:pgSz w:w="11900" w:h="16838" w:orient="portrait"/>
          <w:cols w:equalWidth="0" w:num="4">
            <w:col w:w="700" w:space="100"/>
            <w:col w:w="440" w:space="0"/>
            <w:col w:w="80" w:space="440"/>
            <w:col w:w="8479"/>
          </w:cols>
          <w:pgMar w:left="220" w:top="729" w:right="1440" w:bottom="1440" w:gutter="0" w:footer="0" w:header="0"/>
          <w:type w:val="continuous"/>
        </w:sect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729" w:right="1440" w:bottom="1440" w:gutter="0" w:footer="0" w:header="0"/>
          <w:type w:val="continuous"/>
        </w:sectPr>
      </w:pPr>
    </w:p>
    <w:p>
      <w:pPr>
        <w:spacing w:after="0" w:line="167"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Class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Shares of Beneficial Interest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October 28, 2002</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960"/>
        <w:spacing w:after="0"/>
        <w:rPr>
          <w:sz w:val="20"/>
          <w:szCs w:val="20"/>
          <w:color w:val="auto"/>
        </w:rPr>
      </w:pPr>
      <w:r>
        <w:rPr>
          <w:rFonts w:ascii="Courier New" w:cs="Courier New" w:eastAsia="Courier New" w:hAnsi="Courier New"/>
          <w:sz w:val="15"/>
          <w:szCs w:val="15"/>
          <w:color w:val="auto"/>
        </w:rPr>
        <w:t>43,327,656</w:t>
      </w:r>
    </w:p>
    <w:p>
      <w:pPr>
        <w:sectPr>
          <w:pgSz w:w="11900" w:h="16838" w:orient="portrait"/>
          <w:cols w:equalWidth="0" w:num="2">
            <w:col w:w="3580" w:space="720"/>
            <w:col w:w="5939"/>
          </w:cols>
          <w:pgMar w:left="220" w:top="72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5200" w:type="dxa"/>
            <w:vAlign w:val="bottom"/>
          </w:tcPr>
          <w:p>
            <w:pPr>
              <w:ind w:left="1320"/>
              <w:spacing w:after="0"/>
              <w:rPr>
                <w:sz w:val="20"/>
                <w:szCs w:val="20"/>
                <w:color w:val="auto"/>
              </w:rPr>
            </w:pPr>
            <w:r>
              <w:rPr>
                <w:rFonts w:ascii="Courier New" w:cs="Courier New" w:eastAsia="Courier New" w:hAnsi="Courier New"/>
                <w:sz w:val="15"/>
                <w:szCs w:val="15"/>
                <w:color w:val="auto"/>
              </w:rPr>
              <w:t>FEDERAL REALTY INVESTMENT TRUST</w:t>
            </w:r>
          </w:p>
        </w:tc>
        <w:tc>
          <w:tcPr>
            <w:tcW w:w="920" w:type="dxa"/>
            <w:vAlign w:val="bottom"/>
          </w:tcPr>
          <w:p>
            <w:pPr>
              <w:spacing w:after="0"/>
              <w:rPr>
                <w:sz w:val="14"/>
                <w:szCs w:val="14"/>
                <w:color w:val="auto"/>
              </w:rPr>
            </w:pPr>
          </w:p>
        </w:tc>
      </w:tr>
      <w:tr>
        <w:trPr>
          <w:trHeight w:val="336"/>
        </w:trPr>
        <w:tc>
          <w:tcPr>
            <w:tcW w:w="880" w:type="dxa"/>
            <w:vAlign w:val="bottom"/>
          </w:tcPr>
          <w:p>
            <w:pPr>
              <w:spacing w:after="0"/>
              <w:rPr>
                <w:sz w:val="24"/>
                <w:szCs w:val="24"/>
                <w:color w:val="auto"/>
              </w:rPr>
            </w:pPr>
          </w:p>
        </w:tc>
        <w:tc>
          <w:tcPr>
            <w:tcW w:w="5200" w:type="dxa"/>
            <w:vAlign w:val="bottom"/>
          </w:tcPr>
          <w:p>
            <w:pPr>
              <w:ind w:left="1920"/>
              <w:spacing w:after="0"/>
              <w:rPr>
                <w:sz w:val="20"/>
                <w:szCs w:val="20"/>
                <w:color w:val="auto"/>
              </w:rPr>
            </w:pPr>
            <w:r>
              <w:rPr>
                <w:rFonts w:ascii="Courier New" w:cs="Courier New" w:eastAsia="Courier New" w:hAnsi="Courier New"/>
                <w:sz w:val="15"/>
                <w:szCs w:val="15"/>
                <w:color w:val="auto"/>
              </w:rPr>
              <w:t>S.E.C. FORM 10-Q</w:t>
            </w:r>
          </w:p>
        </w:tc>
        <w:tc>
          <w:tcPr>
            <w:tcW w:w="920" w:type="dxa"/>
            <w:vAlign w:val="bottom"/>
          </w:tcPr>
          <w:p>
            <w:pPr>
              <w:spacing w:after="0"/>
              <w:rPr>
                <w:sz w:val="24"/>
                <w:szCs w:val="24"/>
                <w:color w:val="auto"/>
              </w:rPr>
            </w:pPr>
          </w:p>
        </w:tc>
      </w:tr>
      <w:tr>
        <w:trPr>
          <w:trHeight w:val="336"/>
        </w:trPr>
        <w:tc>
          <w:tcPr>
            <w:tcW w:w="880" w:type="dxa"/>
            <w:vAlign w:val="bottom"/>
          </w:tcPr>
          <w:p>
            <w:pPr>
              <w:spacing w:after="0"/>
              <w:rPr>
                <w:sz w:val="24"/>
                <w:szCs w:val="24"/>
                <w:color w:val="auto"/>
              </w:rPr>
            </w:pPr>
          </w:p>
        </w:tc>
        <w:tc>
          <w:tcPr>
            <w:tcW w:w="5200" w:type="dxa"/>
            <w:vAlign w:val="bottom"/>
          </w:tcPr>
          <w:p>
            <w:pPr>
              <w:ind w:left="1840"/>
              <w:spacing w:after="0"/>
              <w:rPr>
                <w:sz w:val="20"/>
                <w:szCs w:val="20"/>
                <w:color w:val="auto"/>
              </w:rPr>
            </w:pPr>
            <w:r>
              <w:rPr>
                <w:rFonts w:ascii="Courier New" w:cs="Courier New" w:eastAsia="Courier New" w:hAnsi="Courier New"/>
                <w:sz w:val="15"/>
                <w:szCs w:val="15"/>
                <w:color w:val="auto"/>
              </w:rPr>
              <w:t>September 30, 2002</w:t>
            </w:r>
          </w:p>
        </w:tc>
        <w:tc>
          <w:tcPr>
            <w:tcW w:w="920" w:type="dxa"/>
            <w:vAlign w:val="bottom"/>
          </w:tcPr>
          <w:p>
            <w:pPr>
              <w:spacing w:after="0"/>
              <w:rPr>
                <w:sz w:val="24"/>
                <w:szCs w:val="24"/>
                <w:color w:val="auto"/>
              </w:rPr>
            </w:pPr>
          </w:p>
        </w:tc>
      </w:tr>
      <w:tr>
        <w:trPr>
          <w:trHeight w:val="336"/>
        </w:trPr>
        <w:tc>
          <w:tcPr>
            <w:tcW w:w="880" w:type="dxa"/>
            <w:vAlign w:val="bottom"/>
          </w:tcPr>
          <w:p>
            <w:pPr>
              <w:spacing w:after="0"/>
              <w:rPr>
                <w:sz w:val="24"/>
                <w:szCs w:val="24"/>
                <w:color w:val="auto"/>
              </w:rPr>
            </w:pPr>
          </w:p>
        </w:tc>
        <w:tc>
          <w:tcPr>
            <w:tcW w:w="5200" w:type="dxa"/>
            <w:vAlign w:val="bottom"/>
          </w:tcPr>
          <w:p>
            <w:pPr>
              <w:ind w:left="2280"/>
              <w:spacing w:after="0"/>
              <w:rPr>
                <w:sz w:val="20"/>
                <w:szCs w:val="20"/>
                <w:color w:val="auto"/>
              </w:rPr>
            </w:pPr>
            <w:r>
              <w:rPr>
                <w:rFonts w:ascii="Courier New" w:cs="Courier New" w:eastAsia="Courier New" w:hAnsi="Courier New"/>
                <w:sz w:val="15"/>
                <w:szCs w:val="15"/>
                <w:color w:val="auto"/>
              </w:rPr>
              <w:t>I N D E X</w:t>
            </w:r>
          </w:p>
        </w:tc>
        <w:tc>
          <w:tcPr>
            <w:tcW w:w="92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336"/>
        </w:trPr>
        <w:tc>
          <w:tcPr>
            <w:tcW w:w="60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Item 1. Financial Statements</w:t>
            </w:r>
          </w:p>
        </w:tc>
        <w:tc>
          <w:tcPr>
            <w:tcW w:w="920" w:type="dxa"/>
            <w:vAlign w:val="bottom"/>
          </w:tcPr>
          <w:p>
            <w:pPr>
              <w:spacing w:after="0"/>
              <w:rPr>
                <w:sz w:val="24"/>
                <w:szCs w:val="24"/>
                <w:color w:val="auto"/>
              </w:rPr>
            </w:pPr>
          </w:p>
        </w:tc>
      </w:tr>
      <w:tr>
        <w:trPr>
          <w:trHeight w:val="336"/>
        </w:trPr>
        <w:tc>
          <w:tcPr>
            <w:tcW w:w="88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92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 2002 (unaudited) and</w:t>
            </w: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2001 (audited)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88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(unaudited)</w:t>
            </w:r>
          </w:p>
        </w:tc>
        <w:tc>
          <w:tcPr>
            <w:tcW w:w="92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Nine months ended September 30, 2002 and 2001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88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(unaudited)</w:t>
            </w:r>
          </w:p>
        </w:tc>
        <w:tc>
          <w:tcPr>
            <w:tcW w:w="92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Three months ended September 30, 2002 and 2001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88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Consolidated Statements</w:t>
            </w:r>
          </w:p>
        </w:tc>
        <w:tc>
          <w:tcPr>
            <w:tcW w:w="92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of Shareholders' Equity (unaudited)</w:t>
            </w: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Nine months ended September 30, 2002 and 2001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336"/>
        </w:trPr>
        <w:tc>
          <w:tcPr>
            <w:tcW w:w="88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(unaudited)</w:t>
            </w:r>
          </w:p>
        </w:tc>
        <w:tc>
          <w:tcPr>
            <w:tcW w:w="92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Nine months ended September 30, 2002 and 2001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336"/>
        </w:trPr>
        <w:tc>
          <w:tcPr>
            <w:tcW w:w="88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9-18</w:t>
            </w:r>
          </w:p>
        </w:tc>
      </w:tr>
      <w:tr>
        <w:trPr>
          <w:trHeight w:val="336"/>
        </w:trPr>
        <w:tc>
          <w:tcPr>
            <w:tcW w:w="60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Item 2. Management's Discussion and Analysis of</w:t>
            </w:r>
          </w:p>
        </w:tc>
        <w:tc>
          <w:tcPr>
            <w:tcW w:w="92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Financial Condition and Results of Operations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19-39</w:t>
            </w:r>
          </w:p>
        </w:tc>
      </w:tr>
      <w:tr>
        <w:trPr>
          <w:trHeight w:val="336"/>
        </w:trPr>
        <w:tc>
          <w:tcPr>
            <w:tcW w:w="60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Item 3. Quantitative and Qualitative Disclosures</w:t>
            </w:r>
          </w:p>
        </w:tc>
        <w:tc>
          <w:tcPr>
            <w:tcW w:w="92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About Market Risk</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336"/>
        </w:trPr>
        <w:tc>
          <w:tcPr>
            <w:tcW w:w="608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Item 4. Controls and Procedures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OTHER INFORMATION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36"/>
        </w:trPr>
        <w:tc>
          <w:tcPr>
            <w:tcW w:w="880" w:type="dxa"/>
            <w:vAlign w:val="bottom"/>
          </w:tcPr>
          <w:p>
            <w:pPr>
              <w:spacing w:after="0"/>
              <w:rPr>
                <w:sz w:val="24"/>
                <w:szCs w:val="24"/>
                <w:color w:val="auto"/>
              </w:rPr>
            </w:pPr>
          </w:p>
        </w:tc>
        <w:tc>
          <w:tcPr>
            <w:tcW w:w="5200" w:type="dxa"/>
            <w:vAlign w:val="bottom"/>
          </w:tcPr>
          <w:p>
            <w:pPr>
              <w:spacing w:after="0"/>
              <w:rPr>
                <w:sz w:val="20"/>
                <w:szCs w:val="20"/>
                <w:color w:val="auto"/>
              </w:rPr>
            </w:pPr>
            <w:r>
              <w:rPr>
                <w:rFonts w:ascii="Courier New" w:cs="Courier New" w:eastAsia="Courier New" w:hAnsi="Courier New"/>
                <w:sz w:val="15"/>
                <w:szCs w:val="15"/>
                <w:color w:val="auto"/>
              </w:rPr>
              <w:t>Item 1. Legal Proceedings</w:t>
            </w:r>
          </w:p>
        </w:tc>
        <w:tc>
          <w:tcPr>
            <w:tcW w:w="92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2. Changes in Securities</w:t>
            </w: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3. Defaults Upon Senior Securities</w:t>
            </w: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4. Submission of Matters to Vote to Security Holders</w:t>
            </w: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5. Other Information</w:t>
            </w:r>
          </w:p>
        </w:tc>
        <w:tc>
          <w:tcPr>
            <w:tcW w:w="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6. Exhibits and Reports on Form 8-K</w:t>
            </w:r>
          </w:p>
        </w:tc>
        <w:tc>
          <w:tcPr>
            <w:tcW w:w="920" w:type="dxa"/>
            <w:vAlign w:val="bottom"/>
          </w:tcPr>
          <w:p>
            <w:pPr>
              <w:spacing w:after="0"/>
              <w:rPr>
                <w:sz w:val="14"/>
                <w:szCs w:val="1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SIGNATURES</w:t>
            </w:r>
          </w:p>
        </w:tc>
        <w:tc>
          <w:tcPr>
            <w:tcW w:w="5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6"/>
        </w:trPr>
        <w:tc>
          <w:tcPr>
            <w:tcW w:w="880" w:type="dxa"/>
            <w:vAlign w:val="bottom"/>
          </w:tcPr>
          <w:p>
            <w:pPr>
              <w:spacing w:after="0"/>
              <w:rPr>
                <w:sz w:val="24"/>
                <w:szCs w:val="24"/>
                <w:color w:val="auto"/>
              </w:rPr>
            </w:pPr>
          </w:p>
        </w:tc>
        <w:tc>
          <w:tcPr>
            <w:tcW w:w="5200" w:type="dxa"/>
            <w:vAlign w:val="bottom"/>
          </w:tcPr>
          <w:p>
            <w:pPr>
              <w:ind w:left="2540"/>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S.E.C. FORM 10-Q</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September 30, 2002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ind w:left="880" w:right="3239" w:firstLine="525"/>
        <w:spacing w:after="0" w:line="254" w:lineRule="auto"/>
        <w:rPr>
          <w:sz w:val="20"/>
          <w:szCs w:val="20"/>
          <w:color w:val="auto"/>
        </w:rPr>
      </w:pPr>
      <w:r>
        <w:rPr>
          <w:rFonts w:ascii="Courier New" w:cs="Courier New" w:eastAsia="Courier New" w:hAnsi="Courier New"/>
          <w:sz w:val="14"/>
          <w:szCs w:val="14"/>
          <w:color w:val="auto"/>
        </w:rPr>
        <w:t>The following unaudited financial statements have been prepared by management in accordance with accounting principles generally accepted in the United States ("GAAP") for interim financial information and in conformity with rules and regulations of the Securities and Exchange Commission (the "SEC"). Accordingly, they do not include all of the information and footnotes required by GAAP for complete financial statements. In the opinion of management, all adjustments (consisting of normal recurring adjustments) considered necessary for a fair presentation have been included and the information contained in these financial statements fairly presents, in all material respects, the financial condition and results of operations of Federal Realty Investment Trust ("the Trust"). The results of operations for the three months and nine months ended September 30, 2002, are not necessarily indicative of the results that may be expected for the full year. These financial statements should be read in conjunction with the our audited consolidated financial statements and footnotes thereto, included in the Trust's Annual Report on Form 10-K for the fiscal year ended December 31, 2001.</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1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September 30,</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7180" w:type="dxa"/>
            <w:vAlign w:val="bottom"/>
          </w:tcPr>
          <w:p>
            <w:pPr>
              <w:spacing w:after="0"/>
              <w:rPr>
                <w:sz w:val="14"/>
                <w:szCs w:val="14"/>
                <w:color w:val="auto"/>
              </w:rPr>
            </w:pPr>
          </w:p>
        </w:tc>
        <w:tc>
          <w:tcPr>
            <w:tcW w:w="19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2002</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7180" w:type="dxa"/>
            <w:vAlign w:val="bottom"/>
          </w:tcPr>
          <w:p>
            <w:pPr>
              <w:spacing w:after="0"/>
              <w:rPr>
                <w:sz w:val="14"/>
                <w:szCs w:val="14"/>
                <w:color w:val="auto"/>
              </w:rPr>
            </w:pP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(unaudited)</w:t>
            </w:r>
          </w:p>
        </w:tc>
        <w:tc>
          <w:tcPr>
            <w:tcW w:w="1580" w:type="dxa"/>
            <w:vAlign w:val="bottom"/>
          </w:tcPr>
          <w:p>
            <w:pPr>
              <w:spacing w:after="0"/>
              <w:rPr>
                <w:sz w:val="14"/>
                <w:szCs w:val="14"/>
                <w:color w:val="auto"/>
              </w:rPr>
            </w:pPr>
          </w:p>
        </w:tc>
      </w:tr>
      <w:tr>
        <w:trPr>
          <w:trHeight w:val="168"/>
        </w:trPr>
        <w:tc>
          <w:tcPr>
            <w:tcW w:w="7180" w:type="dxa"/>
            <w:vAlign w:val="bottom"/>
          </w:tcPr>
          <w:p>
            <w:pPr>
              <w:ind w:left="1840"/>
              <w:spacing w:after="0" w:line="168" w:lineRule="exact"/>
              <w:rPr>
                <w:sz w:val="20"/>
                <w:szCs w:val="20"/>
                <w:color w:val="auto"/>
              </w:rPr>
            </w:pPr>
            <w:r>
              <w:rPr>
                <w:rFonts w:ascii="Courier New" w:cs="Courier New" w:eastAsia="Courier New" w:hAnsi="Courier New"/>
                <w:sz w:val="15"/>
                <w:szCs w:val="15"/>
                <w:color w:val="auto"/>
              </w:rPr>
              <w:t>ASSETS</w:t>
            </w:r>
          </w:p>
        </w:tc>
        <w:tc>
          <w:tcPr>
            <w:tcW w:w="3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 thousands, except share data)</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Real estate, at cost</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$1,850,345</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$1,741,385</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404,195</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321,986</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40,933</w:t>
            </w:r>
          </w:p>
        </w:tc>
      </w:tr>
      <w:tr>
        <w:trPr>
          <w:trHeight w:val="168"/>
        </w:trPr>
        <w:tc>
          <w:tcPr>
            <w:tcW w:w="7180" w:type="dxa"/>
            <w:vAlign w:val="bottom"/>
          </w:tcPr>
          <w:p>
            <w:pPr>
              <w:spacing w:after="0"/>
              <w:rPr>
                <w:sz w:val="14"/>
                <w:szCs w:val="14"/>
                <w:color w:val="auto"/>
              </w:rPr>
            </w:pP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rPr>
                <w:sz w:val="14"/>
                <w:szCs w:val="14"/>
                <w:color w:val="auto"/>
              </w:rPr>
            </w:pP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2,254,540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2,104,304</w:t>
            </w:r>
          </w:p>
        </w:tc>
      </w:tr>
      <w:tr>
        <w:trPr>
          <w:trHeight w:val="336"/>
        </w:trPr>
        <w:tc>
          <w:tcPr>
            <w:tcW w:w="718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(435,922)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(395,767)</w:t>
            </w:r>
          </w:p>
        </w:tc>
      </w:tr>
      <w:tr>
        <w:trPr>
          <w:trHeight w:val="168"/>
        </w:trPr>
        <w:tc>
          <w:tcPr>
            <w:tcW w:w="7180" w:type="dxa"/>
            <w:vAlign w:val="bottom"/>
          </w:tcPr>
          <w:p>
            <w:pPr>
              <w:spacing w:after="0"/>
              <w:rPr>
                <w:sz w:val="14"/>
                <w:szCs w:val="14"/>
                <w:color w:val="auto"/>
              </w:rPr>
            </w:pP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4"/>
                <w:szCs w:val="24"/>
                <w:color w:val="auto"/>
              </w:rPr>
            </w:pPr>
          </w:p>
        </w:tc>
        <w:tc>
          <w:tcPr>
            <w:tcW w:w="1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1,818,618</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1,708,537</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24,652</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17,563</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 receivable</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35,570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35,607</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and notes receivable</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10,874</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15,483</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 principally</w:t>
            </w: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taxes and lease commissions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52,796</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44,733</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deferred exchange escrows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55,204</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6,006</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 issue costs, net of accumulated amortization</w:t>
            </w: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7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$5,872 and $4,840, respectively</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5,820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6,952</w:t>
            </w:r>
          </w:p>
        </w:tc>
      </w:tr>
      <w:tr>
        <w:trPr>
          <w:trHeight w:val="168"/>
        </w:trPr>
        <w:tc>
          <w:tcPr>
            <w:tcW w:w="7180" w:type="dxa"/>
            <w:vAlign w:val="bottom"/>
          </w:tcPr>
          <w:p>
            <w:pPr>
              <w:spacing w:after="0"/>
              <w:rPr>
                <w:sz w:val="14"/>
                <w:szCs w:val="14"/>
                <w:color w:val="auto"/>
              </w:rPr>
            </w:pP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4"/>
                <w:szCs w:val="24"/>
                <w:color w:val="auto"/>
              </w:rPr>
            </w:pPr>
          </w:p>
        </w:tc>
        <w:tc>
          <w:tcPr>
            <w:tcW w:w="1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$2,003,534</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$1,834,881</w:t>
            </w:r>
          </w:p>
        </w:tc>
      </w:tr>
      <w:tr>
        <w:trPr>
          <w:trHeight w:val="168"/>
        </w:trPr>
        <w:tc>
          <w:tcPr>
            <w:tcW w:w="7180" w:type="dxa"/>
            <w:vAlign w:val="bottom"/>
          </w:tcPr>
          <w:p>
            <w:pPr>
              <w:spacing w:after="0"/>
              <w:rPr>
                <w:sz w:val="14"/>
                <w:szCs w:val="14"/>
                <w:color w:val="auto"/>
              </w:rPr>
            </w:pP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104,454</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100,293</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Mortgages and construction loans payable</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440,267</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350,043</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192,343</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174,843</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87,491</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64,014</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24,239</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21,664</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Security deposits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6,429</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6,026</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rents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11,935</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10,400</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and debentures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385,000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410,000</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75,000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75,289</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Investors' interest in consolidated assets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29,987</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33,018</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7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authorized 15,000,000 shares, $.01 par</w:t>
            </w: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7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7.95% Series A Cumulative Redeemable Preferred Shares, (stated at</w:t>
            </w: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liquidation preference $25 per share), 4,000,000 shares issued in 1997</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100,000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7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8.5% Series B Cumulative Redeemable Preferred Shares, (stated at</w:t>
            </w: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7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liquidation preference $25 per share), 5,400,000 shares issued in 2001</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135,000</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135,000</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of beneficial interest, $.01 par, 100,000,000 shares</w:t>
            </w: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7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authorized, 44,760,252 and 41,524,165 issued, respectively</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448</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812,354</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730,835</w:t>
            </w:r>
          </w:p>
        </w:tc>
      </w:tr>
      <w:tr>
        <w:trPr>
          <w:trHeight w:val="168"/>
        </w:trPr>
        <w:tc>
          <w:tcPr>
            <w:tcW w:w="7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dividends in excess of Trust net income</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(345,645)</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(322,428)</w:t>
            </w:r>
          </w:p>
        </w:tc>
      </w:tr>
      <w:tr>
        <w:trPr>
          <w:trHeight w:val="168"/>
        </w:trPr>
        <w:tc>
          <w:tcPr>
            <w:tcW w:w="7180" w:type="dxa"/>
            <w:vAlign w:val="bottom"/>
          </w:tcPr>
          <w:p>
            <w:pPr>
              <w:spacing w:after="0"/>
              <w:rPr>
                <w:sz w:val="14"/>
                <w:szCs w:val="14"/>
                <w:color w:val="auto"/>
              </w:rPr>
            </w:pP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4"/>
                <w:szCs w:val="24"/>
                <w:color w:val="auto"/>
              </w:rPr>
            </w:pPr>
          </w:p>
        </w:tc>
        <w:tc>
          <w:tcPr>
            <w:tcW w:w="1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702,157</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643,824</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rPr>
              <w:t>Less: 1,459,719 and 1,452,926 common shares in treasury - at cost, respectively</w:t>
            </w:r>
          </w:p>
        </w:tc>
        <w:tc>
          <w:tcPr>
            <w:tcW w:w="1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(28,154)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(27,990)</w:t>
            </w:r>
          </w:p>
        </w:tc>
      </w:tr>
      <w:tr>
        <w:trPr>
          <w:trHeight w:val="168"/>
        </w:trPr>
        <w:tc>
          <w:tcPr>
            <w:tcW w:w="71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Deferred compensation on restricted shares</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(12,321)</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(15,005)</w:t>
            </w:r>
          </w:p>
        </w:tc>
      </w:tr>
      <w:tr>
        <w:trPr>
          <w:trHeight w:val="168"/>
        </w:trPr>
        <w:tc>
          <w:tcPr>
            <w:tcW w:w="71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Notes receivable from employee stock  plans</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(8,420)</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(7,245)</w:t>
            </w:r>
          </w:p>
        </w:tc>
      </w:tr>
      <w:tr>
        <w:trPr>
          <w:trHeight w:val="168"/>
        </w:trPr>
        <w:tc>
          <w:tcPr>
            <w:tcW w:w="71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(6,873)</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(4,293)</w:t>
            </w:r>
          </w:p>
        </w:tc>
      </w:tr>
      <w:tr>
        <w:trPr>
          <w:trHeight w:val="168"/>
        </w:trPr>
        <w:tc>
          <w:tcPr>
            <w:tcW w:w="7180" w:type="dxa"/>
            <w:vAlign w:val="bottom"/>
          </w:tcPr>
          <w:p>
            <w:pPr>
              <w:spacing w:after="0"/>
              <w:rPr>
                <w:sz w:val="14"/>
                <w:szCs w:val="14"/>
                <w:color w:val="auto"/>
              </w:rPr>
            </w:pP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4"/>
                <w:szCs w:val="24"/>
                <w:color w:val="auto"/>
              </w:rPr>
            </w:pPr>
          </w:p>
        </w:tc>
        <w:tc>
          <w:tcPr>
            <w:tcW w:w="1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646,389</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589,291</w:t>
            </w:r>
          </w:p>
        </w:tc>
      </w:tr>
      <w:tr>
        <w:trPr>
          <w:trHeight w:val="168"/>
        </w:trPr>
        <w:tc>
          <w:tcPr>
            <w:tcW w:w="7180" w:type="dxa"/>
            <w:vAlign w:val="bottom"/>
          </w:tcPr>
          <w:p>
            <w:pPr>
              <w:spacing w:after="0"/>
              <w:rPr>
                <w:sz w:val="14"/>
                <w:szCs w:val="14"/>
                <w:color w:val="auto"/>
              </w:rPr>
            </w:pP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80" w:type="dxa"/>
            <w:vAlign w:val="bottom"/>
          </w:tcPr>
          <w:p>
            <w:pPr>
              <w:spacing w:after="0"/>
              <w:rPr>
                <w:sz w:val="24"/>
                <w:szCs w:val="24"/>
                <w:color w:val="auto"/>
              </w:rPr>
            </w:pPr>
          </w:p>
        </w:tc>
        <w:tc>
          <w:tcPr>
            <w:tcW w:w="1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$2,003,534</w:t>
            </w:r>
          </w:p>
        </w:tc>
        <w:tc>
          <w:tcPr>
            <w:tcW w:w="1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$1,834,881</w:t>
            </w:r>
          </w:p>
        </w:tc>
      </w:tr>
      <w:tr>
        <w:trPr>
          <w:trHeight w:val="168"/>
        </w:trPr>
        <w:tc>
          <w:tcPr>
            <w:tcW w:w="7180" w:type="dxa"/>
            <w:vAlign w:val="bottom"/>
          </w:tcPr>
          <w:p>
            <w:pPr>
              <w:spacing w:after="0"/>
              <w:rPr>
                <w:sz w:val="14"/>
                <w:szCs w:val="14"/>
                <w:color w:val="auto"/>
              </w:rPr>
            </w:pP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680"/>
          </w:cols>
          <w:pgMar w:left="220" w:top="617" w:right="9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40" w:type="dxa"/>
            <w:vAlign w:val="bottom"/>
          </w:tcPr>
          <w:p>
            <w:pPr>
              <w:ind w:left="1500"/>
              <w:spacing w:after="0"/>
              <w:rPr>
                <w:sz w:val="20"/>
                <w:szCs w:val="20"/>
                <w:color w:val="auto"/>
              </w:rPr>
            </w:pPr>
            <w:r>
              <w:rPr>
                <w:rFonts w:ascii="Courier New" w:cs="Courier New" w:eastAsia="Courier New" w:hAnsi="Courier New"/>
                <w:sz w:val="15"/>
                <w:szCs w:val="15"/>
                <w:color w:val="auto"/>
              </w:rPr>
              <w:t>(unaudited)</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7540" w:type="dxa"/>
            <w:vAlign w:val="bottom"/>
          </w:tcPr>
          <w:p>
            <w:pPr>
              <w:spacing w:after="0"/>
              <w:rPr>
                <w:sz w:val="24"/>
                <w:szCs w:val="24"/>
                <w:color w:val="auto"/>
              </w:rPr>
            </w:pPr>
          </w:p>
        </w:tc>
        <w:tc>
          <w:tcPr>
            <w:tcW w:w="3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68"/>
        </w:trPr>
        <w:tc>
          <w:tcPr>
            <w:tcW w:w="7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$214,242</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$201,177</w:t>
            </w: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3,762</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5,275</w:t>
            </w: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11,393</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10,189</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1"/>
              </w:rPr>
              <w:t>229,397</w:t>
            </w:r>
          </w:p>
        </w:tc>
        <w:tc>
          <w:tcPr>
            <w:tcW w:w="6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216,641</w:t>
            </w:r>
          </w:p>
        </w:tc>
      </w:tr>
      <w:tr>
        <w:trPr>
          <w:trHeight w:val="505"/>
        </w:trPr>
        <w:tc>
          <w:tcPr>
            <w:tcW w:w="75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49,288</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45,114</w:t>
            </w: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23,078</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20,541</w:t>
            </w: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45,313</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52,360</w:t>
            </w: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10,209</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9,971</w:t>
            </w: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 expenses</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8,489</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47,826</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43,561</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1"/>
              </w:rPr>
              <w:t>184,203</w:t>
            </w:r>
          </w:p>
        </w:tc>
        <w:tc>
          <w:tcPr>
            <w:tcW w:w="6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171,547</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 and discontinued operations</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45,194</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45,094</w:t>
            </w:r>
          </w:p>
        </w:tc>
      </w:tr>
      <w:tr>
        <w:trPr>
          <w:trHeight w:val="336"/>
        </w:trPr>
        <w:tc>
          <w:tcPr>
            <w:tcW w:w="754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52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(3,357)</w:t>
            </w:r>
          </w:p>
        </w:tc>
        <w:tc>
          <w:tcPr>
            <w:tcW w:w="6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(3,991)</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 net of loss on abandoned</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developments held for sale and discontinued operations</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41,837</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41,103</w:t>
            </w: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Income from operations of discontinued assets</w:t>
            </w:r>
          </w:p>
        </w:tc>
        <w:tc>
          <w:tcPr>
            <w:tcW w:w="52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1,217</w:t>
            </w:r>
          </w:p>
        </w:tc>
        <w:tc>
          <w:tcPr>
            <w:tcW w:w="6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2,581</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 net of</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abandoned developments held for sale</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43,054</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43,684</w:t>
            </w: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Gain on sale of real estate net of loss on abandoned developments held for sale</w:t>
            </w:r>
          </w:p>
        </w:tc>
        <w:tc>
          <w:tcPr>
            <w:tcW w:w="52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9,454</w:t>
            </w:r>
          </w:p>
        </w:tc>
        <w:tc>
          <w:tcPr>
            <w:tcW w:w="6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7,898</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ind w:left="1240"/>
              <w:spacing w:after="0"/>
              <w:rPr>
                <w:sz w:val="20"/>
                <w:szCs w:val="20"/>
                <w:color w:val="auto"/>
              </w:rPr>
            </w:pPr>
            <w:r>
              <w:rPr>
                <w:rFonts w:ascii="Courier New" w:cs="Courier New" w:eastAsia="Courier New" w:hAnsi="Courier New"/>
                <w:sz w:val="15"/>
                <w:szCs w:val="15"/>
                <w:color w:val="auto"/>
              </w:rPr>
              <w:t>Net income</w:t>
            </w:r>
          </w:p>
        </w:tc>
        <w:tc>
          <w:tcPr>
            <w:tcW w:w="52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52,508</w:t>
            </w:r>
          </w:p>
        </w:tc>
        <w:tc>
          <w:tcPr>
            <w:tcW w:w="6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51,582</w:t>
            </w: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52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4"/>
              </w:rPr>
              <w:t>(14,568)</w:t>
            </w:r>
          </w:p>
        </w:tc>
        <w:tc>
          <w:tcPr>
            <w:tcW w:w="6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(5,963)</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ind w:left="1240"/>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17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$ 37,940</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$ 45,619</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gain on sale of real estate net of loss on abandoned</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developments held for sale and discontinued operations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0.66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0.90</w:t>
            </w:r>
          </w:p>
        </w:tc>
      </w:tr>
      <w:tr>
        <w:trPr>
          <w:trHeight w:val="168"/>
        </w:trPr>
        <w:tc>
          <w:tcPr>
            <w:tcW w:w="7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0.03</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0.07</w:t>
            </w:r>
          </w:p>
        </w:tc>
      </w:tr>
      <w:tr>
        <w:trPr>
          <w:trHeight w:val="168"/>
        </w:trPr>
        <w:tc>
          <w:tcPr>
            <w:tcW w:w="7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real estate net of loss on abandoned developments held for sale</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0.23</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0.92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52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41,155</w:t>
            </w:r>
          </w:p>
        </w:tc>
        <w:tc>
          <w:tcPr>
            <w:tcW w:w="6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39,061</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gain on sale of real estate net of loss on abandoned</w:t>
            </w: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developments held for sale and discontinued operations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0.66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0.90</w:t>
            </w:r>
          </w:p>
        </w:tc>
      </w:tr>
      <w:tr>
        <w:trPr>
          <w:trHeight w:val="168"/>
        </w:trPr>
        <w:tc>
          <w:tcPr>
            <w:tcW w:w="7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0.03</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0.06</w:t>
            </w:r>
          </w:p>
        </w:tc>
      </w:tr>
      <w:tr>
        <w:trPr>
          <w:trHeight w:val="168"/>
        </w:trPr>
        <w:tc>
          <w:tcPr>
            <w:tcW w:w="7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real estate net of loss on abandoned developments held for sale</w:t>
            </w:r>
          </w:p>
        </w:tc>
        <w:tc>
          <w:tcPr>
            <w:tcW w:w="52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0.22</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5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0.91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54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diluted</w:t>
            </w:r>
          </w:p>
        </w:tc>
        <w:tc>
          <w:tcPr>
            <w:tcW w:w="520" w:type="dxa"/>
            <w:vAlign w:val="bottom"/>
          </w:tcPr>
          <w:p>
            <w:pPr>
              <w:spacing w:after="0"/>
              <w:rPr>
                <w:sz w:val="24"/>
                <w:szCs w:val="2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42,421</w:t>
            </w:r>
          </w:p>
        </w:tc>
        <w:tc>
          <w:tcPr>
            <w:tcW w:w="6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40,136</w:t>
            </w:r>
          </w:p>
        </w:tc>
      </w:tr>
      <w:tr>
        <w:trPr>
          <w:trHeight w:val="168"/>
        </w:trPr>
        <w:tc>
          <w:tcPr>
            <w:tcW w:w="7540" w:type="dxa"/>
            <w:vAlign w:val="bottom"/>
          </w:tcPr>
          <w:p>
            <w:pPr>
              <w:spacing w:after="0"/>
              <w:rPr>
                <w:sz w:val="14"/>
                <w:szCs w:val="14"/>
                <w:color w:val="auto"/>
              </w:rPr>
            </w:pPr>
          </w:p>
        </w:tc>
        <w:tc>
          <w:tcPr>
            <w:tcW w:w="17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600"/>
          </w:cols>
          <w:pgMar w:left="220" w:top="617" w:right="1079" w:bottom="685"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ind w:left="1580"/>
              <w:spacing w:after="0"/>
              <w:rPr>
                <w:sz w:val="20"/>
                <w:szCs w:val="20"/>
                <w:color w:val="auto"/>
              </w:rPr>
            </w:pPr>
            <w:r>
              <w:rPr>
                <w:rFonts w:ascii="Courier New" w:cs="Courier New" w:eastAsia="Courier New" w:hAnsi="Courier New"/>
                <w:sz w:val="15"/>
                <w:szCs w:val="15"/>
                <w:color w:val="auto"/>
              </w:rPr>
              <w:t>(unaudited)</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3"/>
        </w:trPr>
        <w:tc>
          <w:tcPr>
            <w:tcW w:w="6220" w:type="dxa"/>
            <w:vAlign w:val="bottom"/>
          </w:tcPr>
          <w:p>
            <w:pPr>
              <w:spacing w:after="0"/>
              <w:rPr>
                <w:sz w:val="24"/>
                <w:szCs w:val="24"/>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Three months ended September 30,</w:t>
            </w:r>
          </w:p>
        </w:tc>
      </w:tr>
      <w:tr>
        <w:trPr>
          <w:trHeight w:val="168"/>
        </w:trPr>
        <w:tc>
          <w:tcPr>
            <w:tcW w:w="6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2002</w:t>
            </w:r>
          </w:p>
        </w:tc>
        <w:tc>
          <w:tcPr>
            <w:tcW w:w="60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$72,277</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$68,179</w:t>
            </w: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1,644</w:t>
            </w:r>
          </w:p>
        </w:tc>
        <w:tc>
          <w:tcPr>
            <w:tcW w:w="6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1,678</w:t>
            </w: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1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4,412</w:t>
            </w:r>
          </w:p>
        </w:tc>
        <w:tc>
          <w:tcPr>
            <w:tcW w:w="6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4,292</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78,333</w:t>
            </w:r>
          </w:p>
        </w:tc>
        <w:tc>
          <w:tcPr>
            <w:tcW w:w="60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74,149</w:t>
            </w:r>
          </w:p>
        </w:tc>
      </w:tr>
      <w:tr>
        <w:trPr>
          <w:trHeight w:val="505"/>
        </w:trPr>
        <w:tc>
          <w:tcPr>
            <w:tcW w:w="62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1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17,471</w:t>
            </w:r>
          </w:p>
        </w:tc>
        <w:tc>
          <w:tcPr>
            <w:tcW w:w="6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15,254</w:t>
            </w: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7,891</w:t>
            </w:r>
          </w:p>
        </w:tc>
        <w:tc>
          <w:tcPr>
            <w:tcW w:w="6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7,284</w:t>
            </w: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13,540</w:t>
            </w:r>
          </w:p>
        </w:tc>
        <w:tc>
          <w:tcPr>
            <w:tcW w:w="6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17,680</w:t>
            </w: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1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3,713</w:t>
            </w:r>
          </w:p>
        </w:tc>
        <w:tc>
          <w:tcPr>
            <w:tcW w:w="6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3,516</w:t>
            </w: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16,074</w:t>
            </w:r>
          </w:p>
        </w:tc>
        <w:tc>
          <w:tcPr>
            <w:tcW w:w="6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14,966</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58,689</w:t>
            </w:r>
          </w:p>
        </w:tc>
        <w:tc>
          <w:tcPr>
            <w:tcW w:w="60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58,700</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2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 and discontinued operations</w:t>
            </w:r>
          </w:p>
        </w:tc>
        <w:tc>
          <w:tcPr>
            <w:tcW w:w="1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2"/>
              </w:rPr>
              <w:t>19,644</w:t>
            </w:r>
          </w:p>
        </w:tc>
        <w:tc>
          <w:tcPr>
            <w:tcW w:w="6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15,449</w:t>
            </w:r>
          </w:p>
        </w:tc>
      </w:tr>
      <w:tr>
        <w:trPr>
          <w:trHeight w:val="336"/>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14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(1,081)</w:t>
            </w:r>
          </w:p>
        </w:tc>
        <w:tc>
          <w:tcPr>
            <w:tcW w:w="60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(1,185)</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Income before discontinued operations</w:t>
            </w:r>
          </w:p>
        </w:tc>
        <w:tc>
          <w:tcPr>
            <w:tcW w:w="140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18,563</w:t>
            </w:r>
          </w:p>
        </w:tc>
        <w:tc>
          <w:tcPr>
            <w:tcW w:w="60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14,264</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Income (loss) from operations of discontinued assets</w:t>
            </w:r>
          </w:p>
        </w:tc>
        <w:tc>
          <w:tcPr>
            <w:tcW w:w="14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(59)</w:t>
            </w:r>
          </w:p>
        </w:tc>
        <w:tc>
          <w:tcPr>
            <w:tcW w:w="60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918</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ind w:left="1240"/>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18,504</w:t>
            </w:r>
          </w:p>
        </w:tc>
        <w:tc>
          <w:tcPr>
            <w:tcW w:w="60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15,182</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140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(4,856)</w:t>
            </w:r>
          </w:p>
        </w:tc>
        <w:tc>
          <w:tcPr>
            <w:tcW w:w="60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(1,988)</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ind w:left="1240"/>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25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$13,648</w:t>
            </w: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$13,194</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discontinued operations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0.32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6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0.03</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0.32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0.34</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140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42,802</w:t>
            </w:r>
          </w:p>
        </w:tc>
        <w:tc>
          <w:tcPr>
            <w:tcW w:w="60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39,347</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6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discontinued operations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0.31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0.31</w:t>
            </w:r>
          </w:p>
        </w:tc>
      </w:tr>
      <w:tr>
        <w:trPr>
          <w:trHeight w:val="168"/>
        </w:trPr>
        <w:tc>
          <w:tcPr>
            <w:tcW w:w="6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40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0.31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0.33</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diluted</w:t>
            </w:r>
          </w:p>
        </w:tc>
        <w:tc>
          <w:tcPr>
            <w:tcW w:w="140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2"/>
              </w:rPr>
              <w:t>44,036</w:t>
            </w:r>
          </w:p>
        </w:tc>
        <w:tc>
          <w:tcPr>
            <w:tcW w:w="60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40,492</w:t>
            </w:r>
          </w:p>
        </w:tc>
      </w:tr>
      <w:tr>
        <w:trPr>
          <w:trHeight w:val="168"/>
        </w:trPr>
        <w:tc>
          <w:tcPr>
            <w:tcW w:w="6220" w:type="dxa"/>
            <w:vAlign w:val="bottom"/>
          </w:tcPr>
          <w:p>
            <w:pPr>
              <w:spacing w:after="0"/>
              <w:rPr>
                <w:sz w:val="14"/>
                <w:szCs w:val="14"/>
                <w:color w:val="auto"/>
              </w:rPr>
            </w:pPr>
          </w:p>
        </w:tc>
        <w:tc>
          <w:tcPr>
            <w:tcW w:w="25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COMMON SHAREHOLDERS' EQUITY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Nine months ended September 30,</w:t>
            </w:r>
          </w:p>
        </w:tc>
        <w:tc>
          <w:tcPr>
            <w:tcW w:w="900" w:type="dxa"/>
            <w:vAlign w:val="bottom"/>
          </w:tcPr>
          <w:p>
            <w:pPr>
              <w:spacing w:after="0"/>
              <w:rPr>
                <w:sz w:val="14"/>
                <w:szCs w:val="14"/>
                <w:color w:val="auto"/>
              </w:rPr>
            </w:pPr>
          </w:p>
        </w:tc>
      </w:tr>
      <w:tr>
        <w:trPr>
          <w:trHeight w:val="336"/>
        </w:trPr>
        <w:tc>
          <w:tcPr>
            <w:tcW w:w="4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900" w:type="dxa"/>
            <w:vAlign w:val="bottom"/>
          </w:tcPr>
          <w:p>
            <w:pPr>
              <w:spacing w:after="0"/>
              <w:rPr>
                <w:sz w:val="24"/>
                <w:szCs w:val="2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Shares</w:t>
            </w:r>
          </w:p>
        </w:tc>
        <w:tc>
          <w:tcPr>
            <w:tcW w:w="1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Additional</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Additional</w:t>
            </w:r>
          </w:p>
        </w:tc>
      </w:tr>
      <w:tr>
        <w:trPr>
          <w:trHeight w:val="168"/>
        </w:trPr>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Paid-in</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Paid-in</w:t>
            </w:r>
          </w:p>
        </w:tc>
      </w:tr>
      <w:tr>
        <w:trPr>
          <w:trHeight w:val="168"/>
        </w:trPr>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Capital</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41,524,165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417</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$730,835</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40,910,972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$723,078</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747,770</w:t>
            </w:r>
          </w:p>
        </w:tc>
        <w:tc>
          <w:tcPr>
            <w:tcW w:w="1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15,828</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to purchase partnership interest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2,907</w:t>
            </w:r>
          </w:p>
        </w:tc>
        <w:tc>
          <w:tcPr>
            <w:tcW w:w="1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328,116</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6,759</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under dividend reinvestment plan</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102,318</w:t>
            </w:r>
          </w:p>
        </w:tc>
        <w:tc>
          <w:tcPr>
            <w:tcW w:w="1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2,672</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122,125</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2,456</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granted, net</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Restricted Shares retired</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98,092</w:t>
            </w:r>
          </w:p>
        </w:tc>
        <w:tc>
          <w:tcPr>
            <w:tcW w:w="1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2,377</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103,723</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2,026</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proceeds from sale of shares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2,185,000</w:t>
            </w:r>
          </w:p>
        </w:tc>
        <w:tc>
          <w:tcPr>
            <w:tcW w:w="1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56,631</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Shares issued to purchase operating partnership units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w:t>
            </w:r>
          </w:p>
        </w:tc>
        <w:tc>
          <w:tcPr>
            <w:tcW w:w="1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2,769</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Accelerated vesting of options and restricted shares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1,165</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44,760,252</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448</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$812,354</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41,464,936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$734,319</w:t>
            </w:r>
          </w:p>
        </w:tc>
      </w:tr>
      <w:tr>
        <w:trPr>
          <w:trHeight w:val="168"/>
        </w:trPr>
        <w:tc>
          <w:tcPr>
            <w:tcW w:w="49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($322,428)</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($306,287)</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52,508</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51,582</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common shareholders</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(61,157)</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(56,607)</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preferred shareholders</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(14,568)</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(5,963)</w:t>
            </w:r>
          </w:p>
        </w:tc>
        <w:tc>
          <w:tcPr>
            <w:tcW w:w="90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spacing w:after="0"/>
              <w:rPr>
                <w:sz w:val="14"/>
                <w:szCs w:val="14"/>
                <w:color w:val="auto"/>
              </w:rPr>
            </w:pPr>
          </w:p>
        </w:tc>
      </w:tr>
      <w:tr>
        <w:trPr>
          <w:trHeight w:val="336"/>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($345,645)</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($317,275)</w:t>
            </w:r>
          </w:p>
        </w:tc>
        <w:tc>
          <w:tcPr>
            <w:tcW w:w="900" w:type="dxa"/>
            <w:vAlign w:val="bottom"/>
          </w:tcPr>
          <w:p>
            <w:pPr>
              <w:spacing w:after="0"/>
              <w:rPr>
                <w:sz w:val="24"/>
                <w:szCs w:val="2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spacing w:after="0"/>
              <w:rPr>
                <w:sz w:val="14"/>
                <w:szCs w:val="14"/>
                <w:color w:val="auto"/>
              </w:rPr>
            </w:pPr>
          </w:p>
        </w:tc>
      </w:tr>
      <w:tr>
        <w:trPr>
          <w:trHeight w:val="6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 in Treasury</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(1,452,926)</w:t>
            </w: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($27,990)</w:t>
            </w:r>
          </w:p>
        </w:tc>
        <w:tc>
          <w:tcPr>
            <w:tcW w:w="11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(1,441,594)</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($27,753)</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forfeited</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(6,793)</w:t>
            </w: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w:t>
            </w:r>
          </w:p>
        </w:tc>
        <w:tc>
          <w:tcPr>
            <w:tcW w:w="11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(11,332)</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w:t>
            </w:r>
          </w:p>
        </w:tc>
        <w:tc>
          <w:tcPr>
            <w:tcW w:w="90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spacing w:after="0"/>
              <w:rPr>
                <w:sz w:val="14"/>
                <w:szCs w:val="14"/>
                <w:color w:val="auto"/>
              </w:rPr>
            </w:pPr>
          </w:p>
        </w:tc>
      </w:tr>
      <w:tr>
        <w:trPr>
          <w:trHeight w:val="336"/>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(1,459,719)</w:t>
            </w:r>
          </w:p>
        </w:tc>
        <w:tc>
          <w:tcPr>
            <w:tcW w:w="1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($28,154)</w:t>
            </w:r>
          </w:p>
        </w:tc>
        <w:tc>
          <w:tcPr>
            <w:tcW w:w="1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(1,452,926)</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($27,990)</w:t>
            </w:r>
          </w:p>
        </w:tc>
        <w:tc>
          <w:tcPr>
            <w:tcW w:w="900" w:type="dxa"/>
            <w:vAlign w:val="bottom"/>
          </w:tcPr>
          <w:p>
            <w:pPr>
              <w:spacing w:after="0"/>
              <w:rPr>
                <w:sz w:val="24"/>
                <w:szCs w:val="2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spacing w:after="0"/>
              <w:rPr>
                <w:sz w:val="14"/>
                <w:szCs w:val="14"/>
                <w:color w:val="auto"/>
              </w:rPr>
            </w:pPr>
          </w:p>
        </w:tc>
      </w:tr>
      <w:tr>
        <w:trPr>
          <w:trHeight w:val="6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Deferred Compensation on Restricted Shares</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(666,656)</w:t>
            </w: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($15,005)</w:t>
            </w:r>
          </w:p>
        </w:tc>
        <w:tc>
          <w:tcPr>
            <w:tcW w:w="11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(735,875)</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($17,254)</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issued,</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forfeitures</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(73,821)</w:t>
            </w: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(1,763)</w:t>
            </w:r>
          </w:p>
        </w:tc>
        <w:tc>
          <w:tcPr>
            <w:tcW w:w="11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(61,369)</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(1,176)</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Vesting of Performance and Restricted Shares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193,990</w:t>
            </w:r>
          </w:p>
        </w:tc>
        <w:tc>
          <w:tcPr>
            <w:tcW w:w="1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4,447</w:t>
            </w:r>
          </w:p>
        </w:tc>
        <w:tc>
          <w:tcPr>
            <w:tcW w:w="11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115,202</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2,715</w:t>
            </w:r>
          </w:p>
        </w:tc>
        <w:tc>
          <w:tcPr>
            <w:tcW w:w="90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spacing w:after="0"/>
              <w:rPr>
                <w:sz w:val="14"/>
                <w:szCs w:val="14"/>
                <w:color w:val="auto"/>
              </w:rPr>
            </w:pPr>
          </w:p>
        </w:tc>
      </w:tr>
      <w:tr>
        <w:trPr>
          <w:trHeight w:val="336"/>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(546,487)</w:t>
            </w:r>
          </w:p>
        </w:tc>
        <w:tc>
          <w:tcPr>
            <w:tcW w:w="1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($12,321)</w:t>
            </w:r>
          </w:p>
        </w:tc>
        <w:tc>
          <w:tcPr>
            <w:tcW w:w="1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(682,042)</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($15,715)</w:t>
            </w:r>
          </w:p>
        </w:tc>
        <w:tc>
          <w:tcPr>
            <w:tcW w:w="900" w:type="dxa"/>
            <w:vAlign w:val="bottom"/>
          </w:tcPr>
          <w:p>
            <w:pPr>
              <w:spacing w:after="0"/>
              <w:rPr>
                <w:sz w:val="24"/>
                <w:szCs w:val="2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spacing w:after="0"/>
              <w:rPr>
                <w:sz w:val="14"/>
                <w:szCs w:val="14"/>
                <w:color w:val="auto"/>
              </w:rPr>
            </w:pPr>
          </w:p>
        </w:tc>
      </w:tr>
      <w:tr>
        <w:trPr>
          <w:trHeight w:val="6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Subscriptions receivable from employee stock plans</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(218,555)</w:t>
            </w: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($7,245)</w:t>
            </w:r>
          </w:p>
        </w:tc>
        <w:tc>
          <w:tcPr>
            <w:tcW w:w="11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(242,638)</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($6,734)</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and tax loans issued</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(88,469)</w:t>
            </w: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(2,612)</w:t>
            </w:r>
          </w:p>
        </w:tc>
        <w:tc>
          <w:tcPr>
            <w:tcW w:w="11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(3,333)</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(937)</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and tax loans paid</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68,329</w:t>
            </w:r>
          </w:p>
        </w:tc>
        <w:tc>
          <w:tcPr>
            <w:tcW w:w="1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1,437</w:t>
            </w:r>
          </w:p>
        </w:tc>
        <w:tc>
          <w:tcPr>
            <w:tcW w:w="11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25,189</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416</w:t>
            </w:r>
          </w:p>
        </w:tc>
        <w:tc>
          <w:tcPr>
            <w:tcW w:w="90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spacing w:after="0"/>
              <w:rPr>
                <w:sz w:val="14"/>
                <w:szCs w:val="14"/>
                <w:color w:val="auto"/>
              </w:rPr>
            </w:pPr>
          </w:p>
        </w:tc>
      </w:tr>
      <w:tr>
        <w:trPr>
          <w:trHeight w:val="336"/>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(238,695)</w:t>
            </w:r>
          </w:p>
        </w:tc>
        <w:tc>
          <w:tcPr>
            <w:tcW w:w="1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($8,420)</w:t>
            </w:r>
          </w:p>
        </w:tc>
        <w:tc>
          <w:tcPr>
            <w:tcW w:w="1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(220,782)</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($7,255)</w:t>
            </w:r>
          </w:p>
        </w:tc>
        <w:tc>
          <w:tcPr>
            <w:tcW w:w="900" w:type="dxa"/>
            <w:vAlign w:val="bottom"/>
          </w:tcPr>
          <w:p>
            <w:pPr>
              <w:spacing w:after="0"/>
              <w:rPr>
                <w:sz w:val="24"/>
                <w:szCs w:val="2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spacing w:after="0"/>
              <w:rPr>
                <w:sz w:val="14"/>
                <w:szCs w:val="14"/>
                <w:color w:val="auto"/>
              </w:rPr>
            </w:pPr>
          </w:p>
        </w:tc>
      </w:tr>
      <w:tr>
        <w:trPr>
          <w:trHeight w:val="6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($4,293)</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gain on securities</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(1,076)</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interest rate hedge transaction</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($4,754)</w:t>
            </w:r>
          </w:p>
        </w:tc>
        <w:tc>
          <w:tcPr>
            <w:tcW w:w="90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spacing w:after="0"/>
              <w:rPr>
                <w:sz w:val="14"/>
                <w:szCs w:val="14"/>
                <w:color w:val="auto"/>
              </w:rPr>
            </w:pPr>
          </w:p>
        </w:tc>
      </w:tr>
      <w:tr>
        <w:trPr>
          <w:trHeight w:val="336"/>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($6,873)</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($4,754)</w:t>
            </w:r>
          </w:p>
        </w:tc>
        <w:tc>
          <w:tcPr>
            <w:tcW w:w="900" w:type="dxa"/>
            <w:vAlign w:val="bottom"/>
          </w:tcPr>
          <w:p>
            <w:pPr>
              <w:spacing w:after="0"/>
              <w:rPr>
                <w:sz w:val="24"/>
                <w:szCs w:val="2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spacing w:after="0"/>
              <w:rPr>
                <w:sz w:val="14"/>
                <w:szCs w:val="14"/>
                <w:color w:val="auto"/>
              </w:rPr>
            </w:pPr>
          </w:p>
        </w:tc>
      </w:tr>
      <w:tr>
        <w:trPr>
          <w:trHeight w:val="673"/>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52,508</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51,582</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gain on securities</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(1,076)</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r>
      <w:tr>
        <w:trPr>
          <w:trHeight w:val="168"/>
        </w:trPr>
        <w:tc>
          <w:tcPr>
            <w:tcW w:w="4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interest rate hedge transaction</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(4,754)</w:t>
            </w:r>
          </w:p>
        </w:tc>
        <w:tc>
          <w:tcPr>
            <w:tcW w:w="900" w:type="dxa"/>
            <w:vAlign w:val="bottom"/>
          </w:tcPr>
          <w:p>
            <w:pPr>
              <w:spacing w:after="0"/>
              <w:rPr>
                <w:sz w:val="14"/>
                <w:szCs w:val="1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spacing w:after="0"/>
              <w:rPr>
                <w:sz w:val="14"/>
                <w:szCs w:val="14"/>
                <w:color w:val="auto"/>
              </w:rPr>
            </w:pPr>
          </w:p>
        </w:tc>
      </w:tr>
      <w:tr>
        <w:trPr>
          <w:trHeight w:val="336"/>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Total comprehensive income</w:t>
            </w:r>
          </w:p>
        </w:tc>
        <w:tc>
          <w:tcPr>
            <w:tcW w:w="1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49,928</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46,828</w:t>
            </w:r>
          </w:p>
        </w:tc>
        <w:tc>
          <w:tcPr>
            <w:tcW w:w="900" w:type="dxa"/>
            <w:vAlign w:val="bottom"/>
          </w:tcPr>
          <w:p>
            <w:pPr>
              <w:spacing w:after="0"/>
              <w:rPr>
                <w:sz w:val="24"/>
                <w:szCs w:val="24"/>
                <w:color w:val="auto"/>
              </w:rPr>
            </w:pPr>
          </w:p>
        </w:tc>
      </w:tr>
      <w:tr>
        <w:trPr>
          <w:trHeight w:val="168"/>
        </w:trPr>
        <w:tc>
          <w:tcPr>
            <w:tcW w:w="4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spacing w:after="0"/>
              <w:rPr>
                <w:sz w:val="14"/>
                <w:szCs w:val="14"/>
                <w:color w:val="auto"/>
              </w:rPr>
            </w:pPr>
          </w:p>
        </w:tc>
      </w:tr>
    </w:tbl>
    <w:p>
      <w:pPr>
        <w:sectPr>
          <w:pgSz w:w="11900" w:h="16838" w:orient="portrait"/>
          <w:cols w:equalWidth="0" w:num="1">
            <w:col w:w="11540"/>
          </w:cols>
          <w:pgMar w:left="220" w:top="617" w:right="139" w:bottom="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ectPr>
          <w:pgSz w:w="11900" w:h="16838" w:orient="portrait"/>
          <w:cols w:equalWidth="0" w:num="1">
            <w:col w:w="10239"/>
          </w:cols>
          <w:pgMar w:left="220" w:top="814" w:right="1440" w:bottom="1440" w:gutter="0" w:footer="0" w:header="0"/>
        </w:sectPr>
      </w:pP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814"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4820" w:type="dxa"/>
            <w:vAlign w:val="bottom"/>
          </w:tcPr>
          <w:p>
            <w:pPr>
              <w:jc w:val="right"/>
              <w:ind w:right="3527"/>
              <w:spacing w:after="0"/>
              <w:rPr>
                <w:sz w:val="20"/>
                <w:szCs w:val="20"/>
                <w:color w:val="auto"/>
              </w:rPr>
            </w:pPr>
            <w:r>
              <w:rPr>
                <w:rFonts w:ascii="Courier New" w:cs="Courier New" w:eastAsia="Courier New" w:hAnsi="Courier New"/>
                <w:sz w:val="15"/>
                <w:szCs w:val="15"/>
                <w:color w:val="auto"/>
              </w:rPr>
              <w:t>(unaudited)</w:t>
            </w: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20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68"/>
        </w:trPr>
        <w:tc>
          <w:tcPr>
            <w:tcW w:w="20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2002</w:t>
            </w:r>
          </w:p>
        </w:tc>
        <w:tc>
          <w:tcPr>
            <w:tcW w:w="14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20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4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4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48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52,508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51,582</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Items not requiring cash outlays</w:t>
            </w: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8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 including discontinued operations</w:t>
            </w: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48,104</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44,110</w:t>
            </w:r>
          </w:p>
        </w:tc>
      </w:tr>
      <w:tr>
        <w:trPr>
          <w:trHeight w:val="168"/>
        </w:trPr>
        <w:tc>
          <w:tcPr>
            <w:tcW w:w="68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1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(19,101)</w:t>
            </w:r>
          </w:p>
        </w:tc>
        <w:tc>
          <w:tcPr>
            <w:tcW w:w="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(7,898)</w:t>
            </w:r>
          </w:p>
        </w:tc>
      </w:tr>
      <w:tr>
        <w:trPr>
          <w:trHeight w:val="168"/>
        </w:trPr>
        <w:tc>
          <w:tcPr>
            <w:tcW w:w="68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Loss on abandoned developments held for sale</w:t>
            </w: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9,647</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Non-cash portion of restructuring expense</w:t>
            </w: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5,806</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net</w:t>
            </w:r>
          </w:p>
        </w:tc>
        <w:tc>
          <w:tcPr>
            <w:tcW w:w="4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2,975</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2,549</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8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Decrease in accounts receivable</w:t>
            </w: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4,609</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68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Increase in prepaid expenses and other</w:t>
            </w: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8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assets before depreciation and amortization</w:t>
            </w:r>
          </w:p>
        </w:tc>
        <w:tc>
          <w:tcPr>
            <w:tcW w:w="1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(12,067)</w:t>
            </w:r>
          </w:p>
        </w:tc>
        <w:tc>
          <w:tcPr>
            <w:tcW w:w="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(11,005)</w:t>
            </w:r>
          </w:p>
        </w:tc>
      </w:tr>
      <w:tr>
        <w:trPr>
          <w:trHeight w:val="168"/>
        </w:trPr>
        <w:tc>
          <w:tcPr>
            <w:tcW w:w="68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Increase in operating accounts payable,</w:t>
            </w: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68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security deposits and prepaid rent</w:t>
            </w: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1,435</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68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Increase in accrued expenses</w:t>
            </w: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2,948</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8,684</w:t>
            </w:r>
          </w:p>
        </w:tc>
      </w:tr>
      <w:tr>
        <w:trPr>
          <w:trHeight w:val="168"/>
        </w:trPr>
        <w:tc>
          <w:tcPr>
            <w:tcW w:w="20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96,864</w:t>
            </w:r>
          </w:p>
        </w:tc>
        <w:tc>
          <w:tcPr>
            <w:tcW w:w="14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88,261</w:t>
            </w: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Acquisition of real estate</w:t>
            </w: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(58,089)</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820" w:type="dxa"/>
            <w:vAlign w:val="bottom"/>
          </w:tcPr>
          <w:p>
            <w:pPr>
              <w:jc w:val="right"/>
              <w:ind w:right="3527"/>
              <w:spacing w:after="0" w:line="168" w:lineRule="exact"/>
              <w:rPr>
                <w:sz w:val="20"/>
                <w:szCs w:val="20"/>
                <w:color w:val="auto"/>
              </w:rPr>
            </w:pPr>
            <w:r>
              <w:rPr>
                <w:rFonts w:ascii="Courier New" w:cs="Courier New" w:eastAsia="Courier New" w:hAnsi="Courier New"/>
                <w:sz w:val="15"/>
                <w:szCs w:val="15"/>
                <w:color w:val="auto"/>
              </w:rPr>
              <w:t>- development</w:t>
            </w:r>
          </w:p>
        </w:tc>
        <w:tc>
          <w:tcPr>
            <w:tcW w:w="1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(149,373)</w:t>
            </w:r>
          </w:p>
        </w:tc>
        <w:tc>
          <w:tcPr>
            <w:tcW w:w="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(113,855)</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820" w:type="dxa"/>
            <w:vAlign w:val="bottom"/>
          </w:tcPr>
          <w:p>
            <w:pPr>
              <w:jc w:val="right"/>
              <w:ind w:right="4047"/>
              <w:spacing w:after="0" w:line="168" w:lineRule="exact"/>
              <w:rPr>
                <w:sz w:val="20"/>
                <w:szCs w:val="20"/>
                <w:color w:val="auto"/>
              </w:rPr>
            </w:pPr>
            <w:r>
              <w:rPr>
                <w:rFonts w:ascii="Courier New" w:cs="Courier New" w:eastAsia="Courier New" w:hAnsi="Courier New"/>
                <w:sz w:val="15"/>
                <w:szCs w:val="15"/>
                <w:color w:val="auto"/>
              </w:rPr>
              <w:t>- other</w:t>
            </w:r>
          </w:p>
        </w:tc>
        <w:tc>
          <w:tcPr>
            <w:tcW w:w="1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(31,794)</w:t>
            </w:r>
          </w:p>
        </w:tc>
        <w:tc>
          <w:tcPr>
            <w:tcW w:w="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(32,855)</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real estate</w:t>
            </w: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7,394</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16,255</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Repayment of mortgage notes receivable, net</w:t>
            </w: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5,655</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3,377</w:t>
            </w:r>
          </w:p>
        </w:tc>
      </w:tr>
      <w:tr>
        <w:trPr>
          <w:trHeight w:val="168"/>
        </w:trPr>
        <w:tc>
          <w:tcPr>
            <w:tcW w:w="20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used in investing activities</w:t>
            </w:r>
          </w:p>
        </w:tc>
        <w:tc>
          <w:tcPr>
            <w:tcW w:w="1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3"/>
              </w:rPr>
              <w:t>(168,118)</w:t>
            </w:r>
          </w:p>
        </w:tc>
        <w:tc>
          <w:tcPr>
            <w:tcW w:w="14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(185,167)</w:t>
            </w: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Borrowing of short-term debt, net</w:t>
            </w: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21,000</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87,000</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Proceeds from mortgage and construction financing, net of costs</w:t>
            </w: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90,607</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105,667</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shares, net of subscriptions receivable</w:t>
            </w: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70,161</w:t>
            </w:r>
          </w:p>
        </w:tc>
        <w:tc>
          <w:tcPr>
            <w:tcW w:w="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Payments on mortgages, capital leases and notes payable</w:t>
            </w:r>
          </w:p>
        </w:tc>
        <w:tc>
          <w:tcPr>
            <w:tcW w:w="1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(29,411)</w:t>
            </w:r>
          </w:p>
        </w:tc>
        <w:tc>
          <w:tcPr>
            <w:tcW w:w="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(31,273)</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w:t>
            </w:r>
          </w:p>
        </w:tc>
        <w:tc>
          <w:tcPr>
            <w:tcW w:w="4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(71,229)</w:t>
            </w:r>
          </w:p>
        </w:tc>
        <w:tc>
          <w:tcPr>
            <w:tcW w:w="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(60,047)</w:t>
            </w:r>
          </w:p>
        </w:tc>
      </w:tr>
      <w:tr>
        <w:trPr>
          <w:trHeight w:val="168"/>
        </w:trPr>
        <w:tc>
          <w:tcPr>
            <w:tcW w:w="6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(Decrease) in minority interest, net</w:t>
            </w:r>
          </w:p>
        </w:tc>
        <w:tc>
          <w:tcPr>
            <w:tcW w:w="14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(2,785)</w:t>
            </w:r>
          </w:p>
        </w:tc>
        <w:tc>
          <w:tcPr>
            <w:tcW w:w="14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(1,064)</w:t>
            </w:r>
          </w:p>
        </w:tc>
      </w:tr>
      <w:tr>
        <w:trPr>
          <w:trHeight w:val="168"/>
        </w:trPr>
        <w:tc>
          <w:tcPr>
            <w:tcW w:w="20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40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78,343</w:t>
            </w:r>
          </w:p>
        </w:tc>
        <w:tc>
          <w:tcPr>
            <w:tcW w:w="14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100,185</w:t>
            </w:r>
          </w:p>
        </w:tc>
      </w:tr>
      <w:tr>
        <w:trPr>
          <w:trHeight w:val="168"/>
        </w:trPr>
        <w:tc>
          <w:tcPr>
            <w:tcW w:w="20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Increase in cash</w:t>
            </w:r>
          </w:p>
        </w:tc>
        <w:tc>
          <w:tcPr>
            <w:tcW w:w="4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7,089</w:t>
            </w:r>
          </w:p>
        </w:tc>
        <w:tc>
          <w:tcPr>
            <w:tcW w:w="14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3,279</w:t>
            </w:r>
          </w:p>
        </w:tc>
      </w:tr>
      <w:tr>
        <w:trPr>
          <w:trHeight w:val="336"/>
        </w:trPr>
        <w:tc>
          <w:tcPr>
            <w:tcW w:w="6840" w:type="dxa"/>
            <w:vAlign w:val="bottom"/>
            <w:gridSpan w:val="2"/>
          </w:tcPr>
          <w:p>
            <w:pPr>
              <w:spacing w:after="0"/>
              <w:rPr>
                <w:sz w:val="20"/>
                <w:szCs w:val="20"/>
                <w:color w:val="auto"/>
              </w:rPr>
            </w:pPr>
            <w:r>
              <w:rPr>
                <w:rFonts w:ascii="Courier New" w:cs="Courier New" w:eastAsia="Courier New" w:hAnsi="Courier New"/>
                <w:sz w:val="15"/>
                <w:szCs w:val="15"/>
                <w:color w:val="auto"/>
              </w:rPr>
              <w:t>Cash at beginning of period</w:t>
            </w:r>
          </w:p>
        </w:tc>
        <w:tc>
          <w:tcPr>
            <w:tcW w:w="140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17,563</w:t>
            </w:r>
          </w:p>
        </w:tc>
        <w:tc>
          <w:tcPr>
            <w:tcW w:w="140" w:type="dxa"/>
            <w:vAlign w:val="bottom"/>
          </w:tcPr>
          <w:p>
            <w:pPr>
              <w:spacing w:after="0"/>
              <w:rPr>
                <w:sz w:val="24"/>
                <w:szCs w:val="24"/>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11,357</w:t>
            </w:r>
          </w:p>
        </w:tc>
      </w:tr>
      <w:tr>
        <w:trPr>
          <w:trHeight w:val="168"/>
        </w:trPr>
        <w:tc>
          <w:tcPr>
            <w:tcW w:w="20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48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24,652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14,636</w:t>
            </w:r>
          </w:p>
        </w:tc>
      </w:tr>
      <w:tr>
        <w:trPr>
          <w:trHeight w:val="168"/>
        </w:trPr>
        <w:tc>
          <w:tcPr>
            <w:tcW w:w="20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41"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420"/>
          </w:cols>
          <w:pgMar w:left="220" w:top="617" w:right="1259" w:bottom="1440" w:gutter="0" w:footer="0" w:header="0"/>
        </w:sectPr>
      </w:pPr>
    </w:p>
    <w:bookmarkStart w:id="9" w:name="page10"/>
    <w:bookmarkEnd w:id="9"/>
    <w:p>
      <w:pPr>
        <w:jc w:val="center"/>
        <w:ind w:right="3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September 30, 2002</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ACCOUNTING POLICIES AND OTHER DATA</w:t>
      </w:r>
    </w:p>
    <w:p>
      <w:pPr>
        <w:spacing w:after="0" w:line="173" w:lineRule="exact"/>
        <w:rPr>
          <w:sz w:val="20"/>
          <w:szCs w:val="20"/>
          <w:color w:val="auto"/>
        </w:rPr>
      </w:pPr>
    </w:p>
    <w:p>
      <w:pPr>
        <w:ind w:right="440" w:firstLine="437"/>
        <w:spacing w:after="0" w:line="255" w:lineRule="auto"/>
        <w:rPr>
          <w:sz w:val="20"/>
          <w:szCs w:val="20"/>
          <w:color w:val="auto"/>
        </w:rPr>
      </w:pPr>
      <w:r>
        <w:rPr>
          <w:rFonts w:ascii="Courier New" w:cs="Courier New" w:eastAsia="Courier New" w:hAnsi="Courier New"/>
          <w:sz w:val="14"/>
          <w:szCs w:val="14"/>
          <w:color w:val="auto"/>
        </w:rPr>
        <w:t>The Trust is an equity real estate investment trust specializing in the ownership, management, development and redevelopment of high quality retail and mixed-use properties. The Trust operates its portfolio of properties in three geographic operating regions: Northeast, Mid-Atlantic and West. As of September 30, 2002, the Trust owns or has an interest in 58 community and neighborhood shopping centers comprising over 12 million square feet, primarily located in densely populated and affluent communities throughout the Northeast and Mid-Atlantic United States. In addition, the Trust owns 55 urban and retail mixed-use properties comprising over 2 million square feet located in strategic metropolitan markets across the United States and one apartment complex. The Trust's properties were 95.5% leased at September 30, 2002.</w:t>
      </w:r>
    </w:p>
    <w:p>
      <w:pPr>
        <w:spacing w:after="0" w:line="165" w:lineRule="exact"/>
        <w:rPr>
          <w:sz w:val="20"/>
          <w:szCs w:val="20"/>
          <w:color w:val="auto"/>
        </w:rPr>
      </w:pPr>
    </w:p>
    <w:p>
      <w:pPr>
        <w:ind w:right="520" w:firstLine="437"/>
        <w:spacing w:after="0" w:line="235"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2001 which contain the accounting policies and other data of the Trust.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the reconciliation between basic and diluted</w:t>
      </w:r>
    </w:p>
    <w:p>
      <w:pPr>
        <w:spacing w:after="0" w:line="237" w:lineRule="auto"/>
        <w:rPr>
          <w:sz w:val="20"/>
          <w:szCs w:val="20"/>
          <w:color w:val="auto"/>
        </w:rPr>
      </w:pPr>
      <w:r>
        <w:rPr>
          <w:rFonts w:ascii="Courier New" w:cs="Courier New" w:eastAsia="Courier New" w:hAnsi="Courier New"/>
          <w:sz w:val="15"/>
          <w:szCs w:val="15"/>
          <w:color w:val="auto"/>
        </w:rPr>
        <w:t>EPS: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ending</w:t>
            </w:r>
          </w:p>
        </w:tc>
      </w:tr>
      <w:tr>
        <w:trPr>
          <w:trHeight w:val="168"/>
        </w:trPr>
        <w:tc>
          <w:tcPr>
            <w:tcW w:w="5260" w:type="dxa"/>
            <w:vAlign w:val="bottom"/>
          </w:tcPr>
          <w:p>
            <w:pPr>
              <w:spacing w:after="0"/>
              <w:rPr>
                <w:sz w:val="14"/>
                <w:szCs w:val="14"/>
                <w:color w:val="auto"/>
              </w:rPr>
            </w:pPr>
          </w:p>
        </w:tc>
        <w:tc>
          <w:tcPr>
            <w:tcW w:w="21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Numerator</w:t>
            </w:r>
          </w:p>
        </w:tc>
        <w:tc>
          <w:tcPr>
            <w:tcW w:w="1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 shareholders - basic</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$37,940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$45,619</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attributable to operating partnership units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1,049</w:t>
            </w:r>
          </w:p>
        </w:tc>
      </w:tr>
      <w:tr>
        <w:trPr>
          <w:trHeight w:val="168"/>
        </w:trPr>
        <w:tc>
          <w:tcPr>
            <w:tcW w:w="52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for common shareholders - diluted</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$38,717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$46,668</w:t>
            </w:r>
          </w:p>
        </w:tc>
      </w:tr>
      <w:tr>
        <w:trPr>
          <w:trHeight w:val="168"/>
        </w:trPr>
        <w:tc>
          <w:tcPr>
            <w:tcW w:w="52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basic EPS-</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41,155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39,061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 and awards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partnership units</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52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Denominator for diluted EPS</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42,421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40,136</w:t>
            </w:r>
          </w:p>
        </w:tc>
      </w:tr>
      <w:tr>
        <w:trPr>
          <w:trHeight w:val="168"/>
        </w:trPr>
        <w:tc>
          <w:tcPr>
            <w:tcW w:w="526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60"/>
        <w:spacing w:after="0" w:line="255" w:lineRule="auto"/>
        <w:rPr>
          <w:sz w:val="20"/>
          <w:szCs w:val="20"/>
          <w:color w:val="auto"/>
        </w:rPr>
      </w:pPr>
      <w:r>
        <w:rPr>
          <w:rFonts w:ascii="Courier New" w:cs="Courier New" w:eastAsia="Courier New" w:hAnsi="Courier New"/>
          <w:sz w:val="14"/>
          <w:szCs w:val="14"/>
          <w:color w:val="auto"/>
        </w:rPr>
        <w:t>Risk Management. The Trust enters into derivative contracts, which qualify as cash flow hedges under SFAS No. 133 "Accounting for Derivative Instruments and Hedging Activities", in order to manage interest rate risk. Derivatives are not purchased for speculation. During 2001, to hedge its exposure to interest rates on its $125 million term loan, the Trust entered into interest rate swaps, which fixed the LIBOR interest rate on the term loan at 5.27%. The current</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80" w:right="699" w:hanging="349"/>
        <w:spacing w:after="0" w:line="254" w:lineRule="auto"/>
        <w:rPr>
          <w:sz w:val="20"/>
          <w:szCs w:val="20"/>
          <w:color w:val="auto"/>
        </w:rPr>
      </w:pPr>
      <w:r>
        <w:rPr>
          <w:rFonts w:ascii="Courier New" w:cs="Courier New" w:eastAsia="Courier New" w:hAnsi="Courier New"/>
          <w:sz w:val="14"/>
          <w:szCs w:val="14"/>
          <w:color w:val="auto"/>
        </w:rPr>
        <w:t>Three months ending September 30,</w:t>
      </w:r>
    </w:p>
    <w:p>
      <w:pPr>
        <w:ind w:left="180"/>
        <w:spacing w:after="0" w:line="231" w:lineRule="auto"/>
        <w:tabs>
          <w:tab w:leader="none" w:pos="104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$13,648</w:t>
      </w:r>
      <w:r>
        <w:rPr>
          <w:sz w:val="20"/>
          <w:szCs w:val="20"/>
          <w:color w:val="auto"/>
        </w:rPr>
        <w:tab/>
      </w:r>
      <w:r>
        <w:rPr>
          <w:rFonts w:ascii="Courier New" w:cs="Courier New" w:eastAsia="Courier New" w:hAnsi="Courier New"/>
          <w:sz w:val="14"/>
          <w:szCs w:val="14"/>
          <w:color w:val="auto"/>
        </w:rPr>
        <w:t>$13,194</w:t>
      </w:r>
    </w:p>
    <w:p>
      <w:pPr>
        <w:ind w:left="1240" w:hanging="881"/>
        <w:spacing w:after="0" w:line="237" w:lineRule="auto"/>
        <w:tabs>
          <w:tab w:leader="none" w:pos="12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289</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$13,911   $13,483</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35" w:lineRule="exact"/>
        <w:rPr>
          <w:sz w:val="20"/>
          <w:szCs w:val="20"/>
          <w:color w:val="auto"/>
        </w:rPr>
      </w:pPr>
    </w:p>
    <w:p>
      <w:pPr>
        <w:ind w:left="100"/>
        <w:spacing w:after="0"/>
        <w:tabs>
          <w:tab w:leader="none" w:pos="960" w:val="left"/>
        </w:tabs>
        <w:rPr>
          <w:sz w:val="20"/>
          <w:szCs w:val="20"/>
          <w:color w:val="auto"/>
        </w:rPr>
      </w:pPr>
      <w:r>
        <w:rPr>
          <w:rFonts w:ascii="Courier New" w:cs="Courier New" w:eastAsia="Courier New" w:hAnsi="Courier New"/>
          <w:sz w:val="15"/>
          <w:szCs w:val="15"/>
          <w:color w:val="auto"/>
        </w:rPr>
        <w:t>42,802</w:t>
      </w:r>
      <w:r>
        <w:rPr>
          <w:sz w:val="20"/>
          <w:szCs w:val="20"/>
          <w:color w:val="auto"/>
        </w:rPr>
        <w:tab/>
      </w:r>
      <w:r>
        <w:rPr>
          <w:rFonts w:ascii="Courier New" w:cs="Courier New" w:eastAsia="Courier New" w:hAnsi="Courier New"/>
          <w:sz w:val="15"/>
          <w:szCs w:val="15"/>
          <w:color w:val="auto"/>
        </w:rPr>
        <w:t>39,347</w:t>
      </w:r>
    </w:p>
    <w:p>
      <w:pPr>
        <w:spacing w:after="0" w:line="166" w:lineRule="exact"/>
        <w:rPr>
          <w:sz w:val="20"/>
          <w:szCs w:val="20"/>
          <w:color w:val="auto"/>
        </w:rPr>
      </w:pPr>
    </w:p>
    <w:p>
      <w:pPr>
        <w:ind w:left="1240" w:hanging="881"/>
        <w:spacing w:after="0"/>
        <w:tabs>
          <w:tab w:leader="none" w:pos="12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240</w:t>
      </w:r>
    </w:p>
    <w:p>
      <w:pPr>
        <w:ind w:left="1240" w:hanging="881"/>
        <w:spacing w:after="0" w:line="237" w:lineRule="auto"/>
        <w:tabs>
          <w:tab w:leader="none" w:pos="12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905</w:t>
      </w:r>
    </w:p>
    <w:p>
      <w:pPr>
        <w:spacing w:after="0" w:line="238" w:lineRule="auto"/>
        <w:tabs>
          <w:tab w:leader="none" w:pos="860" w:val="left"/>
        </w:tabs>
        <w:rPr>
          <w:sz w:val="20"/>
          <w:szCs w:val="20"/>
          <w:color w:val="auto"/>
        </w:rPr>
      </w:pPr>
      <w:r>
        <w:rPr>
          <w:rFonts w:ascii="Courier New" w:cs="Courier New" w:eastAsia="Courier New" w:hAnsi="Courier New"/>
          <w:sz w:val="15"/>
          <w:szCs w:val="15"/>
          <w:color w:val="auto"/>
        </w:rPr>
        <w:t>-------</w:t>
        <w:tab/>
        <w:t>-------</w:t>
      </w:r>
    </w:p>
    <w:p>
      <w:pPr>
        <w:spacing w:after="0" w:line="167" w:lineRule="exact"/>
        <w:rPr>
          <w:sz w:val="20"/>
          <w:szCs w:val="20"/>
          <w:color w:val="auto"/>
        </w:rPr>
      </w:pPr>
    </w:p>
    <w:p>
      <w:pPr>
        <w:ind w:left="100"/>
        <w:spacing w:after="0"/>
        <w:tabs>
          <w:tab w:leader="none" w:pos="960" w:val="left"/>
        </w:tabs>
        <w:rPr>
          <w:sz w:val="20"/>
          <w:szCs w:val="20"/>
          <w:color w:val="auto"/>
        </w:rPr>
      </w:pPr>
      <w:r>
        <w:rPr>
          <w:rFonts w:ascii="Courier New" w:cs="Courier New" w:eastAsia="Courier New" w:hAnsi="Courier New"/>
          <w:sz w:val="15"/>
          <w:szCs w:val="15"/>
          <w:color w:val="auto"/>
        </w:rPr>
        <w:t>44,036</w:t>
      </w:r>
      <w:r>
        <w:rPr>
          <w:sz w:val="20"/>
          <w:szCs w:val="20"/>
          <w:color w:val="auto"/>
        </w:rPr>
        <w:tab/>
      </w:r>
      <w:r>
        <w:rPr>
          <w:rFonts w:ascii="Courier New" w:cs="Courier New" w:eastAsia="Courier New" w:hAnsi="Courier New"/>
          <w:sz w:val="15"/>
          <w:szCs w:val="15"/>
          <w:color w:val="auto"/>
        </w:rPr>
        <w:t>40,492</w:t>
      </w:r>
    </w:p>
    <w:p>
      <w:pPr>
        <w:spacing w:after="0" w:line="237" w:lineRule="auto"/>
        <w:tabs>
          <w:tab w:leader="none" w:pos="860" w:val="left"/>
        </w:tabs>
        <w:rPr>
          <w:sz w:val="20"/>
          <w:szCs w:val="20"/>
          <w:color w:val="auto"/>
        </w:rPr>
      </w:pPr>
      <w:r>
        <w:rPr>
          <w:rFonts w:ascii="Courier New" w:cs="Courier New" w:eastAsia="Courier New" w:hAnsi="Courier New"/>
          <w:sz w:val="15"/>
          <w:szCs w:val="15"/>
          <w:color w:val="auto"/>
        </w:rPr>
        <w:t>=======</w:t>
        <w:tab/>
        <w:t>=======</w:t>
      </w:r>
    </w:p>
    <w:p>
      <w:pPr>
        <w:sectPr>
          <w:pgSz w:w="11900" w:h="16838" w:orient="portrait"/>
          <w:cols w:equalWidth="0" w:num="2">
            <w:col w:w="7360" w:space="600"/>
            <w:col w:w="2279"/>
          </w:cols>
          <w:pgMar w:left="220" w:top="785" w:right="1440" w:bottom="1440" w:gutter="0" w:footer="0" w:header="0"/>
        </w:sectPr>
      </w:pPr>
    </w:p>
    <w:bookmarkStart w:id="10" w:name="page11"/>
    <w:bookmarkEnd w:id="10"/>
    <w:p>
      <w:pPr>
        <w:jc w:val="both"/>
        <w:ind w:right="3319"/>
        <w:spacing w:after="0" w:line="254" w:lineRule="auto"/>
        <w:rPr>
          <w:sz w:val="20"/>
          <w:szCs w:val="20"/>
          <w:color w:val="auto"/>
        </w:rPr>
      </w:pPr>
      <w:r>
        <w:rPr>
          <w:rFonts w:ascii="Courier New" w:cs="Courier New" w:eastAsia="Courier New" w:hAnsi="Courier New"/>
          <w:sz w:val="14"/>
          <w:szCs w:val="14"/>
          <w:color w:val="auto"/>
        </w:rPr>
        <w:t>interest rate on the term loan is LIBOR plus 95 basis points, thus fixing the interest rate at 6.22% on notional amounts totaling $125 million. The Trust is exposed to credit loss in the event of non-performance by the counterparties to the interest rate protection agreement should interest rates exceed the cap.</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However, management does not anticipate non-performance by the counterparties. The counterparties have long-term debt ratings of A- or above by Standard and Poor's Ratings Service ("S&amp;P") and Aa2 or above by Moody's Investors Service ("Moody's"). Although the Trust's cap is not exchange traded, there are a number of financial institutions which enter into these types of transactions as part of their day-to-day activities. The interest rate swaps mature concurrently with the $125 million term loan on December 19, 2003. The swaps were documented as cash flow hedges and designated as effective at inception of the swap contract. Consequently, the unrealized gain or loss upon measuring the swaps at their fair value is recorded as a component of other comprehensive income within stockholders' equity and either a derivative instrument asset or liability is recorded on the balance sheet. At September 30, 2002, a cumulative unrealized loss of $5.4 million, representing the difference between the current market value and the 6.22% fixed interest rate on the swap, was recorded in other comprehensive income with a corresponding derivative liability on the balance sheet. Interest expense of approximately $4.5 million will be reclassified from other comprehensive income into current earnings over the next twelve months to bring the effective interest rate up to 6.22%.</w:t>
      </w:r>
    </w:p>
    <w:p>
      <w:pPr>
        <w:spacing w:after="0" w:line="33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anticipation of a $150 million Senior Unsecured Note transaction on August 1, 2002 the Trust entered into a treasury rate lock that fixed the benchmark five year treasury rate at 3.472% through August 19, 2002. The rate lock was documented as a cash flow hedge of a forecasted transaction and designated as effective at the inception of the contract. On August 16, 2002 the Trust priced the Senior Unsecured Notes with a scheduled closing date of August 21, 2002 and closed out the associated rate lock. Five year treasury rates declined between the pricing period and the settlement of the hedge purchase; therefore, to settle the rate lock, the Trust paid $1.5 million. Since the postponement of the Note transaction, the $1.5 million loss continues to be recorded as a component of other comprehensive income within stockholders' equity on the balance sheet. On August 19, 2002 a fire at Santana Row, as more fully described in Note B, destroyed approximately 50% of the residential units in the project and because of the lack of information at that time regarding the impact of the fire on Santana Row and on the Trust, the Trust did not proceed with the Note transaction. As more clarity regarding the impact of the fire has become available, the Trust believes it is probable that it</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1" w:name="page12"/>
    <w:bookmarkEnd w:id="11"/>
    <w:p>
      <w:pPr>
        <w:ind w:right="3239"/>
        <w:spacing w:after="0" w:line="236" w:lineRule="auto"/>
        <w:rPr>
          <w:sz w:val="20"/>
          <w:szCs w:val="20"/>
          <w:color w:val="auto"/>
        </w:rPr>
      </w:pPr>
      <w:r>
        <w:rPr>
          <w:rFonts w:ascii="Courier New" w:cs="Courier New" w:eastAsia="Courier New" w:hAnsi="Courier New"/>
          <w:sz w:val="15"/>
          <w:szCs w:val="15"/>
          <w:color w:val="auto"/>
        </w:rPr>
        <w:t>will seek to raise additional capital in the public debt markets before the end of the year. If the Note transaction occurs as now anticipated, the hedge loss will be amortized into interest expense over the life of the Notes. If the Trust is unsuccessful in executing this transaction, the $1.5 million in other comprehensive income will be reclassified into current earnings, as an expense, in the fourth quarter of 2002.</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Reclassifications. Certain components of rental income, other property income, rental expense, real estate tax expense and depreciation and amortization expense on the September 30, 2001 Statement of Operations for the three months and nine months ended September 30, 2001 have been reclassified to Income from operations of discontinued assets to assure comparability of all periods presented. In addition, certain components of real estate, accounts and notes receivable, tax deferred exchange escrows and notes receivable from employee stock plans on the December 31, 2001 Balance Sheet and the September 30, 2001 Statement of Common Shareholders Equity have been reclassified to assure comparability of all periods presented.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REAL ESTATE ASSETS AND ENCUMBRANCES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February 1, 2002 the Trust received the minority partner's interest in Santana Row in exchange for a $2.6 million investment in a partnership. A $5.9 million loan made by the Trust to the partnership on January 12, 2001 is due January 12, 2003 and is secured by real property.</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April 11, 2002 the Trust sold the street retail property located at 252 Greenwich Avenue in Greenwich, Connecticut for $16.5 million resulting in a gain of $7.0 million.</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On April 30, 2002 the Trust sold three street retail properties, two in Westport, Connecticut and one in Westfield, New Jersey, for $19.2 million resulting in a gain of $6.9 million.</w:t>
      </w:r>
    </w:p>
    <w:p>
      <w:pPr>
        <w:spacing w:after="0" w:line="174" w:lineRule="exact"/>
        <w:rPr>
          <w:sz w:val="20"/>
          <w:szCs w:val="20"/>
          <w:color w:val="auto"/>
        </w:rPr>
      </w:pPr>
    </w:p>
    <w:p>
      <w:pPr>
        <w:ind w:right="3839" w:firstLine="437"/>
        <w:spacing w:after="0" w:line="261" w:lineRule="auto"/>
        <w:rPr>
          <w:sz w:val="20"/>
          <w:szCs w:val="20"/>
          <w:color w:val="auto"/>
        </w:rPr>
      </w:pPr>
      <w:r>
        <w:rPr>
          <w:rFonts w:ascii="Courier New" w:cs="Courier New" w:eastAsia="Courier New" w:hAnsi="Courier New"/>
          <w:sz w:val="14"/>
          <w:szCs w:val="14"/>
          <w:color w:val="auto"/>
        </w:rPr>
        <w:t>On June 6, 2002 the Trust sold the Uptown Shopping Center located in Portland, Oregon for $20.8 million resulting in a gain of $4.5 million.</w:t>
      </w:r>
    </w:p>
    <w:p>
      <w:pPr>
        <w:spacing w:after="0" w:line="16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proceeds from the sales of the four street retail properties and the Uptown Shopping Center were deposited in escrow with a qualified intermediary for purposes of executing tax-deferred property exchanges. On October 10, 2002 and October 28, 2002 proceeds of $16.1 million and $18.7 million, respectively, previously held by the qualified intermediary from the April 2002 sales of the street retail properties were released to the Trust as the Trust elected not to acquire any of the previously identified exchange properties. The October 10, 2002 proceeds of $16.1 million were used to pay down the Santana Row construction loan by $16.0 million. The October 28, 2002 proceeds of $18.7 million were used to pay down the Trust's syndicated credit facility.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2" w:name="page13"/>
    <w:bookmarkEnd w:id="12"/>
    <w:p>
      <w:pPr>
        <w:ind w:right="3399" w:firstLine="437"/>
        <w:spacing w:after="0" w:line="236" w:lineRule="auto"/>
        <w:rPr>
          <w:sz w:val="20"/>
          <w:szCs w:val="20"/>
          <w:color w:val="auto"/>
        </w:rPr>
      </w:pPr>
      <w:r>
        <w:rPr>
          <w:rFonts w:ascii="Courier New" w:cs="Courier New" w:eastAsia="Courier New" w:hAnsi="Courier New"/>
          <w:sz w:val="15"/>
          <w:szCs w:val="15"/>
          <w:color w:val="auto"/>
        </w:rPr>
        <w:t>On June 18, 2002 a partnership, in which a subsidiary of the Trust is the general partner, sold the street retail property located at 6410 Hollywood Boulevard in Hollywood, California for $2.3 million resulting in a gain of $700,000. The proceeds from the sale were received by the partnership at closing.</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August 19, 2002 a fire broke out at Building Seven in the Santana Row project. Building Seven contained approximately 87,000 square feet of retail space, approximately 1,000 parking spaces and 246 residential units. All but eleven of the residential units in the building, which were originally scheduled to open in early 2003, were destroyed. The retail units and parking structure sustained water and smoke damage but were not structurally impaired. The opening of these retail units, originally scheduled for September 2002, will be delayed until early 2003. The damage related to the fire was limited almost entirely to this single building. The Trust believes that it has adequate insurance coverage to substantially cover its losses from the fire. The Trust estimates the insurance claim to be in the range of $70 million to $90 million which includes costs to clean-up, repair and rebuild as well as soft costs and lost rents. The cause of the fire has yet to be determined but will not affect the Trust's insurance claim. On October 22, 2002 a $20 million insurance reimbursement was advanced by the insurance carrier bringing the total amount received to date to $21 million. This advance, which is being held in escrow by the construction lender, will be used to either fund the Building Seven clean-up and rebuilding costs or pay down the construction loan, at the option of the Trust.</w:t>
      </w:r>
    </w:p>
    <w:p>
      <w:pPr>
        <w:spacing w:after="0" w:line="33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first nine months of 2002, the Trust loaned an additional $1.5 million to an existing borrower with an interest rate of 10.0%. $14.4 million of notes were repaid to the Trust during the first nine months of 2002. In addition, the Trust loaned $7.2 million to the unaffiliated hotel venture at Santana Row. The loan bears interest at rates ranging from 12% to 15% and has a ten year term. During the first five years interest is payable from cash flow, if available. If cash flow is not sufficient to pay interest in full, the unpaid amount will accrue and bear interest at the same rate as the principal.</w:t>
      </w:r>
    </w:p>
    <w:p>
      <w:pPr>
        <w:spacing w:after="0" w:line="166"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NOTE C - MORTGAGES AND CONSTRUCTION LOANS PAYABLE, NOTES PAYABLE AND OTHER LONG TERM DEBT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September 30, 2002 there was $65.0 million borrowed under the Trust's $300 million syndicated credit facility. The maximum amount drawn during the first nine months of 2002 was $100.0 million. The weighted average interest rate on borrowings for the nine months ended September 30, 2002 was 2.7%. The facility requires fees and has various covenants including the maintenance of a minimum shareholders' equity and a maximum ratio of debt to net worth. At September 30, 2002 the Trust was in compliance with all loan covenants.</w:t>
      </w:r>
    </w:p>
    <w:p>
      <w:pPr>
        <w:spacing w:after="0" w:line="176"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On April 22, 2002 the Trust's $25 million, 8% Senior Notes were paid off through borrowings on the Trust's syndicated credit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3" w:name="page14"/>
    <w:bookmarkEnd w:id="13"/>
    <w:p>
      <w:pPr>
        <w:ind w:right="3399"/>
        <w:spacing w:after="0" w:line="235" w:lineRule="auto"/>
        <w:rPr>
          <w:sz w:val="20"/>
          <w:szCs w:val="20"/>
          <w:color w:val="auto"/>
        </w:rPr>
      </w:pPr>
      <w:r>
        <w:rPr>
          <w:rFonts w:ascii="Courier New" w:cs="Courier New" w:eastAsia="Courier New" w:hAnsi="Courier New"/>
          <w:sz w:val="15"/>
          <w:szCs w:val="15"/>
          <w:color w:val="auto"/>
        </w:rPr>
        <w:t>facility. In addition, the Trust's $289,000, 5.25% Convertible Subordinated Debentures were paid off on April 29, 2002 and the $3.4 million note issued in connection with a land purchase in Portland, Oregon was paid off on June 18, 2002.</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At September 30, 2002 there was $151.3 million borrowed under the construction loan for the Santana Row development in San Jose, California. The loan, which initially bears interest at LIBOR plus 212.5 basis points, matures April 16, 2004 with two one-year extension options, subject to certain operating and other conditions. The interest rate on the loan will decrease to LIBOR plus 187.5 basis points then to LIBOR plus 162.5 basis points upon achievement of certain leasing, occupancy and net operating income hurdles. There is no assurance that these conditions and hurdles will be met. The construction loan requires fees and has various covenants including the maintenance of a minimum shareholders' equity and a maximum ratio of debt to gross asset value. At September 30, 2002 the Trust was in compliance with all loan covenants. As of October 28, 2002 there was $159.4 million borrowed under the construction loan, reflecting additional loan draws of $24.1 million and the loan pay down of $16.0 million. As a result of the fire at Santana Row, the construction lender has the option to halt funding on the construction loan. The Trust has had discussions with the lender and the Trust has agreed to fund the Building Seven clean-up and rebuilding costs from its syndicated credit facility and from insurance proceeds and has agreed with the lender to fund all other Phase 1 costs of the project through the construction loan. The lender has funded two draw requests since the fire totalling $24.1 million and a third draw request is anticipated to be funded by the end of October 2002.</w:t>
      </w:r>
    </w:p>
    <w:p>
      <w:pPr>
        <w:spacing w:after="0" w:line="34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September 30, 2002 there was $24.4 million borrowed under the construction loan for the Trust's Woodmont East development in Bethesda, Maryland. The loan, which has a current floating interest rate of LIBOR plus 120 basis points, was extended for one year and now matures August 29, 2003 with one additional one-year extension option. No principal payments are due until maturity. The property secures the construction loan facility.</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a result of the fire at Santana Row both Moody's and S&amp;P placed the Trust's credit rating under review. On October 3, 2002 Moody's confirmed its Baa2 senior unsecured debt rating for the Trust and concurrently changed its rating outlook to negative from stable. On October 9, 2002 S&amp;P affirmed its BBB corporate credit rating with an outlook of stable.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SHAREHOLDERS' EQUITY</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During the first nine months of 2002, options for 427,500 shares at prices ranging from $25.16 to $27.15 per share, fair market value at the dates of award, were awarded to certain officers, employees and Trustees of the Trust. The options vest over periods ranging from six months to three years.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4" w:name="page15"/>
    <w:bookmarkEnd w:id="14"/>
    <w:p>
      <w:pPr>
        <w:ind w:right="3399" w:firstLine="437"/>
        <w:spacing w:after="0" w:line="234" w:lineRule="auto"/>
        <w:rPr>
          <w:sz w:val="20"/>
          <w:szCs w:val="20"/>
          <w:color w:val="auto"/>
        </w:rPr>
      </w:pPr>
      <w:r>
        <w:rPr>
          <w:rFonts w:ascii="Courier New" w:cs="Courier New" w:eastAsia="Courier New" w:hAnsi="Courier New"/>
          <w:sz w:val="15"/>
          <w:szCs w:val="15"/>
          <w:color w:val="auto"/>
        </w:rPr>
        <w:t>On June 12, 2002 the Trust issued 2.2 million common shares at $25.98 per share netting $56.6 million, after all expenses of the offering.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INTEREST EXPENSE</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Trust incurred interest totaling $64.7 million during the first nine months of 2002 and $65.1 million during the first nine months of 2001 of which $19.4 million and $12.7 million, respectively, was capitalized in connection with development projects. Interest paid was $61.0 million in the first nine months of 2002 and $56.8 million in the first nine months of 2001.</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COMMITMENTS AND CONTINGENCIES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The original contractor filed a counterclaim against the Trust and the residential developer. On May 9, 2002 the Trust and the residential developer entered into a settlement agreement with the original contractor in which a full settlement, totaling $5 million payable to the Trust and the residential developer, was reached for all claims and counterclaims between the parties involved. On June 7, 2002 the original contractor paid into an escrow account the agreed upon settlement amount. This settlement was distributed, $3 million to the Trust, which offset the Trust's cost of the development, and $2 million to the residential developer, in July 2002.</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is currently committed to invest approximately $8.0 million in six restaurant joint ventures in lieu of tenant allowances. The Trust will participate in profits, losses and cash flow in accordance with the terms of each individual venture but does not manage or otherwise control day to day operations of each venture. As of September 30, 2002 the Trust has invested $4.1 million; $2.8 million of which has been capitalized and $1.3 million of which has been expensed in 2002 to reflect the Trust's estimate of the permanent impairment of its investment in two of these ventures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5" w:name="page16"/>
    <w:bookmarkEnd w:id="15"/>
    <w:p>
      <w:pPr>
        <w:ind w:right="3759"/>
        <w:spacing w:after="0" w:line="235" w:lineRule="auto"/>
        <w:rPr>
          <w:sz w:val="20"/>
          <w:szCs w:val="20"/>
          <w:color w:val="auto"/>
        </w:rPr>
      </w:pPr>
      <w:r>
        <w:rPr>
          <w:rFonts w:ascii="Courier New" w:cs="Courier New" w:eastAsia="Courier New" w:hAnsi="Courier New"/>
          <w:sz w:val="15"/>
          <w:szCs w:val="15"/>
          <w:color w:val="auto"/>
        </w:rPr>
        <w:t>due principally to declining economic conditions. The Trust anticipates investing the remaining commitment of $3.9 million by the end of the first quarter of 2003.</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terms of the Congressional Plaza partnership agreement, from and after January 1, 1986 Rockville Plaza Company ("RPC"), an unaffiliated third party, has the right to require the Trust and the two other minority partners to purchase from half to all of RPC's 37.5% interest in Congressional Plaza at the interest's then-current fair market value. Based on management's current estimate of fair market value, the Trust's estimated liability upon exercise of the put option is approximately $27.5 million. In conjunction with a redevelopment currently taking place at the property, the Trust has agreed to acquire an additional 7.5% interest in Congressional Plaza from RPC in exchange for funding approximately $7 million of RPC's share of the redevelopment cost. This funding will take place through 2002 and the transaction will be completed in 2003.</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Under the terms of various other partnerships which own shopping center properties with a cost of approximately $71 million, the partners may exchange their 796,773 operating units for cash or the same number of common shares of the Trust, at the option of the Trust. During the second quarter of 2002 the Trust issued 100,000 common shares of the Trust valued at $2.8 million in exchange for 100,000 operating units and cash of $205,000 in exchange for an additional 7,816 operating units.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the Trust to purchase their partnership interests at a formula price based upon net operating income. The purchase price may be paid in cash or, for two of the partnerships, a limited number of common shares of the Trust at the election of the other partners. In certain of these partnerships, if the other partners do not redeem their interest, the Trust may choose to purchase the limited partnership interests upon the same terms.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COMPONENTS OF RENTAL INCOME</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components of rental income for the periods ended September 30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5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Nine months</w:t>
            </w:r>
          </w:p>
        </w:tc>
        <w:tc>
          <w:tcPr>
            <w:tcW w:w="17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2680" w:type="dxa"/>
            <w:vAlign w:val="bottom"/>
          </w:tcPr>
          <w:p>
            <w:pPr>
              <w:spacing w:after="0"/>
              <w:rPr>
                <w:sz w:val="14"/>
                <w:szCs w:val="14"/>
                <w:color w:val="auto"/>
              </w:rPr>
            </w:pP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2002</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268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Retail Properties</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Minimum rents</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$174,358</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$161,654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$ 58,948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$ 55,011</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reimbursements</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33,984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33,310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11,791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11,500</w:t>
            </w: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Percentage rents</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4,006</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Apartments</w:t>
            </w: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746</w:t>
            </w:r>
          </w:p>
        </w:tc>
      </w:tr>
      <w:tr>
        <w:trPr>
          <w:trHeight w:val="168"/>
        </w:trPr>
        <w:tc>
          <w:tcPr>
            <w:tcW w:w="268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4"/>
                <w:szCs w:val="24"/>
                <w:color w:val="auto"/>
              </w:rPr>
            </w:pPr>
          </w:p>
        </w:tc>
        <w:tc>
          <w:tcPr>
            <w:tcW w:w="1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$214,242</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$201,177</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$ 72,277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$ 68,179</w:t>
            </w:r>
          </w:p>
        </w:tc>
      </w:tr>
      <w:tr>
        <w:trPr>
          <w:trHeight w:val="168"/>
        </w:trPr>
        <w:tc>
          <w:tcPr>
            <w:tcW w:w="2680" w:type="dxa"/>
            <w:vAlign w:val="bottom"/>
          </w:tcPr>
          <w:p>
            <w:pPr>
              <w:spacing w:after="0"/>
              <w:rPr>
                <w:sz w:val="14"/>
                <w:szCs w:val="14"/>
                <w:color w:val="auto"/>
              </w:rPr>
            </w:pPr>
          </w:p>
        </w:tc>
        <w:tc>
          <w:tcPr>
            <w:tcW w:w="1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80" w:type="dxa"/>
            <w:vAlign w:val="bottom"/>
          </w:tcPr>
          <w:p>
            <w:pPr>
              <w:spacing w:after="0"/>
              <w:rPr>
                <w:sz w:val="24"/>
                <w:szCs w:val="24"/>
                <w:color w:val="auto"/>
              </w:rPr>
            </w:pP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15</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NOTE H - RESTRUCTURING EXPENSE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February 28, 2002 the Trust adopted a new business plan which returns the Trust's primary focus to its traditional business of acquiring and redeveloping community and neighborhood shopping centers that are anchored by supermarkets, drug stores, or high volume, value oriented retailers that provide consumer necessities. The Trust will complete Bethesda Row, Pentagon Row and Santana Row but does not plan to develop any new large-scale, mixed-use, ground-up development projects. Rather, the Trust will seek to acquire income producing centers and may seek opportunities to develop ground-up grocery anchored shopping centers, all in and around the Trust's existing markets, and will identify and execute redevelopment opportunities in its existing portfolio. Concurrent with the adoption of the business plan, the Trust adopted a management succession plan and restructured its management team.</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this change in business plan the Trust recorded a charge of $18.2 million. This charge included a reserve for a restructuring charge of $8.5 million made up of $6.9 million of severance and other compensation costs for several senior officers of the Trust related to the management restructuring, as well as the write-off of $1.6 million of the Trust's development costs. All charges against the reserve, totaling $8.5 million, were expended during the first nine months of 2002. An additional component of the restructuring charge is an impairment loss of $9.7 million representing the estimated loss on the abandonment of development projects held for sale, primarily the Tanasbourne development project located in Portland, Oregon, thereby adjusting the value of these assets to their estimated fair value. The Trust is marketing these properties, components of the Trust's Western region, for sale. The carrying value of these properties as of September 30, 2002, classified on the Trust's consolidated balance sheet as real estate under development, is $8.5 million.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 DISCONTINUED OPERATIONS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During the second quarter of 2002 the Trust sold six properties for a combined gain of $19.1 million. The net income from these properties, reported as income from operations of discontinued assets in accordance with Financial Accounting Standard No. 144, "Accounting for the Impairment or Disposal of Long-Lived Assets", was $1.2 million and $2.6 million for the nine months ended September 30, 2002 and 2001, respectively. The net income (loss) for the three months ended September 30, 2002 and 2001 was ($59,000) and $918,000, respectively. Four of these properties were components of the Trust's Northeast region and two were components of the Trust's Western region.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J - RELATED PARTY TRANSACTIONS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Chairman and CEO of the Trust, Steven J. Guttman, has an ownership interest in three retailers at Santana Row. The leases were negotiated at arms length at market terms. Mr Guttman will not be involved in the store's day to day operations.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NOTE K - SEGMENT INFORMATION</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 summary of the Trust's operations by geographic region is presented below (in thousands):</w:t>
      </w:r>
    </w:p>
    <w:p>
      <w:pPr>
        <w:spacing w:after="0" w:line="200" w:lineRule="exact"/>
        <w:rPr>
          <w:sz w:val="20"/>
          <w:szCs w:val="20"/>
          <w:color w:val="auto"/>
        </w:rPr>
      </w:pPr>
    </w:p>
    <w:p>
      <w:pPr>
        <w:spacing w:after="0" w:line="303"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5"/>
          <w:szCs w:val="15"/>
          <w:color w:val="auto"/>
        </w:rPr>
        <w:t>Nine months ended</w:t>
      </w:r>
      <w:r>
        <w:rPr>
          <w:sz w:val="20"/>
          <w:szCs w:val="20"/>
          <w:color w:val="auto"/>
        </w:rPr>
        <w:tab/>
      </w:r>
      <w:r>
        <w:rPr>
          <w:rFonts w:ascii="Courier New" w:cs="Courier New" w:eastAsia="Courier New" w:hAnsi="Courier New"/>
          <w:sz w:val="14"/>
          <w:szCs w:val="14"/>
          <w:color w:val="auto"/>
        </w:rPr>
        <w:t>Mid-</w:t>
      </w:r>
    </w:p>
    <w:p>
      <w:pPr>
        <w:ind w:left="440"/>
        <w:spacing w:after="0"/>
        <w:tabs>
          <w:tab w:leader="none" w:pos="3140" w:val="left"/>
          <w:tab w:leader="none" w:pos="4540" w:val="left"/>
          <w:tab w:leader="none" w:pos="6020" w:val="left"/>
          <w:tab w:leader="none" w:pos="7240" w:val="left"/>
          <w:tab w:leader="none" w:pos="8560" w:val="left"/>
        </w:tabs>
        <w:rPr>
          <w:sz w:val="20"/>
          <w:szCs w:val="20"/>
          <w:color w:val="auto"/>
        </w:rPr>
      </w:pPr>
      <w:r>
        <w:rPr>
          <w:rFonts w:ascii="Courier New" w:cs="Courier New" w:eastAsia="Courier New" w:hAnsi="Courier New"/>
          <w:sz w:val="15"/>
          <w:szCs w:val="15"/>
          <w:color w:val="auto"/>
        </w:rPr>
        <w:t>September 30, 2002</w:t>
      </w:r>
      <w:r>
        <w:rPr>
          <w:sz w:val="20"/>
          <w:szCs w:val="20"/>
          <w:color w:val="auto"/>
        </w:rPr>
        <w:tab/>
      </w:r>
      <w:r>
        <w:rPr>
          <w:rFonts w:ascii="Courier New" w:cs="Courier New" w:eastAsia="Courier New" w:hAnsi="Courier New"/>
          <w:sz w:val="15"/>
          <w:szCs w:val="15"/>
          <w:color w:val="auto"/>
        </w:rPr>
        <w:t>Northeast</w:t>
      </w:r>
      <w:r>
        <w:rPr>
          <w:sz w:val="20"/>
          <w:szCs w:val="20"/>
          <w:color w:val="auto"/>
        </w:rPr>
        <w:tab/>
      </w:r>
      <w:r>
        <w:rPr>
          <w:rFonts w:ascii="Courier New" w:cs="Courier New" w:eastAsia="Courier New" w:hAnsi="Courier New"/>
          <w:sz w:val="15"/>
          <w:szCs w:val="15"/>
          <w:color w:val="auto"/>
        </w:rPr>
        <w:t>Atlantic</w:t>
      </w:r>
      <w:r>
        <w:rPr>
          <w:sz w:val="20"/>
          <w:szCs w:val="20"/>
          <w:color w:val="auto"/>
        </w:rPr>
        <w:tab/>
      </w: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$ 88,459</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$100,728</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$ 25,055</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214,242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4,357</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5,479</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1,557</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11,393</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w:t>
            </w: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2,621</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1,571</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(16,231)</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(22,391)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(10,666)</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(49,288)</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(11,942)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(8,860)</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(2,276)</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(23,078)</w:t>
            </w:r>
          </w:p>
        </w:tc>
      </w:tr>
      <w:tr>
        <w:trPr>
          <w:trHeight w:val="168"/>
        </w:trPr>
        <w:tc>
          <w:tcPr>
            <w:tcW w:w="268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67,264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74,956</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15,241</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157,461</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(expense)</w:t>
            </w: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(45,313)</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(45,313)</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(10,209)</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(10,209)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expense</w:t>
            </w: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(8,489)</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(20,826)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(20,229)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(6,157)</w:t>
            </w: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(614)</w:t>
            </w:r>
          </w:p>
        </w:tc>
        <w:tc>
          <w:tcPr>
            <w:tcW w:w="30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(47,826)</w:t>
            </w:r>
          </w:p>
        </w:tc>
      </w:tr>
      <w:tr>
        <w:trPr>
          <w:trHeight w:val="168"/>
        </w:trPr>
        <w:tc>
          <w:tcPr>
            <w:tcW w:w="268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w:t>
            </w: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investors' share</w:t>
            </w: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 and</w:t>
            </w: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$ 46,438</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$ 54,727</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9,084</w:t>
            </w:r>
          </w:p>
        </w:tc>
        <w:tc>
          <w:tcPr>
            <w:tcW w:w="30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($65,055)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45,194</w:t>
            </w:r>
          </w:p>
        </w:tc>
      </w:tr>
      <w:tr>
        <w:trPr>
          <w:trHeight w:val="168"/>
        </w:trPr>
        <w:tc>
          <w:tcPr>
            <w:tcW w:w="268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8,506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$ 23,896</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$179,185</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211,587</w:t>
            </w:r>
          </w:p>
        </w:tc>
      </w:tr>
      <w:tr>
        <w:trPr>
          <w:trHeight w:val="168"/>
        </w:trPr>
        <w:tc>
          <w:tcPr>
            <w:tcW w:w="268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$745,794</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$817,283</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$691,463</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$2,254,540</w:t>
            </w:r>
          </w:p>
        </w:tc>
      </w:tr>
      <w:tr>
        <w:trPr>
          <w:trHeight w:val="168"/>
        </w:trPr>
        <w:tc>
          <w:tcPr>
            <w:tcW w:w="2680" w:type="dxa"/>
            <w:vAlign w:val="bottom"/>
          </w:tcPr>
          <w:p>
            <w:pPr>
              <w:spacing w:after="0"/>
              <w:rPr>
                <w:sz w:val="14"/>
                <w:szCs w:val="14"/>
                <w:color w:val="auto"/>
              </w:rPr>
            </w:pP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2680" w:type="dxa"/>
            <w:vAlign w:val="bottom"/>
          </w:tcPr>
          <w:p>
            <w:pPr>
              <w:spacing w:after="0"/>
              <w:rPr>
                <w:sz w:val="20"/>
                <w:szCs w:val="20"/>
                <w:color w:val="auto"/>
              </w:rPr>
            </w:pPr>
            <w:r>
              <w:rPr>
                <w:rFonts w:ascii="Courier New" w:cs="Courier New" w:eastAsia="Courier New" w:hAnsi="Courier New"/>
                <w:sz w:val="15"/>
                <w:szCs w:val="15"/>
                <w:color w:val="auto"/>
              </w:rPr>
              <w:t>Nine months ended</w:t>
            </w:r>
          </w:p>
        </w:tc>
        <w:tc>
          <w:tcPr>
            <w:tcW w:w="166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Mid-</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2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September 30, 2001</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Northeast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Atlantic</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West</w:t>
            </w:r>
          </w:p>
        </w:tc>
        <w:tc>
          <w:tcPr>
            <w:tcW w:w="300" w:type="dxa"/>
            <w:vAlign w:val="bottom"/>
          </w:tcPr>
          <w:p>
            <w:pPr>
              <w:spacing w:after="0"/>
              <w:rPr>
                <w:sz w:val="14"/>
                <w:szCs w:val="14"/>
                <w:color w:val="auto"/>
              </w:rPr>
            </w:pPr>
          </w:p>
        </w:tc>
        <w:tc>
          <w:tcPr>
            <w:tcW w:w="9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Other</w:t>
            </w:r>
          </w:p>
        </w:tc>
        <w:tc>
          <w:tcPr>
            <w:tcW w:w="30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$ 86,651</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$ 90,408</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$ 24,118</w:t>
            </w:r>
          </w:p>
        </w:tc>
        <w:tc>
          <w:tcPr>
            <w:tcW w:w="1280" w:type="dxa"/>
            <w:vAlign w:val="bottom"/>
          </w:tcPr>
          <w:p>
            <w:pPr>
              <w:spacing w:after="0"/>
              <w:rPr>
                <w:sz w:val="14"/>
                <w:szCs w:val="14"/>
                <w:color w:val="auto"/>
              </w:rPr>
            </w:pP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201,177</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4,115</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4,343</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1,731</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10,189</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3,003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520</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3,523</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(17,984)</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(19,379)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(7,751)</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(45,114)</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(11,486)</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(7,206)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(1,849)</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(20,541)</w:t>
            </w:r>
          </w:p>
        </w:tc>
      </w:tr>
      <w:tr>
        <w:trPr>
          <w:trHeight w:val="168"/>
        </w:trPr>
        <w:tc>
          <w:tcPr>
            <w:tcW w:w="2760" w:type="dxa"/>
            <w:vAlign w:val="bottom"/>
          </w:tcPr>
          <w:p>
            <w:pPr>
              <w:spacing w:after="0"/>
              <w:rPr>
                <w:sz w:val="14"/>
                <w:szCs w:val="14"/>
                <w:color w:val="auto"/>
              </w:rPr>
            </w:pP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64,299</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68,166</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16,769</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149,234</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1,752</w:t>
            </w:r>
          </w:p>
        </w:tc>
        <w:tc>
          <w:tcPr>
            <w:tcW w:w="3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1,752</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(52,360)</w:t>
            </w: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(52,360)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(9,971)</w:t>
            </w: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(9,971)</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(20,177)</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(17,586)</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(5,092)</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(706)</w:t>
            </w:r>
          </w:p>
        </w:tc>
        <w:tc>
          <w:tcPr>
            <w:tcW w:w="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(43,561)</w:t>
            </w:r>
          </w:p>
        </w:tc>
      </w:tr>
      <w:tr>
        <w:trPr>
          <w:trHeight w:val="168"/>
        </w:trPr>
        <w:tc>
          <w:tcPr>
            <w:tcW w:w="2760" w:type="dxa"/>
            <w:vAlign w:val="bottom"/>
          </w:tcPr>
          <w:p>
            <w:pPr>
              <w:spacing w:after="0"/>
              <w:rPr>
                <w:sz w:val="14"/>
                <w:szCs w:val="14"/>
                <w:color w:val="auto"/>
              </w:rPr>
            </w:pP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investors' share</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 and</w:t>
            </w: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$ 44,122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$ 50,580</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$ 11,677</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($61,285)</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45,094</w:t>
            </w:r>
          </w:p>
        </w:tc>
      </w:tr>
      <w:tr>
        <w:trPr>
          <w:trHeight w:val="168"/>
        </w:trPr>
        <w:tc>
          <w:tcPr>
            <w:tcW w:w="2760" w:type="dxa"/>
            <w:vAlign w:val="bottom"/>
          </w:tcPr>
          <w:p>
            <w:pPr>
              <w:spacing w:after="0"/>
              <w:rPr>
                <w:sz w:val="14"/>
                <w:szCs w:val="14"/>
                <w:color w:val="auto"/>
              </w:rPr>
            </w:pP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$ 11,756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$ 76,775</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$136,155</w:t>
            </w:r>
          </w:p>
        </w:tc>
        <w:tc>
          <w:tcPr>
            <w:tcW w:w="128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224,686</w:t>
            </w:r>
          </w:p>
        </w:tc>
      </w:tr>
      <w:tr>
        <w:trPr>
          <w:trHeight w:val="168"/>
        </w:trPr>
        <w:tc>
          <w:tcPr>
            <w:tcW w:w="2760" w:type="dxa"/>
            <w:vAlign w:val="bottom"/>
          </w:tcPr>
          <w:p>
            <w:pPr>
              <w:spacing w:after="0"/>
              <w:rPr>
                <w:sz w:val="14"/>
                <w:szCs w:val="14"/>
                <w:color w:val="auto"/>
              </w:rPr>
            </w:pP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$765,507</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$783,089</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$516,806</w:t>
            </w:r>
          </w:p>
        </w:tc>
        <w:tc>
          <w:tcPr>
            <w:tcW w:w="12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$2,065,402</w:t>
            </w:r>
          </w:p>
        </w:tc>
      </w:tr>
      <w:tr>
        <w:trPr>
          <w:trHeight w:val="168"/>
        </w:trPr>
        <w:tc>
          <w:tcPr>
            <w:tcW w:w="2760" w:type="dxa"/>
            <w:vAlign w:val="bottom"/>
          </w:tcPr>
          <w:p>
            <w:pPr>
              <w:spacing w:after="0"/>
              <w:rPr>
                <w:sz w:val="14"/>
                <w:szCs w:val="14"/>
                <w:color w:val="auto"/>
              </w:rPr>
            </w:pP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760" w:type="dxa"/>
            <w:vAlign w:val="bottom"/>
          </w:tcPr>
          <w:p>
            <w:pPr>
              <w:spacing w:after="0"/>
              <w:rPr>
                <w:sz w:val="24"/>
                <w:szCs w:val="24"/>
                <w:color w:val="auto"/>
              </w:rPr>
            </w:pP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17</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8" w:name="page19"/>
    <w:bookmarkEnd w:id="18"/>
    <w:p>
      <w:pPr>
        <w:spacing w:after="0"/>
        <w:tabs>
          <w:tab w:leader="none" w:pos="4720"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Mid-</w:t>
      </w:r>
    </w:p>
    <w:p>
      <w:pPr>
        <w:ind w:left="280"/>
        <w:spacing w:after="0"/>
        <w:tabs>
          <w:tab w:leader="none" w:pos="3140" w:val="left"/>
          <w:tab w:leader="none" w:pos="4540" w:val="left"/>
          <w:tab w:leader="none" w:pos="5940" w:val="left"/>
          <w:tab w:leader="none" w:pos="7240" w:val="left"/>
          <w:tab w:leader="none" w:pos="8560" w:val="left"/>
        </w:tabs>
        <w:rPr>
          <w:sz w:val="20"/>
          <w:szCs w:val="20"/>
          <w:color w:val="auto"/>
        </w:rPr>
      </w:pPr>
      <w:r>
        <w:rPr>
          <w:rFonts w:ascii="Courier New" w:cs="Courier New" w:eastAsia="Courier New" w:hAnsi="Courier New"/>
          <w:sz w:val="15"/>
          <w:szCs w:val="15"/>
          <w:color w:val="auto"/>
        </w:rPr>
        <w:t>September 30, 2002</w:t>
      </w:r>
      <w:r>
        <w:rPr>
          <w:sz w:val="20"/>
          <w:szCs w:val="20"/>
          <w:color w:val="auto"/>
        </w:rPr>
        <w:tab/>
      </w:r>
      <w:r>
        <w:rPr>
          <w:rFonts w:ascii="Courier New" w:cs="Courier New" w:eastAsia="Courier New" w:hAnsi="Courier New"/>
          <w:sz w:val="15"/>
          <w:szCs w:val="15"/>
          <w:color w:val="auto"/>
        </w:rPr>
        <w:t>Northeast</w:t>
      </w:r>
      <w:r>
        <w:rPr>
          <w:sz w:val="20"/>
          <w:szCs w:val="20"/>
          <w:color w:val="auto"/>
        </w:rPr>
        <w:tab/>
      </w:r>
      <w:r>
        <w:rPr>
          <w:rFonts w:ascii="Courier New" w:cs="Courier New" w:eastAsia="Courier New" w:hAnsi="Courier New"/>
          <w:sz w:val="15"/>
          <w:szCs w:val="15"/>
          <w:color w:val="auto"/>
        </w:rPr>
        <w:t>Atlantic</w:t>
      </w:r>
      <w:r>
        <w:rPr>
          <w:sz w:val="20"/>
          <w:szCs w:val="20"/>
          <w:color w:val="auto"/>
        </w:rPr>
        <w:tab/>
      </w: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29,479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34,515</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8,283</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72,277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5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1,644</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2,300</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468</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4,412</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w:t>
            </w:r>
          </w:p>
        </w:tc>
        <w:tc>
          <w:tcPr>
            <w:tcW w:w="5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w:t>
            </w:r>
          </w:p>
        </w:tc>
        <w:tc>
          <w:tcPr>
            <w:tcW w:w="2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643</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5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(5,268)</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(7,761)</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(4,442)</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(17,471)</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5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(4,067)</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(3,056)</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(768)</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(7,891)</w:t>
            </w:r>
          </w:p>
        </w:tc>
      </w:tr>
      <w:tr>
        <w:trPr>
          <w:trHeight w:val="168"/>
        </w:trPr>
        <w:tc>
          <w:tcPr>
            <w:tcW w:w="264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5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22,499</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25,998</w:t>
            </w:r>
          </w:p>
        </w:tc>
        <w:tc>
          <w:tcPr>
            <w:tcW w:w="3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4,184</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52,681</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(13,540)</w:t>
            </w:r>
          </w:p>
        </w:tc>
        <w:tc>
          <w:tcPr>
            <w:tcW w:w="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(13,540)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(3,713)</w:t>
            </w:r>
          </w:p>
        </w:tc>
        <w:tc>
          <w:tcPr>
            <w:tcW w:w="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(3,713)</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5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(6,896)</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(6,877)</w:t>
            </w:r>
          </w:p>
        </w:tc>
        <w:tc>
          <w:tcPr>
            <w:tcW w:w="3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(2,107)</w:t>
            </w:r>
          </w:p>
        </w:tc>
        <w:tc>
          <w:tcPr>
            <w:tcW w:w="3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(194)</w:t>
            </w:r>
          </w:p>
        </w:tc>
        <w:tc>
          <w:tcPr>
            <w:tcW w:w="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(16,074)</w:t>
            </w:r>
          </w:p>
        </w:tc>
      </w:tr>
      <w:tr>
        <w:trPr>
          <w:trHeight w:val="168"/>
        </w:trPr>
        <w:tc>
          <w:tcPr>
            <w:tcW w:w="264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Income before</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investors' share</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 and</w:t>
            </w: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15,603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19,121</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2,077</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17,157)</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19,644</w:t>
            </w:r>
          </w:p>
        </w:tc>
      </w:tr>
      <w:tr>
        <w:trPr>
          <w:trHeight w:val="168"/>
        </w:trPr>
        <w:tc>
          <w:tcPr>
            <w:tcW w:w="264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5,149</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67,713</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74,333</w:t>
            </w:r>
          </w:p>
        </w:tc>
      </w:tr>
      <w:tr>
        <w:trPr>
          <w:trHeight w:val="168"/>
        </w:trPr>
        <w:tc>
          <w:tcPr>
            <w:tcW w:w="264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745,794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817,283</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691,463</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$ 2,254,540</w:t>
            </w:r>
          </w:p>
        </w:tc>
      </w:tr>
      <w:tr>
        <w:trPr>
          <w:trHeight w:val="168"/>
        </w:trPr>
        <w:tc>
          <w:tcPr>
            <w:tcW w:w="264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264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Mid-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September 30, 2001</w:t>
            </w:r>
          </w:p>
        </w:tc>
        <w:tc>
          <w:tcPr>
            <w:tcW w:w="5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Northeast</w:t>
            </w:r>
          </w:p>
        </w:tc>
        <w:tc>
          <w:tcPr>
            <w:tcW w:w="26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Atlantic</w:t>
            </w:r>
          </w:p>
        </w:tc>
        <w:tc>
          <w:tcPr>
            <w:tcW w:w="3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West</w:t>
            </w:r>
          </w:p>
        </w:tc>
        <w:tc>
          <w:tcPr>
            <w:tcW w:w="34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30,025</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8,493</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68,179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7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1,917</w:t>
            </w:r>
          </w:p>
        </w:tc>
        <w:tc>
          <w:tcPr>
            <w:tcW w:w="1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1,702</w:t>
            </w:r>
          </w:p>
        </w:tc>
        <w:tc>
          <w:tcPr>
            <w:tcW w:w="3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673</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4,292</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w:t>
            </w:r>
          </w:p>
        </w:tc>
        <w:tc>
          <w:tcPr>
            <w:tcW w:w="7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903</w:t>
            </w:r>
          </w:p>
        </w:tc>
        <w:tc>
          <w:tcPr>
            <w:tcW w:w="18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7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(5,617)</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(6,875)</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(2,762)</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(15,254)</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7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(4,063)</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(2,598)</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(623)</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(7,284)</w:t>
            </w:r>
          </w:p>
        </w:tc>
      </w:tr>
      <w:tr>
        <w:trPr>
          <w:trHeight w:val="168"/>
        </w:trPr>
        <w:tc>
          <w:tcPr>
            <w:tcW w:w="264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7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22,801</w:t>
            </w:r>
          </w:p>
        </w:tc>
        <w:tc>
          <w:tcPr>
            <w:tcW w:w="18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22,254</w:t>
            </w:r>
          </w:p>
        </w:tc>
        <w:tc>
          <w:tcPr>
            <w:tcW w:w="3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5,795</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50,850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761</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761</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(17,680)</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(17,680)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(3,516)</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(3,516)</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7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(6,816)</w:t>
            </w:r>
          </w:p>
        </w:tc>
        <w:tc>
          <w:tcPr>
            <w:tcW w:w="180" w:type="dxa"/>
            <w:vAlign w:val="bottom"/>
          </w:tcPr>
          <w:p>
            <w:pPr>
              <w:spacing w:after="0"/>
              <w:rPr>
                <w:sz w:val="14"/>
                <w:szCs w:val="14"/>
                <w:color w:val="auto"/>
              </w:rPr>
            </w:pP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(5,904)</w:t>
            </w:r>
          </w:p>
        </w:tc>
        <w:tc>
          <w:tcPr>
            <w:tcW w:w="3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(1,980)</w:t>
            </w:r>
          </w:p>
        </w:tc>
        <w:tc>
          <w:tcPr>
            <w:tcW w:w="38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(266)</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(14,966)</w:t>
            </w:r>
          </w:p>
        </w:tc>
      </w:tr>
      <w:tr>
        <w:trPr>
          <w:trHeight w:val="168"/>
        </w:trPr>
        <w:tc>
          <w:tcPr>
            <w:tcW w:w="26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investors' share</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operations and</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15,985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16,350</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3,815</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20,701)</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15,449</w:t>
            </w:r>
          </w:p>
        </w:tc>
      </w:tr>
      <w:tr>
        <w:trPr>
          <w:trHeight w:val="168"/>
        </w:trPr>
        <w:tc>
          <w:tcPr>
            <w:tcW w:w="264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45,690</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36,242</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84,583</w:t>
            </w:r>
          </w:p>
        </w:tc>
      </w:tr>
      <w:tr>
        <w:trPr>
          <w:trHeight w:val="168"/>
        </w:trPr>
        <w:tc>
          <w:tcPr>
            <w:tcW w:w="264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765,507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783,089</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516,806</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$ 2,065,402</w:t>
            </w:r>
          </w:p>
        </w:tc>
      </w:tr>
      <w:tr>
        <w:trPr>
          <w:trHeight w:val="168"/>
        </w:trPr>
        <w:tc>
          <w:tcPr>
            <w:tcW w:w="2640" w:type="dxa"/>
            <w:vAlign w:val="bottom"/>
          </w:tcPr>
          <w:p>
            <w:pPr>
              <w:spacing w:after="0"/>
              <w:rPr>
                <w:sz w:val="14"/>
                <w:szCs w:val="14"/>
                <w:color w:val="auto"/>
              </w:rPr>
            </w:pPr>
          </w:p>
        </w:tc>
        <w:tc>
          <w:tcPr>
            <w:tcW w:w="1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are no transactions between geographic areas.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953" w:right="1440" w:bottom="1440" w:gutter="0" w:footer="0" w:header="0"/>
        </w:sectPr>
      </w:pPr>
    </w:p>
    <w:bookmarkStart w:id="19" w:name="page20"/>
    <w:bookmarkEnd w:id="19"/>
    <w:p>
      <w:pPr>
        <w:jc w:val="center"/>
        <w:ind w:right="323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239"/>
        <w:spacing w:after="0" w:line="237" w:lineRule="auto"/>
        <w:rPr>
          <w:sz w:val="20"/>
          <w:szCs w:val="20"/>
          <w:color w:val="auto"/>
        </w:rPr>
      </w:pPr>
      <w:r>
        <w:rPr>
          <w:rFonts w:ascii="Courier New" w:cs="Courier New" w:eastAsia="Courier New" w:hAnsi="Courier New"/>
          <w:sz w:val="15"/>
          <w:szCs w:val="15"/>
          <w:color w:val="auto"/>
        </w:rPr>
        <w:t>FORM 10-Q</w:t>
      </w:r>
    </w:p>
    <w:p>
      <w:pPr>
        <w:spacing w:after="0" w:line="16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September 30, 2002</w:t>
      </w:r>
    </w:p>
    <w:p>
      <w:pPr>
        <w:spacing w:after="0" w:line="341" w:lineRule="exact"/>
        <w:rPr>
          <w:sz w:val="20"/>
          <w:szCs w:val="20"/>
          <w:color w:val="auto"/>
        </w:rPr>
      </w:pPr>
    </w:p>
    <w:p>
      <w:pPr>
        <w:ind w:left="1220" w:right="3319" w:hanging="1311"/>
        <w:spacing w:after="0" w:line="234" w:lineRule="auto"/>
        <w:tabs>
          <w:tab w:leader="none" w:pos="120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341" w:lineRule="exact"/>
        <w:rPr>
          <w:sz w:val="20"/>
          <w:szCs w:val="20"/>
          <w:color w:val="auto"/>
        </w:rPr>
      </w:pPr>
    </w:p>
    <w:p>
      <w:pPr>
        <w:ind w:left="340" w:right="3239" w:firstLine="437"/>
        <w:spacing w:after="0" w:line="237"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and Notes thereto of Federal Realty Investment Trust (the "Trust"). This Quarterly Report on Form 10-Q contains "forward-looking statements", within the meaning of Section 27A of the Securities Act of 1933, as amended (the "Securities Act"), and Section 21E of the Securities Exchange Act of 1934, as amended (the "Exchange Act"). Also, documents that the Trust subsequently files with the Securities and Exchange Commission (the "SEC") will contain forward-looking statements. The statements made herein are not all inclusive, particularly with respect to possible future events, and should be read together with other filings made by the Trust under the Securities Act and the Exchange Act. Including the risks and other risk factors contained in the Trust's Form 10-K for the fiscal year ended December 31, 2001.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w:t>
      </w:r>
    </w:p>
    <w:p>
      <w:pPr>
        <w:spacing w:after="0" w:line="169" w:lineRule="exact"/>
        <w:rPr>
          <w:sz w:val="20"/>
          <w:szCs w:val="20"/>
          <w:color w:val="auto"/>
        </w:rPr>
      </w:pPr>
    </w:p>
    <w:p>
      <w:pPr>
        <w:ind w:left="780" w:hanging="433"/>
        <w:spacing w:after="0"/>
        <w:tabs>
          <w:tab w:leader="none" w:pos="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business strategy;</w:t>
      </w:r>
    </w:p>
    <w:p>
      <w:pPr>
        <w:spacing w:after="0" w:line="5" w:lineRule="exact"/>
        <w:rPr>
          <w:sz w:val="20"/>
          <w:szCs w:val="20"/>
          <w:color w:val="auto"/>
        </w:rPr>
      </w:pPr>
    </w:p>
    <w:p>
      <w:pPr>
        <w:ind w:left="780" w:right="3319" w:hanging="433"/>
        <w:spacing w:after="0" w:line="234" w:lineRule="auto"/>
        <w:tabs>
          <w:tab w:leader="none" w:pos="7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business conditions which will affect the credit worthiness of tenants;</w:t>
      </w:r>
    </w:p>
    <w:p>
      <w:pPr>
        <w:ind w:left="780" w:hanging="433"/>
        <w:spacing w:after="0" w:line="237" w:lineRule="auto"/>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availability and cost;</w:t>
      </w:r>
    </w:p>
    <w:p>
      <w:pPr>
        <w:ind w:left="780" w:hanging="433"/>
        <w:spacing w:after="0" w:line="237" w:lineRule="auto"/>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retailing trends and rental rates;</w:t>
      </w:r>
    </w:p>
    <w:p>
      <w:pPr>
        <w:spacing w:after="0" w:line="5" w:lineRule="exact"/>
        <w:rPr>
          <w:rFonts w:ascii="Courier New" w:cs="Courier New" w:eastAsia="Courier New" w:hAnsi="Courier New"/>
          <w:sz w:val="15"/>
          <w:szCs w:val="15"/>
          <w:color w:val="auto"/>
        </w:rPr>
      </w:pPr>
    </w:p>
    <w:p>
      <w:pPr>
        <w:ind w:left="780" w:right="3239" w:hanging="433"/>
        <w:spacing w:after="0" w:line="235" w:lineRule="auto"/>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of real estate development and acquisitions, including the risk that potential acquisitions or development projects may not perform in accordance with expectations;</w:t>
      </w:r>
    </w:p>
    <w:p>
      <w:pPr>
        <w:spacing w:after="0" w:line="5" w:lineRule="exact"/>
        <w:rPr>
          <w:rFonts w:ascii="Courier New" w:cs="Courier New" w:eastAsia="Courier New" w:hAnsi="Courier New"/>
          <w:sz w:val="15"/>
          <w:szCs w:val="15"/>
          <w:color w:val="auto"/>
        </w:rPr>
      </w:pPr>
    </w:p>
    <w:p>
      <w:pPr>
        <w:ind w:left="780" w:right="3239" w:hanging="433"/>
        <w:spacing w:after="0" w:line="235" w:lineRule="auto"/>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satisfy the rules to qualify for taxation as a REIT for federal income tax purposes and to operate effectively within the limitations imposed by these rules;</w:t>
      </w:r>
    </w:p>
    <w:p>
      <w:pPr>
        <w:spacing w:after="0" w:line="5" w:lineRule="exact"/>
        <w:rPr>
          <w:rFonts w:ascii="Courier New" w:cs="Courier New" w:eastAsia="Courier New" w:hAnsi="Courier New"/>
          <w:sz w:val="15"/>
          <w:szCs w:val="15"/>
          <w:color w:val="auto"/>
        </w:rPr>
      </w:pPr>
    </w:p>
    <w:p>
      <w:pPr>
        <w:ind w:left="780" w:right="3319" w:hanging="433"/>
        <w:spacing w:after="0" w:line="235" w:lineRule="auto"/>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approvals, actions and initiatives including the need for compliance with environmental and safety requirements, and changes in laws and regulations or the interpretation thereof; and</w:t>
      </w:r>
    </w:p>
    <w:p>
      <w:pPr>
        <w:spacing w:after="0" w:line="5" w:lineRule="exact"/>
        <w:rPr>
          <w:rFonts w:ascii="Courier New" w:cs="Courier New" w:eastAsia="Courier New" w:hAnsi="Courier New"/>
          <w:sz w:val="15"/>
          <w:szCs w:val="15"/>
          <w:color w:val="auto"/>
        </w:rPr>
      </w:pPr>
    </w:p>
    <w:p>
      <w:pPr>
        <w:ind w:left="780" w:right="3239" w:hanging="433"/>
        <w:spacing w:after="0" w:line="234" w:lineRule="auto"/>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with other real estate companies, real estate projects and technology.</w:t>
      </w:r>
    </w:p>
    <w:p>
      <w:pPr>
        <w:spacing w:after="0" w:line="16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We identify forward-looking statements by using words or</w:t>
      </w:r>
    </w:p>
    <w:p>
      <w:pPr>
        <w:spacing w:after="0" w:line="1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617" w:right="1440" w:bottom="1440" w:gutter="0" w:footer="0" w:header="0"/>
        </w:sectPr>
      </w:pPr>
    </w:p>
    <w:bookmarkStart w:id="20" w:name="page21"/>
    <w:bookmarkEnd w:id="20"/>
    <w:p>
      <w:pPr>
        <w:ind w:right="3239"/>
        <w:spacing w:after="0" w:line="236" w:lineRule="auto"/>
        <w:rPr>
          <w:sz w:val="20"/>
          <w:szCs w:val="20"/>
          <w:color w:val="auto"/>
        </w:rPr>
      </w:pPr>
      <w:r>
        <w:rPr>
          <w:rFonts w:ascii="Courier New" w:cs="Courier New" w:eastAsia="Courier New" w:hAnsi="Courier New"/>
          <w:sz w:val="15"/>
          <w:szCs w:val="15"/>
          <w:color w:val="auto"/>
        </w:rPr>
        <w:t>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Trust is an equity real estate investment trust specializing in the ownership, management, development and redevelopment of high quality retail and mixed-use properties. The Trust operates its portfolio of properties in three geographic operating regions: Northeast, Mid-Atlantic and West. As of September 30, 2002, the Trust owns or has an interest in 58 community and neighborhood shopping centers comprising over 12 million square feet, primarily located in densely populated and affluent communities throughout the Northeast and Mid-Atlantic United States. In addition, the Trust owns 55 urban and retail mixed-use properties comprising over 2 million square feet located in strategic metropolitan markets across the United States and one apartment complex. The Trust's properties were 95.5% leased at September 30, 2002.</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Federal Realty meets its liquidity requirements through net cash provided by operating activities, along with debt and equity funding alternatives available to it. A significant portion of cash provided by operating activities is distributed to common and preferred shareholders in the form of dividends. Accordingly, substantial capital outlays for property acquisitions, major renovation and development projects and balloon debt repayments generally require debt or equity funding. Proceeds from the sale of selected assets provides an additional source of capital. From 1998 until November 2001, the Trust relied primarily on debt to fund these capital needs, and accordingly, debt as a percentage of total capitalization steadily increased over that period. In November 2001 the Trust issued $135 million of preferred stock and in June 2002 the Trust issued 2.2 million common shares at $25.98 per share, netting $56.6 million, after all expenses of the offering and debt as a percentage of total capitalization has therefore decreased. In the future, the Trust will look to common, preferred and joint-venture equity in addition to debt and property dispositions to fund capital needs.</w:t>
      </w:r>
    </w:p>
    <w:p>
      <w:pPr>
        <w:spacing w:after="0" w:line="33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Net cash provided by operating activities was $96.9 million in the first nine months of 2002 and $88.3 million in the first nine months of 2001 of which $71.2 million and $60.0 million, respectively, was distributed to shareholders. As more fully described below, contributions from newly acquired, retenanted, redeveloped and development properties, such as Pentagon Row, were the primary sources of this increase.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1" w:name="page22"/>
    <w:bookmarkEnd w:id="21"/>
    <w:p>
      <w:pPr>
        <w:ind w:right="3239" w:firstLine="437"/>
        <w:spacing w:after="0" w:line="236" w:lineRule="auto"/>
        <w:rPr>
          <w:sz w:val="20"/>
          <w:szCs w:val="20"/>
          <w:color w:val="auto"/>
        </w:rPr>
      </w:pPr>
      <w:r>
        <w:rPr>
          <w:rFonts w:ascii="Courier New" w:cs="Courier New" w:eastAsia="Courier New" w:hAnsi="Courier New"/>
          <w:sz w:val="15"/>
          <w:szCs w:val="15"/>
          <w:color w:val="auto"/>
        </w:rPr>
        <w:t>Net cash used in investing activities was $168.1 million during the first nine months of 2002 and $185.2 million during the first nine months of 2001. No real estate was acquired in the first nine months of 2002. Cash outlays to acquire real estate in the first nine months of 2001 totaled $58.1 million. During these two periods, the Trust expended an additional $181.2 million and $146.7 million, respectively, in capital improvements to its properties. The Trust invested $8.7 million during the first nine months of 2002 and $823,000 during the first nine months of 2001 in mortgage notes receivable with an average weighted interest rate of 11.7% and 10%, respectively. $14.4 million and $4.2 million of notes receivable were repaid during the first nine months of 2002 and 2001, respectively.</w:t>
      </w:r>
    </w:p>
    <w:p>
      <w:pPr>
        <w:spacing w:after="0" w:line="18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February 1, 2002 the Trust received the minority partner's interest in Santana Row in exchange for a $2.6 million investment in a partnership. A $5.9 million loan made by the Trust to the partnership on January 12, 2001 is due January 12, 2003.</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April 11, 2002 the Trust sold the street retail property located at 252 Greenwich Avenue in Greenwich, Connecticut for $16.5 million resulting in a gain of $7.0 million.</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On April 30, 2002 the Trust sold three street retail properties, two in Westport, Connecticut and one in Westfield, New Jersey, for $19.2 million resulting in a gain of $6.9 million.</w:t>
      </w:r>
    </w:p>
    <w:p>
      <w:pPr>
        <w:spacing w:after="0" w:line="174" w:lineRule="exact"/>
        <w:rPr>
          <w:sz w:val="20"/>
          <w:szCs w:val="20"/>
          <w:color w:val="auto"/>
        </w:rPr>
      </w:pPr>
    </w:p>
    <w:p>
      <w:pPr>
        <w:ind w:right="3839" w:firstLine="437"/>
        <w:spacing w:after="0" w:line="261" w:lineRule="auto"/>
        <w:rPr>
          <w:sz w:val="20"/>
          <w:szCs w:val="20"/>
          <w:color w:val="auto"/>
        </w:rPr>
      </w:pPr>
      <w:r>
        <w:rPr>
          <w:rFonts w:ascii="Courier New" w:cs="Courier New" w:eastAsia="Courier New" w:hAnsi="Courier New"/>
          <w:sz w:val="14"/>
          <w:szCs w:val="14"/>
          <w:color w:val="auto"/>
        </w:rPr>
        <w:t>On June 6, 2002 the Trust sold the Uptown Shopping Center located in Portland, Oregon for $20.8 million resulting in a gain of $4.5 million.</w:t>
      </w:r>
    </w:p>
    <w:p>
      <w:pPr>
        <w:spacing w:after="0" w:line="16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proceeds from the sales of the four street retail properties and the Uptown Shopping Center were deposited in escrow with a qualified intermediary for purposes of executing tax-deferred property exchanges. On October 10, 2002 and October 28, 2002 proceeds of $16.1 million and $18.7 million, respectively, previously held by the qualified intermediary from the April 2002 sales of the street retail properties were released to the Trust as the Trust elected not to acquire any of the previously identified exchange properties. The October 10, 2002 proceeds of $16.1 million were used to pay down the Santana Row construction loan by $16.0 million. The October 28, 2002 proceeds of $18.7 million were used to pay down the Trust's syndicated credit facility.</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On June 18, 2002 a partnership, in which a subsidiary of the Trust is the general partner, sold the street retail property located at 6410 Hollywood Boulevard in Hollywood, California for $2.3 million resulting in a gain of $700,000. The proceeds from the sale were received by the partnership at closing. In addition, on June 20, 2002 the proceeds of $6 million previously held by a qualified intermediary from the 2001 sale of the street retail property located at 101 East Oak Street in Chicago, Illinois were released to the Trust.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2" w:name="page23"/>
    <w:bookmarkEnd w:id="22"/>
    <w:p>
      <w:pPr>
        <w:ind w:right="3239" w:firstLine="437"/>
        <w:spacing w:after="0" w:line="236" w:lineRule="auto"/>
        <w:rPr>
          <w:sz w:val="20"/>
          <w:szCs w:val="20"/>
          <w:color w:val="auto"/>
        </w:rPr>
      </w:pPr>
      <w:r>
        <w:rPr>
          <w:rFonts w:ascii="Courier New" w:cs="Courier New" w:eastAsia="Courier New" w:hAnsi="Courier New"/>
          <w:sz w:val="15"/>
          <w:szCs w:val="15"/>
          <w:color w:val="auto"/>
        </w:rPr>
        <w:t>Of the $181.2 million spent in the first nine months of 2002 on the Trust's existing real estate portfolio, approximately $149.4 million was invested in development projects in San Jose, California and in Arlington, Virginia. The remaining $31.8 million of capital expenditures relates to improvements to common areas, tenant work and various redevelopments including the Congressional Apartments in Rockville, Maryland, the completion of tenant work at the Trust's Woodmont East development in Bethesda, Maryland and the redevelopment of retail buildings in San Antonio, Texas.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cash provided by financing activities, before dividend payments,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$149.6 million in the first nine months of 2002 and $160.2 million in the first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of 2001. During the first nine months of 2002 the Trust borrowed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$89.3 million and $1.3 million on its Santana Row and Woodmont East construction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respectively. The $56.6 million of proceeds from a 2.2 million share</w:t>
      </w:r>
    </w:p>
    <w:p>
      <w:pPr>
        <w:spacing w:after="0" w:line="237" w:lineRule="auto"/>
        <w:rPr>
          <w:sz w:val="20"/>
          <w:szCs w:val="20"/>
          <w:color w:val="auto"/>
        </w:rPr>
      </w:pPr>
      <w:r>
        <w:rPr>
          <w:rFonts w:ascii="Courier New" w:cs="Courier New" w:eastAsia="Courier New" w:hAnsi="Courier New"/>
          <w:sz w:val="15"/>
          <w:szCs w:val="15"/>
          <w:color w:val="auto"/>
        </w:rPr>
        <w:t>common stock offering in June 2002 were used to pay down on the Trust's</w:t>
      </w:r>
    </w:p>
    <w:p>
      <w:pPr>
        <w:spacing w:after="0" w:line="238" w:lineRule="auto"/>
        <w:rPr>
          <w:sz w:val="20"/>
          <w:szCs w:val="20"/>
          <w:color w:val="auto"/>
        </w:rPr>
      </w:pPr>
      <w:r>
        <w:rPr>
          <w:rFonts w:ascii="Courier New" w:cs="Courier New" w:eastAsia="Courier New" w:hAnsi="Courier New"/>
          <w:sz w:val="15"/>
          <w:szCs w:val="15"/>
          <w:color w:val="auto"/>
        </w:rPr>
        <w:t>syndicated credit facility, which the Trust uses to fund many capital needs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to obtaining longer term financing. Maturities of $25 million of 8% Senior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$289,000 of 5.25% Convertible Subordinated Debentures and a $3.4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were paid during the first nine months of 2002. At September 30, 2002 there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$65.0 million borrowed under this credit facility. The maximum amount drawn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first nine months of 2002 was $100.0 million. The weighted average</w:t>
      </w:r>
    </w:p>
    <w:p>
      <w:pPr>
        <w:spacing w:after="0" w:line="237" w:lineRule="auto"/>
        <w:rPr>
          <w:sz w:val="20"/>
          <w:szCs w:val="20"/>
          <w:color w:val="auto"/>
        </w:rPr>
      </w:pPr>
      <w:r>
        <w:rPr>
          <w:rFonts w:ascii="Courier New" w:cs="Courier New" w:eastAsia="Courier New" w:hAnsi="Courier New"/>
          <w:sz w:val="15"/>
          <w:szCs w:val="15"/>
          <w:color w:val="auto"/>
        </w:rPr>
        <w:t>interest rate on borrowings for the nine months ended September 30, 2002 was</w:t>
      </w:r>
    </w:p>
    <w:p>
      <w:pPr>
        <w:spacing w:after="0" w:line="238" w:lineRule="auto"/>
        <w:rPr>
          <w:sz w:val="20"/>
          <w:szCs w:val="20"/>
          <w:color w:val="auto"/>
        </w:rPr>
      </w:pPr>
      <w:r>
        <w:rPr>
          <w:rFonts w:ascii="Courier New" w:cs="Courier New" w:eastAsia="Courier New" w:hAnsi="Courier New"/>
          <w:sz w:val="15"/>
          <w:szCs w:val="15"/>
          <w:color w:val="auto"/>
        </w:rPr>
        <w:t>2.7%. The facility requires fees and has various covenants including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maintenance of a minimum shareholders' equity and a maximum ratio of debt to net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worth. As of October 28, 2002 there was $63.0 million borrowed under the credit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a result of the fire at Santana Row both Moody's Investors Service ("Moody's") and Standard &amp; Poor's Ratings Service ("S&amp;P") placed the Trust's credit rating under review. On October 3, 2002 Moody's confirmed its Baa2 senior unsecured debt rating for the Trust and concurrently changed its rating outlook to negative from stable. On October 9, 2002 S&amp;P affirmed its BBB corporate credit rating with an outlook of stable.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Capital requirements for the remainder of 2002 will depend upon acquisition opportunities, the rate of completion of Santana Row and the level of improvements and redevelopments on existing properties. The Trust's credit facility, with $235 million available at September 30, 2002, and the $120 million remaining on the Santana Row construction loan, after the $16 million pay down on October 10, 2002 reduced the loan availability to $279 million, are anticipated to be sufficient to fund the Trust's acquisition, development and redevelopment needs through the end of 2002. In addition, the Trust currently has $20 million, after the $35 million receipt of proceeds from the 2002 sales of the four street retail properties, being held in escrow by a qualified intermediary for purposes of executing tax-deferred property exchanges, available to fund acquisition activity.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3" w:name="page24"/>
    <w:bookmarkEnd w:id="23"/>
    <w:p>
      <w:pPr>
        <w:ind w:right="3319" w:firstLine="437"/>
        <w:spacing w:after="0" w:line="256" w:lineRule="auto"/>
        <w:rPr>
          <w:sz w:val="20"/>
          <w:szCs w:val="20"/>
          <w:color w:val="auto"/>
        </w:rPr>
      </w:pPr>
      <w:r>
        <w:rPr>
          <w:rFonts w:ascii="Courier New" w:cs="Courier New" w:eastAsia="Courier New" w:hAnsi="Courier New"/>
          <w:sz w:val="14"/>
          <w:szCs w:val="14"/>
          <w:color w:val="auto"/>
        </w:rPr>
        <w:t>Longer term, the Trust will need additional capital in order to fund acquisitions, expansions and redevelopments and to refinance its maturing debt. Sources of this funding may be additional debt, both secured and unsecured, additional equity and joint venture relationships. In addition, the Trust may sell or exchange certain of its properties as a source of funding.</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Santana Row</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2002, the Trust's single largest capital need is the development of Santana Row, a multi-phase mixed-use project being built on 42 acres in San Jose, California in the heart of Silicon Valley. The project will consist of residential, retail and hotel components, creating a community with the feel of an urban district.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August 19, 2002 a fire broke out at Building Seven in the Santana Row project. Building Seven contained approximately 87,000 square feet of retail space, approximately 1,000 parking spaces and 246 residential units. All but eleven of the residential units in the building, which were originally scheduled to open in early 2003, were destroyed. The retail units and parking structure sustained water and smoke damage but were not structurally impaired. The opening of these retail units, originally scheduled for September 2002, will be delayed until early 2003. The damage related to the fire was limited almost entirely to this single building. The Trust believes that it has adequate insurance coverage to substantially cover its losses from the fire. The Trust estimates the insurance claim to be in the range of $70 million to $90 million which includes costs to clean-up, repair and rebuild as well as soft costs and lost rents. The cause of the fire has yet to be determined but will not affect the Trust's insurance claim. On October 22, 2002 a $20 million insurance reimbursement was advanced by the insurance carrier bringing the total amount received to date to $21 million. This advance, which is being held in escrow by the construction lender, will be used to either fund the Building Seven clean-up and rebuilding costs or pay down the construction loan, at the option of the Trust.</w:t>
      </w:r>
    </w:p>
    <w:p>
      <w:pPr>
        <w:spacing w:after="0" w:line="33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a result of the fire and the resulting delay in the opening of the project from September 19, 2002 the Trust has redefined Phase 1 of the Santana Row project. The redefined Phase 1 of the project includes Santana Row, the "1,500 foot long main street" and eight buildings which will contain approximately 445,000 square feet of retail space, 255 residential units, a 214 room hotel and the supporting infrastructure. The first building, containing 40,000 square feet and occupied by Crate &amp; Barrel, opened on June 27, 2002. Seven buildings comprising approximately 400,000 square feet of retail space are expected to be substantially completed during the fourth quarter of 2002 with a rescheduled opening date of November 7, 2002. The Trust estimates the total cost of the redefined Phase 1 to be approximately $445 million, net of insurance proceeds. As of September 30, 2002, the Trust has incurred costs of $396 million including the purchase of the land, costs associated with the Building Seven fire and related cleanup, before any insurance reimbursements, and costs for future phases of the project. The Trust estimates that it will spend approximately $68 million, before insurance reimbursements, in the fourth</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quarter of 2002 relating to the first phase of the project.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Trust is evaluating its Building Seven residential options and alternatives taking into account costs incurred to date, costs to rebuild and market conditions. The Trust believes that it will be able to rebuild an economically viable residential component for Building Seven.</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On April 17, 2001, the Trust closed on a $295 million construction loan. The loan, which initially bears interest at LIBOR plus 212.5 basis points, matures April 16, 2004 with two one-year extension options, subject to certain operating and other conditions. The interest rate on the loan will decrease to LIBOR plus 187.5 basis points then to LIBOR plus 162.5 basis points upon the achievement of certain leasing, occupancy and net operating income hurdles. There is no assurance that these conditions and hurdles will be met. The construction loan requires fees and has various covenants including the maintenance of a minimum shareholders' equity and a maximum ratio of debt to gross asset value. As of September 30, 2002, $151.3 million was borrowed under the loan. As of October 28, 2002 there was $159.4 million borrowed under the construction loan, reflecting additional loan draws of $24.1 million less the loan pay down of $16.0 million, which reduced the loan availability from $295 million to $279 million. As a result of the fire at Santana Row, the construction lender has the option to halt funding on the construction loan. The Trust has had discussions with the lender and the Trust has agreed to fund the Building Seven clean-up and rebuilding costs from its syndicated credit facility and from insurance proceeds and has agreed with the lender to fund all other Phase 1 costs of the project through the construction loan. The lender has funded two draw requests since the fire totalling $24.1 million and a third draw request is anticipated to be funded by the end of October 2002.</w:t>
      </w:r>
    </w:p>
    <w:p>
      <w:pPr>
        <w:spacing w:after="0" w:line="34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success of Santana Row will depend on many factors which cannot be assured and are not entirely within the Trust's control. These factors include among others, the demand for retail and residential space, the cost of operations, including utilities and insurance, the availability and cost of capital and the general economy, particularly in the Silicon Valley.</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has not determined the scope of future phases of Santana Row and will not do so until the success of Phase 1 and future demand for rental space is determined. However, as Phase 1 utilizes only part of the retail and residential entitlements of the property, and as Phase 1 contains infrastructure for future phases, the Trust expects to identify and execute economically viable additional phases to the project.</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The original contractor filed a counterclaim against the Trust and the residential developer. On May 9, 2002 the Trust and the residential developer entered into a settlement agreement with the original contractor in which a full settlement, totaling $5 million payable to the Trust and the residential developer, was reached for all claims and counterclaims between the parties involved. On June 7, 2002 the original contractor paid into an escrow account the agreed upon settlement amount. This settlement was distributed, $3 million to the Trust, which offset the Trust's cost of the development, and $2 million to the residential developer, in July 2002.</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 is currently committed to invest approximately $8.0 million in six restaurant joint ventures in lieu of tenant allowances. The Trust will participate in profits, losses and cash flow in accordance with the terms of each individual venture but does not manage to otherwise control day to day operations of each venture. As of September 30, 2002 the Trust has invested $4.1 million; $2.8 million of which has been capitalized and $1.3 million of which has been expensed in 2002 to reflect the Trust's estimate of the permanent impairment of its investment in two of these ventures due principally to declining economic conditions. The Trust anticipates investing the remaining commitment of $3.9 million by the end of the first quarter of 2003.</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terms of the Congressional Plaza partnership agreement, from and after January 1, 1986 Rockville Plaza Company ("RPC"), an unaffiliated third party, has the right to require the Trust and the two other minority partners to purchase from half to all of RPC's 37.5% interest in Congressional Plaza at the interest's then-current fair market value. Based on management's current estimate of fair market value, the Trust's estimated liability upon exercise of the put option is approximately $27.5 million. In conjunction with a redevelopment currently taking place at the property, the Trust has agreed to acquire an additional 7.5% interest in Congressional Plaza from RPC in exchange for funding approximately $7 million of RPC's share of the redevelopment cost. This funding will take place through 2002 and the transaction will be completed in 2003.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26" w:name="page27"/>
    <w:bookmarkEnd w:id="26"/>
    <w:p>
      <w:pPr>
        <w:ind w:right="3399" w:firstLine="437"/>
        <w:spacing w:after="0" w:line="236" w:lineRule="auto"/>
        <w:rPr>
          <w:sz w:val="20"/>
          <w:szCs w:val="20"/>
          <w:color w:val="auto"/>
        </w:rPr>
      </w:pPr>
      <w:r>
        <w:rPr>
          <w:rFonts w:ascii="Courier New" w:cs="Courier New" w:eastAsia="Courier New" w:hAnsi="Courier New"/>
          <w:sz w:val="15"/>
          <w:szCs w:val="15"/>
          <w:color w:val="auto"/>
        </w:rPr>
        <w:t>Under the terms of various other partnerships which own shopping center properties with a cost of approximately $71 million, the partners may exchange their 796,773 operating units for cash or the same number of common shares of the Trust, at the option of the Trust. During the second quarter of 2002 the Trust issued 100,000 common shares of the Trust valued at $2.8 million in exchange for 100,000 operating units and cash of $205,000 in exchange for an additional 7,816 operating units.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the Trust to purchase their partnership interests at a formula price based upon net operating income. The purchase price may be paid in cash or, for two of the partnerships, a limited number of common shares of the Trust at the election of the other partners. In certain of these partnerships, if the other partners do not redeem their interest, the Trust may choose to purchase the limited partnership interests upon the same terms.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Trust has historically reported its funds from operations ("FFO") in addition to its net income and net cash provided by operating activities. FFO is a supplemental measure of real estate companies' operating performance. The National Association of Real Estate Investment Trusts ("NAREIT") defines FFO as follows: income available for common shareholders before depreciation and amortization of real estate assets and before extraordinary items less gains on sale of real estate. NAREIT developed FFO as a relative measure of performance and liquidity of an equity REIT in order to recognize that the value of income-producing real estate historically has not depreciated on the basis determined under GAAP. FFO does not represent cash flows from operating activities in accordance with GAAP (which, unlike FFO, generally reflects all cash effects of transactions and other events in the determination of net income) and should not be considered an alternative to net income as an indication of the Trust's performance or to cash flow as a measure of liquidity or ability to pay dividends. The Trust considers FFO a meaningful, additional measure of operating performance because it primarily excludes the assumption that the value of the real estate assets diminishes predictably over time, and because industry analysts have accepted it as a performance measure. Comparison of the Trust's presentation of FFO to similarly titled measures for other REITs may not necessarily be meaningful due to possible differences in the application of the NAREIT definition used by such REITs.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27" w:name="page28"/>
    <w:bookmarkEnd w:id="27"/>
    <w:p>
      <w:pPr>
        <w:ind w:left="440"/>
        <w:spacing w:after="0"/>
        <w:rPr>
          <w:sz w:val="20"/>
          <w:szCs w:val="20"/>
          <w:color w:val="auto"/>
        </w:rPr>
      </w:pPr>
      <w:r>
        <w:rPr>
          <w:rFonts w:ascii="Courier New" w:cs="Courier New" w:eastAsia="Courier New" w:hAnsi="Courier New"/>
          <w:sz w:val="15"/>
          <w:szCs w:val="15"/>
          <w:color w:val="auto"/>
        </w:rPr>
        <w:t>The reconciliation of net income to funds from operations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2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Nine months ending</w:t>
            </w:r>
          </w:p>
        </w:tc>
      </w:tr>
      <w:tr>
        <w:trPr>
          <w:trHeight w:val="168"/>
        </w:trPr>
        <w:tc>
          <w:tcPr>
            <w:tcW w:w="5080" w:type="dxa"/>
            <w:vAlign w:val="bottom"/>
          </w:tcPr>
          <w:p>
            <w:pPr>
              <w:spacing w:after="0"/>
              <w:rPr>
                <w:sz w:val="14"/>
                <w:szCs w:val="14"/>
                <w:color w:val="auto"/>
              </w:rPr>
            </w:pPr>
          </w:p>
        </w:tc>
        <w:tc>
          <w:tcPr>
            <w:tcW w:w="23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 shareholders - basic</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$ 37,940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$ 45,619</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(Gain)on sale of real estate net of loss on</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abandoned developments held for sale</w:t>
            </w:r>
          </w:p>
        </w:tc>
        <w:tc>
          <w:tcPr>
            <w:tcW w:w="1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(9,454)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 of real estate</w:t>
            </w: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43,672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40,139</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initial direct costs of leases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attributable to operating partnership units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1,049</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 for common shareholders</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$ 76,481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$ 81,924</w:t>
            </w:r>
          </w:p>
        </w:tc>
      </w:tr>
      <w:tr>
        <w:trPr>
          <w:trHeight w:val="168"/>
        </w:trPr>
        <w:tc>
          <w:tcPr>
            <w:tcW w:w="50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SEPTEMBER 30, 2002 and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173" w:lineRule="exact"/>
        <w:rPr>
          <w:sz w:val="20"/>
          <w:szCs w:val="20"/>
          <w:color w:val="auto"/>
        </w:rPr>
      </w:pPr>
    </w:p>
    <w:p>
      <w:pPr>
        <w:ind w:right="440" w:firstLine="437"/>
        <w:spacing w:after="0" w:line="255"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6.5% from $201.2 million in the first nine months of 2001 to $214.2 million in the first nine months of 2002. On a same center basis, rental income increased 3.7%, due primarily to the favorable impact of redeveloped and retenanted centers, as well as increases associated with lease rollovers. Same center basis for the nine months ended September 30, 2002 excludes Williamsburg Shopping Center in Williamsburg, Virginia, 101 E. Oak Street in Chicago, Illinois and 70/10 Austin Street in Forest Hills, New York which were sold in 2001, Friendship Center in Washington, D.C. which was purchased on September 21, 2001, the office building located at 580 Market Street in San Francisco, California which was exchanged for the minority partner's interest in Santana Row and properties under development in 2001 and 2002, including Pentagon Row in Arlington, Virginia and Santana Row in San Jose, California. Same center basis, as defined above, includes properties which have been redeveloped or expanded. Same center rental income, excluding the contribution from property redevelopments and expansions, increased 3.0%.</w:t>
      </w:r>
    </w:p>
    <w:p>
      <w:pPr>
        <w:spacing w:after="0" w:line="163" w:lineRule="exact"/>
        <w:rPr>
          <w:sz w:val="20"/>
          <w:szCs w:val="20"/>
          <w:color w:val="auto"/>
        </w:rPr>
      </w:pPr>
    </w:p>
    <w:p>
      <w:pPr>
        <w:ind w:right="700" w:firstLine="437"/>
        <w:spacing w:after="0" w:line="255" w:lineRule="auto"/>
        <w:rPr>
          <w:sz w:val="20"/>
          <w:szCs w:val="20"/>
          <w:color w:val="auto"/>
        </w:rPr>
      </w:pPr>
      <w:r>
        <w:rPr>
          <w:rFonts w:ascii="Courier New" w:cs="Courier New" w:eastAsia="Courier New" w:hAnsi="Courier New"/>
          <w:sz w:val="14"/>
          <w:szCs w:val="14"/>
          <w:color w:val="auto"/>
        </w:rPr>
        <w:t>Other property income includes items, which although recurring, tend to fluctuate more than rental income from period to period, such as utility reimbursements, telephone income, merchant association dues, late fees, lease termination fees and temporary tenant income. Other property income increased 11.8% from $10.2 million in the first nine months of 2001 to $11.4 million in the first nine months of 2002 due to increases in lease termination fees, utility reimbursements and the income earned, including a one-time $800,000 perpetual easement payment from a residential developer that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0" w:right="879" w:hanging="349"/>
        <w:spacing w:after="0" w:line="254" w:lineRule="auto"/>
        <w:rPr>
          <w:sz w:val="20"/>
          <w:szCs w:val="20"/>
          <w:color w:val="auto"/>
        </w:rPr>
      </w:pPr>
      <w:r>
        <w:rPr>
          <w:rFonts w:ascii="Courier New" w:cs="Courier New" w:eastAsia="Courier New" w:hAnsi="Courier New"/>
          <w:sz w:val="14"/>
          <w:szCs w:val="14"/>
          <w:color w:val="auto"/>
        </w:rPr>
        <w:t>Three months ending September 30,</w:t>
      </w:r>
    </w:p>
    <w:p>
      <w:pPr>
        <w:ind w:left="180"/>
        <w:spacing w:after="0" w:line="231" w:lineRule="auto"/>
        <w:tabs>
          <w:tab w:leader="none" w:pos="112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8" w:lineRule="exact"/>
        <w:rPr>
          <w:sz w:val="20"/>
          <w:szCs w:val="20"/>
          <w:color w:val="auto"/>
        </w:rPr>
      </w:pPr>
    </w:p>
    <w:p>
      <w:pPr>
        <w:ind w:left="180" w:hanging="174"/>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13,648   $ 13,194</w:t>
      </w:r>
    </w:p>
    <w:p>
      <w:pPr>
        <w:spacing w:after="0" w:line="171" w:lineRule="exact"/>
        <w:rPr>
          <w:rFonts w:ascii="Courier New" w:cs="Courier New" w:eastAsia="Courier New" w:hAnsi="Courier New"/>
          <w:sz w:val="14"/>
          <w:szCs w:val="14"/>
          <w:color w:val="auto"/>
        </w:rPr>
      </w:pPr>
    </w:p>
    <w:p>
      <w:pPr>
        <w:ind w:left="1320" w:hanging="964"/>
        <w:spacing w:after="0"/>
        <w:tabs>
          <w:tab w:leader="none" w:pos="132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14,614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13,764</w:t>
            </w:r>
          </w:p>
        </w:tc>
      </w:tr>
      <w:tr>
        <w:trPr>
          <w:trHeight w:val="168"/>
        </w:trPr>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1,039</w:t>
            </w:r>
          </w:p>
        </w:tc>
      </w:tr>
      <w:tr>
        <w:trPr>
          <w:trHeight w:val="168"/>
        </w:trPr>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w:t>
            </w:r>
          </w:p>
        </w:tc>
      </w:tr>
      <w:tr>
        <w:trPr>
          <w:trHeight w:val="168"/>
        </w:trPr>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180" w:hanging="174"/>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29,700   $ 28,286</w:t>
      </w:r>
    </w:p>
    <w:p>
      <w:pPr>
        <w:spacing w:after="0" w:line="9"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2">
            <w:col w:w="7440" w:space="260"/>
            <w:col w:w="2539"/>
          </w:cols>
          <w:pgMar w:left="220" w:top="617" w:right="1440" w:bottom="1440" w:gutter="0" w:footer="0" w:header="0"/>
        </w:sectPr>
      </w:pPr>
    </w:p>
    <w:bookmarkStart w:id="28" w:name="page29"/>
    <w:bookmarkEnd w:id="28"/>
    <w:p>
      <w:pPr>
        <w:ind w:right="3239"/>
        <w:spacing w:after="0" w:line="258" w:lineRule="auto"/>
        <w:rPr>
          <w:sz w:val="20"/>
          <w:szCs w:val="20"/>
          <w:color w:val="auto"/>
        </w:rPr>
      </w:pPr>
      <w:r>
        <w:rPr>
          <w:rFonts w:ascii="Courier New" w:cs="Courier New" w:eastAsia="Courier New" w:hAnsi="Courier New"/>
          <w:sz w:val="14"/>
          <w:szCs w:val="14"/>
          <w:color w:val="auto"/>
        </w:rPr>
        <w:t>has commenced development on an adjacent site, at the Pentagon Row project which began phasing into service in the second quarter of 2001. On a same center basis, other property income remained constant at $9.4 million in each period.</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and other income includes interest earned on mortgage notes receivable, overnight cash investments, including tax-deferred exchange escrow deposits, as well as a provision for estimated losses related to various unconsolidated restaurant joint ventures. This provision of $1.3 million represents the Trust's best estimate of the diminution of value of these investments which the Trust believes to be permanent based upon the current economic climate surrounding these ventures. Interest and other income decreased $1.5 million from $5.3 million in 2001 to $3.8 million in 2002 due to these joint venture costs.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Rental expenses increased 9.3% from $45.1 million in the first nine months of 2001 to $49.3 million in the first nine months of 2002. Expenses for the Pentagon Row project and pre-opening and marketing expenses at Santana Row were the major causes of this increase. As a result of the pre-opening and marketing expenses at Santana Row, rental expense as a percentage of property income, rental income plus other property income, increased slightly from 21.3% in 2001 to 21.8% in 2002. On a same center basis, rental expenses decreased 3.5% from $43.0 million in 2001 to $41.5 million in 2002, primarily due to decreased snow removal costs and lower bad debt in 2002. Same center rental expense, excluding the effect of property redevelopments and expansions, decreased 4.5%.</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Real estate taxes increased 12.4% from $20.5 million in the first nine months of 2001 to $23.1 million in the first nine months of 2002. On a same center basis, real estate taxes increased 9.9% due primarily to increased taxes on recently redeveloped properties and overall increases in tax assessments. Same center real estate taxes, excluding the effect of property redevelopments and expansions, increased 8.8%.</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Depreciation and amortization expenses increased 9.8% from $43.6 million in the first nine months of 2001 to $47.8 million in the first nine months of 2002 reflecting the impact of recent new developments, tenant improvements and property redevelopments which were placed in service throughout 2001 and the first nine months of 2002.</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During the first nine months of 2002 the Trust incurred interest of $64.7 million, of which $19.4 million was capitalized, as compared to 2001's $65.1 million of which $12.7 million was capitalized. The modest decrease in interest expense is a result of lower interest expense on the Trust's syndicated credit facility, reflecting the pay-down on the credit facility with the proceeds from the November 2001 preferred stock offering and the June 2002 common stock offering, as well as lower interest rates on the Trust's variable rate debt offset by the additional construction debt issued to fund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29" w:name="page30"/>
    <w:bookmarkEnd w:id="29"/>
    <w:p>
      <w:pPr>
        <w:ind w:right="3239"/>
        <w:spacing w:after="0" w:line="255" w:lineRule="auto"/>
        <w:rPr>
          <w:sz w:val="20"/>
          <w:szCs w:val="20"/>
          <w:color w:val="auto"/>
        </w:rPr>
      </w:pPr>
      <w:r>
        <w:rPr>
          <w:rFonts w:ascii="Courier New" w:cs="Courier New" w:eastAsia="Courier New" w:hAnsi="Courier New"/>
          <w:sz w:val="14"/>
          <w:szCs w:val="14"/>
          <w:color w:val="auto"/>
        </w:rPr>
        <w:t>the Trust's capital improvement programs. The ratio of earnings to combined fixed charges (consisting of interest on borrowed funds, including capitalized interest, amortization of debt discount and expenses and the portion of rent expense representing an interest factor) and preferred dividends was 1.11x and 1.35x for the first nine months of 2002 and 2001, respectively. The ratio of earnings to fixed charges was 1.36x and 1.47x during the first nine months of 2002 and 2001, respectively. The ratio of earnings before interest, income taxes, depreciation and amortization ("EBITDA") to combined fixed charges and preferred dividends was 1.69x for the first nine months of 2002 and 1.93x for the first nine months of 2001. Excluding the one-time restructuring charge of $8.5 million in the first quarter of 2002, the Trust's ratio of earnings to combined fixed charges and preferred dividends was 1.22x and 1.35x for the first nine months of 2002 and 2001, respectively; the ratio of earnings to fixed charges was 1.49x and 1.47x during the first nine months of 2002 and 2001, respectively; and the ratio of EBITDA to combined fixed charges and preferred dividends was 1.80x for the first nine months of 2002 and 1.93x for the first nine months of 2001.</w:t>
      </w:r>
    </w:p>
    <w:p>
      <w:pPr>
        <w:spacing w:after="0" w:line="33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Administrative expenses increased 2.4% from $10.0 million for the nine months ended September 30, 2001 to $10.2 million for the nine months ended September 30, 2002. Administrative expenses as a percentage of revenue decreased from 4.6% in the first nine months of 2001 to 4.5% in the first nine months of 2002.</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February 28, 2002 the Trust adopted a new business plan which returns the Trust's primary focus to its traditional business of acquiring and redeveloping community and neighborhood shopping centers that are anchored by supermarkets, drug stores, or high volume, value oriented retailers that provide consumer necessities. The Trust will complete Bethesda Row, Pentagon Row and Santana Row but does not plan to develop any new large-scale, mixed-use, ground-up development projects. Rather, the Trust will seek to acquire income producing centers and may seek opportunities to develop ground-up grocery anchored shopping centers, all in and around the Trust's existing markets, and will identify and execute redevelopment opportunities in its existing portfolio. Concurrent with the adoption of the business plan, the Trust adopted a management succession plan and restructured its management team.</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this change in business plan the Trust recorded a charge of $18.2 million. This charge included a reserve for a restructuring charge of $8.5 million made up of $6.9 million of severance and other compensation costs for several senior officers of the Trust related to the management restructuring, as well as the write-off of $1.6 million of the Trust's development costs. All charges against the reserve, totaling $8.5 million, were expended during the first nine months of 2002. An additional component of the restructuring charge is an impairment loss of $9.7 million representing the estimated loss on the abandonment of development projects held for sale, primarily the Tanasbourne development project located in Portland, Oregon, thereby adjusting the value of these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30" w:name="page31"/>
    <w:bookmarkEnd w:id="30"/>
    <w:p>
      <w:pPr>
        <w:ind w:right="3399"/>
        <w:spacing w:after="0" w:line="256" w:lineRule="auto"/>
        <w:rPr>
          <w:sz w:val="20"/>
          <w:szCs w:val="20"/>
          <w:color w:val="auto"/>
        </w:rPr>
      </w:pPr>
      <w:r>
        <w:rPr>
          <w:rFonts w:ascii="Courier New" w:cs="Courier New" w:eastAsia="Courier New" w:hAnsi="Courier New"/>
          <w:sz w:val="14"/>
          <w:szCs w:val="14"/>
          <w:color w:val="auto"/>
        </w:rPr>
        <w:t>assets to their estimated fair value. The Trust is marketing these properties, components of the Trust's Western region, for sale. The current carrying value of these properties as of September 30, 2002, classified on the Trust's consolidated balance sheet as real estate under development, is $8.5 million.</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During the second quarter of 2002 the Trust sold six street retail properties for a combined gain of $19.1 million. Four of these properties were components of the Trust's Northeast region and two were components of the Trust's Western region. The gain on sale of real estate during the nine months ended September 30, 2002 was offset by the impairment loss of $9.7 million on the abandonment of developments held for sale.</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During the second quarter of 2001 the Trust sold the Williamsburg Shopping Center in Williamsburg, Virginia for $16.7 million resulting in a gain of $7.9 million.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Investors' share of operations represents the minority interest in the income of certain properties. The $600,000 decrease from $4.0 million for the first nine months of 2001 to $3.4 million for the first nine months of 2002 is due to the Trust's 2001 purchase of the minority interest in nine street retail buildings in southern California and three street retail buildings in Forest Hills, New York and the operating unit holders share of the first quarter 2002 loss.</w:t>
      </w:r>
    </w:p>
    <w:p>
      <w:pPr>
        <w:spacing w:after="0" w:line="176"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The net income from the six properties sold in 2002, reported as income from operations of discontinued assets, was $1.2 million and $2.6 million for the nine months ended September 30, 2002 and 2001, respectively.</w:t>
      </w:r>
    </w:p>
    <w:p>
      <w:pPr>
        <w:spacing w:after="0" w:line="16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a result of the foregoing items, income before gain on sale of real estate net of loss on abandoned developments held for sale and discontinued operations increased from $41.1 million during the first nine months of 2001 to $41.8 million during the first nine months of 2002, while net income increased from $51.6 million during the first nine months of 2001 to $52.5 million during the first nine months of 2002. Net income available for common shareholders decreased from $45.6 million during the first nine months of 2001 to a $37.9 million during the first nine months of 2002, as a result of the forgoing items and as a result of an increase of $8.6 million in preferred dividends on the 8.5% preferred shares issued in November 2001.</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Growth in net income and funds from operations during the remainder of 2002 will be primarily dependent on contributions from the core portfolio. Growth of net income from the core portfolio is, in part, dependent on the general economy, the financial health of the Trust's tenants and on controlling expenses, some of which are beyond the complete control of the Trust, such as snow removal, insurance and real estate tax assessments. The current weakening of the retail and overall economic environment could adversely impact</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1" w:name="page32"/>
    <w:bookmarkEnd w:id="31"/>
    <w:p>
      <w:pPr>
        <w:ind w:right="3319"/>
        <w:spacing w:after="0" w:line="236" w:lineRule="auto"/>
        <w:rPr>
          <w:sz w:val="20"/>
          <w:szCs w:val="20"/>
          <w:color w:val="auto"/>
        </w:rPr>
      </w:pPr>
      <w:r>
        <w:rPr>
          <w:rFonts w:ascii="Courier New" w:cs="Courier New" w:eastAsia="Courier New" w:hAnsi="Courier New"/>
          <w:sz w:val="15"/>
          <w:szCs w:val="15"/>
          <w:color w:val="auto"/>
        </w:rPr>
        <w:t>the Trust by increasing vacancies and decreasing rents. In past weak retail and real estate environments, however, the Trust has been able to replace weak and bankrupt tenants with stronger tenants; management believes that due to the quality of the Trust's properties there will continue to be demand for its space. The Trust's properties were 95.5% leased at September 30, 2002 and 95.8% leased at September 30, 2001.</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Growth in the core portfolio, however, will be offset by expenses at Santana Row. Leasing, marketing and pre-opening expenses at Santana Row prior to its scheduled opening in November, 2002 and additional depreciation and interest expense as the project is phased into operations will have a dilutive effect on 2002 and 2003 earnings.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Growth in net income is also dependent on the amount of the Trust's leverage and interest rates. The Trust's leverage is increasing as it finances its development projects. In addition, to the extent variable-rate debt is unhedged, the Trust will continue to have exposure to changes in market interest rates. If interest rates increase, net income and funds from operations, as well as the ultimate cost of the Trust's development and redevelopment projects, will be negatively impacted. Net income available for common shareholders' and funds from operations will also be reduced by the November 2001 issuance of the 8.5% Series B Cumulative Redeemable Preferred Shares.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Segment Results</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Historical operating results for the three regions are as follows (in thousands):</w:t>
      </w:r>
    </w:p>
    <w:p>
      <w:pPr>
        <w:spacing w:after="0" w:line="167"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For the nine months ended September 30,</w:t>
      </w:r>
    </w:p>
    <w:p>
      <w:pPr>
        <w:ind w:left="4560"/>
        <w:spacing w:after="0" w:line="237" w:lineRule="auto"/>
        <w:tabs>
          <w:tab w:leader="none" w:pos="584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Rental income</w:t>
      </w:r>
    </w:p>
    <w:tbl>
      <w:tblPr>
        <w:tblLayout w:type="fixed"/>
        <w:tblInd w:w="800" w:type="dxa"/>
        <w:tblCellMar>
          <w:top w:w="0" w:type="dxa"/>
          <w:left w:w="0" w:type="dxa"/>
          <w:bottom w:w="0" w:type="dxa"/>
          <w:right w:w="0" w:type="dxa"/>
        </w:tblCellMar>
      </w:tblPr>
      <w:tr>
        <w:trPr>
          <w:trHeight w:val="169"/>
        </w:trPr>
        <w:tc>
          <w:tcPr>
            <w:tcW w:w="1920" w:type="dxa"/>
            <w:vAlign w:val="bottom"/>
          </w:tcPr>
          <w:p>
            <w:pPr>
              <w:spacing w:after="0" w:line="169" w:lineRule="exact"/>
              <w:rPr>
                <w:sz w:val="20"/>
                <w:szCs w:val="20"/>
                <w:color w:val="auto"/>
              </w:rPr>
            </w:pPr>
            <w:r>
              <w:rPr>
                <w:rFonts w:ascii="Courier New" w:cs="Courier New" w:eastAsia="Courier New" w:hAnsi="Courier New"/>
                <w:sz w:val="15"/>
                <w:szCs w:val="15"/>
                <w:color w:val="auto"/>
              </w:rPr>
              <w:t>Northeast</w:t>
            </w:r>
          </w:p>
        </w:tc>
        <w:tc>
          <w:tcPr>
            <w:tcW w:w="266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$ 88,459</w:t>
            </w:r>
          </w:p>
        </w:tc>
        <w:tc>
          <w:tcPr>
            <w:tcW w:w="4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27"/>
              <w:spacing w:after="0" w:line="169" w:lineRule="exact"/>
              <w:rPr>
                <w:sz w:val="20"/>
                <w:szCs w:val="20"/>
                <w:color w:val="auto"/>
              </w:rPr>
            </w:pPr>
            <w:r>
              <w:rPr>
                <w:rFonts w:ascii="Courier New" w:cs="Courier New" w:eastAsia="Courier New" w:hAnsi="Courier New"/>
                <w:sz w:val="15"/>
                <w:szCs w:val="15"/>
                <w:color w:val="auto"/>
              </w:rPr>
              <w:t>86,651</w:t>
            </w:r>
          </w:p>
        </w:tc>
      </w:tr>
      <w:tr>
        <w:trPr>
          <w:trHeight w:val="168"/>
        </w:trPr>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Mid-Atlantic</w:t>
            </w:r>
          </w:p>
        </w:tc>
        <w:tc>
          <w:tcPr>
            <w:tcW w:w="2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100,728</w:t>
            </w:r>
          </w:p>
        </w:tc>
        <w:tc>
          <w:tcPr>
            <w:tcW w:w="44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90,408</w:t>
            </w:r>
          </w:p>
        </w:tc>
      </w:tr>
      <w:tr>
        <w:trPr>
          <w:trHeight w:val="168"/>
        </w:trPr>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West</w:t>
            </w:r>
          </w:p>
        </w:tc>
        <w:tc>
          <w:tcPr>
            <w:tcW w:w="2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25,055</w:t>
            </w:r>
          </w:p>
        </w:tc>
        <w:tc>
          <w:tcPr>
            <w:tcW w:w="44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24,118</w:t>
            </w:r>
          </w:p>
        </w:tc>
      </w:tr>
      <w:tr>
        <w:trPr>
          <w:trHeight w:val="168"/>
        </w:trPr>
        <w:tc>
          <w:tcPr>
            <w:tcW w:w="1920" w:type="dxa"/>
            <w:vAlign w:val="bottom"/>
          </w:tcPr>
          <w:p>
            <w:pPr>
              <w:spacing w:after="0"/>
              <w:rPr>
                <w:sz w:val="14"/>
                <w:szCs w:val="14"/>
                <w:color w:val="auto"/>
              </w:rPr>
            </w:pPr>
          </w:p>
        </w:tc>
        <w:tc>
          <w:tcPr>
            <w:tcW w:w="2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20" w:type="dxa"/>
            <w:vAlign w:val="bottom"/>
          </w:tcPr>
          <w:p>
            <w:pPr>
              <w:ind w:left="340"/>
              <w:spacing w:after="0"/>
              <w:rPr>
                <w:sz w:val="20"/>
                <w:szCs w:val="20"/>
                <w:color w:val="auto"/>
              </w:rPr>
            </w:pPr>
            <w:r>
              <w:rPr>
                <w:rFonts w:ascii="Courier New" w:cs="Courier New" w:eastAsia="Courier New" w:hAnsi="Courier New"/>
                <w:sz w:val="15"/>
                <w:szCs w:val="15"/>
                <w:color w:val="auto"/>
              </w:rPr>
              <w:t>Total</w:t>
            </w:r>
          </w:p>
        </w:tc>
        <w:tc>
          <w:tcPr>
            <w:tcW w:w="2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$214,242</w:t>
            </w:r>
          </w:p>
        </w:tc>
        <w:tc>
          <w:tcPr>
            <w:tcW w:w="16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$201,177</w:t>
            </w:r>
          </w:p>
        </w:tc>
      </w:tr>
      <w:tr>
        <w:trPr>
          <w:trHeight w:val="168"/>
        </w:trPr>
        <w:tc>
          <w:tcPr>
            <w:tcW w:w="1920" w:type="dxa"/>
            <w:vAlign w:val="bottom"/>
          </w:tcPr>
          <w:p>
            <w:pPr>
              <w:spacing w:after="0"/>
              <w:rPr>
                <w:sz w:val="14"/>
                <w:szCs w:val="14"/>
                <w:color w:val="auto"/>
              </w:rPr>
            </w:pPr>
          </w:p>
        </w:tc>
        <w:tc>
          <w:tcPr>
            <w:tcW w:w="2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20" w:type="dxa"/>
            <w:vAlign w:val="bottom"/>
          </w:tcPr>
          <w:p>
            <w:pPr>
              <w:spacing w:after="0"/>
              <w:rPr>
                <w:sz w:val="24"/>
                <w:szCs w:val="24"/>
                <w:color w:val="auto"/>
              </w:rPr>
            </w:pPr>
          </w:p>
        </w:tc>
        <w:tc>
          <w:tcPr>
            <w:tcW w:w="4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For the nine months ended September 30,</w:t>
            </w:r>
          </w:p>
        </w:tc>
      </w:tr>
      <w:tr>
        <w:trPr>
          <w:trHeight w:val="168"/>
        </w:trPr>
        <w:tc>
          <w:tcPr>
            <w:tcW w:w="1920" w:type="dxa"/>
            <w:vAlign w:val="bottom"/>
          </w:tcPr>
          <w:p>
            <w:pPr>
              <w:spacing w:after="0"/>
              <w:rPr>
                <w:sz w:val="14"/>
                <w:szCs w:val="14"/>
                <w:color w:val="auto"/>
              </w:rPr>
            </w:pPr>
          </w:p>
        </w:tc>
        <w:tc>
          <w:tcPr>
            <w:tcW w:w="2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11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operating income, including interest income on mortgage notes receivable</w:t>
      </w:r>
    </w:p>
    <w:tbl>
      <w:tblPr>
        <w:tblLayout w:type="fixed"/>
        <w:tblInd w:w="800" w:type="dxa"/>
        <w:tblCellMar>
          <w:top w:w="0" w:type="dxa"/>
          <w:left w:w="0" w:type="dxa"/>
          <w:bottom w:w="0" w:type="dxa"/>
          <w:right w:w="0" w:type="dxa"/>
        </w:tblCellMar>
      </w:tblPr>
      <w:tr>
        <w:trPr>
          <w:trHeight w:val="169"/>
        </w:trPr>
        <w:tc>
          <w:tcPr>
            <w:tcW w:w="2280" w:type="dxa"/>
            <w:vAlign w:val="bottom"/>
          </w:tcPr>
          <w:p>
            <w:pPr>
              <w:spacing w:after="0" w:line="169" w:lineRule="exact"/>
              <w:rPr>
                <w:sz w:val="20"/>
                <w:szCs w:val="20"/>
                <w:color w:val="auto"/>
              </w:rPr>
            </w:pPr>
            <w:r>
              <w:rPr>
                <w:rFonts w:ascii="Courier New" w:cs="Courier New" w:eastAsia="Courier New" w:hAnsi="Courier New"/>
                <w:sz w:val="15"/>
                <w:szCs w:val="15"/>
                <w:color w:val="auto"/>
              </w:rPr>
              <w:t>Northeast</w:t>
            </w:r>
          </w:p>
        </w:tc>
        <w:tc>
          <w:tcPr>
            <w:tcW w:w="2260" w:type="dxa"/>
            <w:vAlign w:val="bottom"/>
          </w:tcPr>
          <w:p>
            <w:pPr>
              <w:jc w:val="right"/>
              <w:ind w:right="267"/>
              <w:spacing w:after="0" w:line="169" w:lineRule="exact"/>
              <w:rPr>
                <w:sz w:val="20"/>
                <w:szCs w:val="20"/>
                <w:color w:val="auto"/>
              </w:rPr>
            </w:pPr>
            <w:r>
              <w:rPr>
                <w:rFonts w:ascii="Courier New" w:cs="Courier New" w:eastAsia="Courier New" w:hAnsi="Courier New"/>
                <w:sz w:val="15"/>
                <w:szCs w:val="15"/>
                <w:color w:val="auto"/>
              </w:rPr>
              <w:t>$ 67,264</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$ 64,299</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Mid-Atlantic</w:t>
            </w:r>
          </w:p>
        </w:tc>
        <w:tc>
          <w:tcPr>
            <w:tcW w:w="2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74,956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68,166</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West</w:t>
            </w:r>
          </w:p>
        </w:tc>
        <w:tc>
          <w:tcPr>
            <w:tcW w:w="2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15,241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16,769</w:t>
            </w:r>
          </w:p>
        </w:tc>
      </w:tr>
      <w:tr>
        <w:trPr>
          <w:trHeight w:val="168"/>
        </w:trPr>
        <w:tc>
          <w:tcPr>
            <w:tcW w:w="2280" w:type="dxa"/>
            <w:vAlign w:val="bottom"/>
          </w:tcPr>
          <w:p>
            <w:pPr>
              <w:spacing w:after="0"/>
              <w:rPr>
                <w:sz w:val="14"/>
                <w:szCs w:val="14"/>
                <w:color w:val="auto"/>
              </w:rPr>
            </w:pPr>
          </w:p>
        </w:tc>
        <w:tc>
          <w:tcPr>
            <w:tcW w:w="2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rPr>
                <w:sz w:val="14"/>
                <w:szCs w:val="14"/>
                <w:color w:val="auto"/>
              </w:rPr>
            </w:pPr>
          </w:p>
        </w:tc>
        <w:tc>
          <w:tcPr>
            <w:tcW w:w="2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$157,461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$149,234</w:t>
            </w:r>
          </w:p>
        </w:tc>
      </w:tr>
      <w:tr>
        <w:trPr>
          <w:trHeight w:val="168"/>
        </w:trPr>
        <w:tc>
          <w:tcPr>
            <w:tcW w:w="2280" w:type="dxa"/>
            <w:vAlign w:val="bottom"/>
          </w:tcPr>
          <w:p>
            <w:pPr>
              <w:spacing w:after="0"/>
              <w:rPr>
                <w:sz w:val="14"/>
                <w:szCs w:val="14"/>
                <w:color w:val="auto"/>
              </w:rPr>
            </w:pPr>
          </w:p>
        </w:tc>
        <w:tc>
          <w:tcPr>
            <w:tcW w:w="2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Northeast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Northeast region is comprised of forty-eight assets, extending from suburban Philadelphia north through New York and its suburbs into New England and west to Illinois and Michigan.</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When comparing the first nine months of 2002 with 2001, rental income increased 2.1% from $86.7 million in 2001 to $88.5 million in 2002. On a same center basis, excluding 101 E. Oak Street and 70/10 Austin Street which were sold in 2001, rental income increased 3.1% from $85.8 million in 2001 to $88.5 million in 2002, due to increases at recently redeveloped and retenanted shopping centers such as Bala Cynwyd, Brunswick, Dedham, Fresh Meadows and Wynnewood as well as increases associated with lease rollovers. Same center rental income, excluding the contribution from property redevelopments and expansions, increased 2.8%.</w:t>
      </w:r>
    </w:p>
    <w:p>
      <w:pPr>
        <w:spacing w:after="0" w:line="178"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Net operating income, including interest income on mortgage notes receivable, increased 4.6% from $64.3 million in 2001 to $67.3</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33" w:name="page34"/>
    <w:bookmarkEnd w:id="33"/>
    <w:p>
      <w:pPr>
        <w:ind w:right="3239"/>
        <w:spacing w:after="0" w:line="255" w:lineRule="auto"/>
        <w:rPr>
          <w:sz w:val="20"/>
          <w:szCs w:val="20"/>
          <w:color w:val="auto"/>
        </w:rPr>
      </w:pPr>
      <w:r>
        <w:rPr>
          <w:rFonts w:ascii="Courier New" w:cs="Courier New" w:eastAsia="Courier New" w:hAnsi="Courier New"/>
          <w:sz w:val="14"/>
          <w:szCs w:val="14"/>
          <w:color w:val="auto"/>
        </w:rPr>
        <w:t>million in 2002. On a same center basis, as defined above, net operating income increased 6.6% from $62.6 million in 2001 to $66.8 million in 2002, primarily due to increases at the recently redeveloped and retenanted shopping centers, lease rollovers and significantly lower common area maintenance costs, specifically snow removal costs. Same center net operating income, excluding the contribution from property redevelopments and expansions, increased 6.4%.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Mid-Atlantic</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Mid-Atlantic region is comprised of thirty-two assets, including Pentagon Row, which was substantially completed in 2002, extending from Baltimore south to metropolitan Washington, D.C. and further south through Virginia and North Carolina into Florida.</w:t>
      </w:r>
    </w:p>
    <w:p>
      <w:pPr>
        <w:spacing w:after="0" w:line="175"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When comparing the first nine months of 2002 with 2001, rental income increased 11.4% from $90.4 million in 2001 to $100.7 million in 2002. On a same center basis, excluding Williamsburg Shopping Center which was sold in 2001, Friendship Center which was purchased in 2001 and Pentagon Row which is being phased into service throughout 2001 and 2002, rental income increased 3.2%, due primarily to successful retenanting at several shopping centers and street retail properties, as well as the increased rental income from the Trust's Woodmont East project in Bethesda, Maryland which was open and occupied for a full nine months in 2002. These increases were offset by higher vacancy levels at three of the region's shopping centers. There were no significant contributions from redevelopments or expansions in this region during the nine months ended September 30 2002 and 2001.</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When comparing the first nine months of 2002 with 2001, net operating income increased 10.0% from $68.2 million in 2001 to $75.0 million in 2002. On the same center basis as defined above, net operating income increased 2.6%, with the increased rental income offset by increased real estate taxes.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West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Western region is comprised of thirty-four assets, including Santana Row, which is currently under development, extending from Texas to the West Coast.</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When comparing the first nine months of 2002 with 2001 on a same center basis, which excludes 580 Market Street which was exchanged for the minority partner's interest in Santana Row and Santana Row, which is currently under development, rental income increased 7.4% from $23.3 million in 2001 to $25.0 million in 2002, due to increases from the recently redeveloped and retenanted properties in the Los Angeles area, San Francisco and Los Gatos, California as well as increases associated with lease rollovers. Same center rental income, excluding the contribution from redevelopments and expansions, increased 4.4%. On an overall basis,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4" w:name="page35"/>
    <w:bookmarkEnd w:id="34"/>
    <w:p>
      <w:pPr>
        <w:ind w:right="3579"/>
        <w:spacing w:after="0" w:line="234" w:lineRule="auto"/>
        <w:rPr>
          <w:sz w:val="20"/>
          <w:szCs w:val="20"/>
          <w:color w:val="auto"/>
        </w:rPr>
      </w:pPr>
      <w:r>
        <w:rPr>
          <w:rFonts w:ascii="Courier New" w:cs="Courier New" w:eastAsia="Courier New" w:hAnsi="Courier New"/>
          <w:sz w:val="15"/>
          <w:szCs w:val="15"/>
          <w:color w:val="auto"/>
        </w:rPr>
        <w:t>rental income increased 3.9%, from $24.1 million in 2001 to $25.1 million in 2002.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 same center basis as defined above, net operating income, including interest income on mortgage notes receivable, increased 8.8% from $16.7 million in 2001 to $18.2 million in 2002, due primarily to increases from the recently redeveloped and retenanted properties in the Los Angeles area, San Francisco and Los Gatos, California and higher participating interest income on mortgage notes receivable. Same center net operating income, excluding the contribution from redevelopments and expansions, increased 7.8%. Overall net operating income decreased from $16.8 million in 2001 to $15.2 million in 2002, reflecting the above mentioned increases offset by the marketing, leasing and start-up costs associated with Santana Row.</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RESULTS OF OPERATIONS - THREE MONTHS ENDED SEPTEMBER 30, 2002 AND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Rental income, which consists of minimum rent, percentage rent and cost recoveries, increased 6.0% from $68.2 million in the third quarter of 2001 to $72.3 million in the third quarter of 2002. On a same center basis, rental income increased 3.1%, due primarily to the favorable impact of redeveloped and retenanted centers, as well as, increases associated with lease rollovers. Same center basis, in the third quarter of 2002, excludes Williamsburg Shopping Center in Williamsburg, Virginia, 101 E. Oak Street in Chicago, Illinois and 70/10 Austin Street in Forest Hills, New York which were sold in 2001, Friendship Center in Washington, D.C. which was purchased on September 21, 2001, the office building located at 580 Market Street in San Francisco, California which was exchanged for the minority partner's interest in Santana Row and properties under development in 2001 and 2002, including Pentagon Row in Arlington, Virginia and Santana Row in San Jose, California. Same center basis, as defined above, includes properties which have been redeveloped or expanded. Same center rental income, excluding the contribution from property redevelopments and expansions, increased 2.9%.</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Other property income includes items, which although recurring, tend to fluctuate more than rental income from period to period, such as utility reimbursements, telephone income, merchant association dues, late fees, lease termination fees and temporary tenant income. Other property income increased 2.8% from $4.3 million in the third quarter 2001 to $4.4 million in the third quarter of 2002 due to the income earned, including a one-time $800,000 perpetual easement payment from a residential developer that has commenced development on an adjacent site, at the Pentagon Row project which began phasing into service in the second quarter of 2001. The increases associated with Pentagon Row were offset by lower lease termination fees, utility reimbursements and parking income. On a same center basis, other property income decreased $500,000 or 13.9% as a result of the decreases mentioned above.</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Interest and other income includes interest earned on mortgage notes receivable and overnight cash investments, including tax-deferred exchange escrow deposits. Interest and other income remained constant at $1.7 million in 2001 and 2002.</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Rental expenses increased 14.5% from $15.3 million in the third quarter of 2001 to $17.5 million in the third quarter of 2002. Expenses for the Pentagon Row project and pre-opening and marketing expenses at Santana Row were the major causes of this increase. As a result of the pre-opening and marketing expenses at Santana Row in 2002, rental expense as a percentage of property income, rental income plus other property income, increased from 21.1% in 2001 to 22.8% in 2002. On a same center basis, rental expenses increased 3.3% from $14.0 million in 2001 to $14.5 million in 2002, primarily due to increased utility and insurance costs in 2002. Same center rental</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36" w:name="page37"/>
    <w:bookmarkEnd w:id="36"/>
    <w:p>
      <w:pPr>
        <w:ind w:right="3939"/>
        <w:spacing w:after="0" w:line="234" w:lineRule="auto"/>
        <w:rPr>
          <w:sz w:val="20"/>
          <w:szCs w:val="20"/>
          <w:color w:val="auto"/>
        </w:rPr>
      </w:pPr>
      <w:r>
        <w:rPr>
          <w:rFonts w:ascii="Courier New" w:cs="Courier New" w:eastAsia="Courier New" w:hAnsi="Courier New"/>
          <w:sz w:val="15"/>
          <w:szCs w:val="15"/>
          <w:color w:val="auto"/>
        </w:rPr>
        <w:t>expense, excluding the effect of property redevelopments and expansions, increased 1.8%.</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Real estate taxes increased 8.3% from $7.3 million in the third quarter of 2001 to $7.9 million in the third quarter of 2002. On a same center basis, real estate taxes increased 6.6% due primarily to increased taxes on recently redeveloped properties and overall increases in tax assessments. Same center real estate taxes, excluding the effect of property redevelopments and expansions, increased 5.8%.</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Depreciation and amortization expenses increased 7.4% from $15.0 million in the third quarter of 2001 to $16.1 million in the third quarter of 2002 reflecting the impact of recent new developments, tenant improvements and property redevelopments which were placed in service throughout 2001 and the first nine months of 2002.</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third quarter of 2002 the Trust incurred interest of $21.5 million, of which $8.0 million was capitalized, as compared to 2001's $22.5 million of which $4.8 million was capitalized. The decrease in interest expense is a result of lower interest expense on the Trust's syndicated credit facility, reflecting the pay-down on the credit facility with the proceeds from the November 2001 preferred stock offering and the June 2002 common stock offering, as well as lower interest rates on the Trust's variable rate debt offset by the additional construction debt issued to fund the Trust's capital improvement programs.</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Administrative expenses, while increasing from $3.5 million in the third quarter of 2001 to $3.7 million in the third quarter of 2002 remained at 4.7% of revenue.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Investors' share of operations represents the minority interest in the income of certain properties. The $100,000 decrease from $1.2 million in the third quarter of 2001 to $1.1 million in the third quarter of 2002 is due to the Trust's 2001 purchase of the minority interest in nine street retail buildings in southern California and three street retail buildings in Forest Hills, New York.</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During the second quarter of 2002 the Trust sold six properties. The net income (loss) from these properties, reported as income from operations of discontinued assets, was ($59,000) and $918,000 for the three months ended September 30, 2002 and 2001, respectively.</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a result of the foregoing items, income before discontinued operations increased from $14.3 million during the third quarter of 2001 to $18.6 million during the third quarter of 2002, while net income increased from $15.2 million during the third quarter of 2001 to $18.5 million during the third quarter of 2002. Net income available for common shareholders increased from $13.2 million during the third quarter of 2001 to $13.6 million during the third quarter of 2002, as a result of the forgoing items, offset by the increase of $2.9 million in preferred dividends on the 8.5% preferred shares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issued in November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Results</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Historical operating results for the three regions are as follows (in thousands):</w:t>
      </w:r>
    </w:p>
    <w:p>
      <w:pPr>
        <w:spacing w:after="0" w:line="16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For the three months ended September 30,</w:t>
      </w:r>
    </w:p>
    <w:p>
      <w:pPr>
        <w:ind w:left="4200"/>
        <w:spacing w:after="0" w:line="237" w:lineRule="auto"/>
        <w:tabs>
          <w:tab w:leader="none" w:pos="558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Rental income</w:t>
      </w:r>
    </w:p>
    <w:tbl>
      <w:tblPr>
        <w:tblLayout w:type="fixed"/>
        <w:tblInd w:w="800" w:type="dxa"/>
        <w:tblCellMar>
          <w:top w:w="0" w:type="dxa"/>
          <w:left w:w="0" w:type="dxa"/>
          <w:bottom w:w="0" w:type="dxa"/>
          <w:right w:w="0" w:type="dxa"/>
        </w:tblCellMar>
      </w:tblPr>
      <w:tr>
        <w:trPr>
          <w:trHeight w:val="169"/>
        </w:trPr>
        <w:tc>
          <w:tcPr>
            <w:tcW w:w="1840" w:type="dxa"/>
            <w:vAlign w:val="bottom"/>
          </w:tcPr>
          <w:p>
            <w:pPr>
              <w:spacing w:after="0" w:line="169" w:lineRule="exact"/>
              <w:rPr>
                <w:sz w:val="20"/>
                <w:szCs w:val="20"/>
                <w:color w:val="auto"/>
              </w:rPr>
            </w:pPr>
            <w:r>
              <w:rPr>
                <w:rFonts w:ascii="Courier New" w:cs="Courier New" w:eastAsia="Courier New" w:hAnsi="Courier New"/>
                <w:sz w:val="15"/>
                <w:szCs w:val="15"/>
                <w:color w:val="auto"/>
              </w:rPr>
              <w:t>Northeast</w:t>
            </w:r>
          </w:p>
        </w:tc>
        <w:tc>
          <w:tcPr>
            <w:tcW w:w="240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$29,479</w:t>
            </w:r>
          </w:p>
        </w:tc>
        <w:tc>
          <w:tcPr>
            <w:tcW w:w="1880" w:type="dxa"/>
            <w:vAlign w:val="bottom"/>
          </w:tcPr>
          <w:p>
            <w:pPr>
              <w:jc w:val="right"/>
              <w:ind w:right="807"/>
              <w:spacing w:after="0" w:line="169" w:lineRule="exact"/>
              <w:rPr>
                <w:sz w:val="20"/>
                <w:szCs w:val="20"/>
                <w:color w:val="auto"/>
              </w:rPr>
            </w:pPr>
            <w:r>
              <w:rPr>
                <w:rFonts w:ascii="Courier New" w:cs="Courier New" w:eastAsia="Courier New" w:hAnsi="Courier New"/>
                <w:sz w:val="15"/>
                <w:szCs w:val="15"/>
                <w:color w:val="auto"/>
              </w:rPr>
              <w:t>$29,661</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Mid-Atlantic</w:t>
            </w:r>
          </w:p>
        </w:tc>
        <w:tc>
          <w:tcPr>
            <w:tcW w:w="2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34,515</w:t>
            </w:r>
          </w:p>
        </w:tc>
        <w:tc>
          <w:tcPr>
            <w:tcW w:w="18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30,025</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West</w:t>
            </w:r>
          </w:p>
        </w:tc>
        <w:tc>
          <w:tcPr>
            <w:tcW w:w="2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8,283</w:t>
            </w:r>
          </w:p>
        </w:tc>
        <w:tc>
          <w:tcPr>
            <w:tcW w:w="18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8,493</w:t>
            </w:r>
          </w:p>
        </w:tc>
      </w:tr>
      <w:tr>
        <w:trPr>
          <w:trHeight w:val="168"/>
        </w:trPr>
        <w:tc>
          <w:tcPr>
            <w:tcW w:w="1840" w:type="dxa"/>
            <w:vAlign w:val="bottom"/>
          </w:tcPr>
          <w:p>
            <w:pPr>
              <w:spacing w:after="0"/>
              <w:rPr>
                <w:sz w:val="14"/>
                <w:szCs w:val="14"/>
                <w:color w:val="auto"/>
              </w:rPr>
            </w:pPr>
          </w:p>
        </w:tc>
        <w:tc>
          <w:tcPr>
            <w:tcW w:w="2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c>
          <w:tcPr>
            <w:tcW w:w="2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$72,277</w:t>
            </w:r>
          </w:p>
        </w:tc>
        <w:tc>
          <w:tcPr>
            <w:tcW w:w="18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$68,179</w:t>
            </w:r>
          </w:p>
        </w:tc>
      </w:tr>
      <w:tr>
        <w:trPr>
          <w:trHeight w:val="168"/>
        </w:trPr>
        <w:tc>
          <w:tcPr>
            <w:tcW w:w="1840" w:type="dxa"/>
            <w:vAlign w:val="bottom"/>
          </w:tcPr>
          <w:p>
            <w:pPr>
              <w:spacing w:after="0"/>
              <w:rPr>
                <w:sz w:val="14"/>
                <w:szCs w:val="14"/>
                <w:color w:val="auto"/>
              </w:rPr>
            </w:pPr>
          </w:p>
        </w:tc>
        <w:tc>
          <w:tcPr>
            <w:tcW w:w="2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4"/>
                <w:szCs w:val="24"/>
                <w:color w:val="auto"/>
              </w:rPr>
            </w:pPr>
          </w:p>
        </w:tc>
        <w:tc>
          <w:tcPr>
            <w:tcW w:w="4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three months ended September 30,</w:t>
            </w:r>
          </w:p>
        </w:tc>
      </w:tr>
      <w:tr>
        <w:trPr>
          <w:trHeight w:val="168"/>
        </w:trPr>
        <w:tc>
          <w:tcPr>
            <w:tcW w:w="1840" w:type="dxa"/>
            <w:vAlign w:val="bottom"/>
          </w:tcPr>
          <w:p>
            <w:pPr>
              <w:spacing w:after="0"/>
              <w:rPr>
                <w:sz w:val="14"/>
                <w:szCs w:val="14"/>
                <w:color w:val="auto"/>
              </w:rPr>
            </w:pPr>
          </w:p>
        </w:tc>
        <w:tc>
          <w:tcPr>
            <w:tcW w:w="2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18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operating income, including interest income on mortgage notes receivable</w:t>
      </w:r>
    </w:p>
    <w:tbl>
      <w:tblPr>
        <w:tblLayout w:type="fixed"/>
        <w:tblInd w:w="800" w:type="dxa"/>
        <w:tblCellMar>
          <w:top w:w="0" w:type="dxa"/>
          <w:left w:w="0" w:type="dxa"/>
          <w:bottom w:w="0" w:type="dxa"/>
          <w:right w:w="0" w:type="dxa"/>
        </w:tblCellMar>
      </w:tblPr>
      <w:tr>
        <w:trPr>
          <w:trHeight w:val="169"/>
        </w:trPr>
        <w:tc>
          <w:tcPr>
            <w:tcW w:w="2140" w:type="dxa"/>
            <w:vAlign w:val="bottom"/>
          </w:tcPr>
          <w:p>
            <w:pPr>
              <w:spacing w:after="0" w:line="169" w:lineRule="exact"/>
              <w:rPr>
                <w:sz w:val="20"/>
                <w:szCs w:val="20"/>
                <w:color w:val="auto"/>
              </w:rPr>
            </w:pPr>
            <w:r>
              <w:rPr>
                <w:rFonts w:ascii="Courier New" w:cs="Courier New" w:eastAsia="Courier New" w:hAnsi="Courier New"/>
                <w:sz w:val="15"/>
                <w:szCs w:val="15"/>
                <w:color w:val="auto"/>
              </w:rPr>
              <w:t>Northeast</w:t>
            </w:r>
          </w:p>
        </w:tc>
        <w:tc>
          <w:tcPr>
            <w:tcW w:w="206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$22,499</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$22,801</w:t>
            </w: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Mid-Atlantic</w:t>
            </w:r>
          </w:p>
        </w:tc>
        <w:tc>
          <w:tcPr>
            <w:tcW w:w="2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25,998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22,254</w:t>
            </w:r>
          </w:p>
        </w:tc>
      </w:tr>
      <w:tr>
        <w:trPr>
          <w:trHeight w:val="168"/>
        </w:trPr>
        <w:tc>
          <w:tcPr>
            <w:tcW w:w="2140" w:type="dxa"/>
            <w:vAlign w:val="bottom"/>
          </w:tcPr>
          <w:p>
            <w:pPr>
              <w:spacing w:after="0" w:line="168" w:lineRule="exact"/>
              <w:rPr>
                <w:sz w:val="20"/>
                <w:szCs w:val="20"/>
                <w:color w:val="auto"/>
              </w:rPr>
            </w:pPr>
            <w:r>
              <w:rPr>
                <w:rFonts w:ascii="Courier New" w:cs="Courier New" w:eastAsia="Courier New" w:hAnsi="Courier New"/>
                <w:sz w:val="15"/>
                <w:szCs w:val="15"/>
                <w:color w:val="auto"/>
              </w:rPr>
              <w:t>West</w:t>
            </w:r>
          </w:p>
        </w:tc>
        <w:tc>
          <w:tcPr>
            <w:tcW w:w="2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4,184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5,795</w:t>
            </w:r>
          </w:p>
        </w:tc>
      </w:tr>
      <w:tr>
        <w:trPr>
          <w:trHeight w:val="168"/>
        </w:trPr>
        <w:tc>
          <w:tcPr>
            <w:tcW w:w="2140" w:type="dxa"/>
            <w:vAlign w:val="bottom"/>
          </w:tcPr>
          <w:p>
            <w:pPr>
              <w:spacing w:after="0"/>
              <w:rPr>
                <w:sz w:val="14"/>
                <w:szCs w:val="14"/>
                <w:color w:val="auto"/>
              </w:rPr>
            </w:pPr>
          </w:p>
        </w:tc>
        <w:tc>
          <w:tcPr>
            <w:tcW w:w="2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40" w:type="dxa"/>
            <w:vAlign w:val="bottom"/>
          </w:tcPr>
          <w:p>
            <w:pPr>
              <w:spacing w:after="0"/>
              <w:rPr>
                <w:sz w:val="24"/>
                <w:szCs w:val="24"/>
                <w:color w:val="auto"/>
              </w:rPr>
            </w:pPr>
          </w:p>
        </w:tc>
        <w:tc>
          <w:tcPr>
            <w:tcW w:w="2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$52,681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$50,850</w:t>
            </w:r>
          </w:p>
        </w:tc>
      </w:tr>
      <w:tr>
        <w:trPr>
          <w:trHeight w:val="168"/>
        </w:trPr>
        <w:tc>
          <w:tcPr>
            <w:tcW w:w="2140" w:type="dxa"/>
            <w:vAlign w:val="bottom"/>
          </w:tcPr>
          <w:p>
            <w:pPr>
              <w:spacing w:after="0"/>
              <w:rPr>
                <w:sz w:val="14"/>
                <w:szCs w:val="14"/>
                <w:color w:val="auto"/>
              </w:rPr>
            </w:pPr>
          </w:p>
        </w:tc>
        <w:tc>
          <w:tcPr>
            <w:tcW w:w="2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Northeast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Northeast region is comprised of forty-eight assets, extending from suburban Philadelphia north through New York and its suburbs into New England and west to Illinois and Michigan.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 comparing the third quarter of 2002 with 2001, rental income decreased approximately $200,000 from $29.7 million in 2001 to $29.5 million in 2002 due to lower cost reimbursements at three shopping center properties and higher vacancy at one shopping center property. On a same center basis, excluding 101 E. Oak Street and 70/10 Austin Street which were sold in 2001, rental income increased $100,000 from $29.4 million in 2001 to $29.5 million in 2002, primarily due to increases at recently redeveloped and retenanted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1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shopping centers such as Dedham, Ellisburg and Fresh Meadows as well</w:t>
      </w:r>
    </w:p>
    <w:p>
      <w:pPr>
        <w:spacing w:after="0" w:line="5"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as increases associated with lease rollovers offset by lower cost reimbursements and vacancies. Same center rental income, excluding the contribution from property redevelopments and expansions, increased approximately $200,000.</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operating income, including interest income on mortgage notes receivable, decreased 1.3% from $22.8 million in 2001 to $22.5 million in 2002 due primarily to lower rental income, as stated above, and lower mortgage note interest as a $10 million mortgage note was paid off in July 2002. On a same center basis, as defined above, net operating income increased 1.1% from $22.3 million in 2001 to $22.5 million in 2002, due to increases at the recently redeveloped and retenanted shopping centers offset by lower cost reimbursements, vacancies and lower mortgage note interest. Same center net operating income, excluding the contribution from property redevelopments and expansions, increased 1.5%.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Mid-Atlantic</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Mid-Atlantic region is comprised of thirty-two assets, including Pentagon Row, which was substantially completed in 2002, extending from Baltimore south to metropolitan Washington, D.C. and further south through Virginia and North Carolina into Florida.</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When comparing the third quarter of 2002 with 2001, rental income increased 15.0% from $30.0 million in 2001 to $34.5 million in 2002. On a same center basis, excluding Williamsburg Shopping Center which was sold in 2001, Friendship Center which was purchased in 2001 and Pentagon Row which is being phased into service throughout 2001 and 2002, rental income increased 6.5% from $29.6 million in 2001 to $31.5 million in 2002 due primarily to successful retenanting at several shopping centers and street retail properties. There were no significant contributions from redevelopments or expansions in this region during the three months ended September 30, 2002 and 2001.</w:t>
      </w:r>
    </w:p>
    <w:p>
      <w:pPr>
        <w:spacing w:after="0" w:line="16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When comparing the third quarter of 2002 with 2001, net operating income increased 16.8% from $22.3 million in 2001 to $26.0 million in 2002. On the same center basis, as defined above, net operating income increased 6.6% from $21.9 million in 2001 to $23.4 million in 2002 due to increased rental income.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West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Western region is comprised of thirty-four assets, including Santana Row, which is currently under development, extending from Texas to the West Coast.</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When comparing the third quarter of 2002 with 2001 on a same center basis, which excludes 580 Market Street which was exchanged for the minority partner's interest in Santana Row and Santana Row,</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17" w:right="1440" w:bottom="1440" w:gutter="0" w:footer="0" w:header="0"/>
        </w:sectPr>
      </w:pPr>
    </w:p>
    <w:bookmarkStart w:id="39" w:name="page40"/>
    <w:bookmarkEnd w:id="39"/>
    <w:p>
      <w:pPr>
        <w:ind w:right="3319"/>
        <w:spacing w:after="0" w:line="236" w:lineRule="auto"/>
        <w:rPr>
          <w:sz w:val="20"/>
          <w:szCs w:val="20"/>
          <w:color w:val="auto"/>
        </w:rPr>
      </w:pPr>
      <w:r>
        <w:rPr>
          <w:rFonts w:ascii="Courier New" w:cs="Courier New" w:eastAsia="Courier New" w:hAnsi="Courier New"/>
          <w:sz w:val="15"/>
          <w:szCs w:val="15"/>
          <w:color w:val="auto"/>
        </w:rPr>
        <w:t>which is currently under development, rental income increased approximately $100,000 from $8.2 million in 2001 to $8.3 million in 2002, due primarily to successful retenanting at two street retail properties. The increase in rental income in the third quarter of 2002 was offset by retroactive rental income adjustments of approximately $142,000 recorded in the third quarter of 2001 at one street retail property. There were no significant contributions from redevelopments or expansions in this region in the three months ended September 30, 2002 and 2001. On an overall basis, rental income decreased 2.5%, from $8.5 million in 2001 to $8.3 million in 2002.</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 same center basis, as defined above, net operating income, including interest income on mortgage notes receivable, decreased 10.9% from $6.2 million in 2001 to $5.6 million in 2002. The increase in rental income was offset by higher operating costs and lower parking and storage revenue. Same center net operating income, excluding the contribution from redevelopments and expansions, decreased 7.4%. Overall net operating income decreased 27.8% from $5.8 million in 2001 to $4.2 million in 2002, reflecting the above mentioned decreases in addition to the marketing, leasing and start-up costs associated with Santana Row.</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sectPr>
      </w:pPr>
    </w:p>
    <w:bookmarkStart w:id="40" w:name="page41"/>
    <w:bookmarkEnd w:id="40"/>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Trust's use of financial instruments, such as debt instruments, subject the Trust to market risk which may affect the Trust's future earnings and cash flows as well as the fair value of its assets. Market risk generally refers to the risk of loss from changes in interest rates and market prices. The Trust manages its market risk by attempting to match anticipated inflow of cash from its operating, investing and financing activities with anticipated outflow of cash to fund debt payments, dividends to common and preferred shareholders, investments, capital expenditures and other cash requirements. The Trust also enters into derivative financial instruments such as interest rate swaps to mitigate its interest rate risk on a related financial instrument or to effectively lock the interest rate on a portion of its variable rate debt.</w:t>
      </w:r>
    </w:p>
    <w:p>
      <w:pPr>
        <w:spacing w:after="0" w:line="165"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The following discussion of market risk is based solely on hypothetical changes in interest rates related to the Trust's variable rate debt. This discussion does not purport to take into account all of the factors that may affect the financial instruments discussed in this section.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Trust's interest rate risk is most sensitive to fluctuations in interest rates on its variable rate debt. At September 30, 2002, the Trust had $115.9 million of variable rate debt, not including the $151.3 million Santana Row variable rate construction loan of which the majority of the interest is capitalized to the development project. Based upon this balance of variable operating debt, if interest rates increased 1%, the Trust's earnings and cash flows would decrease by approximately $1.2 million. If interest rates decreased 1%, the Trust's earnings and cash flows would increase by approximately $1.2 million. The Trust believes that the change in the fair value of its financial instruments resulting from a foreseeable fluctuation in interest rates would be immaterial to its total assets and total liabilities.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Hedges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Trust uses derivative financial instruments to convert a portion of its variable rate debt to fixed rate debt and to manage its fixed to variable rate debt ratio. A description of these derivative financial instruments is contained in Note A to the Notes to Consolidated Financial Statements contained in "Item</w:t>
      </w:r>
    </w:p>
    <w:p>
      <w:pPr>
        <w:spacing w:after="0" w:line="1" w:lineRule="exact"/>
        <w:rPr>
          <w:sz w:val="20"/>
          <w:szCs w:val="20"/>
          <w:color w:val="auto"/>
        </w:rPr>
      </w:pPr>
    </w:p>
    <w:p>
      <w:pPr>
        <w:jc w:val="center"/>
        <w:ind w:left="3420" w:right="3679" w:hanging="3410"/>
        <w:spacing w:after="0" w:line="465" w:lineRule="auto"/>
        <w:tabs>
          <w:tab w:leader="none" w:pos="27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and is incorporated by reference into this Item 3. 40</w:t>
      </w:r>
    </w:p>
    <w:p>
      <w:pPr>
        <w:sectPr>
          <w:pgSz w:w="11900" w:h="16838" w:orient="portrait"/>
          <w:cols w:equalWidth="0" w:num="1">
            <w:col w:w="10239"/>
          </w:cols>
          <w:pgMar w:left="220" w:top="617" w:right="1440" w:bottom="1440" w:gutter="0" w:footer="0" w:header="0"/>
        </w:sectPr>
      </w:pPr>
    </w:p>
    <w:bookmarkStart w:id="41" w:name="page42"/>
    <w:bookmarkEnd w:id="41"/>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Trust maintains disclosure controls and procedures that are designed to ensure that information required to be disclosed in the Trust's Exchange Act reports is recorded, processed, summarized and reported within the time periods specified in the SEC's rules and forms, and that such information is accumulated and communicated to the Trust's management, including its Chairman and Chief Executive Officer, its President and Chief Operating Officer and its Senior Vice President and Chief Financial Officer, as appropriate, to allow timely decisions regarding required disclosure based closely on the definition of "disclosure controls and procedures" in Rule 13a-14(c) promulgated under the Exchange Act.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Within 90 days prior to the date of this report, the Trust carried out an evaluation, under the supervision and with the participation of the Trust's management, including its Chairman and Chief Executive Officer, its President and Chief Operating Officer and its Senior Vice President and Chief Financial Officer, of the effectiveness of the design and operation of the Trust's disclosure controls and procedures. Based on the foregoing, the Trust's Chairman and Chief Executive Officer, its President and Chief Operating Officer and its Senior Vice President and Chief Financial Officer concluded that the Trust's disclosure controls and procedures were effective.</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There have been no significant changes in the Trust's internal controls or in other factors that could significantly affect the internal controls subsequent to the date the Trust completed its evaluation.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73"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4"/>
          <w:szCs w:val="14"/>
          <w:color w:val="auto"/>
        </w:rPr>
        <w:t>Item 1. Legal Proceedings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Changes in Securities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Defaults Upon Senior Securities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Vote to Security Holders</w:t>
      </w:r>
    </w:p>
    <w:p>
      <w:pPr>
        <w:spacing w:after="0" w:line="166"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5"/>
          <w:szCs w:val="15"/>
          <w:color w:val="auto"/>
        </w:rPr>
        <w:t>Not applicable.</w:t>
      </w:r>
    </w:p>
    <w:p>
      <w:pPr>
        <w:spacing w:after="0" w:line="173"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4"/>
          <w:szCs w:val="14"/>
          <w:color w:val="auto"/>
        </w:rPr>
        <w:t>Item 5. Other Information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6" w:lineRule="exact"/>
        <w:rPr>
          <w:sz w:val="20"/>
          <w:szCs w:val="20"/>
          <w:color w:val="auto"/>
        </w:rPr>
      </w:pPr>
    </w:p>
    <w:p>
      <w:pPr>
        <w:ind w:left="880" w:hanging="608"/>
        <w:spacing w:after="0"/>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2" w:lineRule="exact"/>
        <w:rPr>
          <w:rFonts w:ascii="Courier New" w:cs="Courier New" w:eastAsia="Courier New" w:hAnsi="Courier New"/>
          <w:sz w:val="15"/>
          <w:szCs w:val="15"/>
          <w:color w:val="auto"/>
        </w:rPr>
      </w:pPr>
    </w:p>
    <w:p>
      <w:pPr>
        <w:ind w:right="3239" w:firstLine="447"/>
        <w:spacing w:after="0" w:line="258" w:lineRule="auto"/>
        <w:tabs>
          <w:tab w:leader="none" w:pos="787"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Declaration of Trust of Federal Realty Investment Trust dated May 5, 1999 filed with the Commission on May 25, 1999 as an exhibit to the Trust's Current Report on Form 8-K is incorporated herein by reference thereto.</w:t>
      </w:r>
    </w:p>
    <w:p>
      <w:pPr>
        <w:spacing w:after="0" w:line="161" w:lineRule="exact"/>
        <w:rPr>
          <w:rFonts w:ascii="Courier New" w:cs="Courier New" w:eastAsia="Courier New" w:hAnsi="Courier New"/>
          <w:sz w:val="14"/>
          <w:szCs w:val="14"/>
          <w:color w:val="auto"/>
        </w:rPr>
      </w:pPr>
    </w:p>
    <w:p>
      <w:pPr>
        <w:ind w:right="3239" w:firstLine="797"/>
        <w:spacing w:after="0" w:line="235" w:lineRule="auto"/>
        <w:tabs>
          <w:tab w:leader="none" w:pos="1312"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the Trust as amended, filed with the Commission on June 6, 2002 as an exhibit to the Trust's Registration Statement on Form 8-A/A is incorporated herein by reference thereto.</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(10)(i) Amendment to Promissory Notes dated May 31, 2002 between Federal Realty Investment Trust and Steven J. Guttman.</w:t>
      </w:r>
    </w:p>
    <w:p>
      <w:pPr>
        <w:spacing w:after="0" w:line="173" w:lineRule="exact"/>
        <w:rPr>
          <w:sz w:val="20"/>
          <w:szCs w:val="20"/>
          <w:color w:val="auto"/>
        </w:rPr>
      </w:pPr>
    </w:p>
    <w:p>
      <w:pPr>
        <w:ind w:right="3839" w:firstLine="797"/>
        <w:spacing w:after="0" w:line="234" w:lineRule="auto"/>
        <w:tabs>
          <w:tab w:leader="none" w:pos="1312"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Stock Option Agreements dated August 15, 2002 between Federal Realty Investment Trust and Dawn M. Becker.</w:t>
      </w:r>
    </w:p>
    <w:p>
      <w:pPr>
        <w:spacing w:after="0" w:line="173" w:lineRule="exact"/>
        <w:rPr>
          <w:rFonts w:ascii="Courier New" w:cs="Courier New" w:eastAsia="Courier New" w:hAnsi="Courier New"/>
          <w:sz w:val="15"/>
          <w:szCs w:val="15"/>
          <w:color w:val="auto"/>
        </w:rPr>
      </w:pPr>
    </w:p>
    <w:p>
      <w:pPr>
        <w:ind w:right="3839" w:firstLine="797"/>
        <w:spacing w:after="0" w:line="234" w:lineRule="auto"/>
        <w:tabs>
          <w:tab w:leader="none" w:pos="1312"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Stock Option Agreement dated August 15, 2002 between Federal Realty Investment Trust and Jeffrey S. Berkes.</w:t>
      </w:r>
    </w:p>
    <w:p>
      <w:pPr>
        <w:spacing w:after="0" w:line="166" w:lineRule="exact"/>
        <w:rPr>
          <w:rFonts w:ascii="Courier New" w:cs="Courier New" w:eastAsia="Courier New" w:hAnsi="Courier New"/>
          <w:sz w:val="15"/>
          <w:szCs w:val="15"/>
          <w:color w:val="auto"/>
        </w:rPr>
      </w:pPr>
    </w:p>
    <w:p>
      <w:pPr>
        <w:ind w:left="880" w:hanging="608"/>
        <w:spacing w:after="0"/>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 Form 8-K, dated June 30, 2002 was filed on August 12, 2002 in response to Item 5.</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A Form 8-K, dated September 4, 2002 was filed on September 4, 2002 in response to Item 5.</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17" w:right="1440" w:bottom="1440" w:gutter="0" w:footer="0" w:header="0"/>
        </w:sectPr>
      </w:pPr>
    </w:p>
    <w:bookmarkStart w:id="43" w:name="page44"/>
    <w:bookmarkEnd w:id="43"/>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FEDERAL REALTY INVESTMENT TRUST</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30, 2002</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Steven J. Guttman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J. Guttman, Chairman, Chief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and Trustee</w:t>
      </w:r>
    </w:p>
    <w:p>
      <w:pPr>
        <w:spacing w:after="0" w:line="237" w:lineRule="auto"/>
        <w:rPr>
          <w:sz w:val="20"/>
          <w:szCs w:val="20"/>
          <w:color w:val="auto"/>
        </w:rPr>
      </w:pPr>
      <w:r>
        <w:rPr>
          <w:rFonts w:ascii="Courier New" w:cs="Courier New" w:eastAsia="Courier New" w:hAnsi="Courier New"/>
          <w:sz w:val="15"/>
          <w:szCs w:val="15"/>
          <w:color w:val="auto"/>
        </w:rPr>
        <w:t>(Principal Executive Officer)</w:t>
      </w:r>
    </w:p>
    <w:p>
      <w:pPr>
        <w:spacing w:after="0" w:line="200" w:lineRule="exact"/>
        <w:rPr>
          <w:sz w:val="20"/>
          <w:szCs w:val="20"/>
          <w:color w:val="auto"/>
        </w:rPr>
      </w:pPr>
    </w:p>
    <w:p>
      <w:pPr>
        <w:sectPr>
          <w:pgSz w:w="11900" w:h="16838" w:orient="portrait"/>
          <w:cols w:equalWidth="0" w:num="2">
            <w:col w:w="2780" w:space="720"/>
            <w:col w:w="6739"/>
          </w:cols>
          <w:pgMar w:left="220" w:top="617"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30, 2002</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Larry E. Finger</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E. Finger, Senior Vice 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Financial Officer(Principal</w:t>
      </w:r>
    </w:p>
    <w:p>
      <w:pPr>
        <w:spacing w:after="0" w:line="237" w:lineRule="auto"/>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2">
            <w:col w:w="2780" w:space="720"/>
            <w:col w:w="6739"/>
          </w:cols>
          <w:pgMar w:left="220" w:top="617" w:right="1440" w:bottom="1440" w:gutter="0" w:footer="0" w:header="0"/>
          <w:type w:val="continuous"/>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17" w:right="1440" w:bottom="1440" w:gutter="0" w:footer="0" w:header="0"/>
          <w:type w:val="continuous"/>
        </w:sectPr>
      </w:pPr>
    </w:p>
    <w:bookmarkStart w:id="44" w:name="page45"/>
    <w:bookmarkEnd w:id="44"/>
    <w:p>
      <w:pPr>
        <w:ind w:left="2980"/>
        <w:spacing w:after="0"/>
        <w:rPr>
          <w:sz w:val="20"/>
          <w:szCs w:val="20"/>
          <w:color w:val="auto"/>
        </w:rPr>
      </w:pPr>
      <w:r>
        <w:rPr>
          <w:rFonts w:ascii="Courier New" w:cs="Courier New" w:eastAsia="Courier New" w:hAnsi="Courier New"/>
          <w:sz w:val="15"/>
          <w:szCs w:val="15"/>
          <w:color w:val="auto"/>
        </w:rPr>
        <w:t>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Steven J. Guttman, certify that:</w:t>
      </w:r>
    </w:p>
    <w:p>
      <w:pPr>
        <w:spacing w:after="0" w:line="173" w:lineRule="exact"/>
        <w:rPr>
          <w:sz w:val="20"/>
          <w:szCs w:val="20"/>
          <w:color w:val="auto"/>
        </w:rPr>
      </w:pPr>
    </w:p>
    <w:p>
      <w:pPr>
        <w:ind w:left="880" w:right="3399" w:hanging="433"/>
        <w:spacing w:after="0" w:line="234"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Federal Realty Investment Trust;</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and</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75" w:lineRule="exact"/>
        <w:rPr>
          <w:rFonts w:ascii="Courier New" w:cs="Courier New" w:eastAsia="Courier New" w:hAnsi="Courier New"/>
          <w:sz w:val="15"/>
          <w:szCs w:val="15"/>
          <w:color w:val="auto"/>
        </w:rPr>
      </w:pPr>
    </w:p>
    <w:p>
      <w:pPr>
        <w:ind w:left="1760" w:right="3239" w:hanging="438"/>
        <w:spacing w:after="0" w:line="256" w:lineRule="auto"/>
        <w:tabs>
          <w:tab w:leader="none" w:pos="176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63" w:lineRule="exact"/>
        <w:rPr>
          <w:rFonts w:ascii="Courier New" w:cs="Courier New" w:eastAsia="Courier New" w:hAnsi="Courier New"/>
          <w:sz w:val="14"/>
          <w:szCs w:val="14"/>
          <w:color w:val="auto"/>
        </w:rPr>
      </w:pPr>
    </w:p>
    <w:p>
      <w:pPr>
        <w:ind w:left="1760" w:right="3239" w:hanging="438"/>
        <w:spacing w:after="0" w:line="235" w:lineRule="auto"/>
        <w:tabs>
          <w:tab w:leader="none" w:pos="176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5" w:lineRule="exact"/>
        <w:rPr>
          <w:rFonts w:ascii="Courier New" w:cs="Courier New" w:eastAsia="Courier New" w:hAnsi="Courier New"/>
          <w:sz w:val="15"/>
          <w:szCs w:val="15"/>
          <w:color w:val="auto"/>
        </w:rPr>
      </w:pPr>
    </w:p>
    <w:p>
      <w:pPr>
        <w:ind w:left="1760" w:right="3239" w:hanging="438"/>
        <w:spacing w:after="0" w:line="258" w:lineRule="auto"/>
        <w:tabs>
          <w:tab w:leader="none" w:pos="176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in this quarterly report our conclusions about the effectiveness of the disclosure controls and procedures based on our evaluation as of the Evaluation Date;</w:t>
      </w:r>
    </w:p>
    <w:p>
      <w:pPr>
        <w:spacing w:after="0" w:line="161"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trustees (or persons performing the equivalent functions):</w:t>
      </w:r>
    </w:p>
    <w:p>
      <w:pPr>
        <w:spacing w:after="0" w:line="175" w:lineRule="exact"/>
        <w:rPr>
          <w:rFonts w:ascii="Courier New" w:cs="Courier New" w:eastAsia="Courier New" w:hAnsi="Courier New"/>
          <w:sz w:val="15"/>
          <w:szCs w:val="15"/>
          <w:color w:val="auto"/>
        </w:rPr>
      </w:pPr>
    </w:p>
    <w:p>
      <w:pPr>
        <w:ind w:left="1760" w:right="3399" w:hanging="438"/>
        <w:spacing w:after="0" w:line="236" w:lineRule="auto"/>
        <w:tabs>
          <w:tab w:leader="none" w:pos="176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sectPr>
      </w:pPr>
    </w:p>
    <w:bookmarkStart w:id="45" w:name="page46"/>
    <w:bookmarkEnd w:id="45"/>
    <w:p>
      <w:pPr>
        <w:ind w:left="1313" w:right="3239" w:hanging="438"/>
        <w:spacing w:after="0" w:line="235" w:lineRule="auto"/>
        <w:tabs>
          <w:tab w:leader="none" w:pos="1313"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3" w:lineRule="exact"/>
        <w:rPr>
          <w:rFonts w:ascii="Courier New" w:cs="Courier New" w:eastAsia="Courier New" w:hAnsi="Courier New"/>
          <w:sz w:val="15"/>
          <w:szCs w:val="15"/>
          <w:color w:val="auto"/>
        </w:rPr>
      </w:pPr>
    </w:p>
    <w:p>
      <w:pPr>
        <w:ind w:left="433" w:right="3319" w:hanging="433"/>
        <w:spacing w:after="0" w:line="236" w:lineRule="auto"/>
        <w:tabs>
          <w:tab w:leader="none" w:pos="43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9792"/>
          </w:cols>
          <w:pgMar w:left="667" w:top="624" w:right="1440" w:bottom="1440" w:gutter="0" w:footer="0" w:header="0"/>
        </w:sectPr>
      </w:pPr>
    </w:p>
    <w:p>
      <w:pPr>
        <w:spacing w:after="0" w:line="343" w:lineRule="exact"/>
        <w:rPr>
          <w:sz w:val="20"/>
          <w:szCs w:val="20"/>
          <w:color w:val="auto"/>
        </w:rPr>
      </w:pPr>
    </w:p>
    <w:p>
      <w:pPr>
        <w:jc w:val="both"/>
        <w:ind w:left="953" w:right="420" w:hanging="519"/>
        <w:spacing w:after="0" w:line="261" w:lineRule="auto"/>
        <w:tabs>
          <w:tab w:leader="none" w:pos="933" w:val="left"/>
        </w:tabs>
        <w:rPr>
          <w:sz w:val="20"/>
          <w:szCs w:val="20"/>
          <w:color w:val="auto"/>
        </w:rPr>
      </w:pPr>
      <w:r>
        <w:rPr>
          <w:rFonts w:ascii="Courier New" w:cs="Courier New" w:eastAsia="Courier New" w:hAnsi="Courier New"/>
          <w:sz w:val="14"/>
          <w:szCs w:val="14"/>
          <w:color w:val="auto"/>
        </w:rPr>
        <w:t>DATE:</w:t>
        <w:tab/>
        <w:t>October 30, 2002 ----------------</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Steven J. Guttman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NAME: Steven J. Guttman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Chairman and Chief Executive</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Officer</w:t>
      </w:r>
    </w:p>
    <w:p>
      <w:pPr>
        <w:spacing w:after="0" w:line="166" w:lineRule="exact"/>
        <w:rPr>
          <w:sz w:val="20"/>
          <w:szCs w:val="20"/>
          <w:color w:val="auto"/>
        </w:rPr>
      </w:pPr>
    </w:p>
    <w:p>
      <w:pPr>
        <w:sectPr>
          <w:pgSz w:w="11900" w:h="16838" w:orient="portrait"/>
          <w:cols w:equalWidth="0" w:num="2">
            <w:col w:w="2773" w:space="720"/>
            <w:col w:w="6299"/>
          </w:cols>
          <w:pgMar w:left="667" w:top="624" w:right="1440" w:bottom="1440" w:gutter="0" w:footer="0" w:header="0"/>
          <w:type w:val="continuous"/>
        </w:sectPr>
      </w:pPr>
    </w:p>
    <w:p>
      <w:pPr>
        <w:ind w:left="2973"/>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792"/>
          </w:cols>
          <w:pgMar w:left="667" w:top="624" w:right="1440" w:bottom="1440" w:gutter="0" w:footer="0" w:header="0"/>
          <w:type w:val="continuous"/>
        </w:sectPr>
      </w:pPr>
    </w:p>
    <w:bookmarkStart w:id="46" w:name="page47"/>
    <w:bookmarkEnd w:id="46"/>
    <w:p>
      <w:pPr>
        <w:ind w:left="2980"/>
        <w:spacing w:after="0"/>
        <w:rPr>
          <w:sz w:val="20"/>
          <w:szCs w:val="20"/>
          <w:color w:val="auto"/>
        </w:rPr>
      </w:pPr>
      <w:r>
        <w:rPr>
          <w:rFonts w:ascii="Courier New" w:cs="Courier New" w:eastAsia="Courier New" w:hAnsi="Courier New"/>
          <w:sz w:val="15"/>
          <w:szCs w:val="15"/>
          <w:color w:val="auto"/>
        </w:rPr>
        <w:t>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Donald C. Wood, certify that:</w:t>
      </w:r>
    </w:p>
    <w:p>
      <w:pPr>
        <w:spacing w:after="0" w:line="173" w:lineRule="exact"/>
        <w:rPr>
          <w:sz w:val="20"/>
          <w:szCs w:val="20"/>
          <w:color w:val="auto"/>
        </w:rPr>
      </w:pPr>
    </w:p>
    <w:p>
      <w:pPr>
        <w:ind w:left="880" w:right="3399" w:hanging="433"/>
        <w:spacing w:after="0" w:line="234"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Federal Realty Investment Trust;</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and</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75" w:lineRule="exact"/>
        <w:rPr>
          <w:rFonts w:ascii="Courier New" w:cs="Courier New" w:eastAsia="Courier New" w:hAnsi="Courier New"/>
          <w:sz w:val="15"/>
          <w:szCs w:val="15"/>
          <w:color w:val="auto"/>
        </w:rPr>
      </w:pPr>
    </w:p>
    <w:p>
      <w:pPr>
        <w:ind w:left="1760" w:right="3239" w:hanging="438"/>
        <w:spacing w:after="0" w:line="256" w:lineRule="auto"/>
        <w:tabs>
          <w:tab w:leader="none" w:pos="176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63" w:lineRule="exact"/>
        <w:rPr>
          <w:rFonts w:ascii="Courier New" w:cs="Courier New" w:eastAsia="Courier New" w:hAnsi="Courier New"/>
          <w:sz w:val="14"/>
          <w:szCs w:val="14"/>
          <w:color w:val="auto"/>
        </w:rPr>
      </w:pPr>
    </w:p>
    <w:p>
      <w:pPr>
        <w:ind w:left="1760" w:right="3239" w:hanging="438"/>
        <w:spacing w:after="0" w:line="235" w:lineRule="auto"/>
        <w:tabs>
          <w:tab w:leader="none" w:pos="176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5" w:lineRule="exact"/>
        <w:rPr>
          <w:rFonts w:ascii="Courier New" w:cs="Courier New" w:eastAsia="Courier New" w:hAnsi="Courier New"/>
          <w:sz w:val="15"/>
          <w:szCs w:val="15"/>
          <w:color w:val="auto"/>
        </w:rPr>
      </w:pPr>
    </w:p>
    <w:p>
      <w:pPr>
        <w:ind w:left="1760" w:right="3239" w:hanging="438"/>
        <w:spacing w:after="0" w:line="258" w:lineRule="auto"/>
        <w:tabs>
          <w:tab w:leader="none" w:pos="176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in this quarterly report our conclusions about the effectiveness of the disclosure controls and procedures based on our evaluation as of the Evaluation Date;</w:t>
      </w:r>
    </w:p>
    <w:p>
      <w:pPr>
        <w:spacing w:after="0" w:line="161"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trustees (or persons performing the equivalent functions):</w:t>
      </w:r>
    </w:p>
    <w:p>
      <w:pPr>
        <w:spacing w:after="0" w:line="175" w:lineRule="exact"/>
        <w:rPr>
          <w:rFonts w:ascii="Courier New" w:cs="Courier New" w:eastAsia="Courier New" w:hAnsi="Courier New"/>
          <w:sz w:val="15"/>
          <w:szCs w:val="15"/>
          <w:color w:val="auto"/>
        </w:rPr>
      </w:pPr>
    </w:p>
    <w:p>
      <w:pPr>
        <w:ind w:left="1760" w:right="3399" w:hanging="438"/>
        <w:spacing w:after="0" w:line="236" w:lineRule="auto"/>
        <w:tabs>
          <w:tab w:leader="none" w:pos="176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17" w:right="1440" w:bottom="1440" w:gutter="0" w:footer="0" w:header="0"/>
        </w:sectPr>
      </w:pPr>
    </w:p>
    <w:bookmarkStart w:id="47" w:name="page48"/>
    <w:bookmarkEnd w:id="47"/>
    <w:p>
      <w:pPr>
        <w:ind w:left="1313" w:right="3239" w:hanging="438"/>
        <w:spacing w:after="0" w:line="235" w:lineRule="auto"/>
        <w:tabs>
          <w:tab w:leader="none" w:pos="1313"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3" w:lineRule="exact"/>
        <w:rPr>
          <w:rFonts w:ascii="Courier New" w:cs="Courier New" w:eastAsia="Courier New" w:hAnsi="Courier New"/>
          <w:sz w:val="15"/>
          <w:szCs w:val="15"/>
          <w:color w:val="auto"/>
        </w:rPr>
      </w:pPr>
    </w:p>
    <w:p>
      <w:pPr>
        <w:ind w:left="433" w:right="3319" w:hanging="433"/>
        <w:spacing w:after="0" w:line="236" w:lineRule="auto"/>
        <w:tabs>
          <w:tab w:leader="none" w:pos="43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9792"/>
          </w:cols>
          <w:pgMar w:left="667" w:top="624" w:right="1440" w:bottom="1440" w:gutter="0" w:footer="0" w:header="0"/>
        </w:sectPr>
      </w:pPr>
    </w:p>
    <w:p>
      <w:pPr>
        <w:spacing w:after="0" w:line="337" w:lineRule="exact"/>
        <w:rPr>
          <w:sz w:val="20"/>
          <w:szCs w:val="20"/>
          <w:color w:val="auto"/>
        </w:rPr>
      </w:pPr>
    </w:p>
    <w:p>
      <w:pPr>
        <w:ind w:left="793"/>
        <w:spacing w:after="0"/>
        <w:rPr>
          <w:sz w:val="20"/>
          <w:szCs w:val="20"/>
          <w:color w:val="auto"/>
        </w:rPr>
      </w:pPr>
      <w:r>
        <w:rPr>
          <w:rFonts w:ascii="Courier New" w:cs="Courier New" w:eastAsia="Courier New" w:hAnsi="Courier New"/>
          <w:sz w:val="15"/>
          <w:szCs w:val="15"/>
          <w:color w:val="auto"/>
        </w:rPr>
        <w:t>DATE: October 30, 2002</w:t>
      </w:r>
    </w:p>
    <w:p>
      <w:pPr>
        <w:spacing w:after="0" w:line="5" w:lineRule="exact"/>
        <w:rPr>
          <w:sz w:val="20"/>
          <w:szCs w:val="20"/>
          <w:color w:val="auto"/>
        </w:rPr>
      </w:pPr>
    </w:p>
    <w:p>
      <w:pPr>
        <w:ind w:left="1313"/>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Donald C. Wood</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NAME: Donald C. Wood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President and Chief Operating</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Officer</w:t>
      </w:r>
    </w:p>
    <w:p>
      <w:pPr>
        <w:spacing w:after="0" w:line="166" w:lineRule="exact"/>
        <w:rPr>
          <w:sz w:val="20"/>
          <w:szCs w:val="20"/>
          <w:color w:val="auto"/>
        </w:rPr>
      </w:pPr>
    </w:p>
    <w:p>
      <w:pPr>
        <w:sectPr>
          <w:pgSz w:w="11900" w:h="16838" w:orient="portrait"/>
          <w:cols w:equalWidth="0" w:num="2">
            <w:col w:w="2793" w:space="620"/>
            <w:col w:w="6379"/>
          </w:cols>
          <w:pgMar w:left="667" w:top="624" w:right="1440" w:bottom="1440" w:gutter="0" w:footer="0" w:header="0"/>
          <w:type w:val="continuous"/>
        </w:sectPr>
      </w:pPr>
    </w:p>
    <w:p>
      <w:pPr>
        <w:ind w:left="2973"/>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9792"/>
          </w:cols>
          <w:pgMar w:left="667" w:top="624" w:right="1440" w:bottom="1440" w:gutter="0" w:footer="0" w:header="0"/>
          <w:type w:val="continuous"/>
        </w:sectPr>
      </w:pPr>
    </w:p>
    <w:bookmarkStart w:id="48" w:name="page49"/>
    <w:bookmarkEnd w:id="48"/>
    <w:p>
      <w:pPr>
        <w:ind w:left="2980"/>
        <w:spacing w:after="0"/>
        <w:rPr>
          <w:sz w:val="20"/>
          <w:szCs w:val="20"/>
          <w:color w:val="auto"/>
        </w:rPr>
      </w:pPr>
      <w:r>
        <w:rPr>
          <w:rFonts w:ascii="Courier New" w:cs="Courier New" w:eastAsia="Courier New" w:hAnsi="Courier New"/>
          <w:sz w:val="15"/>
          <w:szCs w:val="15"/>
          <w:color w:val="auto"/>
        </w:rPr>
        <w:t>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Larry E. Finger, certify that:</w:t>
      </w:r>
    </w:p>
    <w:p>
      <w:pPr>
        <w:spacing w:after="0" w:line="173" w:lineRule="exact"/>
        <w:rPr>
          <w:sz w:val="20"/>
          <w:szCs w:val="20"/>
          <w:color w:val="auto"/>
        </w:rPr>
      </w:pPr>
    </w:p>
    <w:p>
      <w:pPr>
        <w:ind w:left="880" w:right="3399" w:hanging="433"/>
        <w:spacing w:after="0" w:line="234"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Federal Realty Investment Trust;</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and</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75" w:lineRule="exact"/>
        <w:rPr>
          <w:rFonts w:ascii="Courier New" w:cs="Courier New" w:eastAsia="Courier New" w:hAnsi="Courier New"/>
          <w:sz w:val="15"/>
          <w:szCs w:val="15"/>
          <w:color w:val="auto"/>
        </w:rPr>
      </w:pPr>
    </w:p>
    <w:p>
      <w:pPr>
        <w:ind w:left="1760" w:right="3239" w:hanging="438"/>
        <w:spacing w:after="0" w:line="256" w:lineRule="auto"/>
        <w:tabs>
          <w:tab w:leader="none" w:pos="17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63" w:lineRule="exact"/>
        <w:rPr>
          <w:rFonts w:ascii="Courier New" w:cs="Courier New" w:eastAsia="Courier New" w:hAnsi="Courier New"/>
          <w:sz w:val="14"/>
          <w:szCs w:val="14"/>
          <w:color w:val="auto"/>
        </w:rPr>
      </w:pPr>
    </w:p>
    <w:p>
      <w:pPr>
        <w:ind w:left="1760" w:right="3239" w:hanging="438"/>
        <w:spacing w:after="0" w:line="235" w:lineRule="auto"/>
        <w:tabs>
          <w:tab w:leader="none" w:pos="17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quarterly report (the "Evaluation Date"); and</w:t>
      </w:r>
    </w:p>
    <w:p>
      <w:pPr>
        <w:spacing w:after="0" w:line="175" w:lineRule="exact"/>
        <w:rPr>
          <w:rFonts w:ascii="Courier New" w:cs="Courier New" w:eastAsia="Courier New" w:hAnsi="Courier New"/>
          <w:sz w:val="15"/>
          <w:szCs w:val="15"/>
          <w:color w:val="auto"/>
        </w:rPr>
      </w:pPr>
    </w:p>
    <w:p>
      <w:pPr>
        <w:ind w:left="1760" w:right="3239" w:hanging="438"/>
        <w:spacing w:after="0" w:line="258" w:lineRule="auto"/>
        <w:tabs>
          <w:tab w:leader="none" w:pos="17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presented in this quarterly report our conclusions about the effectiveness of the disclosure controls and procedures based on our evaluation as of the Evaluation Date;</w:t>
      </w:r>
    </w:p>
    <w:p>
      <w:pPr>
        <w:spacing w:after="0" w:line="161"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trustees (or persons performing the equivalent functions):</w:t>
      </w:r>
    </w:p>
    <w:p>
      <w:pPr>
        <w:spacing w:after="0" w:line="175" w:lineRule="exact"/>
        <w:rPr>
          <w:rFonts w:ascii="Courier New" w:cs="Courier New" w:eastAsia="Courier New" w:hAnsi="Courier New"/>
          <w:sz w:val="15"/>
          <w:szCs w:val="15"/>
          <w:color w:val="auto"/>
        </w:rPr>
      </w:pPr>
    </w:p>
    <w:p>
      <w:pPr>
        <w:ind w:left="1760" w:right="3399" w:hanging="438"/>
        <w:spacing w:after="0" w:line="236" w:lineRule="auto"/>
        <w:tabs>
          <w:tab w:leader="none" w:pos="176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1440" w:gutter="0" w:footer="0" w:header="0"/>
        </w:sectPr>
      </w:pPr>
    </w:p>
    <w:bookmarkStart w:id="49" w:name="page50"/>
    <w:bookmarkEnd w:id="49"/>
    <w:p>
      <w:pPr>
        <w:ind w:left="1313" w:right="3239" w:hanging="438"/>
        <w:spacing w:after="0" w:line="235" w:lineRule="auto"/>
        <w:tabs>
          <w:tab w:leader="none" w:pos="1313"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173" w:lineRule="exact"/>
        <w:rPr>
          <w:rFonts w:ascii="Courier New" w:cs="Courier New" w:eastAsia="Courier New" w:hAnsi="Courier New"/>
          <w:sz w:val="15"/>
          <w:szCs w:val="15"/>
          <w:color w:val="auto"/>
        </w:rPr>
      </w:pPr>
    </w:p>
    <w:p>
      <w:pPr>
        <w:ind w:left="433" w:right="3319" w:hanging="433"/>
        <w:spacing w:after="0" w:line="236" w:lineRule="auto"/>
        <w:tabs>
          <w:tab w:leader="none" w:pos="43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9792"/>
          </w:cols>
          <w:pgMar w:left="667" w:top="624" w:right="1440" w:bottom="1440" w:gutter="0" w:footer="0" w:header="0"/>
        </w:sectPr>
      </w:pPr>
    </w:p>
    <w:p>
      <w:pPr>
        <w:spacing w:after="0" w:line="343" w:lineRule="exact"/>
        <w:rPr>
          <w:sz w:val="20"/>
          <w:szCs w:val="20"/>
          <w:color w:val="auto"/>
        </w:rPr>
      </w:pPr>
    </w:p>
    <w:p>
      <w:pPr>
        <w:jc w:val="right"/>
        <w:ind w:right="860"/>
        <w:spacing w:after="0"/>
        <w:rPr>
          <w:sz w:val="20"/>
          <w:szCs w:val="20"/>
          <w:color w:val="auto"/>
        </w:rPr>
      </w:pPr>
      <w:r>
        <w:rPr>
          <w:rFonts w:ascii="Courier New" w:cs="Courier New" w:eastAsia="Courier New" w:hAnsi="Courier New"/>
          <w:sz w:val="14"/>
          <w:szCs w:val="14"/>
          <w:color w:val="auto"/>
        </w:rPr>
        <w:t>DATE: October 30, 2002</w:t>
      </w:r>
    </w:p>
    <w:p>
      <w:pPr>
        <w:spacing w:after="0" w:line="3" w:lineRule="exact"/>
        <w:rPr>
          <w:sz w:val="20"/>
          <w:szCs w:val="20"/>
          <w:color w:val="auto"/>
        </w:rPr>
      </w:pPr>
    </w:p>
    <w:p>
      <w:pPr>
        <w:jc w:val="right"/>
        <w:ind w:right="8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Larry E. Finger</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NAME: Larry E. Finger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Senior Vice President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and Chief Financial</w:t>
      </w:r>
    </w:p>
    <w:p>
      <w:pPr>
        <w:ind w:left="620"/>
        <w:spacing w:after="0" w:line="237" w:lineRule="auto"/>
        <w:rPr>
          <w:sz w:val="20"/>
          <w:szCs w:val="20"/>
          <w:color w:val="auto"/>
        </w:rPr>
      </w:pPr>
      <w:r>
        <w:rPr>
          <w:rFonts w:ascii="Courier New" w:cs="Courier New" w:eastAsia="Courier New" w:hAnsi="Courier New"/>
          <w:sz w:val="15"/>
          <w:szCs w:val="15"/>
          <w:color w:val="auto"/>
        </w:rPr>
        <w:t>Officer</w:t>
      </w:r>
    </w:p>
    <w:p>
      <w:pPr>
        <w:spacing w:after="0" w:line="167" w:lineRule="exact"/>
        <w:rPr>
          <w:sz w:val="20"/>
          <w:szCs w:val="20"/>
          <w:color w:val="auto"/>
        </w:rPr>
      </w:pPr>
    </w:p>
    <w:p>
      <w:pPr>
        <w:sectPr>
          <w:pgSz w:w="11900" w:h="16838" w:orient="portrait"/>
          <w:cols w:equalWidth="0" w:num="2">
            <w:col w:w="3213" w:space="720"/>
            <w:col w:w="5859"/>
          </w:cols>
          <w:pgMar w:left="667" w:top="624" w:right="1440" w:bottom="1440" w:gutter="0" w:footer="0" w:header="0"/>
          <w:type w:val="continuous"/>
        </w:sectPr>
      </w:pPr>
    </w:p>
    <w:p>
      <w:pPr>
        <w:ind w:left="2973"/>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9792"/>
          </w:cols>
          <w:pgMar w:left="667" w:top="624" w:right="1440" w:bottom="1440" w:gutter="0" w:footer="0" w:header="0"/>
          <w:type w:val="continuous"/>
        </w:sectPr>
      </w:pPr>
    </w:p>
    <w:bookmarkStart w:id="50" w:name="page51"/>
    <w:bookmarkEnd w:id="50"/>
    <w:p>
      <w:pPr>
        <w:jc w:val="center"/>
        <w:ind w:right="3139"/>
        <w:spacing w:after="0"/>
        <w:rPr>
          <w:sz w:val="20"/>
          <w:szCs w:val="20"/>
          <w:color w:val="auto"/>
        </w:rPr>
      </w:pPr>
      <w:r>
        <w:rPr>
          <w:rFonts w:ascii="Courier New" w:cs="Courier New" w:eastAsia="Courier New" w:hAnsi="Courier New"/>
          <w:sz w:val="15"/>
          <w:szCs w:val="15"/>
          <w:color w:val="auto"/>
        </w:rPr>
        <w:t>CERTIFICATION</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PURSUANT TO 18 U.S.C. SECTION 1350 AS ADOPTED PURSUANT TO</w:t>
      </w:r>
    </w:p>
    <w:p>
      <w:pPr>
        <w:ind w:left="1500"/>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undersigned, Steven J. Guttman, the Chairman and Chief Executive Officer of Federal Realty Investment Trust (the "Company"), has executed this certification in connection with the filing with the Securities and Exchange Commission of the Company's Quarterly Report on Form 10-Q for the period ending September 30, 2002 (the "Report"). The undersigned hereby certifies that:</w:t>
      </w:r>
    </w:p>
    <w:p>
      <w:pPr>
        <w:spacing w:after="0" w:line="163" w:lineRule="exact"/>
        <w:rPr>
          <w:sz w:val="20"/>
          <w:szCs w:val="20"/>
          <w:color w:val="auto"/>
        </w:rPr>
      </w:pPr>
    </w:p>
    <w:p>
      <w:pPr>
        <w:ind w:left="880" w:right="3499" w:hanging="433"/>
        <w:spacing w:after="0" w:line="234"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5"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ectPr>
          <w:pgSz w:w="11900" w:h="16838" w:orient="portrait"/>
          <w:cols w:equalWidth="0" w:num="1">
            <w:col w:w="10239"/>
          </w:cols>
          <w:pgMar w:left="220" w:top="617" w:right="1440" w:bottom="1440" w:gutter="0" w:footer="0" w:header="0"/>
        </w:sectPr>
      </w:pPr>
    </w:p>
    <w:p>
      <w:pPr>
        <w:spacing w:after="0" w:line="342" w:lineRule="exact"/>
        <w:rPr>
          <w:sz w:val="20"/>
          <w:szCs w:val="20"/>
          <w:color w:val="auto"/>
        </w:rPr>
      </w:pPr>
    </w:p>
    <w:p>
      <w:pPr>
        <w:jc w:val="right"/>
        <w:ind w:right="1280"/>
        <w:spacing w:after="0"/>
        <w:rPr>
          <w:sz w:val="20"/>
          <w:szCs w:val="20"/>
          <w:color w:val="auto"/>
        </w:rPr>
      </w:pPr>
      <w:r>
        <w:rPr>
          <w:rFonts w:ascii="Courier New" w:cs="Courier New" w:eastAsia="Courier New" w:hAnsi="Courier New"/>
          <w:sz w:val="14"/>
          <w:szCs w:val="14"/>
          <w:color w:val="auto"/>
        </w:rPr>
        <w:t>Date: October 30, 2002</w:t>
      </w:r>
    </w:p>
    <w:p>
      <w:pPr>
        <w:spacing w:after="0" w:line="3" w:lineRule="exact"/>
        <w:rPr>
          <w:sz w:val="20"/>
          <w:szCs w:val="20"/>
          <w:color w:val="auto"/>
        </w:rPr>
      </w:pPr>
    </w:p>
    <w:p>
      <w:pPr>
        <w:jc w:val="right"/>
        <w:ind w:right="1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Steven J. Guttman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Name: Steven J. Guttman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Chairman and Chief Executive</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Officer</w:t>
      </w:r>
    </w:p>
    <w:p>
      <w:pPr>
        <w:spacing w:after="0" w:line="166" w:lineRule="exact"/>
        <w:rPr>
          <w:sz w:val="20"/>
          <w:szCs w:val="20"/>
          <w:color w:val="auto"/>
        </w:rPr>
      </w:pPr>
    </w:p>
    <w:p>
      <w:pPr>
        <w:sectPr>
          <w:pgSz w:w="11900" w:h="16838" w:orient="portrait"/>
          <w:cols w:equalWidth="0" w:num="2">
            <w:col w:w="3220" w:space="720"/>
            <w:col w:w="6299"/>
          </w:cols>
          <w:pgMar w:left="220" w:top="617"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17" w:right="1440" w:bottom="1440" w:gutter="0" w:footer="0" w:header="0"/>
          <w:type w:val="continuous"/>
        </w:sectPr>
      </w:pPr>
    </w:p>
    <w:bookmarkStart w:id="51" w:name="page52"/>
    <w:bookmarkEnd w:id="51"/>
    <w:p>
      <w:pPr>
        <w:jc w:val="center"/>
        <w:ind w:right="3139"/>
        <w:spacing w:after="0"/>
        <w:rPr>
          <w:sz w:val="20"/>
          <w:szCs w:val="20"/>
          <w:color w:val="auto"/>
        </w:rPr>
      </w:pPr>
      <w:r>
        <w:rPr>
          <w:rFonts w:ascii="Courier New" w:cs="Courier New" w:eastAsia="Courier New" w:hAnsi="Courier New"/>
          <w:sz w:val="15"/>
          <w:szCs w:val="15"/>
          <w:color w:val="auto"/>
        </w:rPr>
        <w:t>CERTIFICATION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PURSUANT TO 18 U.S.C. SECTION 1350 AS ADOPTED PURSUANT TO</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undersigned, Donald C. Wood, the President and Chief Operating Officer of Federal Realty Investment Trust (the "Company"), has executed this certification in connection with the filing with the Securities and Exchange Commission of the Company's Quarterly Report on Form 10-Q for the period ending September 30, 2002, (the "Report"). The undersigned hereby certifies that:</w:t>
      </w:r>
    </w:p>
    <w:p>
      <w:pPr>
        <w:spacing w:after="0" w:line="163" w:lineRule="exact"/>
        <w:rPr>
          <w:sz w:val="20"/>
          <w:szCs w:val="20"/>
          <w:color w:val="auto"/>
        </w:rPr>
      </w:pPr>
    </w:p>
    <w:p>
      <w:pPr>
        <w:ind w:left="880" w:right="3499" w:hanging="433"/>
        <w:spacing w:after="0" w:line="234"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5"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ectPr>
          <w:pgSz w:w="11900" w:h="16838" w:orient="portrait"/>
          <w:cols w:equalWidth="0" w:num="1">
            <w:col w:w="10239"/>
          </w:cols>
          <w:pgMar w:left="220" w:top="617" w:right="1440" w:bottom="1440" w:gutter="0" w:footer="0" w:header="0"/>
        </w:sectPr>
      </w:pPr>
    </w:p>
    <w:p>
      <w:pPr>
        <w:spacing w:after="0" w:line="342" w:lineRule="exact"/>
        <w:rPr>
          <w:sz w:val="20"/>
          <w:szCs w:val="20"/>
          <w:color w:val="auto"/>
        </w:rPr>
      </w:pPr>
    </w:p>
    <w:p>
      <w:pPr>
        <w:jc w:val="right"/>
        <w:ind w:right="1200"/>
        <w:spacing w:after="0"/>
        <w:rPr>
          <w:sz w:val="20"/>
          <w:szCs w:val="20"/>
          <w:color w:val="auto"/>
        </w:rPr>
      </w:pPr>
      <w:r>
        <w:rPr>
          <w:rFonts w:ascii="Courier New" w:cs="Courier New" w:eastAsia="Courier New" w:hAnsi="Courier New"/>
          <w:sz w:val="14"/>
          <w:szCs w:val="14"/>
          <w:color w:val="auto"/>
        </w:rPr>
        <w:t>Date: October 30, 2002</w:t>
      </w:r>
    </w:p>
    <w:p>
      <w:pPr>
        <w:spacing w:after="0" w:line="3" w:lineRule="exact"/>
        <w:rPr>
          <w:sz w:val="20"/>
          <w:szCs w:val="20"/>
          <w:color w:val="auto"/>
        </w:rPr>
      </w:pPr>
    </w:p>
    <w:p>
      <w:pPr>
        <w:jc w:val="right"/>
        <w:ind w:right="1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Donald C. Wood</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Name: Donald C. Wood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President and Chief Operating</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Officer</w:t>
      </w:r>
    </w:p>
    <w:p>
      <w:pPr>
        <w:spacing w:after="0" w:line="166" w:lineRule="exact"/>
        <w:rPr>
          <w:sz w:val="20"/>
          <w:szCs w:val="20"/>
          <w:color w:val="auto"/>
        </w:rPr>
      </w:pPr>
    </w:p>
    <w:p>
      <w:pPr>
        <w:sectPr>
          <w:pgSz w:w="11900" w:h="16838" w:orient="portrait"/>
          <w:cols w:equalWidth="0" w:num="2">
            <w:col w:w="3140" w:space="720"/>
            <w:col w:w="6379"/>
          </w:cols>
          <w:pgMar w:left="220" w:top="617"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17" w:right="1440" w:bottom="1440" w:gutter="0" w:footer="0" w:header="0"/>
          <w:type w:val="continuous"/>
        </w:sectPr>
      </w:pPr>
    </w:p>
    <w:bookmarkStart w:id="52" w:name="page53"/>
    <w:bookmarkEnd w:id="52"/>
    <w:p>
      <w:pPr>
        <w:jc w:val="center"/>
        <w:ind w:right="3139"/>
        <w:spacing w:after="0"/>
        <w:rPr>
          <w:sz w:val="20"/>
          <w:szCs w:val="20"/>
          <w:color w:val="auto"/>
        </w:rPr>
      </w:pPr>
      <w:r>
        <w:rPr>
          <w:rFonts w:ascii="Courier New" w:cs="Courier New" w:eastAsia="Courier New" w:hAnsi="Courier New"/>
          <w:sz w:val="15"/>
          <w:szCs w:val="15"/>
          <w:color w:val="auto"/>
        </w:rPr>
        <w:t>CERTIFICATION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PURSUANT TO 18 U.S.C. SECTION 1350 AS ADOPTED PURSUANT TO</w:t>
      </w:r>
    </w:p>
    <w:p>
      <w:pPr>
        <w:jc w:val="center"/>
        <w:ind w:right="3139"/>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undersigned, Larry E. Finger, the Senior Vice President and Chief Financial Officer of Federal Realty Investment Trust (the "Company"), has executed this certification in connection with the filing with the Securities and Exchange Commission of the Company's Quarterly Report on Form 10-Q for the period ending September 30, 2002 (the "Report"). The undersigned hereby certifies that:</w:t>
      </w:r>
    </w:p>
    <w:p>
      <w:pPr>
        <w:spacing w:after="0" w:line="163" w:lineRule="exact"/>
        <w:rPr>
          <w:sz w:val="20"/>
          <w:szCs w:val="20"/>
          <w:color w:val="auto"/>
        </w:rPr>
      </w:pPr>
    </w:p>
    <w:p>
      <w:pPr>
        <w:ind w:left="880" w:right="3499" w:hanging="433"/>
        <w:spacing w:after="0" w:line="234"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Securities Exchange Act of 1934; and</w:t>
      </w:r>
    </w:p>
    <w:p>
      <w:pPr>
        <w:spacing w:after="0" w:line="5"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ectPr>
          <w:pgSz w:w="11900" w:h="16838" w:orient="portrait"/>
          <w:cols w:equalWidth="0" w:num="1">
            <w:col w:w="10239"/>
          </w:cols>
          <w:pgMar w:left="220" w:top="617" w:right="1440" w:bottom="1440" w:gutter="0" w:footer="0" w:header="0"/>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October 30, 2002</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Larry E. Finger</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Name: Larry E. Finger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Senior Vice President and Chief</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Financial Officer</w:t>
      </w:r>
    </w:p>
    <w:p>
      <w:pPr>
        <w:spacing w:after="0" w:line="166" w:lineRule="exact"/>
        <w:rPr>
          <w:sz w:val="20"/>
          <w:szCs w:val="20"/>
          <w:color w:val="auto"/>
        </w:rPr>
      </w:pPr>
    </w:p>
    <w:p>
      <w:pPr>
        <w:sectPr>
          <w:pgSz w:w="11900" w:h="16838" w:orient="portrait"/>
          <w:cols w:equalWidth="0" w:num="2">
            <w:col w:w="2960" w:space="720"/>
            <w:col w:w="6559"/>
          </w:cols>
          <w:pgMar w:left="220" w:top="617"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17" w:right="1440" w:bottom="1440" w:gutter="0" w:footer="0" w:header="0"/>
          <w:type w:val="continuous"/>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EXHIBIT INDEX</w:t>
      </w:r>
    </w:p>
    <w:p>
      <w:pPr>
        <w:spacing w:after="0" w:line="166" w:lineRule="exact"/>
        <w:rPr>
          <w:sz w:val="20"/>
          <w:szCs w:val="20"/>
          <w:color w:val="auto"/>
        </w:rPr>
      </w:pPr>
    </w:p>
    <w:p>
      <w:pPr>
        <w:ind w:left="700" w:hanging="428"/>
        <w:spacing w:after="0"/>
        <w:tabs>
          <w:tab w:leader="none" w:pos="7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2" w:lineRule="exact"/>
        <w:rPr>
          <w:rFonts w:ascii="Courier New" w:cs="Courier New" w:eastAsia="Courier New" w:hAnsi="Courier New"/>
          <w:sz w:val="15"/>
          <w:szCs w:val="15"/>
          <w:color w:val="auto"/>
        </w:rPr>
      </w:pPr>
    </w:p>
    <w:p>
      <w:pPr>
        <w:ind w:right="3239" w:firstLine="447"/>
        <w:spacing w:after="0" w:line="258" w:lineRule="auto"/>
        <w:tabs>
          <w:tab w:leader="none" w:pos="787"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Declaration of Trust of Federal Realty Investment Trust dated May 5, 1999 filed with the Commission on May 25, 1999 as an exhibit to the Trust's Current Report on Form 8-K is incorporated herein by reference thereto.</w:t>
      </w:r>
    </w:p>
    <w:p>
      <w:pPr>
        <w:spacing w:after="0" w:line="161" w:lineRule="exact"/>
        <w:rPr>
          <w:rFonts w:ascii="Courier New" w:cs="Courier New" w:eastAsia="Courier New" w:hAnsi="Courier New"/>
          <w:sz w:val="14"/>
          <w:szCs w:val="14"/>
          <w:color w:val="auto"/>
        </w:rPr>
      </w:pPr>
    </w:p>
    <w:p>
      <w:pPr>
        <w:ind w:right="3399" w:firstLine="797"/>
        <w:spacing w:after="0" w:line="235" w:lineRule="auto"/>
        <w:tabs>
          <w:tab w:leader="none" w:pos="1312"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the Trust as amended, filed with the Commission on June 6, 2002 as an exhibit to the Trust's Registration Statement on Form 8-A/A is incorporated herein by reference thereto.</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(10)(i) Amendment to Promissory Notes dated May 31, 2002 between Federal Realty Investment Trust and Steven J. Guttman.</w:t>
      </w:r>
    </w:p>
    <w:p>
      <w:pPr>
        <w:spacing w:after="0" w:line="173" w:lineRule="exact"/>
        <w:rPr>
          <w:sz w:val="20"/>
          <w:szCs w:val="20"/>
          <w:color w:val="auto"/>
        </w:rPr>
      </w:pPr>
    </w:p>
    <w:p>
      <w:pPr>
        <w:ind w:right="3839" w:firstLine="797"/>
        <w:spacing w:after="0" w:line="234" w:lineRule="auto"/>
        <w:tabs>
          <w:tab w:leader="none" w:pos="131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Stock Option Agreements dated August 15, 2002 between Federal Realty Investment Trust and Dawn M. Becker.</w:t>
      </w:r>
    </w:p>
    <w:p>
      <w:pPr>
        <w:spacing w:after="0" w:line="173" w:lineRule="exact"/>
        <w:rPr>
          <w:rFonts w:ascii="Courier New" w:cs="Courier New" w:eastAsia="Courier New" w:hAnsi="Courier New"/>
          <w:sz w:val="15"/>
          <w:szCs w:val="15"/>
          <w:color w:val="auto"/>
        </w:rPr>
      </w:pPr>
    </w:p>
    <w:p>
      <w:pPr>
        <w:ind w:right="3239" w:firstLine="797"/>
        <w:spacing w:after="0" w:line="234" w:lineRule="auto"/>
        <w:tabs>
          <w:tab w:leader="none" w:pos="131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Stock Option Agreement dated August 15, 2002 between Federal Realty Investment Trust and Jeffrey S. Berkes.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17" w:right="1440" w:bottom="1440" w:gutter="0" w:footer="0" w:header="0"/>
        </w:sectPr>
      </w:pPr>
    </w:p>
    <w:bookmarkStart w:id="54" w:name="page55"/>
    <w:bookmarkEnd w:id="54"/>
    <w:p>
      <w:pPr>
        <w:jc w:val="center"/>
        <w:ind w:right="3139"/>
        <w:spacing w:after="0"/>
        <w:rPr>
          <w:sz w:val="20"/>
          <w:szCs w:val="20"/>
          <w:color w:val="auto"/>
        </w:rPr>
      </w:pPr>
      <w:r>
        <w:rPr>
          <w:rFonts w:ascii="Courier New" w:cs="Courier New" w:eastAsia="Courier New" w:hAnsi="Courier New"/>
          <w:sz w:val="15"/>
          <w:szCs w:val="15"/>
          <w:color w:val="auto"/>
        </w:rPr>
        <w:t>AMENDMENT TO PROMISSORY NOTES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THIS AMENDMENT TO PROMISSORY NOTES ("Amendment") made as of May 31, 2002, by and between FEDERAL REALTY INVESTMENT TRUST ("Payee"), and STEVEN J. GUTTMAN, an employee of Payee ("Maker")</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WITNESSETH</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WHEREAS, in connection with the exercise of employee stock options, Payee has extended loans to Maker, and Maker has made four promissory notes payable to the order of Payee, as follows:</w:t>
      </w:r>
    </w:p>
    <w:p>
      <w:pPr>
        <w:spacing w:after="0" w:line="174" w:lineRule="exact"/>
        <w:rPr>
          <w:sz w:val="20"/>
          <w:szCs w:val="20"/>
          <w:color w:val="auto"/>
        </w:rPr>
      </w:pPr>
    </w:p>
    <w:p>
      <w:pPr>
        <w:ind w:left="440" w:right="3939"/>
        <w:spacing w:after="0" w:line="234" w:lineRule="auto"/>
        <w:rPr>
          <w:sz w:val="20"/>
          <w:szCs w:val="20"/>
          <w:color w:val="auto"/>
        </w:rPr>
      </w:pPr>
      <w:r>
        <w:rPr>
          <w:rFonts w:ascii="Courier New" w:cs="Courier New" w:eastAsia="Courier New" w:hAnsi="Courier New"/>
          <w:sz w:val="15"/>
          <w:szCs w:val="15"/>
          <w:color w:val="auto"/>
        </w:rPr>
        <w:t>Amended and Restated Promissory Note dated October 21, 1987, in the principal amount of $100,007.25;</w:t>
      </w:r>
    </w:p>
    <w:p>
      <w:pPr>
        <w:spacing w:after="0" w:line="5"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Promissory Note dated November 6, 1996, in the principal amount of $180,937.50; and</w:t>
      </w:r>
    </w:p>
    <w:p>
      <w:pPr>
        <w:ind w:left="440"/>
        <w:spacing w:after="0" w:line="237" w:lineRule="auto"/>
        <w:rPr>
          <w:sz w:val="20"/>
          <w:szCs w:val="20"/>
          <w:color w:val="auto"/>
        </w:rPr>
      </w:pPr>
      <w:r>
        <w:rPr>
          <w:rFonts w:ascii="Courier New" w:cs="Courier New" w:eastAsia="Courier New" w:hAnsi="Courier New"/>
          <w:sz w:val="15"/>
          <w:szCs w:val="15"/>
          <w:color w:val="auto"/>
        </w:rPr>
        <w:t>Promissory Note dated December 31, 1992, in the principal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$99,990; (collectively, as such notes may have been amended, the "Early Notes");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Promissory Note dated January 2, 2002, in the principal amount of $205,000 (as such note may have been amended, the "2002 Note");</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Early Notes and the 2002 Note being collectively referred to hereinafter as the "Promissory Notes"); the principal amounts of which remain unpaid; and</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WHEREAS, the Promissory Notes by their terms are repayable in full by Maker within a certain amount of time after the termination of Maker's employment with Payee; and</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WHEREAS, the parties desire to amend the Promissory Notes to provide for a fixed repayment date of May 31, 2007, irrespective of any termination of employment of Maker;</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NOW, THEREFORE, in consideration of the foregoing, of the mutual promises herein contained and of other good and valuable consideration, the receipt and sufficiency of which is hereby acknowledged, and intending to be legally bound hereby, the parties hereby agree as follows:</w:t>
      </w:r>
    </w:p>
    <w:p>
      <w:pPr>
        <w:spacing w:after="0" w:line="175" w:lineRule="exact"/>
        <w:rPr>
          <w:sz w:val="20"/>
          <w:szCs w:val="20"/>
          <w:color w:val="auto"/>
        </w:rPr>
      </w:pPr>
    </w:p>
    <w:p>
      <w:pPr>
        <w:ind w:right="3239" w:firstLine="10"/>
        <w:spacing w:after="0" w:line="235" w:lineRule="auto"/>
        <w:tabs>
          <w:tab w:leader="none" w:pos="43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paragraph of each of the Early Notes, and the third paragraph of the 2002 Note, is hereby amended to read, in its entirety, as follows: "The entire principal and any accrued interest shall all be due and payable on or before May 31, 2007."</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modified hereby, each of the Promissory Notes</w:t>
      </w:r>
    </w:p>
    <w:p>
      <w:pPr>
        <w:spacing w:after="0" w:line="4" w:lineRule="exact"/>
        <w:rPr>
          <w:rFonts w:ascii="Courier New" w:cs="Courier New" w:eastAsia="Courier New" w:hAnsi="Courier New"/>
          <w:sz w:val="15"/>
          <w:szCs w:val="15"/>
          <w:color w:val="auto"/>
        </w:rPr>
      </w:pPr>
    </w:p>
    <w:p>
      <w:pPr>
        <w:ind w:right="33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remains in full force and effect, and Maker hereby ratifies and reaffirms each and all of the terms and provisions of the Promissory Notes as modified hereby.</w:t>
      </w:r>
    </w:p>
    <w:p>
      <w:pPr>
        <w:spacing w:after="0" w:line="160"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Amendment as of the date first above written.</w:t>
      </w:r>
    </w:p>
    <w:p>
      <w:pPr>
        <w:sectPr>
          <w:pgSz w:w="11900" w:h="16838" w:orient="portrait"/>
          <w:cols w:equalWidth="0" w:num="1">
            <w:col w:w="10239"/>
          </w:cols>
          <w:pgMar w:left="220" w:top="64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200" w:lineRule="exact"/>
        <w:rPr>
          <w:sz w:val="20"/>
          <w:szCs w:val="20"/>
          <w:color w:val="auto"/>
        </w:rPr>
      </w:pPr>
    </w:p>
    <w:p>
      <w:pPr>
        <w:sectPr>
          <w:pgSz w:w="11900" w:h="16838" w:orient="portrait"/>
          <w:cols w:equalWidth="0" w:num="2">
            <w:col w:w="2440" w:space="720"/>
            <w:col w:w="7079"/>
          </w:cols>
          <w:pgMar w:left="220" w:top="640"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ectPr>
          <w:pgSz w:w="11900" w:h="16838" w:orient="portrait"/>
          <w:cols w:equalWidth="0" w:num="2">
            <w:col w:w="2460" w:space="700"/>
            <w:col w:w="7079"/>
          </w:cols>
          <w:pgMar w:left="220" w:top="64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WITNESS:</w:t>
      </w:r>
    </w:p>
    <w:p>
      <w:pPr>
        <w:sectPr>
          <w:pgSz w:w="11900" w:h="16838" w:orient="portrait"/>
          <w:cols w:equalWidth="0" w:num="1">
            <w:col w:w="10239"/>
          </w:cols>
          <w:pgMar w:left="220" w:top="640"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Guttman</w:t>
      </w:r>
    </w:p>
    <w:p>
      <w:pPr>
        <w:sectPr>
          <w:pgSz w:w="11900" w:h="16838" w:orient="portrait"/>
          <w:cols w:equalWidth="0" w:num="2">
            <w:col w:w="2460" w:space="700"/>
            <w:col w:w="7079"/>
          </w:cols>
          <w:pgMar w:left="220" w:top="640" w:right="1440" w:bottom="1440" w:gutter="0" w:footer="0" w:header="0"/>
          <w:type w:val="continuous"/>
        </w:sectPr>
      </w:pPr>
    </w:p>
    <w:bookmarkStart w:id="55" w:name="page56"/>
    <w:bookmarkEnd w:id="55"/>
    <w:p>
      <w:pPr>
        <w:ind w:left="1940"/>
        <w:spacing w:after="0"/>
        <w:rPr>
          <w:sz w:val="20"/>
          <w:szCs w:val="20"/>
          <w:color w:val="auto"/>
        </w:rPr>
      </w:pPr>
      <w:r>
        <w:rPr>
          <w:rFonts w:ascii="Courier New" w:cs="Courier New" w:eastAsia="Courier New" w:hAnsi="Courier New"/>
          <w:sz w:val="15"/>
          <w:szCs w:val="15"/>
          <w:color w:val="auto"/>
        </w:rPr>
        <w:t>AMENDMENT TO STOCK OPTION AGREEMENTS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Amendment to Stock Option Agreements ("Amendment") is made and entered into as of the 15/th/ day of August, 2002, by and between FEDERAL REALTY INVESTMENT TRUST, a Maryland real estate investment trust ("Trust"), and Dawn M. Becker ("Executive").</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WHEREAS, Executive and the Trust have entered into the following stock option agreements:</w:t>
      </w:r>
    </w:p>
    <w:p>
      <w:pPr>
        <w:spacing w:after="0" w:line="173" w:lineRule="exact"/>
        <w:rPr>
          <w:sz w:val="20"/>
          <w:szCs w:val="20"/>
          <w:color w:val="auto"/>
        </w:rPr>
      </w:pPr>
    </w:p>
    <w:p>
      <w:pPr>
        <w:ind w:left="440" w:right="3239"/>
        <w:spacing w:after="0" w:line="258" w:lineRule="auto"/>
        <w:rPr>
          <w:sz w:val="20"/>
          <w:szCs w:val="20"/>
          <w:color w:val="auto"/>
        </w:rPr>
      </w:pPr>
      <w:r>
        <w:rPr>
          <w:rFonts w:ascii="Courier New" w:cs="Courier New" w:eastAsia="Courier New" w:hAnsi="Courier New"/>
          <w:sz w:val="14"/>
          <w:szCs w:val="14"/>
          <w:color w:val="auto"/>
        </w:rPr>
        <w:t>Combined Incentive and Non-Qualified Stock Option Agreement for Employees dated April 17, 1998, setting forth the terms of the award of 7,500 options at the exercise price of $25.1875, expiring January 26, 2008;</w:t>
      </w:r>
    </w:p>
    <w:p>
      <w:pPr>
        <w:spacing w:after="0" w:line="161" w:lineRule="exact"/>
        <w:rPr>
          <w:sz w:val="20"/>
          <w:szCs w:val="20"/>
          <w:color w:val="auto"/>
        </w:rPr>
      </w:pPr>
    </w:p>
    <w:p>
      <w:pPr>
        <w:ind w:left="440" w:right="3319"/>
        <w:spacing w:after="0" w:line="258" w:lineRule="auto"/>
        <w:rPr>
          <w:sz w:val="20"/>
          <w:szCs w:val="20"/>
          <w:color w:val="auto"/>
        </w:rPr>
      </w:pPr>
      <w:r>
        <w:rPr>
          <w:rFonts w:ascii="Courier New" w:cs="Courier New" w:eastAsia="Courier New" w:hAnsi="Courier New"/>
          <w:sz w:val="14"/>
          <w:szCs w:val="14"/>
          <w:color w:val="auto"/>
        </w:rPr>
        <w:t>Combined Incentive and Non-Qualified Stock Option Agreement for Employees dated February 22, 1999, setting forth the terms of the award of 10,000 options at the exercise price of $21.0625, expiring February 22, 2009; and</w:t>
      </w:r>
    </w:p>
    <w:p>
      <w:pPr>
        <w:spacing w:after="0" w:line="161" w:lineRule="exact"/>
        <w:rPr>
          <w:sz w:val="20"/>
          <w:szCs w:val="20"/>
          <w:color w:val="auto"/>
        </w:rPr>
      </w:pPr>
    </w:p>
    <w:p>
      <w:pPr>
        <w:ind w:left="440" w:right="3239"/>
        <w:spacing w:after="0" w:line="258" w:lineRule="auto"/>
        <w:rPr>
          <w:sz w:val="20"/>
          <w:szCs w:val="20"/>
          <w:color w:val="auto"/>
        </w:rPr>
      </w:pPr>
      <w:r>
        <w:rPr>
          <w:rFonts w:ascii="Courier New" w:cs="Courier New" w:eastAsia="Courier New" w:hAnsi="Courier New"/>
          <w:sz w:val="14"/>
          <w:szCs w:val="14"/>
          <w:color w:val="auto"/>
        </w:rPr>
        <w:t>Combined Incentive and Non-Qualified Stock Option Agreement for Employees dated July 27, 2000, setting forth the terms of the award of 20,000 options at the exercise price of $20.9375, expiring July 27, 2010;</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(collectively referred to hereinafter as the "Stock Option Agreements"); and</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WHEREAS, Executive is now an executive officer of the Trust, and Executive and the Trust wish to amend the Stock Option Agreements;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of the mutual promises herein contained and of other good and valuable consideration, the receipt and sufficiency of which is hereby acknowledged, the parties hereto, intending to be legally bound, agree as follows:</w:t>
      </w:r>
    </w:p>
    <w:p>
      <w:pPr>
        <w:spacing w:after="0" w:line="169" w:lineRule="exact"/>
        <w:rPr>
          <w:sz w:val="20"/>
          <w:szCs w:val="20"/>
          <w:color w:val="auto"/>
        </w:rPr>
      </w:pPr>
    </w:p>
    <w:p>
      <w:pPr>
        <w:ind w:left="880" w:hanging="433"/>
        <w:spacing w:after="0"/>
        <w:tabs>
          <w:tab w:leader="none" w:pos="8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Option Agreements are hereby amended as follows:</w:t>
      </w:r>
    </w:p>
    <w:p>
      <w:pPr>
        <w:spacing w:after="0" w:line="172" w:lineRule="exact"/>
        <w:rPr>
          <w:rFonts w:ascii="Courier New" w:cs="Courier New" w:eastAsia="Courier New" w:hAnsi="Courier New"/>
          <w:sz w:val="15"/>
          <w:szCs w:val="15"/>
          <w:color w:val="auto"/>
        </w:rPr>
      </w:pPr>
    </w:p>
    <w:p>
      <w:pPr>
        <w:ind w:left="1320" w:right="357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 In Section 4, subparagraph (a)(i) is amended by deleting the phrase "within three months" and replacing it with the phrase "within one year."</w:t>
      </w:r>
    </w:p>
    <w:p>
      <w:pPr>
        <w:spacing w:after="0" w:line="173" w:lineRule="exact"/>
        <w:rPr>
          <w:rFonts w:ascii="Courier New" w:cs="Courier New" w:eastAsia="Courier New" w:hAnsi="Courier New"/>
          <w:sz w:val="15"/>
          <w:szCs w:val="15"/>
          <w:color w:val="auto"/>
        </w:rPr>
      </w:pPr>
    </w:p>
    <w:p>
      <w:pPr>
        <w:ind w:left="1320" w:right="323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 Section 5 is hereby amended by deleting all references therein to payment of the option exercise price in the form of a promissory note.</w:t>
      </w:r>
    </w:p>
    <w:p>
      <w:pPr>
        <w:spacing w:after="0" w:line="173" w:lineRule="exact"/>
        <w:rPr>
          <w:rFonts w:ascii="Courier New" w:cs="Courier New" w:eastAsia="Courier New" w:hAnsi="Courier New"/>
          <w:sz w:val="15"/>
          <w:szCs w:val="15"/>
          <w:color w:val="auto"/>
        </w:rPr>
      </w:pPr>
    </w:p>
    <w:p>
      <w:pPr>
        <w:jc w:val="both"/>
        <w:ind w:right="3579" w:firstLine="447"/>
        <w:spacing w:after="0" w:line="235" w:lineRule="auto"/>
        <w:tabs>
          <w:tab w:leader="none" w:pos="87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used in this Amendment, unless otherwise defined herein, have the respective meanings given to such terms in the Stock Option Agreements.</w:t>
      </w:r>
    </w:p>
    <w:p>
      <w:pPr>
        <w:sectPr>
          <w:pgSz w:w="11900" w:h="16838" w:orient="portrait"/>
          <w:cols w:equalWidth="0" w:num="1">
            <w:col w:w="10239"/>
          </w:cols>
          <w:pgMar w:left="220" w:top="640" w:right="1440" w:bottom="1440" w:gutter="0" w:footer="0" w:header="0"/>
        </w:sectPr>
      </w:pPr>
    </w:p>
    <w:bookmarkStart w:id="56" w:name="page57"/>
    <w:bookmarkEnd w:id="56"/>
    <w:p>
      <w:pPr>
        <w:ind w:right="3239" w:firstLine="447"/>
        <w:spacing w:after="0" w:line="235" w:lineRule="auto"/>
        <w:tabs>
          <w:tab w:leader="none" w:pos="87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modified hereby, the Stock Option Agreements remain in full force and effect, and the Trust and Executive hereby ratify and reaffirm each and all of the terms and provisions of the Stock Option Agreements as modified hereby.</w:t>
      </w:r>
    </w:p>
    <w:p>
      <w:pPr>
        <w:spacing w:after="0" w:line="17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 WITNESS WHEREOF, the parties have executed and delivered this Amendment to be effective as of the day and year indicated above.</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3"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ind w:left="386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WITNESS:</w:t>
      </w:r>
      <w:r>
        <w:rPr>
          <w:sz w:val="20"/>
          <w:szCs w:val="20"/>
          <w:color w:val="auto"/>
        </w:rPr>
        <w:tab/>
      </w:r>
      <w:r>
        <w:rPr>
          <w:rFonts w:ascii="Courier New" w:cs="Courier New" w:eastAsia="Courier New" w:hAnsi="Courier New"/>
          <w:sz w:val="15"/>
          <w:szCs w:val="15"/>
          <w:color w:val="auto"/>
        </w:rPr>
        <w:t>EXECUTIVE</w:t>
      </w:r>
    </w:p>
    <w:p>
      <w:pPr>
        <w:spacing w:after="0" w:line="173"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4"/>
          <w:szCs w:val="14"/>
          <w:color w:val="auto"/>
        </w:rPr>
        <w:t>____________________________________</w:t>
      </w:r>
      <w:r>
        <w:rPr>
          <w:sz w:val="20"/>
          <w:szCs w:val="20"/>
          <w:color w:val="auto"/>
        </w:rPr>
        <w:tab/>
      </w: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Dawn M. Becker</w:t>
      </w:r>
    </w:p>
    <w:p>
      <w:pPr>
        <w:sectPr>
          <w:pgSz w:w="11900" w:h="16838" w:orient="portrait"/>
          <w:cols w:equalWidth="0" w:num="1">
            <w:col w:w="10239"/>
          </w:cols>
          <w:pgMar w:left="220" w:top="624" w:right="1440" w:bottom="1440" w:gutter="0" w:footer="0" w:header="0"/>
        </w:sectPr>
      </w:pPr>
    </w:p>
    <w:bookmarkStart w:id="57" w:name="page58"/>
    <w:bookmarkEnd w:id="57"/>
    <w:p>
      <w:pPr>
        <w:ind w:left="2020"/>
        <w:spacing w:after="0"/>
        <w:rPr>
          <w:sz w:val="20"/>
          <w:szCs w:val="20"/>
          <w:color w:val="auto"/>
        </w:rPr>
      </w:pPr>
      <w:r>
        <w:rPr>
          <w:rFonts w:ascii="Courier New" w:cs="Courier New" w:eastAsia="Courier New" w:hAnsi="Courier New"/>
          <w:sz w:val="15"/>
          <w:szCs w:val="15"/>
          <w:color w:val="auto"/>
        </w:rPr>
        <w:t>AMENDMENT TO STOCK OPTION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Amendment to Stock Option Agreement ("Amendment") is made and entered into as of the 15/th/ day of August, 2002, by and between FEDERAL REALTY INVESTMENT TRUST, a Maryland real estate investment trust ("Trust"), and Jeffrey S. Berkes ("Executive").</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WHEREAS, Executive and the Trust have entered into that certain Combined Incentive and Non-Qualified Stock Option Agreement for Employees dated February 15, 2000, setting forth the terms of the award of 30,000 options at the exercise price of $18.00, expiring February 15, 2010 (the "Stock Option Agreement"); and</w:t>
      </w:r>
    </w:p>
    <w:p>
      <w:pPr>
        <w:spacing w:after="0" w:line="164"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WHEREAS, Executive is now an executive officer of the Trust, and Executive and the Trust wish to amend the above-referenced stock option agreement;</w:t>
      </w:r>
    </w:p>
    <w:p>
      <w:pPr>
        <w:spacing w:after="0" w:line="16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of the mutual promises herein contained and of other good and valuable consideration, the receipt and sufficiency of which is hereby acknowledged, the parties hereto, intending to be legally bound, agree as follows:</w:t>
      </w:r>
    </w:p>
    <w:p>
      <w:pPr>
        <w:spacing w:after="0" w:line="169" w:lineRule="exact"/>
        <w:rPr>
          <w:sz w:val="20"/>
          <w:szCs w:val="20"/>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Option Agreement is amended as follows:</w:t>
      </w:r>
    </w:p>
    <w:p>
      <w:pPr>
        <w:spacing w:after="0" w:line="172" w:lineRule="exact"/>
        <w:rPr>
          <w:rFonts w:ascii="Courier New" w:cs="Courier New" w:eastAsia="Courier New" w:hAnsi="Courier New"/>
          <w:sz w:val="15"/>
          <w:szCs w:val="15"/>
          <w:color w:val="auto"/>
        </w:rPr>
      </w:pPr>
    </w:p>
    <w:p>
      <w:pPr>
        <w:ind w:left="1320" w:right="357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 In Section 4, subparagraph (a)(i) is amended by deleting the phrase "within three months" and replacing it with the phrase "within one year."</w:t>
      </w:r>
    </w:p>
    <w:p>
      <w:pPr>
        <w:spacing w:after="0" w:line="173" w:lineRule="exact"/>
        <w:rPr>
          <w:rFonts w:ascii="Courier New" w:cs="Courier New" w:eastAsia="Courier New" w:hAnsi="Courier New"/>
          <w:sz w:val="15"/>
          <w:szCs w:val="15"/>
          <w:color w:val="auto"/>
        </w:rPr>
      </w:pPr>
    </w:p>
    <w:p>
      <w:pPr>
        <w:ind w:left="1320" w:right="3239" w:hanging="43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 Section 5 is hereby amended by deleting all references therein to payment of the option exercise price in the form of a promissory note.</w:t>
      </w:r>
    </w:p>
    <w:p>
      <w:pPr>
        <w:spacing w:after="0" w:line="173" w:lineRule="exact"/>
        <w:rPr>
          <w:rFonts w:ascii="Courier New" w:cs="Courier New" w:eastAsia="Courier New" w:hAnsi="Courier New"/>
          <w:sz w:val="15"/>
          <w:szCs w:val="15"/>
          <w:color w:val="auto"/>
        </w:rPr>
      </w:pPr>
    </w:p>
    <w:p>
      <w:pPr>
        <w:jc w:val="both"/>
        <w:ind w:right="3579" w:firstLine="447"/>
        <w:spacing w:after="0" w:line="235" w:lineRule="auto"/>
        <w:tabs>
          <w:tab w:leader="none" w:pos="8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terms used in this Amendment, unless otherwise defined herein, have the respective meanings given to such terms in the Stock Option Agreement.</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8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modified hereby, the Stock Option Agreement remains in full force and effect, and the Trust and Executive hereby ratify and reaffirm each and all of the terms and provisions of the Stock Option Agreement as modified hereby.</w:t>
      </w:r>
    </w:p>
    <w:p>
      <w:pPr>
        <w:spacing w:after="0" w:line="17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 WITNESS WHEREOF, the parties have executed and delivered this Amendment to be effective as of the day and year indicated above.</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3"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By:_________________________________</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Name:</w:t>
      </w:r>
    </w:p>
    <w:p>
      <w:pPr>
        <w:ind w:left="386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WITNESS:</w:t>
      </w:r>
      <w:r>
        <w:rPr>
          <w:sz w:val="20"/>
          <w:szCs w:val="20"/>
          <w:color w:val="auto"/>
        </w:rPr>
        <w:tab/>
      </w:r>
      <w:r>
        <w:rPr>
          <w:rFonts w:ascii="Courier New" w:cs="Courier New" w:eastAsia="Courier New" w:hAnsi="Courier New"/>
          <w:sz w:val="15"/>
          <w:szCs w:val="15"/>
          <w:color w:val="auto"/>
        </w:rPr>
        <w:t>EXECUTIVE</w:t>
      </w:r>
    </w:p>
    <w:p>
      <w:pPr>
        <w:spacing w:after="0" w:line="173"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4"/>
          <w:szCs w:val="14"/>
          <w:color w:val="auto"/>
        </w:rPr>
        <w:t>____________________________________</w:t>
      </w:r>
      <w:r>
        <w:rPr>
          <w:sz w:val="20"/>
          <w:szCs w:val="20"/>
          <w:color w:val="auto"/>
        </w:rPr>
        <w:tab/>
      </w:r>
      <w:r>
        <w:rPr>
          <w:rFonts w:ascii="Courier New" w:cs="Courier New" w:eastAsia="Courier New" w:hAnsi="Courier New"/>
          <w:sz w:val="14"/>
          <w:szCs w:val="14"/>
          <w:color w:val="auto"/>
        </w:rPr>
        <w:t>____________________________________</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Jeffrey S. Berkes</w:t>
      </w:r>
    </w:p>
    <w:sectPr>
      <w:pgSz w:w="11900" w:h="16838" w:orient="portrait"/>
      <w:cols w:equalWidth="0" w:num="1">
        <w:col w:w="10239"/>
      </w:cols>
      <w:pgMar w:left="220" w:top="6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263"/>
    </w:lvl>
  </w:abstractNum>
  <w:abstractNum w:abstractNumId="1">
    <w:nsid w:val="431BD7B7"/>
    <w:multiLevelType w:val="hybridMultilevel"/>
    <w:lvl w:ilvl="0">
      <w:lvlJc w:val="left"/>
      <w:lvlText w:val="%1"/>
      <w:numFmt w:val="decimal"/>
      <w:start w:val="437"/>
    </w:lvl>
  </w:abstractNum>
  <w:abstractNum w:abstractNumId="2">
    <w:nsid w:val="3F2DBA31"/>
    <w:multiLevelType w:val="hybridMultilevel"/>
    <w:lvl w:ilvl="0">
      <w:lvlJc w:val="left"/>
      <w:lvlText w:val="%1"/>
      <w:numFmt w:val="decimal"/>
      <w:start w:val="797"/>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lvl w:ilvl="1">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2"/>
    </w:lvl>
  </w:abstractNum>
  <w:abstractNum w:abstractNumId="14">
    <w:nsid w:val="8EDBDAB"/>
    <w:multiLevelType w:val="hybridMultilevel"/>
    <w:lvl w:ilvl="0">
      <w:lvlJc w:val="left"/>
      <w:lvlText w:val="%1"/>
      <w:numFmt w:val="upperLetter"/>
      <w:start w:val="1"/>
    </w:lvl>
    <w:lvl w:ilvl="1">
      <w:lvlJc w:val="left"/>
      <w:lvlText w:val="(%2)"/>
      <w:numFmt w:val="lowerRoman"/>
      <w:start w:val="2"/>
    </w:lvl>
  </w:abstractNum>
  <w:abstractNum w:abstractNumId="15">
    <w:nsid w:val="79838CB2"/>
    <w:multiLevelType w:val="hybridMultilevel"/>
    <w:lvl w:ilvl="0">
      <w:lvlJc w:val="left"/>
      <w:lvlText w:val="(%1)"/>
      <w:numFmt w:val="upperLetter"/>
      <w:start w:val="2"/>
    </w:lvl>
    <w:lvl w:ilvl="1">
      <w:lvlJc w:val="left"/>
      <w:lvlText w:val="%2"/>
      <w:numFmt w:val="lowerRoman"/>
      <w:start w:val="1"/>
    </w:lvl>
  </w:abstractNum>
  <w:abstractNum w:abstractNumId="16">
    <w:nsid w:val="4353D0CD"/>
    <w:multiLevelType w:val="hybridMultilevel"/>
    <w:lvl w:ilvl="0">
      <w:lvlJc w:val="left"/>
      <w:lvlText w:val="%1."/>
      <w:numFmt w:val="decimal"/>
      <w:start w:val="1"/>
    </w:lvl>
    <w:lvl w:ilvl="1">
      <w:lvlJc w:val="left"/>
      <w:lvlText w:val="%2)"/>
      <w:numFmt w:val="lowerLetter"/>
      <w:start w:val="1"/>
    </w:lvl>
  </w:abstractNum>
  <w:abstractNum w:abstractNumId="17">
    <w:nsid w:val="B03E0C6"/>
    <w:multiLevelType w:val="hybridMultilevel"/>
    <w:lvl w:ilvl="0">
      <w:lvlJc w:val="left"/>
      <w:lvlText w:val="%1"/>
      <w:numFmt w:val="decimal"/>
      <w:start w:val="1"/>
    </w:lvl>
    <w:lvl w:ilvl="1">
      <w:lvlJc w:val="left"/>
      <w:lvlText w:val="%2)"/>
      <w:numFmt w:val="lowerLetter"/>
      <w:start w:val="2"/>
    </w:lvl>
  </w:abstractNum>
  <w:abstractNum w:abstractNumId="18">
    <w:nsid w:val="189A769B"/>
    <w:multiLevelType w:val="hybridMultilevel"/>
    <w:lvl w:ilvl="0">
      <w:lvlJc w:val="left"/>
      <w:lvlText w:val="%1."/>
      <w:numFmt w:val="decimal"/>
      <w:start w:val="6"/>
    </w:lvl>
    <w:lvl w:ilvl="1">
      <w:lvlJc w:val="left"/>
      <w:lvlText w:val="%2"/>
      <w:numFmt w:val="lowerLetter"/>
      <w:start w:val="1"/>
    </w:lvl>
  </w:abstractNum>
  <w:abstractNum w:abstractNumId="19">
    <w:nsid w:val="54E49EB4"/>
    <w:multiLevelType w:val="hybridMultilevel"/>
    <w:lvl w:ilvl="0">
      <w:lvlJc w:val="left"/>
      <w:lvlText w:val="%1."/>
      <w:numFmt w:val="decimal"/>
      <w:start w:val="1"/>
    </w:lvl>
    <w:lvl w:ilvl="1">
      <w:lvlJc w:val="left"/>
      <w:lvlText w:val="%2)"/>
      <w:numFmt w:val="lowerLetter"/>
      <w:start w:val="1"/>
    </w:lvl>
  </w:abstractNum>
  <w:abstractNum w:abstractNumId="20">
    <w:nsid w:val="71F32454"/>
    <w:multiLevelType w:val="hybridMultilevel"/>
    <w:lvl w:ilvl="0">
      <w:lvlJc w:val="left"/>
      <w:lvlText w:val="%1"/>
      <w:numFmt w:val="decimal"/>
      <w:start w:val="1"/>
    </w:lvl>
    <w:lvl w:ilvl="1">
      <w:lvlJc w:val="left"/>
      <w:lvlText w:val="%2)"/>
      <w:numFmt w:val="lowerLetter"/>
      <w:start w:val="2"/>
    </w:lvl>
  </w:abstractNum>
  <w:abstractNum w:abstractNumId="21">
    <w:nsid w:val="2CA88611"/>
    <w:multiLevelType w:val="hybridMultilevel"/>
    <w:lvl w:ilvl="0">
      <w:lvlJc w:val="left"/>
      <w:lvlText w:val="%1."/>
      <w:numFmt w:val="decimal"/>
      <w:start w:val="6"/>
    </w:lvl>
    <w:lvl w:ilvl="1">
      <w:lvlJc w:val="left"/>
      <w:lvlText w:val="%2"/>
      <w:numFmt w:val="lowerLetter"/>
      <w:start w:val="1"/>
    </w:lvl>
  </w:abstractNum>
  <w:abstractNum w:abstractNumId="22">
    <w:nsid w:val="836C40E"/>
    <w:multiLevelType w:val="hybridMultilevel"/>
    <w:lvl w:ilvl="0">
      <w:lvlJc w:val="left"/>
      <w:lvlText w:val="%1."/>
      <w:numFmt w:val="decimal"/>
      <w:start w:val="1"/>
    </w:lvl>
    <w:lvl w:ilvl="1">
      <w:lvlJc w:val="left"/>
      <w:lvlText w:val="%2)"/>
      <w:numFmt w:val="lowerLetter"/>
      <w:start w:val="1"/>
    </w:lvl>
  </w:abstractNum>
  <w:abstractNum w:abstractNumId="23">
    <w:nsid w:val="2901D82"/>
    <w:multiLevelType w:val="hybridMultilevel"/>
    <w:lvl w:ilvl="0">
      <w:lvlJc w:val="left"/>
      <w:lvlText w:val="%1"/>
      <w:numFmt w:val="decimal"/>
      <w:start w:val="1"/>
    </w:lvl>
    <w:lvl w:ilvl="1">
      <w:lvlJc w:val="left"/>
      <w:lvlText w:val="%2)"/>
      <w:numFmt w:val="lowerLetter"/>
      <w:start w:val="2"/>
    </w:lvl>
  </w:abstractNum>
  <w:abstractNum w:abstractNumId="24">
    <w:nsid w:val="3A95F874"/>
    <w:multiLevelType w:val="hybridMultilevel"/>
    <w:lvl w:ilvl="0">
      <w:lvlJc w:val="left"/>
      <w:lvlText w:val="%1."/>
      <w:numFmt w:val="decimal"/>
      <w:start w:val="6"/>
    </w:lvl>
    <w:lvl w:ilvl="1">
      <w:lvlJc w:val="left"/>
      <w:lvlText w:val="%2"/>
      <w:numFmt w:val="lowerLetter"/>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2"/>
    </w:lvl>
  </w:abstractNum>
  <w:abstractNum w:abstractNumId="29">
    <w:nsid w:val="6CEAF087"/>
    <w:multiLevelType w:val="hybridMultilevel"/>
    <w:lvl w:ilvl="0">
      <w:lvlJc w:val="left"/>
      <w:lvlText w:val="(%1)"/>
      <w:numFmt w:val="lowerRoman"/>
      <w:start w:val="2"/>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3"/>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2019-12-13T00:56:46Z</dcterms:created>
  <dcterms:modified xsi:type="dcterms:W3CDTF">2019-12-13T00:56:46Z</dcterms:modified>
</cp:coreProperties>
</file>