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36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3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79"/>
              </w:rPr>
              <w:t>2.</w:t>
            </w:r>
          </w:p>
        </w:tc>
        <w:tc>
          <w:tcPr>
            <w:tcW w:w="3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8"/>
                </w:rPr>
                <w:t>WOOD DONALD C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FRT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79"/>
              </w:rPr>
              <w:t>3.</w:t>
            </w:r>
          </w:p>
        </w:tc>
        <w:tc>
          <w:tcPr>
            <w:tcW w:w="3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Trustee, President &amp; CEO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40" w:type="dxa"/>
            <w:vAlign w:val="bottom"/>
            <w:gridSpan w:val="14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Common shares of beneficial interest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39,030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245,405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3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6"/>
              </w:rPr>
              <w:t>Employee 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73.03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02/10/2008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84,507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86"/>
              </w:rPr>
              <w:t>Common shares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84,507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84,507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1"/>
              </w:rPr>
              <w:t>beneficial interest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Shares owned indirectly by wife: 9,437.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Options vest equally over four years with 1/4 vesting on each of 2/10/2009, 2/10/2010, 2/10/2011 and 2/10/2012.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Mr. Wood currently holds a total of 423,158 options.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02/12/2008</w:t>
            </w:r>
          </w:p>
        </w:tc>
      </w:tr>
      <w:tr>
        <w:trPr>
          <w:trHeight w:val="150"/>
        </w:trPr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Donald C. Wood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Donald C. Wood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2019-12-23T22:54:09Z</dcterms:created>
  <dcterms:modified xsi:type="dcterms:W3CDTF">2019-12-23T22:54:09Z</dcterms:modified>
</cp:coreProperties>
</file>