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760" w:type="dxa"/>
            <w:vAlign w:val="bottom"/>
          </w:tcPr>
          <w:p>
            <w:pPr>
              <w:jc w:val="center"/>
              <w:ind w:right="1022"/>
              <w:spacing w:after="0"/>
              <w:rPr>
                <w:sz w:val="20"/>
                <w:szCs w:val="20"/>
                <w:color w:val="auto"/>
              </w:rPr>
            </w:pPr>
            <w:r>
              <w:rPr>
                <w:rFonts w:ascii="Arial" w:cs="Arial" w:eastAsia="Arial" w:hAnsi="Arial"/>
                <w:sz w:val="18"/>
                <w:szCs w:val="18"/>
                <w:b w:val="1"/>
                <w:bCs w:val="1"/>
                <w:color w:val="auto"/>
                <w:w w:val="98"/>
              </w:rPr>
              <w:t>Maryland</w:t>
            </w:r>
          </w:p>
        </w:tc>
        <w:tc>
          <w:tcPr>
            <w:tcW w:w="3980" w:type="dxa"/>
            <w:vAlign w:val="bottom"/>
          </w:tcPr>
          <w:p>
            <w:pPr>
              <w:jc w:val="right"/>
              <w:ind w:right="1639"/>
              <w:spacing w:after="0"/>
              <w:rPr>
                <w:sz w:val="20"/>
                <w:szCs w:val="20"/>
                <w:color w:val="auto"/>
              </w:rPr>
            </w:pPr>
            <w:r>
              <w:rPr>
                <w:rFonts w:ascii="Arial" w:cs="Arial" w:eastAsia="Arial" w:hAnsi="Arial"/>
                <w:sz w:val="18"/>
                <w:szCs w:val="18"/>
                <w:b w:val="1"/>
                <w:bCs w:val="1"/>
                <w:color w:val="auto"/>
              </w:rPr>
              <w:t>1-07533</w:t>
            </w:r>
          </w:p>
        </w:tc>
        <w:tc>
          <w:tcPr>
            <w:tcW w:w="2300" w:type="dxa"/>
            <w:vAlign w:val="bottom"/>
          </w:tcPr>
          <w:p>
            <w:pPr>
              <w:jc w:val="center"/>
              <w:ind w:left="110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760" w:type="dxa"/>
            <w:vAlign w:val="bottom"/>
          </w:tcPr>
          <w:p>
            <w:pPr>
              <w:jc w:val="center"/>
              <w:ind w:right="10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(Commission File Number)</w:t>
            </w:r>
          </w:p>
        </w:tc>
        <w:tc>
          <w:tcPr>
            <w:tcW w:w="2300" w:type="dxa"/>
            <w:vAlign w:val="bottom"/>
          </w:tcPr>
          <w:p>
            <w:pPr>
              <w:jc w:val="center"/>
              <w:ind w:left="11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60" w:type="dxa"/>
            <w:vAlign w:val="bottom"/>
          </w:tcPr>
          <w:p>
            <w:pPr>
              <w:jc w:val="center"/>
              <w:ind w:right="1022"/>
              <w:spacing w:after="0"/>
              <w:rPr>
                <w:sz w:val="20"/>
                <w:szCs w:val="20"/>
                <w:color w:val="auto"/>
              </w:rPr>
            </w:pPr>
            <w:r>
              <w:rPr>
                <w:rFonts w:ascii="Arial" w:cs="Arial" w:eastAsia="Arial" w:hAnsi="Arial"/>
                <w:sz w:val="14"/>
                <w:szCs w:val="14"/>
                <w:b w:val="1"/>
                <w:bCs w:val="1"/>
                <w:color w:val="auto"/>
                <w:w w:val="94"/>
              </w:rPr>
              <w:t>of incorporation)</w:t>
            </w:r>
          </w:p>
        </w:tc>
        <w:tc>
          <w:tcPr>
            <w:tcW w:w="3980" w:type="dxa"/>
            <w:vAlign w:val="bottom"/>
          </w:tcPr>
          <w:p>
            <w:pPr>
              <w:spacing w:after="0"/>
              <w:rPr>
                <w:sz w:val="16"/>
                <w:szCs w:val="16"/>
                <w:color w:val="auto"/>
              </w:rPr>
            </w:pPr>
          </w:p>
        </w:tc>
        <w:tc>
          <w:tcPr>
            <w:tcW w:w="2300" w:type="dxa"/>
            <w:vAlign w:val="bottom"/>
          </w:tcPr>
          <w:p>
            <w:pPr>
              <w:jc w:val="center"/>
              <w:ind w:left="11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September 21, 2015, Federal Realty Investment Trust (the “Registrant”) entered into an underwriting agreement with Wells Fargo Securities, LLC, J.P. Morgan Securities LLC and Merrill Lynch, Pierce, Fenner &amp; Smith Incorporated, as representatives of the several underwriters named in Schedule I to the related pricing agreement, whereby the Registrant agreed to issue and sell $250,000,000 aggregate principal amount of 2.55% Notes due 2021 (the “Notes”) in an underwritten public offering. The Notes will be governed by the Indenture, dated as of September 1, 1998, between the Registrant and U.S. Bank National Association (successor trustee to Wachovia Bank, National Association (successor trustee to First Union National Bank)). The offering is expected to close on September 28, 2015, subject to satisfaction of customary closing conditions.</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Notes will be senior unsecured obligations of the Registrant and will rank equally with all of the Registrant’s other senior unsecured indebtedness. The Notes will bear interest at 2.55% per annum, and interest will be payable on January 15 and July 15 of each year, beginning on January 15, 2016. The Notes will mature on January 15,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Statements in this current report that are not strictly historical are “forward-looking” statements. Forward-looking statements involve known and unknown risks, which may cause the Registrant’s actual future results to differ materially from expected results. For example, the fact that the offering has priced may imply that the offering will close, but the closing is subject to conditions customary in transactions of this type and may be delayed or may not occur at all. Additional risks and information concerning those and other factors that could cause actual results to differ materially from those forward-looking statements are contained from time to time in the Company’s other Securities and Exchange Commission (“SEC”) filings, including, but not limited to, the Company’s Annual Report on Form 10-K. Copies of such filings may be obtained from the Company or the SEC. Such forward-looking statements should be regarded solely as reflections of the Company’s current operating plans, intentions, expectations and estimates. Actual outcomes and operating results may differ, in same cases materially, from what is expressed or forecast in this current report. The Company undertakes no obligation to publicly release or update the results of any revisions to these forward-looking statements that may be made to reflect events or circumstances after the date these statements were made.</w:t>
      </w:r>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14"/>
                <w:szCs w:val="14"/>
                <w:color w:val="auto"/>
              </w:rPr>
            </w:pPr>
          </w:p>
        </w:tc>
        <w:tc>
          <w:tcPr>
            <w:tcW w:w="103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296"/>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Underwriting Agreement, dated September 21, 2015, by and among the Registrant and Wells Fargo Securities, LLC, J.P. Morgan</w:t>
            </w:r>
          </w:p>
        </w:tc>
      </w:tr>
      <w:tr>
        <w:trPr>
          <w:trHeight w:val="216"/>
        </w:trPr>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3"/>
              </w:rPr>
              <w:t>Securities LLC and Merrill Lynch, Pierce, Fenner &amp; Smith Incorporated, as representatives of the underwriters named in Schedule I to</w:t>
            </w: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the related pricing agreement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Pricing Agreement, dated September 21, 2015, by and among the Registrant and Wells Fargo Securities, LLC, J.P. Morgan Securities</w:t>
            </w:r>
          </w:p>
        </w:tc>
      </w:tr>
      <w:tr>
        <w:trPr>
          <w:trHeight w:val="230"/>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LLC and Merrill Lynch, Pierce, Fenner &amp; Smith Incorporated, as representatives of the underwriters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Statement of Computation of Ratio of Earnings to Combined Fixed Charges</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color w:val="auto"/>
        </w:rPr>
        <w:t>Date: September 25, 2015</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Executive Vice President-Managing Director Mixed-Use</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Operations</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21,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81" w:lineRule="exact"/>
        <w:rPr>
          <w:sz w:val="20"/>
          <w:szCs w:val="20"/>
          <w:color w:val="auto"/>
        </w:rPr>
      </w:pPr>
    </w:p>
    <w:p>
      <w:pPr>
        <w:ind w:firstLine="464"/>
        <w:spacing w:after="0" w:line="28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71" w:lineRule="exact"/>
        <w:rPr>
          <w:rFonts w:ascii="Arial" w:cs="Arial" w:eastAsia="Arial" w:hAnsi="Arial"/>
          <w:sz w:val="16"/>
          <w:szCs w:val="16"/>
          <w:color w:val="auto"/>
        </w:rPr>
      </w:pPr>
    </w:p>
    <w:p>
      <w:pPr>
        <w:ind w:left="640" w:hanging="176"/>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211" w:lineRule="exact"/>
        <w:rPr>
          <w:sz w:val="20"/>
          <w:szCs w:val="20"/>
          <w:color w:val="auto"/>
        </w:rPr>
      </w:pPr>
    </w:p>
    <w:p>
      <w:pPr>
        <w:ind w:left="460" w:firstLine="443"/>
        <w:spacing w:after="0" w:line="285" w:lineRule="auto"/>
        <w:tabs>
          <w:tab w:leader="none" w:pos="1143"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w:t>
      </w:r>
    </w:p>
    <w:p>
      <w:pPr>
        <w:spacing w:after="0" w:line="2" w:lineRule="exact"/>
        <w:rPr>
          <w:rFonts w:ascii="Arial" w:cs="Arial" w:eastAsia="Arial" w:hAnsi="Arial"/>
          <w:sz w:val="16"/>
          <w:szCs w:val="16"/>
          <w:color w:val="auto"/>
        </w:rPr>
      </w:pPr>
    </w:p>
    <w:p>
      <w:pPr>
        <w:ind w:left="460" w:right="360" w:firstLine="4"/>
        <w:spacing w:after="0" w:line="261" w:lineRule="auto"/>
        <w:tabs>
          <w:tab w:leader="none" w:pos="7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Rule 424 under the Act (“Rule 424(b)”) (without reliance on Rule 424(b)(8)). Any information included in such prospectus that was omitted from such registration statement at the time it became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183"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179" w:lineRule="exact"/>
        <w:rPr>
          <w:sz w:val="20"/>
          <w:szCs w:val="20"/>
          <w:color w:val="auto"/>
        </w:rPr>
      </w:pPr>
    </w:p>
    <w:p>
      <w:pPr>
        <w:ind w:right="120" w:firstLine="438"/>
        <w:spacing w:after="0" w:line="285" w:lineRule="auto"/>
        <w:rPr>
          <w:sz w:val="20"/>
          <w:szCs w:val="20"/>
          <w:color w:val="auto"/>
        </w:rPr>
      </w:pPr>
      <w:r>
        <w:rPr>
          <w:rFonts w:ascii="Arial" w:cs="Arial" w:eastAsia="Arial" w:hAnsi="Arial"/>
          <w:sz w:val="16"/>
          <w:szCs w:val="16"/>
          <w:color w:val="auto"/>
        </w:rPr>
        <w:t>(b)(A)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under the Act) of the Designated Securities, (E) at the</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6" w:name="page7"/>
    <w:bookmarkEnd w:id="6"/>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158" w:lineRule="exact"/>
        <w:rPr>
          <w:sz w:val="20"/>
          <w:szCs w:val="20"/>
          <w:color w:val="auto"/>
        </w:rPr>
      </w:pPr>
    </w:p>
    <w:p>
      <w:pPr>
        <w:jc w:val="both"/>
        <w:ind w:right="100" w:firstLine="443"/>
        <w:spacing w:after="0" w:line="302"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54"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88" w:lineRule="exact"/>
        <w:rPr>
          <w:sz w:val="20"/>
          <w:szCs w:val="20"/>
          <w:color w:val="auto"/>
        </w:rPr>
      </w:pPr>
    </w:p>
    <w:p>
      <w:pPr>
        <w:ind w:firstLine="443"/>
        <w:spacing w:after="0" w:line="297" w:lineRule="auto"/>
        <w:tabs>
          <w:tab w:leader="none" w:pos="733"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158" w:lineRule="exact"/>
        <w:rPr>
          <w:sz w:val="20"/>
          <w:szCs w:val="20"/>
          <w:color w:val="auto"/>
        </w:rPr>
      </w:pPr>
    </w:p>
    <w:p>
      <w:pPr>
        <w:ind w:right="160"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was issued and at the Time of Delivery, complied and will comply, in all material respects with the requirements of the Act and neither the Prospectus nor any amendments or supplements thereto, at the time of the Prospectus or any such amendment or supplement was issued, or at the time of Delivery included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30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154"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225"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170"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6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166" w:lineRule="exact"/>
        <w:rPr>
          <w:sz w:val="20"/>
          <w:szCs w:val="20"/>
          <w:color w:val="auto"/>
        </w:rPr>
      </w:pPr>
    </w:p>
    <w:p>
      <w:pPr>
        <w:ind w:right="36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146"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189" w:lineRule="exact"/>
        <w:rPr>
          <w:rFonts w:ascii="Arial" w:cs="Arial" w:eastAsia="Arial" w:hAnsi="Arial"/>
          <w:sz w:val="18"/>
          <w:szCs w:val="18"/>
          <w:color w:val="auto"/>
        </w:rPr>
      </w:pPr>
    </w:p>
    <w:p>
      <w:pPr>
        <w:ind w:firstLine="443"/>
        <w:spacing w:after="0" w:line="287" w:lineRule="auto"/>
        <w:tabs>
          <w:tab w:leader="none" w:pos="6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S-X)(each, a “Subsidiary” and collectively, the “Subsidiaries”) has been duly organized and is validly existing as a corporation, partnership, limited liability company, trust or joint venture, as the case may be, in good standing under the laws of the jurisdiction of their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178" w:lineRule="exact"/>
        <w:rPr>
          <w:sz w:val="20"/>
          <w:szCs w:val="20"/>
          <w:color w:val="auto"/>
        </w:rPr>
      </w:pPr>
    </w:p>
    <w:p>
      <w:pPr>
        <w:ind w:right="20" w:firstLine="443"/>
        <w:spacing w:after="0" w:line="284" w:lineRule="auto"/>
        <w:tabs>
          <w:tab w:leader="none" w:pos="69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w:t>
      </w:r>
    </w:p>
    <w:p>
      <w:pPr>
        <w:spacing w:after="0" w:line="4" w:lineRule="exact"/>
        <w:rPr>
          <w:rFonts w:ascii="Arial" w:cs="Arial" w:eastAsia="Arial" w:hAnsi="Arial"/>
          <w:sz w:val="16"/>
          <w:szCs w:val="16"/>
          <w:color w:val="auto"/>
        </w:rPr>
      </w:pPr>
    </w:p>
    <w:p>
      <w:pPr>
        <w:ind w:firstLine="4"/>
        <w:spacing w:after="0" w:line="286"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11, 2015 between the Company and Wells Fargo Securities, LLC and (b) the Equity Distribution Agreement dated May 11, 2015 between the Company and Merrill Lynch, Pierce, Fenner &amp; Smith Incorporated,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 w:name="page11"/>
    <w:bookmarkEnd w:id="10"/>
    <w:p>
      <w:pPr>
        <w:ind w:right="60" w:firstLine="443"/>
        <w:spacing w:after="0" w:line="257"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188" w:lineRule="exact"/>
        <w:rPr>
          <w:rFonts w:ascii="Arial" w:cs="Arial" w:eastAsia="Arial" w:hAnsi="Arial"/>
          <w:sz w:val="18"/>
          <w:szCs w:val="18"/>
          <w:color w:val="auto"/>
        </w:rPr>
      </w:pPr>
    </w:p>
    <w:p>
      <w:pPr>
        <w:ind w:right="20" w:firstLine="443"/>
        <w:spacing w:after="0" w:line="277" w:lineRule="auto"/>
        <w:tabs>
          <w:tab w:leader="none" w:pos="6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Agreement and this Agreement has been duly and validly authorized, executed and delivered by the Company.</w:t>
      </w:r>
    </w:p>
    <w:p>
      <w:pPr>
        <w:spacing w:after="0" w:line="170" w:lineRule="exact"/>
        <w:rPr>
          <w:rFonts w:ascii="Arial" w:cs="Arial" w:eastAsia="Arial" w:hAnsi="Arial"/>
          <w:sz w:val="18"/>
          <w:szCs w:val="18"/>
          <w:color w:val="auto"/>
        </w:rPr>
      </w:pPr>
    </w:p>
    <w:p>
      <w:pPr>
        <w:ind w:right="100" w:firstLine="443"/>
        <w:spacing w:after="0" w:line="270" w:lineRule="auto"/>
        <w:tabs>
          <w:tab w:leader="none" w:pos="6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Designated Securities have been duly and validly authorized,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181" w:lineRule="exact"/>
        <w:rPr>
          <w:rFonts w:ascii="Arial" w:cs="Arial" w:eastAsia="Arial" w:hAnsi="Arial"/>
          <w:sz w:val="17"/>
          <w:szCs w:val="17"/>
          <w:color w:val="auto"/>
        </w:rPr>
      </w:pPr>
    </w:p>
    <w:p>
      <w:pPr>
        <w:ind w:firstLine="443"/>
        <w:spacing w:after="0" w:line="253" w:lineRule="auto"/>
        <w:tabs>
          <w:tab w:leader="none" w:pos="6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charter or by-laws or similar organizational documents; (ii) no subsidiary of the Company not referred to in clause (i)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1" w:name="page12"/>
    <w:bookmarkEnd w:id="11"/>
    <w:p>
      <w:pPr>
        <w:ind w:right="20" w:firstLine="443"/>
        <w:spacing w:after="0" w:line="268" w:lineRule="auto"/>
        <w:tabs>
          <w:tab w:leader="none" w:pos="65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187" w:lineRule="exact"/>
        <w:rPr>
          <w:rFonts w:ascii="Arial" w:cs="Arial" w:eastAsia="Arial" w:hAnsi="Arial"/>
          <w:sz w:val="17"/>
          <w:szCs w:val="17"/>
          <w:color w:val="auto"/>
        </w:rPr>
      </w:pPr>
    </w:p>
    <w:p>
      <w:pPr>
        <w:ind w:firstLine="443"/>
        <w:spacing w:after="0" w:line="255" w:lineRule="auto"/>
        <w:tabs>
          <w:tab w:leader="none" w:pos="7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193" w:lineRule="exact"/>
        <w:rPr>
          <w:rFonts w:ascii="Arial" w:cs="Arial" w:eastAsia="Arial" w:hAnsi="Arial"/>
          <w:sz w:val="18"/>
          <w:szCs w:val="18"/>
          <w:color w:val="auto"/>
        </w:rPr>
      </w:pPr>
    </w:p>
    <w:p>
      <w:pPr>
        <w:ind w:right="40" w:firstLine="443"/>
        <w:spacing w:after="0" w:line="257"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81" w:lineRule="exact"/>
        <w:rPr>
          <w:sz w:val="20"/>
          <w:szCs w:val="20"/>
          <w:color w:val="auto"/>
        </w:rPr>
      </w:pPr>
    </w:p>
    <w:p>
      <w:pPr>
        <w:ind w:right="2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186" w:lineRule="exact"/>
        <w:rPr>
          <w:rFonts w:ascii="Arial" w:cs="Arial" w:eastAsia="Arial" w:hAnsi="Arial"/>
          <w:sz w:val="18"/>
          <w:szCs w:val="18"/>
          <w:color w:val="auto"/>
        </w:rPr>
      </w:pPr>
    </w:p>
    <w:p>
      <w:pPr>
        <w:ind w:firstLine="443"/>
        <w:spacing w:after="0" w:line="257"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88"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181" w:lineRule="exact"/>
        <w:rPr>
          <w:rFonts w:ascii="Arial" w:cs="Arial" w:eastAsia="Arial" w:hAnsi="Arial"/>
          <w:sz w:val="18"/>
          <w:szCs w:val="18"/>
          <w:color w:val="auto"/>
        </w:rPr>
      </w:pPr>
    </w:p>
    <w:p>
      <w:pPr>
        <w:ind w:right="260" w:firstLine="443"/>
        <w:spacing w:after="0" w:line="257" w:lineRule="auto"/>
        <w:tabs>
          <w:tab w:leader="none" w:pos="6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2014 and the consolidated statements of operations, consolidated statements of shareholders’ equity and consolidated statements of cash flows for the year ended December 31, 2014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188" w:lineRule="exact"/>
        <w:rPr>
          <w:rFonts w:ascii="Arial" w:cs="Arial" w:eastAsia="Arial" w:hAnsi="Arial"/>
          <w:sz w:val="18"/>
          <w:szCs w:val="18"/>
          <w:color w:val="auto"/>
        </w:rPr>
      </w:pPr>
    </w:p>
    <w:p>
      <w:pPr>
        <w:jc w:val="both"/>
        <w:ind w:firstLine="443"/>
        <w:spacing w:after="0" w:line="259" w:lineRule="auto"/>
        <w:tabs>
          <w:tab w:leader="none" w:pos="6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3" w:lineRule="exact"/>
        <w:rPr>
          <w:sz w:val="20"/>
          <w:szCs w:val="20"/>
          <w:color w:val="auto"/>
        </w:rPr>
      </w:pPr>
    </w:p>
    <w:p>
      <w:pPr>
        <w:ind w:right="300" w:firstLine="443"/>
        <w:spacing w:after="0" w:line="308" w:lineRule="auto"/>
        <w:tabs>
          <w:tab w:leader="none" w:pos="6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146" w:lineRule="exact"/>
        <w:rPr>
          <w:rFonts w:ascii="Arial" w:cs="Arial" w:eastAsia="Arial" w:hAnsi="Arial"/>
          <w:sz w:val="17"/>
          <w:szCs w:val="17"/>
          <w:color w:val="auto"/>
        </w:rPr>
      </w:pPr>
    </w:p>
    <w:p>
      <w:pPr>
        <w:ind w:firstLine="443"/>
        <w:spacing w:after="0" w:line="291"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of this Underwriting Agreement,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67" w:lineRule="exact"/>
        <w:rPr>
          <w:rFonts w:ascii="Arial" w:cs="Arial" w:eastAsia="Arial" w:hAnsi="Arial"/>
          <w:sz w:val="16"/>
          <w:szCs w:val="16"/>
          <w:color w:val="auto"/>
        </w:rPr>
      </w:pPr>
    </w:p>
    <w:p>
      <w:pPr>
        <w:ind w:right="100" w:firstLine="443"/>
        <w:spacing w:after="0" w:line="25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74" w:right="279" w:bottom="1440" w:gutter="0" w:footer="0" w:header="0"/>
        </w:sectPr>
      </w:pPr>
    </w:p>
    <w:bookmarkStart w:id="14" w:name="page15"/>
    <w:bookmarkEnd w:id="14"/>
    <w:p>
      <w:pPr>
        <w:ind w:firstLine="443"/>
        <w:spacing w:after="0" w:line="293" w:lineRule="auto"/>
        <w:tabs>
          <w:tab w:leader="none" w:pos="733"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64"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69" w:lineRule="exact"/>
        <w:rPr>
          <w:rFonts w:ascii="Arial" w:cs="Arial" w:eastAsia="Arial" w:hAnsi="Arial"/>
          <w:sz w:val="16"/>
          <w:szCs w:val="16"/>
          <w:color w:val="auto"/>
        </w:rPr>
      </w:pPr>
    </w:p>
    <w:p>
      <w:pPr>
        <w:ind w:left="700" w:hanging="257"/>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20" w:right="60" w:firstLine="443"/>
        <w:spacing w:after="0" w:line="291" w:lineRule="auto"/>
        <w:tabs>
          <w:tab w:leader="none" w:pos="1103"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67" w:lineRule="exact"/>
        <w:rPr>
          <w:rFonts w:ascii="Arial" w:cs="Arial" w:eastAsia="Arial" w:hAnsi="Arial"/>
          <w:sz w:val="16"/>
          <w:szCs w:val="16"/>
          <w:color w:val="auto"/>
        </w:rPr>
      </w:pPr>
    </w:p>
    <w:p>
      <w:pPr>
        <w:jc w:val="both"/>
        <w:ind w:left="-40" w:right="40" w:firstLine="464"/>
        <w:spacing w:after="0" w:line="264" w:lineRule="auto"/>
        <w:tabs>
          <w:tab w:leader="none" w:pos="5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1" w:lineRule="exact"/>
        <w:rPr>
          <w:rFonts w:ascii="Arial" w:cs="Arial" w:eastAsia="Arial" w:hAnsi="Arial"/>
          <w:sz w:val="18"/>
          <w:szCs w:val="18"/>
          <w:color w:val="auto"/>
        </w:rPr>
      </w:pPr>
    </w:p>
    <w:p>
      <w:pPr>
        <w:ind w:left="-40" w:firstLine="464"/>
        <w:spacing w:after="0" w:line="291"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7" w:lineRule="exact"/>
        <w:rPr>
          <w:rFonts w:ascii="Arial" w:cs="Arial" w:eastAsia="Arial" w:hAnsi="Arial"/>
          <w:sz w:val="16"/>
          <w:szCs w:val="16"/>
          <w:color w:val="auto"/>
        </w:rPr>
      </w:pPr>
    </w:p>
    <w:p>
      <w:pPr>
        <w:ind w:left="600" w:hanging="176"/>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225" w:lineRule="exact"/>
        <w:rPr>
          <w:rFonts w:ascii="Arial" w:cs="Arial" w:eastAsia="Arial" w:hAnsi="Arial"/>
          <w:sz w:val="18"/>
          <w:szCs w:val="18"/>
          <w:color w:val="auto"/>
        </w:rPr>
      </w:pPr>
    </w:p>
    <w:p>
      <w:pPr>
        <w:ind w:left="420" w:right="20" w:firstLine="443"/>
        <w:spacing w:after="0" w:line="255" w:lineRule="auto"/>
        <w:tabs>
          <w:tab w:leader="none" w:pos="11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6" w:name="page17"/>
    <w:bookmarkEnd w:id="1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88" w:lineRule="exact"/>
        <w:rPr>
          <w:sz w:val="20"/>
          <w:szCs w:val="20"/>
          <w:color w:val="auto"/>
        </w:rPr>
      </w:pPr>
    </w:p>
    <w:p>
      <w:pPr>
        <w:ind w:right="40" w:firstLine="443"/>
        <w:spacing w:after="0" w:line="269" w:lineRule="auto"/>
        <w:tabs>
          <w:tab w:leader="none" w:pos="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7" w:name="page18"/>
    <w:bookmarkEnd w:id="17"/>
    <w:p>
      <w:pPr>
        <w:ind w:right="20" w:firstLine="443"/>
        <w:spacing w:after="0" w:line="270" w:lineRule="auto"/>
        <w:tabs>
          <w:tab w:leader="none" w:pos="683"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77" w:lineRule="exact"/>
        <w:rPr>
          <w:rFonts w:ascii="Arial" w:cs="Arial" w:eastAsia="Arial" w:hAnsi="Arial"/>
          <w:sz w:val="17"/>
          <w:szCs w:val="17"/>
          <w:color w:val="auto"/>
        </w:rPr>
      </w:pPr>
    </w:p>
    <w:p>
      <w:pPr>
        <w:ind w:right="80" w:firstLine="443"/>
        <w:spacing w:after="0" w:line="257"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188" w:lineRule="exact"/>
        <w:rPr>
          <w:rFonts w:ascii="Arial" w:cs="Arial" w:eastAsia="Arial" w:hAnsi="Arial"/>
          <w:sz w:val="18"/>
          <w:szCs w:val="18"/>
          <w:color w:val="auto"/>
        </w:rPr>
      </w:pPr>
    </w:p>
    <w:p>
      <w:pPr>
        <w:ind w:firstLine="443"/>
        <w:spacing w:after="0" w:line="255" w:lineRule="auto"/>
        <w:tabs>
          <w:tab w:leader="none" w:pos="6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ind w:right="220" w:firstLine="443"/>
        <w:spacing w:after="0" w:line="286" w:lineRule="auto"/>
        <w:tabs>
          <w:tab w:leader="none" w:pos="6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178" w:lineRule="exact"/>
        <w:rPr>
          <w:sz w:val="20"/>
          <w:szCs w:val="20"/>
          <w:color w:val="auto"/>
        </w:rPr>
      </w:pPr>
    </w:p>
    <w:p>
      <w:pPr>
        <w:ind w:firstLine="443"/>
        <w:spacing w:after="0" w:line="285" w:lineRule="auto"/>
        <w:tabs>
          <w:tab w:leader="none" w:pos="6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81" w:lineRule="exact"/>
        <w:rPr>
          <w:sz w:val="20"/>
          <w:szCs w:val="20"/>
          <w:color w:val="auto"/>
        </w:rPr>
      </w:pPr>
    </w:p>
    <w:p>
      <w:pPr>
        <w:ind w:right="160" w:firstLine="443"/>
        <w:spacing w:after="0" w:line="264" w:lineRule="auto"/>
        <w:tabs>
          <w:tab w:leader="none" w:pos="6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181" w:lineRule="exact"/>
        <w:rPr>
          <w:rFonts w:ascii="Arial" w:cs="Arial" w:eastAsia="Arial" w:hAnsi="Arial"/>
          <w:sz w:val="18"/>
          <w:szCs w:val="18"/>
          <w:color w:val="auto"/>
        </w:rPr>
      </w:pPr>
    </w:p>
    <w:p>
      <w:pPr>
        <w:ind w:firstLine="443"/>
        <w:spacing w:after="0" w:line="291" w:lineRule="auto"/>
        <w:tabs>
          <w:tab w:leader="none" w:pos="6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55" w:lineRule="exact"/>
        <w:rPr>
          <w:rFonts w:ascii="Arial" w:cs="Arial" w:eastAsia="Arial" w:hAnsi="Arial"/>
          <w:sz w:val="16"/>
          <w:szCs w:val="16"/>
          <w:color w:val="auto"/>
        </w:rPr>
      </w:pPr>
    </w:p>
    <w:p>
      <w:pPr>
        <w:ind w:right="280" w:firstLine="443"/>
        <w:spacing w:after="0" w:line="277" w:lineRule="auto"/>
        <w:tabs>
          <w:tab w:leader="none" w:pos="6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170"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170" w:lineRule="exact"/>
        <w:rPr>
          <w:rFonts w:ascii="Arial" w:cs="Arial" w:eastAsia="Arial" w:hAnsi="Arial"/>
          <w:sz w:val="18"/>
          <w:szCs w:val="18"/>
          <w:color w:val="auto"/>
        </w:rPr>
      </w:pPr>
    </w:p>
    <w:p>
      <w:pPr>
        <w:ind w:right="40" w:firstLine="443"/>
        <w:spacing w:after="0" w:line="288" w:lineRule="auto"/>
        <w:tabs>
          <w:tab w:leader="none" w:pos="6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8" w:right="40" w:firstLine="464"/>
        <w:spacing w:after="0" w:line="284" w:lineRule="auto"/>
        <w:tabs>
          <w:tab w:leader="none" w:pos="628"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98" w:lineRule="exact"/>
        <w:rPr>
          <w:rFonts w:ascii="Arial" w:cs="Arial" w:eastAsia="Arial" w:hAnsi="Arial"/>
          <w:sz w:val="18"/>
          <w:szCs w:val="18"/>
          <w:color w:val="auto"/>
        </w:rPr>
      </w:pPr>
    </w:p>
    <w:p>
      <w:pPr>
        <w:ind w:left="-8" w:right="100" w:firstLine="464"/>
        <w:spacing w:after="0" w:line="257" w:lineRule="auto"/>
        <w:tabs>
          <w:tab w:leader="none" w:pos="6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188" w:lineRule="exact"/>
        <w:rPr>
          <w:rFonts w:ascii="Arial" w:cs="Arial" w:eastAsia="Arial" w:hAnsi="Arial"/>
          <w:sz w:val="18"/>
          <w:szCs w:val="18"/>
          <w:color w:val="auto"/>
        </w:rPr>
      </w:pPr>
    </w:p>
    <w:p>
      <w:pPr>
        <w:ind w:left="452" w:right="100" w:firstLine="443"/>
        <w:spacing w:after="0" w:line="264" w:lineRule="auto"/>
        <w:tabs>
          <w:tab w:leader="none" w:pos="1135"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78" w:lineRule="exact"/>
        <w:rPr>
          <w:sz w:val="20"/>
          <w:szCs w:val="20"/>
          <w:color w:val="auto"/>
        </w:rPr>
      </w:pPr>
    </w:p>
    <w:p>
      <w:pPr>
        <w:ind w:right="60" w:firstLine="443"/>
        <w:spacing w:after="0" w:line="276" w:lineRule="auto"/>
        <w:tabs>
          <w:tab w:leader="none" w:pos="69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172" w:lineRule="exact"/>
        <w:rPr>
          <w:rFonts w:ascii="Arial" w:cs="Arial" w:eastAsia="Arial" w:hAnsi="Arial"/>
          <w:sz w:val="17"/>
          <w:szCs w:val="17"/>
          <w:color w:val="auto"/>
        </w:rPr>
      </w:pPr>
    </w:p>
    <w:p>
      <w:pPr>
        <w:ind w:firstLine="443"/>
        <w:spacing w:after="0" w:line="312" w:lineRule="auto"/>
        <w:tabs>
          <w:tab w:leader="none" w:pos="6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146" w:lineRule="exact"/>
        <w:rPr>
          <w:rFonts w:ascii="Arial" w:cs="Arial" w:eastAsia="Arial" w:hAnsi="Arial"/>
          <w:sz w:val="16"/>
          <w:szCs w:val="16"/>
          <w:color w:val="auto"/>
        </w:rPr>
      </w:pPr>
    </w:p>
    <w:p>
      <w:pPr>
        <w:jc w:val="both"/>
        <w:ind w:right="500" w:firstLine="443"/>
        <w:spacing w:after="0" w:line="264" w:lineRule="auto"/>
        <w:tabs>
          <w:tab w:leader="none" w:pos="6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181" w:lineRule="exact"/>
        <w:rPr>
          <w:rFonts w:ascii="Arial" w:cs="Arial" w:eastAsia="Arial" w:hAnsi="Arial"/>
          <w:sz w:val="18"/>
          <w:szCs w:val="18"/>
          <w:color w:val="auto"/>
        </w:rPr>
      </w:pPr>
    </w:p>
    <w:p>
      <w:pPr>
        <w:ind w:right="20" w:firstLine="443"/>
        <w:spacing w:after="0" w:line="259" w:lineRule="auto"/>
        <w:tabs>
          <w:tab w:leader="none" w:pos="6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[reserved] by Moody’s Investor’s Service Inc. and [reserved]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187" w:lineRule="exact"/>
        <w:rPr>
          <w:sz w:val="20"/>
          <w:szCs w:val="20"/>
          <w:color w:val="auto"/>
        </w:rPr>
      </w:pPr>
    </w:p>
    <w:p>
      <w:pPr>
        <w:ind w:right="600" w:firstLine="438"/>
        <w:spacing w:after="0" w:line="264" w:lineRule="auto"/>
        <w:rPr>
          <w:sz w:val="20"/>
          <w:szCs w:val="20"/>
          <w:color w:val="auto"/>
        </w:rPr>
      </w:pPr>
      <w:r>
        <w:rPr>
          <w:rFonts w:ascii="Arial" w:cs="Arial" w:eastAsia="Arial" w:hAnsi="Arial"/>
          <w:sz w:val="18"/>
          <w:szCs w:val="18"/>
          <w:color w:val="auto"/>
        </w:rPr>
        <w:t>(f)(A) Neither the Company nor any of its subsidiaries, considered as one enterprise, since the date of the last audited financial statements included or incorporated by reference in the Registration Statement, Disclosure Package and the Prospectus, shall have sustained any loss or interference with its business from</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74" w:right="239" w:bottom="1440" w:gutter="0" w:footer="0" w:header="0"/>
        </w:sectPr>
      </w:pPr>
    </w:p>
    <w:bookmarkStart w:id="22" w:name="page23"/>
    <w:bookmarkEnd w:id="2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w:t>
      </w:r>
    </w:p>
    <w:p>
      <w:pPr>
        <w:spacing w:after="0" w:line="7" w:lineRule="exact"/>
        <w:rPr>
          <w:sz w:val="20"/>
          <w:szCs w:val="20"/>
          <w:color w:val="auto"/>
        </w:rPr>
      </w:pPr>
    </w:p>
    <w:p>
      <w:pPr>
        <w:ind w:right="160" w:firstLine="4"/>
        <w:spacing w:after="0" w:line="287"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of (a) the Equity Distribution Agreement dated May 11, 2015 between the Company and Wells Fargo Securities, LLC and (b) the Equity Distribution Agreement dated May 11, 2015 between the Company and Merrill Lynch, Pierce, Fenner &amp; Smith Incorporated,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170" w:lineRule="exact"/>
        <w:rPr>
          <w:rFonts w:ascii="Arial" w:cs="Arial" w:eastAsia="Arial" w:hAnsi="Arial"/>
          <w:sz w:val="16"/>
          <w:szCs w:val="16"/>
          <w:color w:val="auto"/>
        </w:rPr>
      </w:pPr>
    </w:p>
    <w:p>
      <w:pPr>
        <w:ind w:right="120" w:firstLine="443"/>
        <w:spacing w:after="0" w:line="279" w:lineRule="auto"/>
        <w:tabs>
          <w:tab w:leader="none" w:pos="693" w:val="left"/>
        </w:tabs>
        <w:numPr>
          <w:ilvl w:val="1"/>
          <w:numId w:val="25"/>
        </w:numPr>
        <w:rPr>
          <w:rFonts w:ascii="Arial" w:cs="Arial" w:eastAsia="Arial" w:hAnsi="Arial"/>
          <w:sz w:val="17"/>
          <w:szCs w:val="17"/>
          <w:color w:val="auto"/>
        </w:rPr>
      </w:pPr>
      <w:r>
        <w:rPr>
          <w:rFonts w:ascii="Arial" w:cs="Arial" w:eastAsia="Arial" w:hAnsi="Arial"/>
          <w:sz w:val="17"/>
          <w:szCs w:val="17"/>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171" w:lineRule="exact"/>
        <w:rPr>
          <w:rFonts w:ascii="Arial" w:cs="Arial" w:eastAsia="Arial" w:hAnsi="Arial"/>
          <w:sz w:val="17"/>
          <w:szCs w:val="17"/>
          <w:color w:val="auto"/>
        </w:rPr>
      </w:pPr>
    </w:p>
    <w:p>
      <w:pPr>
        <w:jc w:val="both"/>
        <w:ind w:right="320" w:firstLine="443"/>
        <w:spacing w:after="0" w:line="264" w:lineRule="auto"/>
        <w:tabs>
          <w:tab w:leader="none" w:pos="6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23" w:name="page24"/>
    <w:bookmarkEnd w:id="23"/>
    <w:p>
      <w:pPr>
        <w:ind w:left="440"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188" w:lineRule="exact"/>
        <w:rPr>
          <w:sz w:val="20"/>
          <w:szCs w:val="20"/>
          <w:color w:val="auto"/>
        </w:rPr>
      </w:pPr>
    </w:p>
    <w:p>
      <w:pPr>
        <w:ind w:left="440" w:right="320" w:firstLine="443"/>
        <w:spacing w:after="0" w:line="277" w:lineRule="auto"/>
        <w:tabs>
          <w:tab w:leader="none" w:pos="10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170" w:lineRule="exact"/>
        <w:rPr>
          <w:rFonts w:ascii="Arial" w:cs="Arial" w:eastAsia="Arial" w:hAnsi="Arial"/>
          <w:sz w:val="18"/>
          <w:szCs w:val="18"/>
          <w:color w:val="auto"/>
        </w:rPr>
      </w:pPr>
    </w:p>
    <w:p>
      <w:pPr>
        <w:ind w:left="440" w:firstLine="443"/>
        <w:spacing w:after="0" w:line="257" w:lineRule="auto"/>
        <w:tabs>
          <w:tab w:leader="none" w:pos="10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88" w:lineRule="exact"/>
        <w:rPr>
          <w:rFonts w:ascii="Arial" w:cs="Arial" w:eastAsia="Arial" w:hAnsi="Arial"/>
          <w:sz w:val="18"/>
          <w:szCs w:val="18"/>
          <w:color w:val="auto"/>
        </w:rPr>
      </w:pPr>
    </w:p>
    <w:p>
      <w:pPr>
        <w:ind w:left="-20" w:right="20" w:firstLine="464"/>
        <w:spacing w:after="0" w:line="268" w:lineRule="auto"/>
        <w:tabs>
          <w:tab w:leader="none" w:pos="7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left="700" w:hanging="257"/>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severally and not jointly, will indemnify and hold harmless the Company, its trustees, its officers who signed the</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0" w:lineRule="exact"/>
        <w:rPr>
          <w:rFonts w:ascii="Arial" w:cs="Arial" w:eastAsia="Arial" w:hAnsi="Arial"/>
          <w:sz w:val="17"/>
          <w:szCs w:val="17"/>
          <w:color w:val="auto"/>
        </w:rPr>
      </w:pPr>
    </w:p>
    <w:p>
      <w:pPr>
        <w:ind w:firstLine="443"/>
        <w:spacing w:after="0" w:line="287" w:lineRule="auto"/>
        <w:tabs>
          <w:tab w:leader="none" w:pos="68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25" w:name="page26"/>
    <w:bookmarkEnd w:id="25"/>
    <w:p>
      <w:pPr>
        <w:ind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ind w:right="140" w:firstLine="4"/>
        <w:spacing w:after="0" w:line="261"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rFonts w:ascii="Arial" w:cs="Arial" w:eastAsia="Arial" w:hAnsi="Arial"/>
          <w:sz w:val="18"/>
          <w:szCs w:val="18"/>
          <w:color w:val="auto"/>
        </w:rPr>
      </w:pPr>
    </w:p>
    <w:p>
      <w:pPr>
        <w:ind w:left="700" w:hanging="257"/>
        <w:spacing w:after="0"/>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4"/>
        <w:spacing w:after="0" w:line="283"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26" w:name="page27"/>
    <w:bookmarkEnd w:id="26"/>
    <w:p>
      <w:pPr>
        <w:ind w:left="44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87" w:lineRule="exact"/>
        <w:rPr>
          <w:sz w:val="20"/>
          <w:szCs w:val="20"/>
          <w:color w:val="auto"/>
        </w:rPr>
      </w:pPr>
    </w:p>
    <w:p>
      <w:pPr>
        <w:ind w:left="440" w:right="40" w:firstLine="443"/>
        <w:spacing w:after="0" w:line="257" w:lineRule="auto"/>
        <w:tabs>
          <w:tab w:leader="none" w:pos="11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88" w:lineRule="exact"/>
        <w:rPr>
          <w:rFonts w:ascii="Arial" w:cs="Arial" w:eastAsia="Arial" w:hAnsi="Arial"/>
          <w:sz w:val="18"/>
          <w:szCs w:val="18"/>
          <w:color w:val="auto"/>
        </w:rPr>
      </w:pPr>
    </w:p>
    <w:p>
      <w:pPr>
        <w:ind w:left="-20" w:firstLine="464"/>
        <w:spacing w:after="0" w:line="287" w:lineRule="auto"/>
        <w:tabs>
          <w:tab w:leader="none" w:pos="7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8" w:lineRule="exact"/>
        <w:rPr>
          <w:rFonts w:ascii="Arial" w:cs="Arial" w:eastAsia="Arial" w:hAnsi="Arial"/>
          <w:sz w:val="16"/>
          <w:szCs w:val="16"/>
          <w:color w:val="auto"/>
        </w:rPr>
      </w:pPr>
    </w:p>
    <w:p>
      <w:pPr>
        <w:ind w:left="440" w:firstLine="443"/>
        <w:spacing w:after="0" w:line="276" w:lineRule="auto"/>
        <w:tabs>
          <w:tab w:leader="none" w:pos="1133"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4" w:right="259" w:bottom="1440" w:gutter="0" w:footer="0" w:header="0"/>
        </w:sectPr>
      </w:pPr>
    </w:p>
    <w:bookmarkStart w:id="27" w:name="page28"/>
    <w:bookmarkEnd w:id="27"/>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87" w:lineRule="exact"/>
        <w:rPr>
          <w:sz w:val="20"/>
          <w:szCs w:val="20"/>
          <w:color w:val="auto"/>
        </w:rPr>
      </w:pPr>
    </w:p>
    <w:p>
      <w:pPr>
        <w:ind w:left="440" w:right="20" w:firstLine="443"/>
        <w:spacing w:after="0" w:line="290" w:lineRule="auto"/>
        <w:tabs>
          <w:tab w:leader="none" w:pos="112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66" w:lineRule="exact"/>
        <w:rPr>
          <w:rFonts w:ascii="Arial" w:cs="Arial" w:eastAsia="Arial" w:hAnsi="Arial"/>
          <w:sz w:val="16"/>
          <w:szCs w:val="16"/>
          <w:color w:val="auto"/>
        </w:rPr>
      </w:pPr>
    </w:p>
    <w:p>
      <w:pPr>
        <w:ind w:left="-20" w:right="40" w:firstLine="464"/>
        <w:spacing w:after="0" w:line="302" w:lineRule="auto"/>
        <w:tabs>
          <w:tab w:leader="none" w:pos="70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54" w:lineRule="exact"/>
        <w:rPr>
          <w:rFonts w:ascii="Arial" w:cs="Arial" w:eastAsia="Arial" w:hAnsi="Arial"/>
          <w:sz w:val="16"/>
          <w:szCs w:val="16"/>
          <w:color w:val="auto"/>
        </w:rPr>
      </w:pPr>
    </w:p>
    <w:p>
      <w:pPr>
        <w:ind w:left="-20" w:firstLine="464"/>
        <w:spacing w:after="0" w:line="25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89" w:lineRule="exact"/>
        <w:rPr>
          <w:rFonts w:ascii="Arial" w:cs="Arial" w:eastAsia="Arial" w:hAnsi="Arial"/>
          <w:sz w:val="18"/>
          <w:szCs w:val="18"/>
          <w:color w:val="auto"/>
        </w:rPr>
      </w:pPr>
    </w:p>
    <w:p>
      <w:pPr>
        <w:ind w:left="-20" w:right="20" w:firstLine="464"/>
        <w:spacing w:after="0" w:line="286" w:lineRule="auto"/>
        <w:tabs>
          <w:tab w:leader="none" w:pos="70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274" w:right="259" w:bottom="1440" w:gutter="0" w:footer="0" w:header="0"/>
        </w:sectPr>
      </w:pPr>
    </w:p>
    <w:bookmarkStart w:id="28" w:name="page29"/>
    <w:bookmarkEnd w:id="28"/>
    <w:p>
      <w:pPr>
        <w:ind w:right="8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8" w:lineRule="exact"/>
        <w:rPr>
          <w:sz w:val="20"/>
          <w:szCs w:val="20"/>
          <w:color w:val="auto"/>
        </w:rPr>
      </w:pPr>
    </w:p>
    <w:p>
      <w:pPr>
        <w:ind w:right="140" w:firstLine="464"/>
        <w:spacing w:after="0" w:line="277" w:lineRule="auto"/>
        <w:tabs>
          <w:tab w:leader="none" w:pos="7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464"/>
        <w:spacing w:after="0" w:line="276" w:lineRule="auto"/>
        <w:tabs>
          <w:tab w:leader="none" w:pos="7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72" w:lineRule="exact"/>
        <w:rPr>
          <w:rFonts w:ascii="Arial" w:cs="Arial" w:eastAsia="Arial" w:hAnsi="Arial"/>
          <w:sz w:val="17"/>
          <w:szCs w:val="17"/>
          <w:color w:val="auto"/>
        </w:rPr>
      </w:pPr>
    </w:p>
    <w:p>
      <w:pPr>
        <w:ind w:right="500" w:firstLine="464"/>
        <w:spacing w:after="0" w:line="277" w:lineRule="auto"/>
        <w:tabs>
          <w:tab w:leader="none" w:pos="7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210" w:lineRule="exact"/>
        <w:rPr>
          <w:rFonts w:ascii="Arial" w:cs="Arial" w:eastAsia="Arial" w:hAnsi="Arial"/>
          <w:sz w:val="16"/>
          <w:szCs w:val="16"/>
          <w:color w:val="auto"/>
        </w:rPr>
      </w:pPr>
    </w:p>
    <w:p>
      <w:pPr>
        <w:ind w:right="120" w:firstLine="464"/>
        <w:spacing w:after="0" w:line="342" w:lineRule="auto"/>
        <w:tabs>
          <w:tab w:leader="none" w:pos="7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M. Taylor, Jr.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Title: Executive Vice President-Chief</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Financial Officer and Treasurer</w:t>
      </w:r>
    </w:p>
    <w:p>
      <w:pPr>
        <w:spacing w:after="0" w:line="157"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9759"/>
          </w:cols>
          <w:pgMar w:left="70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Chris Porter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 Investment Banking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181"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21,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September 21, 2015 (the “Underwriting Agreement”), between the Company on the one hand and Wells Fargo Securities, LLC, J. P. Morgan Securities LLC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2" w:name="page33"/>
    <w:bookmarkEnd w:id="3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280"/>
          </w:cols>
          <w:pgMar w:left="240" w:top="274" w:right="379" w:bottom="1440" w:gutter="0" w:footer="0" w:header="0"/>
        </w:sectPr>
      </w:pPr>
    </w:p>
    <w:bookmarkStart w:id="33" w:name="page34"/>
    <w:bookmarkEnd w:id="3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40" w:type="dxa"/>
            <w:vAlign w:val="bottom"/>
            <w:gridSpan w:val="2"/>
          </w:tcPr>
          <w:p>
            <w:pPr>
              <w:jc w:val="right"/>
              <w:ind w:right="3630"/>
              <w:spacing w:after="0"/>
              <w:rPr>
                <w:sz w:val="20"/>
                <w:szCs w:val="20"/>
                <w:color w:val="auto"/>
              </w:rPr>
            </w:pPr>
            <w:r>
              <w:rPr>
                <w:rFonts w:ascii="Arial" w:cs="Arial" w:eastAsia="Arial" w:hAnsi="Arial"/>
                <w:sz w:val="18"/>
                <w:szCs w:val="18"/>
                <w:color w:val="auto"/>
              </w:rPr>
              <w:t>SCHEDULE I</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04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94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5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55,000,000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55,000,000</w:t>
            </w:r>
          </w:p>
        </w:tc>
        <w:tc>
          <w:tcPr>
            <w:tcW w:w="0" w:type="dxa"/>
            <w:vAlign w:val="bottom"/>
          </w:tcPr>
          <w:p>
            <w:pPr>
              <w:spacing w:after="0"/>
              <w:rPr>
                <w:sz w:val="1"/>
                <w:szCs w:val="1"/>
                <w:color w:val="auto"/>
              </w:rPr>
            </w:pPr>
          </w:p>
        </w:tc>
      </w:tr>
      <w:tr>
        <w:trPr>
          <w:trHeight w:val="202"/>
        </w:trPr>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4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Incorporated</w:t>
            </w:r>
          </w:p>
        </w:tc>
        <w:tc>
          <w:tcPr>
            <w:tcW w:w="5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55,000,000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Capital One Securities, Inc.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Regions Securities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BBVA Securities Inc.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5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0500"/>
          </w:cols>
          <w:pgMar w:left="700" w:top="274" w:right="69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2.550% Notes due 2021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$250,000,000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99.771% of the principal amount of the Designated Securities, plus accrued interest from September 28,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99.171% of the principal amount of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Wire transfer of immediately available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January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2.550% per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January 15 and July 15, beginning on January 15,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340"/>
          </w:cols>
          <w:pgMar w:left="240" w:top="274"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3:30 p.m. (Eastern time) on September 21, 2015 or such other time as agreed by the Company and the Representatives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September 28,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Attn: Investment Grade Syndicate Desk – 3rd floor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(212) 834-6081</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(646) 855-5958</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19"/>
          </w:cols>
          <w:pgMar w:left="240" w:top="27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1826"/>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46"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Final Term Sheet, attached hereto as Schedule I to this Exhibit B</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Ex. B</w:t>
      </w:r>
    </w:p>
    <w:p>
      <w:pPr>
        <w:sectPr>
          <w:pgSz w:w="11900" w:h="16838" w:orient="portrait"/>
          <w:cols w:equalWidth="0" w:num="1">
            <w:col w:w="10966"/>
          </w:cols>
          <w:pgMar w:left="694" w:top="270" w:right="2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Security: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Expected Ratings*: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(Moody’s / S&amp;P / Fitch)</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Payment Dates: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Spread to Benchmark Treasury: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Coupon (Interest Rate):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Price to Public:</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Redemption Provision: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-213360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September 21,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September 21, 2015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207" w:lineRule="exact"/>
        <w:rPr>
          <w:sz w:val="20"/>
          <w:szCs w:val="20"/>
          <w:color w:val="auto"/>
        </w:rPr>
      </w:pPr>
    </w:p>
    <w:p>
      <w:pPr>
        <w:jc w:val="center"/>
        <w:ind w:right="4340"/>
        <w:spacing w:after="0"/>
        <w:rPr>
          <w:sz w:val="20"/>
          <w:szCs w:val="20"/>
          <w:color w:val="auto"/>
        </w:rPr>
      </w:pPr>
      <w:r>
        <w:rPr>
          <w:rFonts w:ascii="Arial" w:cs="Arial" w:eastAsia="Arial" w:hAnsi="Arial"/>
          <w:sz w:val="17"/>
          <w:szCs w:val="17"/>
          <w:b w:val="1"/>
          <w:bCs w:val="1"/>
          <w:color w:val="auto"/>
        </w:rPr>
        <w:t>Federal Realty Investment Trust</w:t>
      </w:r>
    </w:p>
    <w:p>
      <w:pPr>
        <w:spacing w:after="0" w:line="39" w:lineRule="exact"/>
        <w:rPr>
          <w:sz w:val="20"/>
          <w:szCs w:val="20"/>
          <w:color w:val="auto"/>
        </w:rPr>
      </w:pPr>
    </w:p>
    <w:p>
      <w:pPr>
        <w:jc w:val="center"/>
        <w:ind w:right="4340"/>
        <w:spacing w:after="0"/>
        <w:rPr>
          <w:sz w:val="20"/>
          <w:szCs w:val="20"/>
          <w:color w:val="auto"/>
        </w:rPr>
      </w:pPr>
      <w:r>
        <w:rPr>
          <w:rFonts w:ascii="Arial" w:cs="Arial" w:eastAsia="Arial" w:hAnsi="Arial"/>
          <w:sz w:val="18"/>
          <w:szCs w:val="18"/>
          <w:b w:val="1"/>
          <w:bCs w:val="1"/>
          <w:color w:val="auto"/>
        </w:rPr>
        <w:t>2.550% Notes due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Term sheet dated September 21, 2015</w:t>
      </w:r>
    </w:p>
    <w:p>
      <w:pPr>
        <w:spacing w:after="0" w:line="36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2.550% Notes due 2021</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[reserved]</w:t>
      </w:r>
    </w:p>
    <w:p>
      <w:pPr>
        <w:spacing w:after="0" w:line="34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$250,000,000</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September 21, 2015</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September 28, 2015 (T+5)</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January 15, 2021</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January 15 and July 15, beginning on January 15,</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2016</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1.375% due August 31, 2020</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99-13+ / 1.497%</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+110 basis points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2.597%</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2.550% per year</w:t>
      </w:r>
    </w:p>
    <w:p>
      <w:pPr>
        <w:spacing w:after="0" w:line="117" w:lineRule="exact"/>
        <w:rPr>
          <w:sz w:val="20"/>
          <w:szCs w:val="20"/>
          <w:color w:val="auto"/>
        </w:rPr>
      </w:pPr>
    </w:p>
    <w:p>
      <w:pPr>
        <w:ind w:left="1600" w:right="1740"/>
        <w:spacing w:after="0" w:line="277" w:lineRule="auto"/>
        <w:rPr>
          <w:sz w:val="20"/>
          <w:szCs w:val="20"/>
          <w:color w:val="auto"/>
        </w:rPr>
      </w:pPr>
      <w:r>
        <w:rPr>
          <w:rFonts w:ascii="Arial" w:cs="Arial" w:eastAsia="Arial" w:hAnsi="Arial"/>
          <w:sz w:val="18"/>
          <w:szCs w:val="18"/>
          <w:color w:val="auto"/>
        </w:rPr>
        <w:t>99.771% of principal amount, plus accrued interest, if any, from September 28, 2015</w:t>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 any time before December 15, 2020, make-</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whole call based on U.S. Treasury plus 20 basis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points (0.20%); if redeemed on or after</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December 15, 2020, at 100% of the principal</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amount of the notes being redeemed, in each case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plus accrued and unpaid interest thereon to, but</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excluding, the redemption date</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 B-1</w:t>
      </w:r>
    </w:p>
    <w:p>
      <w:pPr>
        <w:sectPr>
          <w:pgSz w:w="11900" w:h="16838" w:orient="portrait"/>
          <w:cols w:equalWidth="0" w:num="2">
            <w:col w:w="2940" w:space="220"/>
            <w:col w:w="7060"/>
          </w:cols>
          <w:pgMar w:left="1440" w:top="270" w:right="239" w:bottom="1440" w:gutter="0" w:footer="0" w:header="0"/>
        </w:sectPr>
      </w:pPr>
    </w:p>
    <w:bookmarkStart w:id="40" w:name="page41"/>
    <w:bookmarkEnd w:id="40"/>
    <w:p>
      <w:pPr>
        <w:ind w:left="1720"/>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6"/>
          <w:szCs w:val="16"/>
          <w:color w:val="auto"/>
        </w:rPr>
        <w:t>313747 AW7 / US313747AW72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-269875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240" w:space="720"/>
            <w:col w:w="5400"/>
          </w:cols>
          <w:pgMar w:left="240" w:top="382" w:right="299" w:bottom="1440" w:gutter="0" w:footer="0" w:header="0"/>
        </w:sectPr>
      </w:pPr>
    </w:p>
    <w:p>
      <w:pPr>
        <w:ind w:left="1720"/>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116" w:lineRule="exact"/>
        <w:rPr>
          <w:sz w:val="20"/>
          <w:szCs w:val="20"/>
          <w:color w:val="auto"/>
        </w:rPr>
      </w:pPr>
    </w:p>
    <w:p>
      <w:pPr>
        <w:sectPr>
          <w:pgSz w:w="11900" w:h="16838" w:orient="portrait"/>
          <w:cols w:equalWidth="0" w:num="2">
            <w:col w:w="5240" w:space="720"/>
            <w:col w:w="5400"/>
          </w:cols>
          <w:pgMar w:left="240" w:top="382"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Capital One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200" w:lineRule="exact"/>
        <w:rPr>
          <w:sz w:val="20"/>
          <w:szCs w:val="20"/>
          <w:color w:val="auto"/>
        </w:rPr>
      </w:pPr>
    </w:p>
    <w:p>
      <w:pPr>
        <w:sectPr>
          <w:pgSz w:w="11900" w:h="16838" w:orient="portrait"/>
          <w:cols w:equalWidth="0" w:num="2">
            <w:col w:w="5240" w:space="720"/>
            <w:col w:w="5400"/>
          </w:cols>
          <w:pgMar w:left="240" w:top="382" w:right="29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Wells Fargo Securities, LLC toll free at 1-800-645-3751, (ii) J.P. Morgan Securities LLC collect at 1-212-834-4533, or (iii) Merrill Lynch, Pierce, Fenner &amp; Smith Incorporated toll free at 1-800-294-1322.</w:t>
      </w:r>
    </w:p>
    <w:p>
      <w:pPr>
        <w:spacing w:after="0" w:line="172"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B-2</w:t>
      </w:r>
    </w:p>
    <w:p>
      <w:pPr>
        <w:sectPr>
          <w:pgSz w:w="11900" w:h="16838" w:orient="portrait"/>
          <w:cols w:equalWidth="0" w:num="1">
            <w:col w:w="11360"/>
          </w:cols>
          <w:pgMar w:left="240" w:top="382" w:right="29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21,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September 21, 2015 (the “Underwriting Agreement”), between the Company on the one hand and Wells Fargo Securities, LLC, J. P. Morgan Securities LLC and Merrill Lynch, Pierce, Fenner &amp; Smith Incorporated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w:t>
      </w:r>
    </w:p>
    <w:p>
      <w:pPr>
        <w:sectPr>
          <w:pgSz w:w="11900" w:h="16838" w:orient="portrait"/>
          <w:cols w:equalWidth="0" w:num="1">
            <w:col w:w="11420"/>
          </w:cols>
          <w:pgMar w:left="240" w:top="121" w:right="239" w:bottom="1440" w:gutter="0" w:footer="0" w:header="0"/>
        </w:sectPr>
      </w:pPr>
    </w:p>
    <w:bookmarkStart w:id="42" w:name="page43"/>
    <w:bookmarkEnd w:id="4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43" w:name="page44"/>
    <w:bookmarkEnd w:id="4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M. Taylor, Jr.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Treasurer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220"/>
          </w:cols>
          <w:pgMar w:left="240" w:top="274"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ERRILL</w:t>
      </w:r>
      <w:r>
        <w:rPr>
          <w:rFonts w:ascii="Arial" w:cs="Arial" w:eastAsia="Arial" w:hAnsi="Arial"/>
          <w:sz w:val="18"/>
          <w:szCs w:val="18"/>
          <w:color w:val="auto"/>
        </w:rPr>
        <w:t xml:space="preserve"> L</w:t>
      </w:r>
      <w:r>
        <w:rPr>
          <w:rFonts w:ascii="Arial" w:cs="Arial" w:eastAsia="Arial" w:hAnsi="Arial"/>
          <w:sz w:val="15"/>
          <w:szCs w:val="15"/>
          <w:color w:val="auto"/>
        </w:rPr>
        <w:t>YNCH</w:t>
      </w:r>
      <w:r>
        <w:rPr>
          <w:rFonts w:ascii="Arial" w:cs="Arial" w:eastAsia="Arial" w:hAnsi="Arial"/>
          <w:sz w:val="18"/>
          <w:szCs w:val="18"/>
          <w:color w:val="auto"/>
        </w:rPr>
        <w:t>, P</w:t>
      </w:r>
      <w:r>
        <w:rPr>
          <w:rFonts w:ascii="Arial" w:cs="Arial" w:eastAsia="Arial" w:hAnsi="Arial"/>
          <w:sz w:val="15"/>
          <w:szCs w:val="15"/>
          <w:color w:val="auto"/>
        </w:rPr>
        <w:t>IERCE</w:t>
      </w:r>
      <w:r>
        <w:rPr>
          <w:rFonts w:ascii="Arial" w:cs="Arial" w:eastAsia="Arial" w:hAnsi="Arial"/>
          <w:sz w:val="18"/>
          <w:szCs w:val="18"/>
          <w:color w:val="auto"/>
        </w:rPr>
        <w:t>, F</w:t>
      </w:r>
      <w:r>
        <w:rPr>
          <w:rFonts w:ascii="Arial" w:cs="Arial" w:eastAsia="Arial" w:hAnsi="Arial"/>
          <w:sz w:val="15"/>
          <w:szCs w:val="15"/>
          <w:color w:val="auto"/>
        </w:rPr>
        <w:t>ENNER</w:t>
      </w:r>
      <w:r>
        <w:rPr>
          <w:rFonts w:ascii="Arial" w:cs="Arial" w:eastAsia="Arial" w:hAnsi="Arial"/>
          <w:sz w:val="18"/>
          <w:szCs w:val="18"/>
          <w:color w:val="auto"/>
        </w:rPr>
        <w:t xml:space="preserve"> &amp; S</w:t>
      </w:r>
      <w:r>
        <w:rPr>
          <w:rFonts w:ascii="Arial" w:cs="Arial" w:eastAsia="Arial" w:hAnsi="Arial"/>
          <w:sz w:val="15"/>
          <w:szCs w:val="15"/>
          <w:color w:val="auto"/>
        </w:rPr>
        <w:t>MITH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Chris Porter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 Investment Banking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740" w:type="dxa"/>
            <w:vAlign w:val="bottom"/>
            <w:gridSpan w:val="2"/>
          </w:tcPr>
          <w:p>
            <w:pPr>
              <w:jc w:val="right"/>
              <w:ind w:right="3630"/>
              <w:spacing w:after="0"/>
              <w:rPr>
                <w:sz w:val="20"/>
                <w:szCs w:val="20"/>
                <w:color w:val="auto"/>
              </w:rPr>
            </w:pPr>
            <w:r>
              <w:rPr>
                <w:rFonts w:ascii="Arial" w:cs="Arial" w:eastAsia="Arial" w:hAnsi="Arial"/>
                <w:sz w:val="18"/>
                <w:szCs w:val="18"/>
                <w:color w:val="auto"/>
              </w:rPr>
              <w:t>SCHEDULE I</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04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94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Wells Fargo Securities, LLC</w:t>
            </w:r>
          </w:p>
        </w:tc>
        <w:tc>
          <w:tcPr>
            <w:tcW w:w="5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55,000,000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55,000,000</w:t>
            </w:r>
          </w:p>
        </w:tc>
        <w:tc>
          <w:tcPr>
            <w:tcW w:w="0" w:type="dxa"/>
            <w:vAlign w:val="bottom"/>
          </w:tcPr>
          <w:p>
            <w:pPr>
              <w:spacing w:after="0"/>
              <w:rPr>
                <w:sz w:val="1"/>
                <w:szCs w:val="1"/>
                <w:color w:val="auto"/>
              </w:rPr>
            </w:pPr>
          </w:p>
        </w:tc>
      </w:tr>
      <w:tr>
        <w:trPr>
          <w:trHeight w:val="202"/>
        </w:trPr>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5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4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Incorporated</w:t>
            </w:r>
          </w:p>
        </w:tc>
        <w:tc>
          <w:tcPr>
            <w:tcW w:w="5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55,000,000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Capital One Securities, Inc.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Regions Securities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BBVA Securities Inc.</w:t>
            </w:r>
          </w:p>
        </w:tc>
        <w:tc>
          <w:tcPr>
            <w:tcW w:w="5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5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0500"/>
          </w:cols>
          <w:pgMar w:left="700" w:top="274" w:right="69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2.550% Notes due 2021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$250,000,000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99.771% of the principal amount of the Designated Securities, plus accrued interest from September 28,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99.171% of the principal amount of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Wire transfer of immediately available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January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2.550% per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January 15 and July 15, beginning on January 15,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II</w:t>
      </w:r>
    </w:p>
    <w:p>
      <w:pPr>
        <w:sectPr>
          <w:pgSz w:w="11900" w:h="16838" w:orient="portrait"/>
          <w:cols w:equalWidth="0" w:num="1">
            <w:col w:w="11340"/>
          </w:cols>
          <w:pgMar w:left="240" w:top="274"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3:30 p.m. (Eastern time) on September 21, 2015 or such other time as agreed by the Company and the Representatives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September 28,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(704) 410-0326</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Attn: Investment Grade Syndicate Desk – 3rd floor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(212) 834-6081</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50 Rockefeller Plaza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NY1-050-12-01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Attn: High Grade Transaction Management / Legal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(646) 855-5958</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II-2</w:t>
      </w:r>
    </w:p>
    <w:p>
      <w:pPr>
        <w:sectPr>
          <w:pgSz w:w="11900" w:h="16838" w:orient="portrait"/>
          <w:cols w:equalWidth="0" w:num="1">
            <w:col w:w="10219"/>
          </w:cols>
          <w:pgMar w:left="240" w:top="27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Combined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8"/>
          </w:tcPr>
          <w:p>
            <w:pPr>
              <w:jc w:val="center"/>
              <w:ind w:right="280"/>
              <w:spacing w:after="0"/>
              <w:rPr>
                <w:sz w:val="20"/>
                <w:szCs w:val="20"/>
                <w:color w:val="auto"/>
              </w:rPr>
            </w:pPr>
            <w:r>
              <w:rPr>
                <w:rFonts w:ascii="Arial" w:cs="Arial" w:eastAsia="Arial" w:hAnsi="Arial"/>
                <w:sz w:val="14"/>
                <w:szCs w:val="14"/>
                <w:color w:val="auto"/>
                <w:w w:val="91"/>
              </w:rPr>
              <w:t>Year Ended 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340"/>
              <w:spacing w:after="0" w:line="201" w:lineRule="exact"/>
              <w:rPr>
                <w:sz w:val="20"/>
                <w:szCs w:val="20"/>
                <w:color w:val="auto"/>
              </w:rPr>
            </w:pPr>
            <w:r>
              <w:rPr>
                <w:rFonts w:ascii="Arial" w:cs="Arial" w:eastAsia="Arial" w:hAnsi="Arial"/>
                <w:sz w:val="18"/>
                <w:szCs w:val="18"/>
                <w:color w:val="auto"/>
                <w:w w:val="96"/>
              </w:rPr>
              <w:t>Income from continuing operations before income or loss from</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520"/>
              <w:spacing w:after="0"/>
              <w:rPr>
                <w:sz w:val="20"/>
                <w:szCs w:val="20"/>
                <w:color w:val="auto"/>
              </w:rPr>
            </w:pPr>
            <w:r>
              <w:rPr>
                <w:rFonts w:ascii="Arial" w:cs="Arial" w:eastAsia="Arial" w:hAnsi="Arial"/>
                <w:sz w:val="18"/>
                <w:szCs w:val="18"/>
                <w:color w:val="auto"/>
              </w:rPr>
              <w:t>equity investees</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81,541</w:t>
            </w:r>
          </w:p>
        </w:tc>
        <w:tc>
          <w:tcPr>
            <w:tcW w:w="18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$165,655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$134,986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$139,380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126,715</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2,781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67,155</w:t>
            </w:r>
          </w:p>
        </w:tc>
        <w:tc>
          <w:tcPr>
            <w:tcW w:w="1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105,137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118,920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114,066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98,851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Noncontrolling interests in income of subsidiaries with no fixed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(4,691)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147,772</w:t>
            </w:r>
          </w:p>
        </w:tc>
        <w:tc>
          <w:tcPr>
            <w:tcW w:w="18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268,882</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253,198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253,540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225,664</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227,253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66,685</w:t>
            </w:r>
          </w:p>
        </w:tc>
        <w:tc>
          <w:tcPr>
            <w:tcW w:w="1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$104,486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$ 118,281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$ 113,336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98,169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20,971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16,181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651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682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76,698</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126,108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135,101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124,171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106,948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$ 111,985</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40" w:type="dxa"/>
            <w:vAlign w:val="bottom"/>
            <w:gridSpan w:val="2"/>
          </w:tcPr>
          <w:p>
            <w:pPr>
              <w:spacing w:after="0"/>
              <w:rPr>
                <w:sz w:val="20"/>
                <w:szCs w:val="20"/>
                <w:color w:val="auto"/>
              </w:rPr>
            </w:pPr>
            <w:r>
              <w:rPr>
                <w:rFonts w:ascii="Arial" w:cs="Arial" w:eastAsia="Arial" w:hAnsi="Arial"/>
                <w:sz w:val="18"/>
                <w:szCs w:val="18"/>
                <w:color w:val="auto"/>
              </w:rPr>
              <w:t>Ratio of earnings to fixed charges (A divided by B)</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lowerLetter"/>
      <w:start w:val="1"/>
    </w:lvl>
    <w:lvl w:ilvl="1">
      <w:lvlJc w:val="left"/>
      <w:lvlText w:val="(%2)"/>
      <w:numFmt w:val="lowerLetter"/>
      <w:start w:val="1"/>
    </w:lvl>
  </w:abstractNum>
  <w:abstractNum w:abstractNumId="3">
    <w:nsid w:val="62BBD95A"/>
    <w:multiLevelType w:val="hybridMultilevel"/>
    <w:lvl w:ilvl="0">
      <w:lvlJc w:val="left"/>
      <w:lvlText w:val="(%1)"/>
      <w:numFmt w:val="lowerLetter"/>
      <w:start w:val="2"/>
    </w:lvl>
    <w:lvl w:ilvl="1">
      <w:lvlJc w:val="left"/>
      <w:lvlText w:val="%2"/>
      <w:numFmt w:val="lowerLetter"/>
      <w:start w:val="1"/>
    </w:lvl>
  </w:abstractNum>
  <w:abstractNum w:abstractNumId="4">
    <w:nsid w:val="436C6125"/>
    <w:multiLevelType w:val="hybridMultilevel"/>
    <w:lvl w:ilvl="0">
      <w:lvlJc w:val="left"/>
      <w:lvlText w:val="(%1)"/>
      <w:numFmt w:val="lowerLetter"/>
      <w:start w:val="3"/>
    </w:lvl>
  </w:abstractNum>
  <w:abstractNum w:abstractNumId="5">
    <w:nsid w:val="628C895D"/>
    <w:multiLevelType w:val="hybridMultilevel"/>
    <w:lvl w:ilvl="0">
      <w:lvlJc w:val="left"/>
      <w:lvlText w:val="(%1)"/>
      <w:numFmt w:val="upperLetter"/>
      <w:start w:val="1"/>
    </w:lvl>
  </w:abstractNum>
  <w:abstractNum w:abstractNumId="6">
    <w:nsid w:val="333AB105"/>
    <w:multiLevelType w:val="hybridMultilevel"/>
    <w:lvl w:ilvl="0">
      <w:lvlJc w:val="left"/>
      <w:lvlText w:val="(%1)"/>
      <w:numFmt w:val="lowerLetter"/>
      <w:start w:val="4"/>
    </w:lvl>
  </w:abstractNum>
  <w:abstractNum w:abstractNumId="7">
    <w:nsid w:val="721DA317"/>
    <w:multiLevelType w:val="hybridMultilevel"/>
    <w:lvl w:ilvl="0">
      <w:lvlJc w:val="left"/>
      <w:lvlText w:val="%1"/>
      <w:numFmt w:val="lowerLetter"/>
      <w:start w:val="1"/>
    </w:lvl>
    <w:lvl w:ilvl="1">
      <w:lvlJc w:val="left"/>
      <w:lvlText w:val="(%2)"/>
      <w:numFmt w:val="lowerLetter"/>
      <w:start w:val="7"/>
    </w:lvl>
  </w:abstractNum>
  <w:abstractNum w:abstractNumId="8">
    <w:nsid w:val="2443A858"/>
    <w:multiLevelType w:val="hybridMultilevel"/>
    <w:lvl w:ilvl="0">
      <w:lvlJc w:val="left"/>
      <w:lvlText w:val="(%1)"/>
      <w:numFmt w:val="lowerLetter"/>
      <w:start w:val="9"/>
    </w:lvl>
    <w:lvl w:ilvl="1">
      <w:lvlJc w:val="left"/>
      <w:lvlText w:val="%2"/>
      <w:numFmt w:val="lowerLetter"/>
      <w:start w:val="1"/>
    </w:lvl>
  </w:abstractNum>
  <w:abstractNum w:abstractNumId="9">
    <w:nsid w:val="2D1D5AE9"/>
    <w:multiLevelType w:val="hybridMultilevel"/>
    <w:lvl w:ilvl="0">
      <w:lvlJc w:val="left"/>
      <w:lvlText w:val="(%1)"/>
      <w:numFmt w:val="lowerLetter"/>
      <w:start w:val="8"/>
    </w:lvl>
  </w:abstractNum>
  <w:abstractNum w:abstractNumId="10">
    <w:nsid w:val="6763845E"/>
    <w:multiLevelType w:val="hybridMultilevel"/>
    <w:lvl w:ilvl="0">
      <w:lvlJc w:val="left"/>
      <w:lvlText w:val="(%1)"/>
      <w:numFmt w:val="lowerLetter"/>
      <w:start w:val="12"/>
    </w:lvl>
  </w:abstractNum>
  <w:abstractNum w:abstractNumId="11">
    <w:nsid w:val="75A2A8D4"/>
    <w:multiLevelType w:val="hybridMultilevel"/>
    <w:lvl w:ilvl="0">
      <w:lvlJc w:val="left"/>
      <w:lvlText w:val="(%1)"/>
      <w:numFmt w:val="lowerLetter"/>
      <w:start w:val="15"/>
    </w:lvl>
  </w:abstractNum>
  <w:abstractNum w:abstractNumId="12">
    <w:nsid w:val="8EDBDAB"/>
    <w:multiLevelType w:val="hybridMultilevel"/>
    <w:lvl w:ilvl="0">
      <w:lvlJc w:val="left"/>
      <w:lvlText w:val="(%1)"/>
      <w:numFmt w:val="lowerLetter"/>
      <w:start w:val="20"/>
    </w:lvl>
  </w:abstractNum>
  <w:abstractNum w:abstractNumId="13">
    <w:nsid w:val="79838CB2"/>
    <w:multiLevelType w:val="hybridMultilevel"/>
    <w:lvl w:ilvl="0">
      <w:lvlJc w:val="left"/>
      <w:lvlText w:val="(%1)"/>
      <w:numFmt w:val="lowerLetter"/>
      <w:start w:val="23"/>
    </w:lvl>
  </w:abstractNum>
  <w:abstractNum w:abstractNumId="14">
    <w:nsid w:val="4353D0CD"/>
    <w:multiLevelType w:val="hybridMultilevel"/>
    <w:lvl w:ilvl="0">
      <w:lvlJc w:val="left"/>
      <w:lvlText w:val="%1"/>
      <w:numFmt w:val="decimal"/>
      <w:start w:val="1"/>
    </w:lvl>
    <w:lvl w:ilvl="1">
      <w:lvlJc w:val="left"/>
      <w:lvlText w:val="(%2)"/>
      <w:numFmt w:val="lowerLetter"/>
      <w:start w:val="26"/>
    </w:lvl>
  </w:abstractNum>
  <w:abstractNum w:abstractNumId="15">
    <w:nsid w:val="B03E0C6"/>
    <w:multiLevelType w:val="hybridMultilevel"/>
    <w:lvl w:ilvl="0">
      <w:lvlJc w:val="left"/>
      <w:lvlText w:val="%1."/>
      <w:numFmt w:val="decimal"/>
      <w:start w:val="3"/>
    </w:lvl>
    <w:lvl w:ilvl="1">
      <w:lvlJc w:val="left"/>
      <w:lvlText w:val="(%2)"/>
      <w:numFmt w:val="lowerLetter"/>
      <w:start w:val="1"/>
    </w:lvl>
  </w:abstractNum>
  <w:abstractNum w:abstractNumId="16">
    <w:nsid w:val="189A769B"/>
    <w:multiLevelType w:val="hybridMultilevel"/>
    <w:lvl w:ilvl="0">
      <w:lvlJc w:val="left"/>
      <w:lvlText w:val="(%1)"/>
      <w:numFmt w:val="lowerLetter"/>
      <w:start w:val="2"/>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lowerLetter"/>
      <w:start w:val="7"/>
    </w:lvl>
  </w:abstractNum>
  <w:abstractNum w:abstractNumId="19">
    <w:nsid w:val="2CA88611"/>
    <w:multiLevelType w:val="hybridMultilevel"/>
    <w:lvl w:ilvl="0">
      <w:lvlJc w:val="left"/>
      <w:lvlText w:val="%1"/>
      <w:numFmt w:val="lowerLetter"/>
      <w:start w:val="1"/>
    </w:lvl>
    <w:lvl w:ilvl="1">
      <w:lvlJc w:val="left"/>
      <w:lvlText w:val="(%2)"/>
      <w:numFmt w:val="lowerLetter"/>
      <w:start w:val="8"/>
    </w:lvl>
  </w:abstractNum>
  <w:abstractNum w:abstractNumId="20">
    <w:nsid w:val="836C40E"/>
    <w:multiLevelType w:val="hybridMultilevel"/>
    <w:lvl w:ilvl="0">
      <w:lvlJc w:val="left"/>
      <w:lvlText w:val="(%1)"/>
      <w:numFmt w:val="lowerLetter"/>
      <w:start w:val="35"/>
    </w:lvl>
    <w:lvl w:ilvl="1">
      <w:lvlJc w:val="left"/>
      <w:lvlText w:val="(%2)"/>
      <w:numFmt w:val="lowerLetter"/>
      <w:start w:val="10"/>
    </w:lvl>
  </w:abstractNum>
  <w:abstractNum w:abstractNumId="21">
    <w:nsid w:val="2901D82"/>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2">
    <w:nsid w:val="3A95F874"/>
    <w:multiLevelType w:val="hybridMultilevel"/>
    <w:lvl w:ilvl="0">
      <w:lvlJc w:val="left"/>
      <w:lvlText w:val="(%1)"/>
      <w:numFmt w:val="lowerRoman"/>
      <w:start w:val="4"/>
    </w:lvl>
    <w:lvl w:ilvl="1">
      <w:lvlJc w:val="left"/>
      <w:lvlText w:val="%2."/>
      <w:numFmt w:val="decimal"/>
      <w:start w:val="7"/>
    </w:lvl>
    <w:lvl w:ilvl="2">
      <w:lvlJc w:val="left"/>
      <w:lvlText w:val="(%3)"/>
      <w:numFmt w:val="lowerLetter"/>
      <w:start w:val="1"/>
    </w:lvl>
  </w:abstractNum>
  <w:abstractNum w:abstractNumId="23">
    <w:nsid w:val="8138641"/>
    <w:multiLevelType w:val="hybridMultilevel"/>
    <w:lvl w:ilvl="0">
      <w:lvlJc w:val="left"/>
      <w:lvlText w:val="(%1)"/>
      <w:numFmt w:val="lowerLetter"/>
      <w:start w:val="2"/>
    </w:lvl>
  </w:abstractNum>
  <w:abstractNum w:abstractNumId="24">
    <w:nsid w:val="1E7FF521"/>
    <w:multiLevelType w:val="hybridMultilevel"/>
    <w:lvl w:ilvl="0">
      <w:lvlJc w:val="left"/>
      <w:lvlText w:val="(%1)"/>
      <w:numFmt w:val="lowerLetter"/>
      <w:start w:val="22"/>
    </w:lvl>
    <w:lvl w:ilvl="1">
      <w:lvlJc w:val="left"/>
      <w:lvlText w:val="(%2)"/>
      <w:numFmt w:val="lowerLetter"/>
      <w:start w:val="7"/>
    </w:lvl>
  </w:abstractNum>
  <w:abstractNum w:abstractNumId="25">
    <w:nsid w:val="7C3DBD3D"/>
    <w:multiLevelType w:val="hybridMultilevel"/>
    <w:lvl w:ilvl="0">
      <w:lvlJc w:val="left"/>
      <w:lvlText w:val="%1"/>
      <w:numFmt w:val="decimal"/>
      <w:start w:val="1"/>
    </w:lvl>
    <w:lvl w:ilvl="1">
      <w:lvlJc w:val="left"/>
      <w:lvlText w:val="(%2)"/>
      <w:numFmt w:val="lowerLetter"/>
      <w:start w:val="9"/>
    </w:lvl>
  </w:abstractNum>
  <w:abstractNum w:abstractNumId="26">
    <w:nsid w:val="737B8DDC"/>
    <w:multiLevelType w:val="hybridMultilevel"/>
    <w:lvl w:ilvl="0">
      <w:lvlJc w:val="left"/>
      <w:lvlText w:val="%1."/>
      <w:numFmt w:val="decimal"/>
      <w:start w:val="8"/>
    </w:lvl>
    <w:lvl w:ilvl="1">
      <w:lvlJc w:val="left"/>
      <w:lvlText w:val="%2"/>
      <w:numFmt w:val="lowerLetter"/>
      <w:start w:val="1"/>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lowerLetter"/>
      <w:start w:val="9"/>
    </w:lvl>
    <w:lvl w:ilvl="1">
      <w:lvlJc w:val="left"/>
      <w:lvlText w:val="(%2)"/>
      <w:numFmt w:val="lowerLetter"/>
      <w:start w:val="4"/>
    </w:lvl>
  </w:abstractNum>
  <w:abstractNum w:abstractNumId="29">
    <w:nsid w:val="4516DDE9"/>
    <w:multiLevelType w:val="hybridMultilevel"/>
    <w:lvl w:ilvl="0">
      <w:lvlJc w:val="left"/>
      <w:lvlText w:val="(%1)"/>
      <w:numFmt w:val="lowerLetter"/>
      <w:start w:val="1"/>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5"/>
    </w:lvl>
  </w:abstractNum>
  <w:abstractNum w:abstractNumId="31">
    <w:nsid w:val="614FD4A1"/>
    <w:multiLevelType w:val="hybridMultilevel"/>
    <w:lvl w:ilvl="0">
      <w:lvlJc w:val="left"/>
      <w:lvlText w:val="%1."/>
      <w:numFmt w:val="decimal"/>
      <w:start w:val="9"/>
    </w:lvl>
    <w:lvl w:ilvl="1">
      <w:lvlJc w:val="left"/>
      <w:lvlText w:val="(%2)"/>
      <w:numFmt w:val="lowerLetter"/>
      <w:start w:val="2"/>
    </w:lvl>
  </w:abstractNum>
  <w:abstractNum w:abstractNumId="32">
    <w:nsid w:val="419AC241"/>
    <w:multiLevelType w:val="hybridMultilevel"/>
    <w:lvl w:ilvl="0">
      <w:lvlJc w:val="left"/>
      <w:lvlText w:val="%1"/>
      <w:numFmt w:val="decimal"/>
      <w:start w:val="1"/>
    </w:lvl>
    <w:lvl w:ilvl="1">
      <w:lvlJc w:val="left"/>
      <w:lvlText w:val="(%2)"/>
      <w:numFmt w:val="lowerLetter"/>
      <w:start w:val="3"/>
    </w:lvl>
  </w:abstractNum>
  <w:abstractNum w:abstractNumId="33">
    <w:nsid w:val="5577F8E1"/>
    <w:multiLevelType w:val="hybridMultilevel"/>
    <w:lvl w:ilvl="0">
      <w:lvlJc w:val="left"/>
      <w:lvlText w:val="%1."/>
      <w:numFmt w:val="decimal"/>
      <w:start w:val="10"/>
    </w:lvl>
    <w:lvl w:ilvl="1">
      <w:lvlJc w:val="left"/>
      <w:lvlText w:val="%2"/>
      <w:numFmt w:val="lowerLetter"/>
      <w:start w:val="1"/>
    </w:lvl>
  </w:abstractNum>
  <w:abstractNum w:abstractNumId="34">
    <w:nsid w:val="440BADFC"/>
    <w:multiLevelType w:val="hybridMultilevel"/>
    <w:lvl w:ilvl="0">
      <w:lvlJc w:val="left"/>
      <w:lvlText w:val="%1."/>
      <w:numFmt w:val="decimal"/>
      <w:start w:val="13"/>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2019-12-05T09:53:10Z</dcterms:created>
  <dcterms:modified xsi:type="dcterms:W3CDTF">2019-12-05T09:53:10Z</dcterms:modified>
</cp:coreProperties>
</file>