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6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 Ended: March 31, 2003</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Commission File No. 1-07533</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360" w:type="dxa"/>
        <w:tblCellMar>
          <w:top w:w="0" w:type="dxa"/>
          <w:left w:w="0" w:type="dxa"/>
          <w:bottom w:w="0" w:type="dxa"/>
          <w:right w:w="0" w:type="dxa"/>
        </w:tblCellMar>
      </w:tblPr>
      <w:tr>
        <w:trPr>
          <w:trHeight w:val="170"/>
        </w:trPr>
        <w:tc>
          <w:tcPr>
            <w:tcW w:w="3420" w:type="dxa"/>
            <w:vAlign w:val="bottom"/>
          </w:tcPr>
          <w:p>
            <w:pPr>
              <w:ind w:left="960"/>
              <w:spacing w:after="0"/>
              <w:rPr>
                <w:sz w:val="20"/>
                <w:szCs w:val="20"/>
                <w:color w:val="auto"/>
              </w:rPr>
            </w:pPr>
            <w:r>
              <w:rPr>
                <w:rFonts w:ascii="Courier New" w:cs="Courier New" w:eastAsia="Courier New" w:hAnsi="Courier New"/>
                <w:sz w:val="15"/>
                <w:szCs w:val="15"/>
                <w:color w:val="auto"/>
              </w:rPr>
              <w:t>Maryland</w:t>
            </w:r>
          </w:p>
        </w:tc>
        <w:tc>
          <w:tcPr>
            <w:tcW w:w="2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52-0782497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360" w:type="dxa"/>
            <w:vAlign w:val="bottom"/>
          </w:tcPr>
          <w:p>
            <w:pPr>
              <w:jc w:val="center"/>
              <w:ind w:left="6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3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16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1626 East Jefferson Street, Rockville, Maryland 20852-4041</w:t>
      </w:r>
    </w:p>
    <w:p>
      <w:pPr>
        <w:ind w:left="98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tabs>
          <w:tab w:leader="none" w:pos="506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(301) 998-8100</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800"/>
        <w:spacing w:after="0"/>
        <w:tabs>
          <w:tab w:leader="none" w:pos="148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__</w:t>
      </w:r>
    </w:p>
    <w:p>
      <w:pPr>
        <w:spacing w:after="0" w:line="173" w:lineRule="exact"/>
        <w:rPr>
          <w:sz w:val="24"/>
          <w:szCs w:val="24"/>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w:t>
      </w:r>
    </w:p>
    <w:p>
      <w:pPr>
        <w:spacing w:after="0" w:line="167" w:lineRule="exact"/>
        <w:rPr>
          <w:sz w:val="24"/>
          <w:szCs w:val="24"/>
          <w:color w:val="auto"/>
        </w:rPr>
      </w:pPr>
    </w:p>
    <w:p>
      <w:pPr>
        <w:ind w:left="800"/>
        <w:spacing w:after="0"/>
        <w:tabs>
          <w:tab w:leader="none" w:pos="1480" w:val="left"/>
        </w:tabs>
        <w:rPr>
          <w:sz w:val="20"/>
          <w:szCs w:val="20"/>
          <w:color w:val="auto"/>
        </w:rPr>
      </w:pPr>
      <w:r>
        <w:rPr>
          <w:rFonts w:ascii="Courier New" w:cs="Courier New" w:eastAsia="Courier New" w:hAnsi="Courier New"/>
          <w:sz w:val="15"/>
          <w:szCs w:val="15"/>
          <w:color w:val="auto"/>
        </w:rPr>
        <w:t>Yes __</w:t>
      </w:r>
      <w:r>
        <w:rPr>
          <w:sz w:val="20"/>
          <w:szCs w:val="20"/>
          <w:color w:val="auto"/>
        </w:rPr>
        <w:tab/>
      </w:r>
      <w:r>
        <w:rPr>
          <w:rFonts w:ascii="Courier New" w:cs="Courier New" w:eastAsia="Courier New" w:hAnsi="Courier New"/>
          <w:sz w:val="14"/>
          <w:szCs w:val="14"/>
          <w:color w:val="auto"/>
        </w:rPr>
        <w:t>No X</w:t>
      </w:r>
    </w:p>
    <w:p>
      <w:pPr>
        <w:spacing w:after="0" w:line="173" w:lineRule="exact"/>
        <w:rPr>
          <w:sz w:val="24"/>
          <w:szCs w:val="24"/>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sectPr>
      </w:pPr>
    </w:p>
    <w:p>
      <w:pPr>
        <w:spacing w:after="0" w:line="167" w:lineRule="exact"/>
        <w:rPr>
          <w:sz w:val="24"/>
          <w:szCs w:val="24"/>
          <w:color w:val="auto"/>
        </w:rPr>
      </w:pPr>
    </w:p>
    <w:p>
      <w:pPr>
        <w:jc w:val="center"/>
        <w:ind w:left="22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May 2, 2003</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45,536,568</w:t>
      </w:r>
    </w:p>
    <w:p>
      <w:pPr>
        <w:sectPr>
          <w:pgSz w:w="11900" w:h="16838" w:orient="portrait"/>
          <w:cols w:equalWidth="0" w:num="2">
            <w:col w:w="3400" w:space="720"/>
            <w:col w:w="6119"/>
          </w:cols>
          <w:pgMar w:left="220" w:top="56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Federal Realty Investment Trust</w:t>
      </w:r>
    </w:p>
    <w:tbl>
      <w:tblPr>
        <w:tblLayout w:type="fixed"/>
        <w:tblInd w:w="0" w:type="dxa"/>
        <w:tblCellMar>
          <w:top w:w="0" w:type="dxa"/>
          <w:left w:w="0" w:type="dxa"/>
          <w:bottom w:w="0" w:type="dxa"/>
          <w:right w:w="0" w:type="dxa"/>
        </w:tblCellMar>
      </w:tblPr>
      <w:tr>
        <w:trPr>
          <w:trHeight w:val="168"/>
        </w:trPr>
        <w:tc>
          <w:tcPr>
            <w:tcW w:w="60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S.E.C. FORM 10-Q</w:t>
            </w:r>
          </w:p>
        </w:tc>
        <w:tc>
          <w:tcPr>
            <w:tcW w:w="960" w:type="dxa"/>
            <w:vAlign w:val="bottom"/>
          </w:tcPr>
          <w:p>
            <w:pPr>
              <w:spacing w:after="0"/>
              <w:rPr>
                <w:sz w:val="14"/>
                <w:szCs w:val="14"/>
                <w:color w:val="auto"/>
              </w:rPr>
            </w:pPr>
          </w:p>
        </w:tc>
      </w:tr>
      <w:tr>
        <w:trPr>
          <w:trHeight w:val="336"/>
        </w:trPr>
        <w:tc>
          <w:tcPr>
            <w:tcW w:w="6040" w:type="dxa"/>
            <w:vAlign w:val="bottom"/>
          </w:tcPr>
          <w:p>
            <w:pPr>
              <w:ind w:left="2900"/>
              <w:spacing w:after="0"/>
              <w:rPr>
                <w:sz w:val="20"/>
                <w:szCs w:val="20"/>
                <w:color w:val="auto"/>
              </w:rPr>
            </w:pPr>
            <w:r>
              <w:rPr>
                <w:rFonts w:ascii="Courier New" w:cs="Courier New" w:eastAsia="Courier New" w:hAnsi="Courier New"/>
                <w:sz w:val="15"/>
                <w:szCs w:val="15"/>
                <w:color w:val="auto"/>
              </w:rPr>
              <w:t>March 31, 2003</w:t>
            </w:r>
          </w:p>
        </w:tc>
        <w:tc>
          <w:tcPr>
            <w:tcW w:w="960" w:type="dxa"/>
            <w:vAlign w:val="bottom"/>
          </w:tcPr>
          <w:p>
            <w:pPr>
              <w:spacing w:after="0"/>
              <w:rPr>
                <w:sz w:val="24"/>
                <w:szCs w:val="24"/>
                <w:color w:val="auto"/>
              </w:rPr>
            </w:pPr>
          </w:p>
        </w:tc>
      </w:tr>
      <w:tr>
        <w:trPr>
          <w:trHeight w:val="336"/>
        </w:trPr>
        <w:tc>
          <w:tcPr>
            <w:tcW w:w="6040" w:type="dxa"/>
            <w:vAlign w:val="bottom"/>
          </w:tcPr>
          <w:p>
            <w:pPr>
              <w:ind w:left="3340"/>
              <w:spacing w:after="0"/>
              <w:rPr>
                <w:sz w:val="20"/>
                <w:szCs w:val="20"/>
                <w:color w:val="auto"/>
              </w:rPr>
            </w:pPr>
            <w:r>
              <w:rPr>
                <w:rFonts w:ascii="Courier New" w:cs="Courier New" w:eastAsia="Courier New" w:hAnsi="Courier New"/>
                <w:sz w:val="15"/>
                <w:szCs w:val="15"/>
                <w:color w:val="auto"/>
              </w:rPr>
              <w:t>INDEX</w:t>
            </w:r>
          </w:p>
        </w:tc>
        <w:tc>
          <w:tcPr>
            <w:tcW w:w="960" w:type="dxa"/>
            <w:vAlign w:val="bottom"/>
          </w:tcPr>
          <w:p>
            <w:pPr>
              <w:spacing w:after="0"/>
              <w:rPr>
                <w:sz w:val="24"/>
                <w:szCs w:val="24"/>
                <w:color w:val="auto"/>
              </w:rPr>
            </w:pP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Item 1. Financial Statements</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March 31, 2003 (unaudited) and</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 2002 (audited)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Consolidated Statements of Operations (unaudited)</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Three months ended March 31, 2003 and 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Consolidated Statements</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Shareholders' Equity (unaudited)</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Three months ended March 31, 2003 and 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Consolidated Statements of Cash Flows (unaudited)</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Three months ended March 31, 2003 and 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Notes to Financial Statements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Item 2. Management's Discussion and Analysis of</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Item 3. Quantitative and Qualitative Disclosures</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About Market Risk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Item 4. Controls and Procedures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PART II. OTHER INFORMATION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6"/>
        </w:trPr>
        <w:tc>
          <w:tcPr>
            <w:tcW w:w="6040" w:type="dxa"/>
            <w:vAlign w:val="bottom"/>
          </w:tcPr>
          <w:p>
            <w:pPr>
              <w:ind w:left="800"/>
              <w:spacing w:after="0"/>
              <w:rPr>
                <w:sz w:val="20"/>
                <w:szCs w:val="20"/>
                <w:color w:val="auto"/>
              </w:rPr>
            </w:pPr>
            <w:r>
              <w:rPr>
                <w:rFonts w:ascii="Courier New" w:cs="Courier New" w:eastAsia="Courier New" w:hAnsi="Courier New"/>
                <w:sz w:val="15"/>
                <w:szCs w:val="15"/>
                <w:color w:val="auto"/>
              </w:rPr>
              <w:t>Item 1. Legal Proceedings</w:t>
            </w:r>
          </w:p>
        </w:tc>
        <w:tc>
          <w:tcPr>
            <w:tcW w:w="960" w:type="dxa"/>
            <w:vAlign w:val="bottom"/>
          </w:tcPr>
          <w:p>
            <w:pPr>
              <w:spacing w:after="0"/>
              <w:rPr>
                <w:sz w:val="24"/>
                <w:szCs w:val="2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Item 2. Changes in Securities</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Item 3. Defaults Upon Senior Securities</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Item 4. Submission of Matters to Vote to Security Holders</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Item 5. Other Information</w:t>
            </w:r>
          </w:p>
        </w:tc>
        <w:tc>
          <w:tcPr>
            <w:tcW w:w="960" w:type="dxa"/>
            <w:vAlign w:val="bottom"/>
          </w:tcPr>
          <w:p>
            <w:pPr>
              <w:spacing w:after="0"/>
              <w:rPr>
                <w:sz w:val="14"/>
                <w:szCs w:val="14"/>
                <w:color w:val="auto"/>
              </w:rPr>
            </w:pPr>
          </w:p>
        </w:tc>
      </w:tr>
      <w:tr>
        <w:trPr>
          <w:trHeight w:val="168"/>
        </w:trPr>
        <w:tc>
          <w:tcPr>
            <w:tcW w:w="6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Item 6. Exhibits and Reports on Form 8-K</w:t>
            </w:r>
          </w:p>
        </w:tc>
        <w:tc>
          <w:tcPr>
            <w:tcW w:w="960" w:type="dxa"/>
            <w:vAlign w:val="bottom"/>
          </w:tcPr>
          <w:p>
            <w:pPr>
              <w:spacing w:after="0"/>
              <w:rPr>
                <w:sz w:val="14"/>
                <w:szCs w:val="14"/>
                <w:color w:val="auto"/>
              </w:rPr>
            </w:pP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6"/>
        </w:trPr>
        <w:tc>
          <w:tcPr>
            <w:tcW w:w="6040" w:type="dxa"/>
            <w:vAlign w:val="bottom"/>
          </w:tcPr>
          <w:p>
            <w:pPr>
              <w:ind w:left="3500"/>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800"/>
        <w:spacing w:after="0" w:line="237" w:lineRule="auto"/>
        <w:rPr>
          <w:sz w:val="20"/>
          <w:szCs w:val="20"/>
          <w:color w:val="auto"/>
        </w:rPr>
      </w:pPr>
      <w:r>
        <w:rPr>
          <w:rFonts w:ascii="Courier New" w:cs="Courier New" w:eastAsia="Courier New" w:hAnsi="Courier New"/>
          <w:sz w:val="15"/>
          <w:szCs w:val="15"/>
          <w:color w:val="auto"/>
        </w:rPr>
        <w:t>S.E.C. FORM 10-Q</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2003</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three months ended March 31, 2003, are not necessarily indicative of the results that may be expected for the full year. These financial statements should be read in conjunction with the our audited consolidated financial statements and footnotes thereto, included in the Trust's Annual Report on Form 10-K for the fiscal year ended December 31, 2002.</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March 31,</w:t>
            </w:r>
          </w:p>
        </w:tc>
        <w:tc>
          <w:tcPr>
            <w:tcW w:w="180" w:type="dxa"/>
            <w:vAlign w:val="bottom"/>
          </w:tcPr>
          <w:p>
            <w:pPr>
              <w:spacing w:after="0"/>
              <w:rPr>
                <w:sz w:val="14"/>
                <w:szCs w:val="14"/>
                <w:color w:val="auto"/>
              </w:rPr>
            </w:pP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spacing w:after="0"/>
              <w:rPr>
                <w:sz w:val="14"/>
                <w:szCs w:val="14"/>
                <w:color w:val="auto"/>
              </w:rPr>
            </w:pPr>
          </w:p>
        </w:tc>
        <w:tc>
          <w:tcPr>
            <w:tcW w:w="3180" w:type="dxa"/>
            <w:vAlign w:val="bottom"/>
            <w:gridSpan w:val="4"/>
          </w:tcPr>
          <w:p>
            <w:pPr>
              <w:ind w:left="200"/>
              <w:spacing w:after="0" w:line="168" w:lineRule="exact"/>
              <w:rPr>
                <w:sz w:val="20"/>
                <w:szCs w:val="20"/>
                <w:color w:val="auto"/>
              </w:rPr>
            </w:pPr>
            <w:r>
              <w:rPr>
                <w:rFonts w:ascii="Courier New" w:cs="Courier New" w:eastAsia="Courier New" w:hAnsi="Courier New"/>
                <w:sz w:val="15"/>
                <w:szCs w:val="15"/>
                <w:color w:val="auto"/>
                <w:w w:val="99"/>
              </w:rPr>
              <w:t>(in thousands, except share data)</w:t>
            </w:r>
          </w:p>
        </w:tc>
      </w:tr>
      <w:tr>
        <w:trPr>
          <w:trHeight w:val="336"/>
        </w:trPr>
        <w:tc>
          <w:tcPr>
            <w:tcW w:w="7060" w:type="dxa"/>
            <w:vAlign w:val="bottom"/>
          </w:tcPr>
          <w:p>
            <w:pPr>
              <w:ind w:left="2640"/>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3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1,907,912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1,864,244</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483,797</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442,582</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2,391,709</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2,306,826</w:t>
            </w:r>
          </w:p>
        </w:tc>
      </w:tr>
      <w:tr>
        <w:trPr>
          <w:trHeight w:val="336"/>
        </w:trPr>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34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(466,332)</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(450,697)</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1,925,377</w:t>
            </w:r>
          </w:p>
        </w:tc>
        <w:tc>
          <w:tcPr>
            <w:tcW w:w="18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1,856,129</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18,113</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23,123</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37,542</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35,577</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23,383</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18,722</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58,329</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57,257</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$6,749 and $6,344, respectively</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8,657</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8,570</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2,071,401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1,999,378</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2800"/>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3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104,333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104,395</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and construction loans payable</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260,478</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288,817</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276,278</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198,311</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71,457</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79,517</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25,144</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24,356</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6,957</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6,685</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12,890</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13,644</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535,000</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535,000</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31,761</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29,366</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liquidation preference $25 per share), 4,000,000 shares issued in 1997</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8.5% Series B Cumulative Redeemable Preferred Shares, (stated at</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liquidation preference $25 per share), 5,400,000 shares issued in 2001</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135,000</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135,000</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100,000,000 shares</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46,650,883 and 44,996,382 issued, respectively</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3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857,535</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818,290</w:t>
            </w:r>
          </w:p>
        </w:tc>
      </w:tr>
      <w:tr>
        <w:trPr>
          <w:trHeight w:val="168"/>
        </w:trPr>
        <w:tc>
          <w:tcPr>
            <w:tcW w:w="7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34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(379,226)</w:t>
            </w:r>
          </w:p>
        </w:tc>
        <w:tc>
          <w:tcPr>
            <w:tcW w:w="1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(368,839)</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713,775</w:t>
            </w:r>
          </w:p>
        </w:tc>
        <w:tc>
          <w:tcPr>
            <w:tcW w:w="18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684,901</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Less:1,462,766 and 1,461,147 common shares in treasury - at cost, respectively</w:t>
            </w:r>
          </w:p>
        </w:tc>
        <w:tc>
          <w:tcPr>
            <w:tcW w:w="34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(28,239)</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(28,193)</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34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(5,469)</w:t>
            </w:r>
          </w:p>
        </w:tc>
        <w:tc>
          <w:tcPr>
            <w:tcW w:w="1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(2,657)</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34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(4,382)</w:t>
            </w:r>
          </w:p>
        </w:tc>
        <w:tc>
          <w:tcPr>
            <w:tcW w:w="1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(5,151)</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34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(3,582)</w:t>
            </w:r>
          </w:p>
        </w:tc>
        <w:tc>
          <w:tcPr>
            <w:tcW w:w="1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(4,613)</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672,103</w:t>
            </w:r>
          </w:p>
        </w:tc>
        <w:tc>
          <w:tcPr>
            <w:tcW w:w="18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644,287</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2,071,401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1,999,378</w:t>
            </w:r>
          </w:p>
        </w:tc>
      </w:tr>
      <w:tr>
        <w:trPr>
          <w:trHeight w:val="168"/>
        </w:trPr>
        <w:tc>
          <w:tcPr>
            <w:tcW w:w="7060" w:type="dxa"/>
            <w:vAlign w:val="bottom"/>
          </w:tcPr>
          <w:p>
            <w:pPr>
              <w:spacing w:after="0"/>
              <w:rPr>
                <w:sz w:val="14"/>
                <w:szCs w:val="14"/>
                <w:color w:val="auto"/>
              </w:rPr>
            </w:pP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40"/>
          </w:cols>
          <w:pgMar w:left="220" w:top="617" w:right="14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ind w:left="210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28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79,996</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70,499</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3,476</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85,306</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75,236</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21,700</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15,371</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7,858</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7,740</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property operating expenses</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29,558</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23,111</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Property operating income</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55,748</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52,125</w:t>
            </w:r>
          </w:p>
        </w:tc>
      </w:tr>
      <w:tr>
        <w:trPr>
          <w:trHeight w:val="336"/>
        </w:trPr>
        <w:tc>
          <w:tcPr>
            <w:tcW w:w="596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17,579</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16,640</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3,274</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2,999</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expenses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8,489</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17,449</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15,825</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other expenses</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38,302</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43,953</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 and discontinued operations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17,446</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8,172</w:t>
            </w:r>
          </w:p>
        </w:tc>
      </w:tr>
      <w:tr>
        <w:trPr>
          <w:trHeight w:val="336"/>
        </w:trPr>
        <w:tc>
          <w:tcPr>
            <w:tcW w:w="596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44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(1,070)</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Income before loss on abandoned developments held</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 sale and discontinued operations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16,376</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7,475</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Income before loss on abandoned developments held for sale</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16,376</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8,316</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Loss on abandoned developments held for sale</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(9,647)</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1240"/>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16,376</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(1,331)</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44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(4,856)</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(4,856)</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1240"/>
              <w:spacing w:after="0"/>
              <w:rPr>
                <w:sz w:val="20"/>
                <w:szCs w:val="20"/>
                <w:color w:val="auto"/>
              </w:rPr>
            </w:pPr>
            <w:r>
              <w:rPr>
                <w:rFonts w:ascii="Courier New" w:cs="Courier New" w:eastAsia="Courier New" w:hAnsi="Courier New"/>
                <w:sz w:val="15"/>
                <w:szCs w:val="15"/>
                <w:color w:val="auto"/>
              </w:rPr>
              <w:t>Net income (loss) available for common shareholders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11,520</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(6,187)</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loss on abandoned developments held</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sale and discontinued operations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44,271</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39,702</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loss on abandoned developments held</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sale and discontinued operations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45,354</w:t>
            </w:r>
          </w:p>
        </w:tc>
        <w:tc>
          <w:tcPr>
            <w:tcW w:w="36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40,942</w:t>
            </w:r>
          </w:p>
        </w:tc>
      </w:tr>
      <w:tr>
        <w:trPr>
          <w:trHeight w:val="168"/>
        </w:trPr>
        <w:tc>
          <w:tcPr>
            <w:tcW w:w="59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349"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2100"/>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March 31,</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Additional</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Paid-in</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Amount</w:t>
            </w:r>
          </w:p>
        </w:tc>
        <w:tc>
          <w:tcPr>
            <w:tcW w:w="1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44,996,382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818,290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41,524,165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417</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730,835</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1,494,721</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2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34,746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437,209</w:t>
            </w: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8,874</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29,784</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36,345</w:t>
            </w: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129,996</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2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96,989</w:t>
            </w: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2,346</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Accelerated vesting of options and restricted shares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1,165</w:t>
            </w: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46,650,883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857,535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42,094,708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744,094</w:t>
            </w: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(368,839)</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(322,428)</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16,376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(21,907)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(19,465)</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(4,856)</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(379,226)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(348,080)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(1,461,147)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(28,193)</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(1,452,926)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(27,990)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(4,402)</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(1,462,766)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(28,239)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(1,457,328)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(28,088)</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(129,448)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(666,656)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(15,005)</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(113,500)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(3,179)</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(73,821)</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18,263</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186,246</w:t>
            </w: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4,283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(224,685)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(5,469)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(554,231)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(12,485)</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 plans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(184,063)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(218,555)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(7,245)</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issued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(36,667)</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(48,333)</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50,000</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53,329</w:t>
            </w: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(170,730)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(4,382)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(213,559)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(8,086)</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(4,613)</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(3,582)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(2,973)</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16,376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Total other comprehensive income (loss)</w:t>
            </w:r>
          </w:p>
        </w:tc>
        <w:tc>
          <w:tcPr>
            <w:tcW w:w="1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17,407</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341" w:lineRule="exact"/>
        <w:rPr>
          <w:sz w:val="20"/>
          <w:szCs w:val="20"/>
          <w:color w:val="auto"/>
        </w:rPr>
      </w:pPr>
    </w:p>
    <w:p>
      <w:pPr>
        <w:jc w:val="center"/>
        <w:ind w:right="47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617"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8"/>
        </w:trPr>
        <w:tc>
          <w:tcPr>
            <w:tcW w:w="6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8"/>
              </w:rPr>
              <w:t>Three months ended March 31,</w:t>
            </w:r>
          </w:p>
        </w:tc>
      </w:tr>
      <w:tr>
        <w:trPr>
          <w:trHeight w:val="336"/>
        </w:trPr>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16,376</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Depreciation and amortization, including discontinued operations</w:t>
            </w:r>
          </w:p>
        </w:tc>
        <w:tc>
          <w:tcPr>
            <w:tcW w:w="30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17,449</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16,021</w:t>
            </w: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30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9,647</w:t>
            </w: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Non-cash portion of restructuring expense</w:t>
            </w:r>
          </w:p>
        </w:tc>
        <w:tc>
          <w:tcPr>
            <w:tcW w:w="30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5,806</w:t>
            </w: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(2,431)</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(4,661)</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(3,220)</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(1,357)</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operating accounts payable,</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(2,247)</w:t>
            </w:r>
          </w:p>
        </w:tc>
      </w:tr>
      <w:tr>
        <w:trPr>
          <w:trHeight w:val="168"/>
        </w:trPr>
        <w:tc>
          <w:tcPr>
            <w:tcW w:w="6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accrued expenses</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8,031</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00" w:type="dxa"/>
            <w:vAlign w:val="bottom"/>
          </w:tcPr>
          <w:p>
            <w:pPr>
              <w:spacing w:after="0"/>
              <w:rPr>
                <w:sz w:val="24"/>
                <w:szCs w:val="2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24,677</w:t>
            </w:r>
          </w:p>
        </w:tc>
        <w:tc>
          <w:tcPr>
            <w:tcW w:w="30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32,274</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(15,559)</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development</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(47,316)</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(41,937)</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other</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(10,352)</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(9,445)</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repayment of mortgage notes receivable, net</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(1,965)</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(7,566)</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(75,192)</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(58,948)</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30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78,000</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11,000</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30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31,427</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30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35,687</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8,096</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(41,684)</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(25,353)</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(22,608)</w:t>
            </w: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 minority interest, net</w:t>
            </w: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(1,145)</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(1,182)</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00" w:type="dxa"/>
            <w:vAlign w:val="bottom"/>
          </w:tcPr>
          <w:p>
            <w:pPr>
              <w:spacing w:after="0"/>
              <w:rPr>
                <w:sz w:val="24"/>
                <w:szCs w:val="2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45,505</w:t>
            </w:r>
          </w:p>
        </w:tc>
        <w:tc>
          <w:tcPr>
            <w:tcW w:w="30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26,436</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(Decrease) in cash</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(5,010)</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300" w:type="dxa"/>
            <w:vAlign w:val="bottom"/>
          </w:tcPr>
          <w:p>
            <w:pPr>
              <w:spacing w:after="0"/>
              <w:rPr>
                <w:sz w:val="24"/>
                <w:szCs w:val="2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23,123</w:t>
            </w:r>
          </w:p>
        </w:tc>
        <w:tc>
          <w:tcPr>
            <w:tcW w:w="30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17,563</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18,113</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17,325</w:t>
            </w:r>
          </w:p>
        </w:tc>
      </w:tr>
      <w:tr>
        <w:trPr>
          <w:trHeight w:val="168"/>
        </w:trPr>
        <w:tc>
          <w:tcPr>
            <w:tcW w:w="614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2003</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are an equity real estate investment trust specializing in the ownership, management, development and redevelopment of high quality retail and mixed-use properties. As of March 31, 2003, we owned or had an interest in 60 community and neighborhood shopping centers comprising approximately 13 million square feet, primarily located in densely populated and affluent communities throughout the Northeast and Mid-Atlantic United States. In addition, we owned 55 urban, mixed-use properties comprising over 2.5 million square feet, and one apartment complex, all located in strategic metropolitan markets across the United States. Our properties, excluding Santana Row and the two shopping centers purchased in the first quarter of 2003, see "Note B - Real Estate Assets and Encumbrances," were 95.8% leased at March 31, 2003 and 95.5% leased at December 31, 2002 and March 31, 2002. Including Santana Row and the two shopping centers purchased in 2003, we were 94.3% leased at March 31, 2003. We have paid quarterly dividends to our shareholders continuously since our founding in 1962, and have increased our dividend rate for 35 consecutive years.</w:t>
      </w:r>
    </w:p>
    <w:p>
      <w:pPr>
        <w:spacing w:after="0" w:line="16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2002 which contain our accounting policies and other data.</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reconciliation between basic and diluted EPS: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THREE MONTHS ENDING MARCH 31,</w:t>
            </w:r>
          </w:p>
        </w:tc>
      </w:tr>
      <w:tr>
        <w:trPr>
          <w:trHeight w:val="168"/>
        </w:trPr>
        <w:tc>
          <w:tcPr>
            <w:tcW w:w="2920" w:type="dxa"/>
            <w:vAlign w:val="bottom"/>
          </w:tcPr>
          <w:p>
            <w:pPr>
              <w:spacing w:after="0"/>
              <w:rPr>
                <w:sz w:val="14"/>
                <w:szCs w:val="14"/>
                <w:color w:val="auto"/>
              </w:rPr>
            </w:pP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92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Numerator</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(6,187)</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2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292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shareholders - diluted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(6,323)</w:t>
            </w:r>
          </w:p>
        </w:tc>
      </w:tr>
      <w:tr>
        <w:trPr>
          <w:trHeight w:val="168"/>
        </w:trPr>
        <w:tc>
          <w:tcPr>
            <w:tcW w:w="292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44,271</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39,702</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2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2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292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diluted EPS</w:t>
            </w:r>
          </w:p>
        </w:tc>
        <w:tc>
          <w:tcPr>
            <w:tcW w:w="2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45,354</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40,942</w:t>
            </w:r>
          </w:p>
        </w:tc>
      </w:tr>
      <w:tr>
        <w:trPr>
          <w:trHeight w:val="168"/>
        </w:trPr>
        <w:tc>
          <w:tcPr>
            <w:tcW w:w="292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20" w:type="dxa"/>
            <w:vAlign w:val="bottom"/>
          </w:tcPr>
          <w:p>
            <w:pPr>
              <w:ind w:left="2700"/>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 w:name="page9"/>
    <w:bookmarkEnd w:id="8"/>
    <w:p>
      <w:pPr>
        <w:ind w:right="3399"/>
        <w:spacing w:after="0" w:line="236" w:lineRule="auto"/>
        <w:rPr>
          <w:sz w:val="20"/>
          <w:szCs w:val="20"/>
          <w:color w:val="auto"/>
        </w:rPr>
      </w:pPr>
      <w:r>
        <w:rPr>
          <w:rFonts w:ascii="Courier New" w:cs="Courier New" w:eastAsia="Courier New" w:hAnsi="Courier New"/>
          <w:sz w:val="15"/>
          <w:szCs w:val="15"/>
          <w:color w:val="auto"/>
        </w:rPr>
        <w:t>Reclassifications. Certain components of rental income, other property income, rental expense, real estate tax expense and depreciation and amortization expense on the March 31, 2002 Consolidated Statements of Operations have been reclassified to Income from operations of discontinued assets to assure comparability of all periods presented.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9" w:name="page10"/>
    <w:bookmarkEnd w:id="9"/>
    <w:p>
      <w:pPr>
        <w:ind w:right="3239"/>
        <w:spacing w:after="0" w:line="255" w:lineRule="auto"/>
        <w:rPr>
          <w:sz w:val="20"/>
          <w:szCs w:val="20"/>
          <w:color w:val="auto"/>
        </w:rPr>
      </w:pPr>
      <w:r>
        <w:rPr>
          <w:rFonts w:ascii="Courier New" w:cs="Courier New" w:eastAsia="Courier New" w:hAnsi="Courier New"/>
          <w:sz w:val="14"/>
          <w:szCs w:val="14"/>
          <w:color w:val="auto"/>
        </w:rPr>
        <w:t>Stock-Based Compensation. In December 2002 the FASB issued SFAS No. 148, "Accounting for Stock Based Compensation-Transition and Disclosure" an amendment of FASB Statement No. 123, "Accounting for Stock-Based Compensation". SFAS No. 148 amends the disclosure provisions to require prominent disclosure about the effects on reported net income of an entity's accounting policy decisions with respect to stock-based compensation. We account for stock options using the intrinsic method in accordance with APB No. 25, "Accounting for Stock Issued to Employees," as interpreted, whereby if options are priced at fair market value or above at the date of grant, no compensation expense is recognized. The pro forma information is as follows (in thousands except for earnings per share):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9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68"/>
        </w:trPr>
        <w:tc>
          <w:tcPr>
            <w:tcW w:w="3940" w:type="dxa"/>
            <w:vAlign w:val="bottom"/>
          </w:tcPr>
          <w:p>
            <w:pPr>
              <w:spacing w:after="0"/>
              <w:rPr>
                <w:sz w:val="14"/>
                <w:szCs w:val="14"/>
                <w:color w:val="auto"/>
              </w:rPr>
            </w:pP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2003</w:t>
            </w:r>
          </w:p>
        </w:tc>
        <w:tc>
          <w:tcPr>
            <w:tcW w:w="840" w:type="dxa"/>
            <w:vAlign w:val="bottom"/>
          </w:tcPr>
          <w:p>
            <w:pPr>
              <w:spacing w:after="0"/>
              <w:rPr>
                <w:sz w:val="14"/>
                <w:szCs w:val="14"/>
                <w:color w:val="auto"/>
              </w:rPr>
            </w:pP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2002</w:t>
            </w:r>
          </w:p>
        </w:tc>
        <w:tc>
          <w:tcPr>
            <w:tcW w:w="8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29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(loss) as reported</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16,376</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(1,331)</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Stock-based employee compensation</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included in net income (loss)</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reported</w:t>
            </w:r>
          </w:p>
        </w:tc>
        <w:tc>
          <w:tcPr>
            <w:tcW w:w="6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Stock-based employee compensation</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under the fair value method of</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SFAS No. 123 (1)</w:t>
            </w:r>
          </w:p>
        </w:tc>
        <w:tc>
          <w:tcPr>
            <w:tcW w:w="6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94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 forma net income (loss)</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16,053</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(1,408)</w:t>
            </w:r>
          </w:p>
        </w:tc>
      </w:tr>
      <w:tr>
        <w:trPr>
          <w:trHeight w:val="168"/>
        </w:trPr>
        <w:tc>
          <w:tcPr>
            <w:tcW w:w="394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 basic</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0.26</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common share, diluted</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0.26</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 forma earnings (loss) per share, basic</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 forma earnings (loss) per share, diluted</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0.25</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bl>
    <w:p>
      <w:pPr>
        <w:spacing w:after="0" w:line="173" w:lineRule="exact"/>
        <w:rPr>
          <w:sz w:val="20"/>
          <w:szCs w:val="20"/>
          <w:color w:val="auto"/>
        </w:rPr>
      </w:pPr>
    </w:p>
    <w:p>
      <w:pPr>
        <w:jc w:val="both"/>
        <w:ind w:right="3579" w:firstLine="10"/>
        <w:spacing w:after="0" w:line="235"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first quarter of 2003 is the impact from the accelerated vesting of options provided for in the original option agreement of a former executive totaling $159,000.</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Variable Interest Entities. On January 31, 2003, the FASB issued FASB Interpretation No. 46, Consolidation of Variable Interest Entities ("FIN 46"). FIN 46 clarifies existing accounting for whether interest entities should be consolidated in financial statements based upon the investee's ability to finance its activities without additional financial support and whether investors would possess characteristics of a controlling financial interest. FIN 46 applies to years or interim periods beginning after June 15, 2003 with certain disclosure provisions required for financial statements issued after January 31, 2003. We are currently evaluating the applicability of FIN 46 to our investments in certain restaurant joint ventures established in 2001 and 2002 at Santana Row and have complied with the disclosure provisions of FIN 46 in these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 AND ENCUMBRANCES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On March 21, 2003 a partnership in which one of our wholly owned subsidiaries is the general partner, purchased the 214,000 square foot South Valley Shopping Center in Alexandria, Virginia for a purchase price of approximately $13.7 million.</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March 31, 2003 the same partnership acquired the leasehold interest in the 257,000 square foot Mount Vernon Plaza in Alexandria, Virginia for aggregate consideration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jc w:val="both"/>
        <w:ind w:right="3399"/>
        <w:spacing w:after="0" w:line="235" w:lineRule="auto"/>
        <w:rPr>
          <w:sz w:val="20"/>
          <w:szCs w:val="20"/>
          <w:color w:val="auto"/>
        </w:rPr>
      </w:pPr>
      <w:r>
        <w:rPr>
          <w:rFonts w:ascii="Courier New" w:cs="Courier New" w:eastAsia="Courier New" w:hAnsi="Courier New"/>
          <w:sz w:val="15"/>
          <w:szCs w:val="15"/>
          <w:color w:val="auto"/>
        </w:rPr>
        <w:t>of approximately $17.5 million in the form of approximately $700,000 of cash, 120,000 partnership units valued at $3.5 million and the assumption of a $13.3 million mortgage.</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the first quarter of 2003 an action was filed by a local governmental authority to condemn a shopping center in Rockville, Maryland, with a cost basis and $10.5 million and a less than 1% contribution to rental income, owned by one of our partnerships to facilitate the authorities redevelopment of its town center. The value of the shopping center has yet to be determined and therefore no gain or loss has been recognized at this time.</w:t>
      </w:r>
    </w:p>
    <w:p>
      <w:pPr>
        <w:spacing w:after="0" w:line="175" w:lineRule="exact"/>
        <w:rPr>
          <w:sz w:val="20"/>
          <w:szCs w:val="20"/>
          <w:color w:val="auto"/>
        </w:rPr>
      </w:pPr>
    </w:p>
    <w:p>
      <w:pPr>
        <w:jc w:val="both"/>
        <w:ind w:right="3579" w:firstLine="787"/>
        <w:spacing w:after="0" w:line="261" w:lineRule="auto"/>
        <w:rPr>
          <w:sz w:val="20"/>
          <w:szCs w:val="20"/>
          <w:color w:val="auto"/>
        </w:rPr>
      </w:pPr>
      <w:r>
        <w:rPr>
          <w:rFonts w:ascii="Courier New" w:cs="Courier New" w:eastAsia="Courier New" w:hAnsi="Courier New"/>
          <w:sz w:val="14"/>
          <w:szCs w:val="14"/>
          <w:color w:val="auto"/>
        </w:rPr>
        <w:t>During the first three months of 2003, we loaned an additional $2.0 million to existing borrowers with a weighted average interest rate of 9.1%.</w:t>
      </w:r>
    </w:p>
    <w:p>
      <w:pPr>
        <w:spacing w:after="0" w:line="160"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NOTE C - MORTGAGES AND CONSTRUCTION LOANS PAYABLE, NOTES PAYABLE AND OTHER LONG TERM DEBT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At March 31, 2003 there was $149.0 million borrowed under our $300 million revolving credit facility. The maximum amount drawn during the first three months of 2003 was $149.0 million. The weighted average interest rate on borrowings for the three months ended March 31, 2003 was 2.2%. The facility requires fees and has various covenants including the maintenance of a minimum shareholders' equity and a maximum ratio of debt to net worth. At March 31, 2003 we were in compliance with all loan covenants.</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February 11, 2003 the $24.4 million Woodmont East construction loan and the $17.0 million Friendship Center mortgage were paid off through borrowings under our revolving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SHAREHOLDERS' EQUITY</w:t>
      </w:r>
    </w:p>
    <w:p>
      <w:pPr>
        <w:spacing w:after="0" w:line="17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During the first three months of 2003, options for 380,000 shares at $28.01 per share, fair market value at the date of award, were awarded to certain of our officers and employees. The options vest over three years.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INTEREST EXPENSE</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We incurred interest totaling $22.8 million during the first three months of 2003 and $21.4 million during the first three months of 2002 of which $5.2 million and $4.8 million, respectively, was capitalized in connection with development projects. Interest paid was $17.2 million in the first three months of 2003 and $18.1 million in the first three months of 2002.</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COMMITMENTS AND CONTINGENCIES</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jc w:val="both"/>
        <w:ind w:right="3319" w:firstLine="787"/>
        <w:spacing w:after="0" w:line="236" w:lineRule="auto"/>
        <w:rPr>
          <w:sz w:val="20"/>
          <w:szCs w:val="20"/>
          <w:color w:val="auto"/>
        </w:rPr>
      </w:pPr>
      <w:r>
        <w:rPr>
          <w:rFonts w:ascii="Courier New" w:cs="Courier New" w:eastAsia="Courier New" w:hAnsi="Courier New"/>
          <w:sz w:val="15"/>
          <w:szCs w:val="15"/>
          <w:color w:val="auto"/>
        </w:rPr>
        <w:t>We are currently committed to invest approximately $8.0 million in six restaurant joint ventures at Santana Row. As of March 31, 2003 we have invested approximately $7.0 million. We anticipate investing the remaining commitment of $1.0 million in the second quarter of 2003. We do not anticipate having to make any further investments beyond our original commitment, nor are we obligated to do so.</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("RPC"), an unaffiliated third party, has the right to require us and the two other minority partners to purchase from half to all of RPC's 37.5% interest in Congressional Plaza, including the Congressional Apartments, at the interest's then-current fair market value. Based on management's current estimate of fair market value, our estimated liability upon exercise of the put option is approximately $34.8 million. In conjunction with a redevelopment currently taking place at the property, we have agreed to acquire an additional 7.5% interest in Congressional Plaza from RPC, thereby lowering their ownership percentage to 30%, in exchange for funding approximately $7 million of RPC's share of the redevelopment cost. The funding will take place through the first half of 2003 and the transaction will be completed in 2003. After the completion of this transaction, our estimated liability upon the exercise of the put option will be approximately $28 million.</w:t>
      </w:r>
    </w:p>
    <w:p>
      <w:pPr>
        <w:spacing w:after="0" w:line="332"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terms of various other partnerships which own shopping center properties with a cost of approximately $103 million, including the two shopping centers purchased in the first quarter of 2003, the partners have the right to exchange their 904,773 operating units for cash or the same number of our common shares, at our option. On February 14, 2003 we paid $333,000 to redeem 12,000 operating units. On April 3, 2003 we issued 64,952 of our common shares valued at $1.9 million in exchange for 64,952 operating units.</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 we may choose to purchase the limited partnership interests upon the same terms.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has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 generated not cover the debt service. We posted a letter of credit with the City on September 25,</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2" w:name="page13"/>
    <w:bookmarkEnd w:id="12"/>
    <w:p>
      <w:pPr>
        <w:ind w:right="3239"/>
        <w:spacing w:after="0" w:line="255" w:lineRule="auto"/>
        <w:rPr>
          <w:sz w:val="20"/>
          <w:szCs w:val="20"/>
          <w:color w:val="auto"/>
        </w:rPr>
      </w:pPr>
      <w:r>
        <w:rPr>
          <w:rFonts w:ascii="Courier New" w:cs="Courier New" w:eastAsia="Courier New" w:hAnsi="Courier New"/>
          <w:sz w:val="14"/>
          <w:szCs w:val="14"/>
          <w:color w:val="auto"/>
        </w:rPr>
        <w:t>2002 for $795,000. Our obligation under this agreement cannot be determined at this time because it is dependent on the annual assessed value of the properties in the Zone and the related tax revenue generated. We were not required to provide any funding in 2002 or for the semi-annual payment due March 15, 2003. In the event that the current assessed values of the properties in the Zone do not increase as a result of our redevelopment, we would be required to provide some funding under the Agreement prior to its expiration on September 30, 2014, but anticipate that such obligation would not exceed $600,000 in any year and would be between $2 million and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COMPONENTS OF RENTAL INCOME</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components of rental income for the three months ended March 31 are as follows (in thousands):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THREE MONTHS ENDING MARCH 31,</w:t>
            </w:r>
          </w:p>
        </w:tc>
      </w:tr>
      <w:tr>
        <w:trPr>
          <w:trHeight w:val="168"/>
        </w:trPr>
        <w:tc>
          <w:tcPr>
            <w:tcW w:w="2360" w:type="dxa"/>
            <w:vAlign w:val="bottom"/>
          </w:tcPr>
          <w:p>
            <w:pPr>
              <w:spacing w:after="0"/>
              <w:rPr>
                <w:sz w:val="14"/>
                <w:szCs w:val="14"/>
                <w:color w:val="auto"/>
              </w:rPr>
            </w:pPr>
          </w:p>
        </w:tc>
        <w:tc>
          <w:tcPr>
            <w:tcW w:w="3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2003</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36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Minimum rents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62,102</w:t>
            </w:r>
          </w:p>
        </w:tc>
        <w:tc>
          <w:tcPr>
            <w:tcW w:w="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57,508</w:t>
            </w:r>
          </w:p>
        </w:tc>
      </w:tr>
      <w:tr>
        <w:trPr>
          <w:trHeight w:val="168"/>
        </w:trPr>
        <w:tc>
          <w:tcPr>
            <w:tcW w:w="2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7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15,017</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10,955</w:t>
            </w:r>
          </w:p>
        </w:tc>
      </w:tr>
      <w:tr>
        <w:trPr>
          <w:trHeight w:val="168"/>
        </w:trPr>
        <w:tc>
          <w:tcPr>
            <w:tcW w:w="2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Percentage rents</w:t>
            </w:r>
          </w:p>
        </w:tc>
        <w:tc>
          <w:tcPr>
            <w:tcW w:w="7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1,450</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1,258</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7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1,427</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236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79,996</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70,499</w:t>
            </w:r>
          </w:p>
        </w:tc>
      </w:tr>
      <w:tr>
        <w:trPr>
          <w:trHeight w:val="168"/>
        </w:trPr>
        <w:tc>
          <w:tcPr>
            <w:tcW w:w="236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RESTRUCTURING EXPENSE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of which $6.2 million was paid in the first quarter of 2003 bringing the unpaid balance as of March 31, 2003 to $1.7 million. These unpaid amounts will be paid out over the next three years in accordance with Mr. Guttman's contractual arrangements.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DISCONTINUED OPERATIONS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the second quarter of 2002 we sold six properties for a combined gain of $19.1 million. The net income from these properties, reported as income from operations of discontinued assets in accordance with Financial Accounting Standard No. 144, "Accounting for the Impairment or Disposal of Long-Lived Assets", was $841,000 for the three months ended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 w:name="page14"/>
    <w:bookmarkEnd w:id="13"/>
    <w:p>
      <w:pPr>
        <w:ind w:right="3319"/>
        <w:spacing w:after="0" w:line="235" w:lineRule="auto"/>
        <w:rPr>
          <w:sz w:val="20"/>
          <w:szCs w:val="20"/>
          <w:color w:val="auto"/>
        </w:rPr>
      </w:pPr>
      <w:r>
        <w:rPr>
          <w:rFonts w:ascii="Courier New" w:cs="Courier New" w:eastAsia="Courier New" w:hAnsi="Courier New"/>
          <w:sz w:val="15"/>
          <w:szCs w:val="15"/>
          <w:color w:val="auto"/>
        </w:rPr>
        <w:t>March 31, 2002. No income was recognized from these properties during the first quarter of 2003. Four of these properties were components of our Northeast region and two were components of our Western region.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 RELATED PARTY TRANSACTIONS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Our former Chairman and CEO, Steven J. Guttman, has an ownership interest in three retailers, comprising approximately 3,500 square feet, at Santana Row. The leases were negotiated at what management believes to be arms length, market terms.</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In addition, Nate Fishkin, a former officer whose last day of employment with the Trust was March 31, 2003, has an ownership interest in a retailer occupying approximately 2,600 square feet at Santana Row. This lease was also negotiated at what management believes to be arms length, market terms.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K - SEGMENT INFORMATION</w:t>
      </w:r>
    </w:p>
    <w:p>
      <w:pPr>
        <w:spacing w:after="0" w:line="173" w:lineRule="exact"/>
        <w:rPr>
          <w:sz w:val="20"/>
          <w:szCs w:val="20"/>
          <w:color w:val="auto"/>
        </w:rPr>
      </w:pPr>
    </w:p>
    <w:p>
      <w:pPr>
        <w:ind w:right="4460" w:firstLine="787"/>
        <w:spacing w:after="0" w:line="234" w:lineRule="auto"/>
        <w:rPr>
          <w:sz w:val="20"/>
          <w:szCs w:val="20"/>
          <w:color w:val="auto"/>
        </w:rPr>
      </w:pPr>
      <w:r>
        <w:rPr>
          <w:rFonts w:ascii="Courier New" w:cs="Courier New" w:eastAsia="Courier New" w:hAnsi="Courier New"/>
          <w:sz w:val="15"/>
          <w:szCs w:val="15"/>
          <w:color w:val="auto"/>
        </w:rPr>
        <w:t>We operate our portfolio of properties in three geographic operating regions: Northeast, Mid-Atlantic and West.</w:t>
      </w:r>
    </w:p>
    <w:p>
      <w:pPr>
        <w:spacing w:after="0" w:line="173" w:lineRule="exact"/>
        <w:rPr>
          <w:sz w:val="20"/>
          <w:szCs w:val="20"/>
          <w:color w:val="auto"/>
        </w:rPr>
      </w:pPr>
    </w:p>
    <w:p>
      <w:pPr>
        <w:ind w:right="4200" w:firstLine="787"/>
        <w:spacing w:after="0" w:line="234" w:lineRule="auto"/>
        <w:rPr>
          <w:sz w:val="20"/>
          <w:szCs w:val="20"/>
          <w:color w:val="auto"/>
        </w:rPr>
      </w:pPr>
      <w:r>
        <w:rPr>
          <w:rFonts w:ascii="Courier New" w:cs="Courier New" w:eastAsia="Courier New" w:hAnsi="Courier New"/>
          <w:sz w:val="15"/>
          <w:szCs w:val="15"/>
          <w:color w:val="auto"/>
        </w:rPr>
        <w:t>A summary of our operations by geographic region is presented below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Mid-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March 31, 2003</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Northeast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Atlantic</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West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31,264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36,738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11,994</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79,996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1,202</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1,061</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756</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(7,382)</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(8,818)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(5,500)</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(4,102)</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(7,858)</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Property operating income</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21,738</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27,062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55,748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(17,579)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(17,579)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(6,947)</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(17,449)</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investors' share of operations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9"/>
              </w:rPr>
              <w:t>and discontinued operations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14,791</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20,113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(21,023)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17,446</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39,387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43,218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85,245</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750,189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866,377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775,143</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$ 2,391,709</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Mid-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March 31, 2002</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Northeast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Atlantic</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West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29,284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32,974</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8,241</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70,499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1,650</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996</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(5,418)</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(2,663)</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(15,371)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(4,038)</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(755)</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(7,740)</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Property operating income</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22,474</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24,233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52,125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(16,640)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expense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(8,489)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(6,992)</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(6,588)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(2,022)</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(15,825)</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investors' share of operations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9"/>
              </w:rPr>
              <w:t>and discontinued operations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15,482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17,645</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(28,351)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8,172</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48,281</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59,353</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761,564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803,672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579,810</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$ 2,145,046</w:t>
            </w:r>
          </w:p>
        </w:tc>
      </w:tr>
      <w:tr>
        <w:trPr>
          <w:trHeight w:val="168"/>
        </w:trPr>
        <w:tc>
          <w:tcPr>
            <w:tcW w:w="398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200"/>
          </w:cols>
          <w:pgMar w:left="220" w:top="617" w:right="479" w:bottom="1440" w:gutter="0" w:footer="0" w:header="0"/>
        </w:sectPr>
      </w:pPr>
    </w:p>
    <w:bookmarkStart w:id="15" w:name="page16"/>
    <w:bookmarkEnd w:id="15"/>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800"/>
        <w:spacing w:after="0" w:line="237" w:lineRule="auto"/>
        <w:rPr>
          <w:sz w:val="20"/>
          <w:szCs w:val="20"/>
          <w:color w:val="auto"/>
        </w:rPr>
      </w:pPr>
      <w:r>
        <w:rPr>
          <w:rFonts w:ascii="Courier New" w:cs="Courier New" w:eastAsia="Courier New" w:hAnsi="Courier New"/>
          <w:sz w:val="15"/>
          <w:szCs w:val="15"/>
          <w:color w:val="auto"/>
        </w:rPr>
        <w:t>S.E.C. FORM 10-Q</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2003</w:t>
      </w:r>
    </w:p>
    <w:p>
      <w:pPr>
        <w:spacing w:after="0" w:line="173" w:lineRule="exact"/>
        <w:rPr>
          <w:sz w:val="20"/>
          <w:szCs w:val="20"/>
          <w:color w:val="auto"/>
        </w:rPr>
      </w:pPr>
    </w:p>
    <w:p>
      <w:pPr>
        <w:ind w:left="1580" w:right="4719" w:hanging="1573"/>
        <w:spacing w:after="0" w:line="261" w:lineRule="auto"/>
        <w:tabs>
          <w:tab w:leader="none" w:pos="15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notes thereto appearing in Item 1 of this report.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This Quarterly Report on Form 10-Q contains forward-looking statements within the meaning of Section 27A of the Securities Act of 1933, Section 21E of the Securities Exchange Act of 1934 and the Private Securities Litigation Reform Act of 1995. Also, documents that we "incorporate by reference" into this Quarterly Report on Form 10-Q,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Quarterly Report on Form 10-Q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57" w:lineRule="exact"/>
        <w:rPr>
          <w:sz w:val="20"/>
          <w:szCs w:val="20"/>
          <w:color w:val="auto"/>
        </w:rPr>
      </w:pPr>
    </w:p>
    <w:p>
      <w:pPr>
        <w:ind w:left="800" w:hanging="440"/>
        <w:spacing w:after="0"/>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that our tenants will not pay rent;</w:t>
      </w:r>
    </w:p>
    <w:p>
      <w:pPr>
        <w:spacing w:after="0" w:line="173" w:lineRule="exact"/>
        <w:rPr>
          <w:sz w:val="20"/>
          <w:szCs w:val="20"/>
          <w:color w:val="auto"/>
        </w:rPr>
      </w:pPr>
    </w:p>
    <w:p>
      <w:pPr>
        <w:ind w:left="800" w:right="3239" w:hanging="440"/>
        <w:spacing w:after="0" w:line="236"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74" w:lineRule="exact"/>
        <w:rPr>
          <w:sz w:val="20"/>
          <w:szCs w:val="20"/>
          <w:color w:val="auto"/>
        </w:rPr>
      </w:pPr>
    </w:p>
    <w:p>
      <w:pPr>
        <w:ind w:left="800" w:right="3239" w:hanging="440"/>
        <w:spacing w:after="0" w:line="236"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environmental risks, and, because real estate is illiquid, that we may not be able to sell properties when appropriate;</w:t>
      </w:r>
    </w:p>
    <w:p>
      <w:pPr>
        <w:spacing w:after="0" w:line="177" w:lineRule="exact"/>
        <w:rPr>
          <w:sz w:val="20"/>
          <w:szCs w:val="20"/>
          <w:color w:val="auto"/>
        </w:rPr>
      </w:pPr>
    </w:p>
    <w:p>
      <w:pPr>
        <w:ind w:left="800" w:right="3499" w:hanging="440"/>
        <w:spacing w:after="0" w:line="234"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that our growth will be limited if we cannot obtain additional capital; and</w:t>
      </w:r>
    </w:p>
    <w:p>
      <w:pPr>
        <w:spacing w:after="0" w:line="173" w:lineRule="exact"/>
        <w:rPr>
          <w:sz w:val="20"/>
          <w:szCs w:val="20"/>
          <w:color w:val="auto"/>
        </w:rPr>
      </w:pPr>
    </w:p>
    <w:p>
      <w:pPr>
        <w:ind w:left="800" w:right="3239" w:hanging="440"/>
        <w:spacing w:after="0" w:line="236" w:lineRule="auto"/>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7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Given these uncertainties, readers are cautioned not to place undue reliance on these forward-looking statements or those incorporated into this Quarterly Report on Form 10-Q. We also make no promise to update any of the forward-looking statements. You should carefully review the risks and the risk factors incorporated herein by reference from our Form 8-K filed 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jc w:val="both"/>
        <w:ind w:right="3499"/>
        <w:spacing w:after="0" w:line="235" w:lineRule="auto"/>
        <w:rPr>
          <w:sz w:val="20"/>
          <w:szCs w:val="20"/>
          <w:color w:val="auto"/>
        </w:rPr>
      </w:pPr>
      <w:r>
        <w:rPr>
          <w:rFonts w:ascii="Courier New" w:cs="Courier New" w:eastAsia="Courier New" w:hAnsi="Courier New"/>
          <w:sz w:val="15"/>
          <w:szCs w:val="15"/>
          <w:color w:val="auto"/>
        </w:rPr>
        <w:t>March 25, 2003, as well as the other information in our Annual Report on Form 10-K or in this Quarterly Report on Form 10-Q before making any investment in 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are an equity real estate investment trust specializing in the ownership, management, development and redevelopment of high quality retail and mixed-use properties. As of March 31, 2003, we owned or had an interest in 60 community and neighborhood shopping centers comprising approximately 13 million square feet, primarily located in densely populated and affluent communities throughout the Northeast and Mid-Atlantic United States. In addition, we owned 55 urban, mixed-use properties comprising over 2.5 million square feet, and one apartment complex, all located in strategic metropolitan markets across the United States. Our properties, excluding Santana Row and the two shopping centers purchased in the first quarter of 2003, see "Item 2. 2003 Property Acquisitions and Dispositions," were 95.8% leased at March 31, 2003 and 95.5% leased at December 31, 2002 and March 31, 2002. Including Santana Row and the two shopping centers purchased in 2003, we were 94.3% leased at March 31, 2003.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Growth in net income and FFO during 2003 will depend primarily on growth in the core portfolio. Growth of net income from the core portfolio depends, in part, on the general economy, the financial health of our tenants and on our ability, directly or indirectly, to control expenses, some of which are beyond our complete control, such as snow removal, insurance and real estate tax assessments. The current weakening of the retail and overall economic environment could adversely impact us by increasing vacancies and decreasing rents. In past weak retail and real estate environments, however, we have been able to replace weak and bankrupt tenants with stronger tenants. Management believes that due to the quality of our properties there will continue to be demand for our space.</w:t>
      </w:r>
    </w:p>
    <w:p>
      <w:pPr>
        <w:spacing w:after="0" w:line="18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Growth in the core portfolio, however, will be offset by expenses at Santana Row. Operating and marketing expenses, as well as additional depreciation and interest expense as the project is phased into operation will have a dilutive effect on 2003 earnings. As a result of the August 2002 fire at Santana Row, as more fully described in this section at "Santana Row", the projected opening of certain retail spaces has been delayed and approximately 50% of the total residential units for the project scheduled to be phased into service throughout 2003 were destroyed. These delayed openings, while lowering the income we will receive, will not substantially reduce the costs associated with maintaining and operating the infrastructure of the project.</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Growth in net income is also dependent on the amount of our leverage and interest rates. Our leverage has increased as we financed our development projects. In addition, to the extent variable-rate debt is unhedged, we will continue to have exposure to changes in market interest rates although we have reduced this exposure as of March 31, 2003 as compared to March 31, 2002. If interest rates increase, net income and FFO, as well as the ultimate cost of our development and redevelopment projects, will be negatively impacted.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right="3239" w:firstLine="787"/>
        <w:spacing w:after="0" w:line="236" w:lineRule="auto"/>
        <w:rPr>
          <w:sz w:val="20"/>
          <w:szCs w:val="20"/>
          <w:color w:val="auto"/>
        </w:rPr>
      </w:pPr>
      <w:r>
        <w:rPr>
          <w:rFonts w:ascii="Courier New" w:cs="Courier New" w:eastAsia="Courier New" w:hAnsi="Courier New"/>
          <w:sz w:val="15"/>
          <w:szCs w:val="15"/>
          <w:color w:val="auto"/>
        </w:rPr>
        <w:t>On April 23, 2003 we updated our previous announcement regarding the closing of three of our five Kmart locations. Kohl's Corporation is assuming the previous Kmart lease at Fresh Meadows located in Queens, New York. We will re-claim the leases for both the Flourtown, Pennsylvania and Leesburg, Virginia locations. As of March 31, 2003, these two locations represented approximately 0.15% of our annualized revenues and 1.1% of our total square footage. Based on the demographics at these centers and the rent being paid by Kmart we believe that these spaces can be re-leased on favorable terms.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 PROPERTY ACQUISITIONS AND DISPOSITIONS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On March 21, 2003 a partnership in which one of our wholly owned subsidiaries is the general partner, purchased the 214,000 square foot South Valley Shopping Center in Alexandria, Virginia for a purchase price of approximately $13.7 million.</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On March 31, 2003 the same partnership acquired the leasehold interest in the 257,000 square foot Mount Vernon Plaza in Alexandria, Virginia</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 aggregate consideration of approximately $17.5 million in the form of approximately $700,000 of cash, 120,000 partnership units valued at $3.5 million and the assumption of a $13.3 million mortgage.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did not dispose of any properties in the first quarter of 2003.</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the first quarter of 2003 an action was filed by a local governmental authority to condemn a shopping center in Rockville, Maryland, with a cost basis of $10.5 million and a less than 1% contribution to rental income, owned by one of our partnerships to facilitate the authorities redevelopment of its town center. The value of the shopping center has yet to be determined and therefore no gain or loss has been recognized at this time.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 FINANCING DEVELOPMENTS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made a $5.9 million loan to a partnership on January 12, 2001, that was due February 28, 2003. The loan was not repaid on the due date. We are currently negotiating with the borrower to extend the loan to May 2004. We believe that the loan is collectible and as such, no reserve has been established at this time.</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February 11, 2003 the $24.4 million Woodmont East construction loan and the $17.0 million Friendship Center mortgage were paid off through borrowings under our revolving credit facility.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2003, our single largest capital need will be the completion of the development of Phase I and Phase II of Santana Row, a multi-phase mixed-use project being built on 42 acres in San Jose, California in the heart of Silicon Valley. The project will consist of residential, retail and hotel components, creating a community with the feel of an urban district.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Phase I of the project includes Santana Row, the "1,500 foot long main street" and eight buildings which will contain approximately 444,000 square feet of retail space, 255 residential units, a 213 room hotel and the supporting infrastructure. The first building, containing 40,000 square feet and occupied by Crate &amp; Barrel, opened on June 27, 2002. Six buildings comprising approximately 317,000 square feet of retail space opened on November 7, 2002. Tenants in the final 87,000 square foot building in Phase I began opening in February 2003. As of March 31, 2003, approximately 327,000 square feet, or 74%, of the Phase I retail space is leased, of which approximately 245,000 square feet, or 55%, of the Phase I retail space is open.</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On August 19, 2002 a fire broke out at Building Seven in the Santana Row project. Building Seven contained approximately 87,000 square feet of retail space, approximately 1,000 parking spaces and 246 residential units. All but eleven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was delayed until early 2003. The damage related to the fire was limited almost entirely to this single building. We estimate our loss to be in excess of $100 million, which includes costs to clean-up, repair and rebuild as well as soft (non-construction) costs and lost rents. We believe that our insurance coverage will cover substantially all of our losses from the fire. The cause of the fire is unknown but will not affect our insurance claim. On October 22, 2002, a $20.0 million insurance reimbursement was advanced by the insurance carrier bringing the total amount received to date to $21.0 million. This advance, the proceeds from the November 19, 2002 note offering and borrowings under our credit facility, were used to pay in full and retire the Santana Row construction loan. Because our final insurance claim has not yet been submitted, insurance proceeds expected to be received over and above those received to date have not been recorded in our March 31, 2003 financial statements. In addition, no gain or loss has been recorded pending final resolution of the insurance claim. On April 23, 2003, an additional $36.4 million insurance reimbursement was advanced by the insurance carrier toward the total claim bringing the total amount received to date to $57.4 million. $35.0 million of the April 2003 advance was used to pay down our credit facility.</w:t>
      </w:r>
    </w:p>
    <w:p>
      <w:pPr>
        <w:spacing w:after="0" w:line="34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estimate the total cost of Phase I to be approximately $445 million, net of anticipated insurance proceeds. As of March 31, 2003, before applying the $21 million of insurance proceeds received through the end of the first quarter of 2003, we have incurred costs of $475 million including the purchase of all of the project's land, the construction of Phase I, costs associated with the Building Seven fire and related cleanup and costs related to future phases of the project. We estimate that we will spend approximately $25</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19" w:name="page20"/>
    <w:bookmarkEnd w:id="19"/>
    <w:p>
      <w:pPr>
        <w:ind w:right="3319"/>
        <w:spacing w:after="0" w:line="234" w:lineRule="auto"/>
        <w:rPr>
          <w:sz w:val="20"/>
          <w:szCs w:val="20"/>
          <w:color w:val="auto"/>
        </w:rPr>
      </w:pPr>
      <w:r>
        <w:rPr>
          <w:rFonts w:ascii="Courier New" w:cs="Courier New" w:eastAsia="Courier New" w:hAnsi="Courier New"/>
          <w:sz w:val="15"/>
          <w:szCs w:val="15"/>
          <w:color w:val="auto"/>
        </w:rPr>
        <w:t>million, before insurance reimbursements, in 2003 relating to the completion of Phase I of the project.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evaluating our Building Seven residential options and alternatives taking into account costs incurred to date, costs to rebuild and market conditions and believe that we will be able to rebuild a residential component for Building Seven on economically favorable terms as part of a future phase of the project.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the Silicon Valley.</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February 7, 2003, we announced plans for Phase II of Santana Row, which includes approximately 84,000 square feet of retail space on two pad sites and 275 additional parking spaces. 95% of the Phase II retail space has been pre-leased to Best Buy and The Container Store. Total development costs for Phase II are expected to be approximately $27 million.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have not determined the scope of future phases of Santana Row and will not do so until the success of Phase I, Phase II and future demand for rental space is determined. However, as Phases I and II utilize only part of the retail and residential entitlements of the property, and as Phase I includes the costs of land and infrastructure for future phases, we expect to identify and execute relatively small, additional phases on economically favorable terms.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TRANSITION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of which $6.2 million was paid in the first quarter of 2003 bringing the unpaid balance as of March 31, 2003 to $1.7 million. These unpaid amounts will be paid out over the next three years in accordance with Mr. Guttman's contractual arrangements.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2003 to 2002</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Throughout this section, we have provided certain information on a "same center" basis. Information provided on a same center basis is provided only for those properties owned and operated for the entirety of both periods being compared and includes properties which were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0" w:name="page21"/>
    <w:bookmarkEnd w:id="20"/>
    <w:p>
      <w:pPr>
        <w:jc w:val="both"/>
        <w:ind w:right="3319"/>
        <w:spacing w:after="0" w:line="235" w:lineRule="auto"/>
        <w:rPr>
          <w:sz w:val="20"/>
          <w:szCs w:val="20"/>
          <w:color w:val="auto"/>
        </w:rPr>
      </w:pPr>
      <w:r>
        <w:rPr>
          <w:rFonts w:ascii="Courier New" w:cs="Courier New" w:eastAsia="Courier New" w:hAnsi="Courier New"/>
          <w:sz w:val="15"/>
          <w:szCs w:val="15"/>
          <w:color w:val="auto"/>
        </w:rPr>
        <w:t>redeveloped or expanded during the periods being compared. Properties purchased or sold and properties under development during the periods being compared are excluded.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REVENUE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Total revenues increased $10.1 million, or 13.4%, to $85.3 million for the three months ended March 31, 2003, as compared to $75.2 million for the three months ended March 31, 2002. The primary components of the increase in total revenues are discussed below.</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Rental Income. Rental income consists of minimum rent, percentage rent and cost recoveries for common area maintenance and real estate taxes. The increase in rental income of $9.5 million, or 13.5%, for the three months ended March 31, 2003, as compared to the three months ended March 31, 2002, is attributable to:</w:t>
      </w:r>
    </w:p>
    <w:p>
      <w:pPr>
        <w:spacing w:after="0" w:line="174" w:lineRule="exact"/>
        <w:rPr>
          <w:sz w:val="20"/>
          <w:szCs w:val="20"/>
          <w:color w:val="auto"/>
        </w:rPr>
      </w:pPr>
    </w:p>
    <w:p>
      <w:pPr>
        <w:ind w:left="800" w:right="3239" w:hanging="440"/>
        <w:spacing w:after="0" w:line="255"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$6.5 million, or 9.3%, on a same center basis due primarily to increased cost recoveries of approximately $3.8 million, which reflect increased rental expenses, the majority of which are snow removal costs, an approximately $2.9 million increase in base, or minimum, rents which reflect increased rental rates at redeveloped and retenanted centers, as well as increased rental rates associated with lease rollovers offset by a $200,000 decrease in percentage rents; and</w:t>
      </w:r>
    </w:p>
    <w:p>
      <w:pPr>
        <w:spacing w:after="0" w:line="166" w:lineRule="exact"/>
        <w:rPr>
          <w:sz w:val="20"/>
          <w:szCs w:val="20"/>
          <w:color w:val="auto"/>
        </w:rPr>
      </w:pPr>
    </w:p>
    <w:p>
      <w:pPr>
        <w:ind w:left="800" w:right="3239" w:hanging="440"/>
        <w:spacing w:after="0" w:line="235"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$3.0 million in rental income from Santana Row which was under development for most of 2002 and began phasing into service in late 2002.</w:t>
      </w:r>
    </w:p>
    <w:p>
      <w:pPr>
        <w:spacing w:after="0" w:line="174" w:lineRule="exact"/>
        <w:rPr>
          <w:sz w:val="20"/>
          <w:szCs w:val="20"/>
          <w:color w:val="auto"/>
        </w:rPr>
      </w:pPr>
    </w:p>
    <w:p>
      <w:pPr>
        <w:jc w:val="both"/>
        <w:ind w:right="3399" w:firstLine="787"/>
        <w:spacing w:after="0" w:line="254" w:lineRule="auto"/>
        <w:rPr>
          <w:sz w:val="20"/>
          <w:szCs w:val="20"/>
          <w:color w:val="auto"/>
        </w:rPr>
      </w:pPr>
      <w:r>
        <w:rPr>
          <w:rFonts w:ascii="Courier New" w:cs="Courier New" w:eastAsia="Courier New" w:hAnsi="Courier New"/>
          <w:sz w:val="14"/>
          <w:szCs w:val="14"/>
          <w:color w:val="auto"/>
        </w:rPr>
        <w:t>Same center basis for the three months ended March 31, 2003 excludes the six properties sold in 2002, South Valley Shopping Center and Mount Vernon Plaza which were purchased in the first quarter of 2003 and Santana</w:t>
      </w:r>
    </w:p>
    <w:p>
      <w:pPr>
        <w:spacing w:after="0" w:line="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Row which was under construction for most of 2002. Same center rental income, excluding the contribution from property redevelopments and expansions, for the three months ended March 31, 2003 increased 8.6% from 2002, reflecting increases due to cost recoveries, retenanting and lease rollovers as described above.</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Interest and Other Income. Interest and other income includes interest earned on mortgage notes receivable, overnight cash investments, including tax-deferred exchange escrow deposits if applicable and security deposits. Interest and other income decreased slightly from $1.3 million for the three months ended March 31, 2002 to $1.2 million for the three months ended March 31, 2003.</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Other Property Income. Other property income includes items, which although recurring, tend to fluctuate more than rental income from period to period, such as utility reimbursements, telephone income, merchant association dues, late fees, lease termination fees and temporary tenant income. The increase in other property income of $600,000, or 17.8%, for the three months ended March 31, 2003, as compared to the three months ended March 31, 2002, is attributable to increases of $600,000 at Santana Row as the project began phasing into service in the fourth quarter of 2002.</w:t>
      </w:r>
    </w:p>
    <w:p>
      <w:pPr>
        <w:spacing w:after="0" w:line="166"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On a same center basis, other property income remained stable as lower lease termination fees were offset by increased utility recoveries.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ind w:left="800"/>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Total property operating expenses increased $6.4 million to $29.5 million for the three months ended March 31, 2003, as compared to $23.1 million for the three months ended March 31, 2002. The components of the increase in total property operating expenses are discussed below.</w:t>
      </w:r>
    </w:p>
    <w:p>
      <w:pPr>
        <w:spacing w:after="0" w:line="175"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Rental Expense. The increase in rental expense of $6.3 million, or 41.2%, for the three months ended March 31, 2003, as compared to the three months ended March 31, 2002, is attributable to:</w:t>
      </w:r>
    </w:p>
    <w:p>
      <w:pPr>
        <w:spacing w:after="0" w:line="174" w:lineRule="exact"/>
        <w:rPr>
          <w:sz w:val="20"/>
          <w:szCs w:val="20"/>
          <w:color w:val="auto"/>
        </w:rPr>
      </w:pPr>
    </w:p>
    <w:p>
      <w:pPr>
        <w:ind w:left="800" w:right="3679" w:hanging="440"/>
        <w:spacing w:after="0" w:line="235"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$3.8 million, or 25.5%, on a same center basis due primarily to increased snow removal costs in our Northeast and Mid Atlantic regions; and</w:t>
      </w:r>
    </w:p>
    <w:p>
      <w:pPr>
        <w:spacing w:after="0" w:line="174" w:lineRule="exact"/>
        <w:rPr>
          <w:sz w:val="20"/>
          <w:szCs w:val="20"/>
          <w:color w:val="auto"/>
        </w:rPr>
      </w:pPr>
    </w:p>
    <w:p>
      <w:pPr>
        <w:ind w:left="800" w:right="3239" w:hanging="440"/>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$2.5 million in rental expenses at Santana Row which was under development for most of 2002 and began phasing into service in late 2002.</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Rental expense as a percentage of rental income and other property income, which we refer to as property income, increased from 20.8% for the first three months of 2002 to 25.8% for the first three months of 2003 due primarily to the initial operating expenses at Santana Row as the property phases into service and the increased snow removal costs incurred in the first quarter of 2003. Same center rental expense as a percentage of property income increased from 19.9% in 2002 to 23.0% in 2003 again reflecting the large increase in snow removal costs in the first quarter of 2003.</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Real Estate Taxes. The increase in real estate taxes of $100,000, or 1.5%, for the three months ended March 31, 2003, as compared to the three months ended March 31, 2002, is attributable to increased taxes on new development projects, recently redeveloped properties and overall increases in tax assessments. During the first quarter of 2002 a real estate tax adjustment of $166,000 was recorded for one of our properties which increased real estate tax expense, excluding this prior year adjustment, real estate taxes would have increased 3.7%.</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Property Operating Income. As a result of the changes and variances explained above, property operating income, total income less rental expenses and real estate taxes, increased $3.6 million, or 7.0%, to $55.7 million for the three months ended March 31, 2003 as compared to $52.1 million for the three months ended March 31, 2002.</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Total other expenses decreased $5.7 million, or 12.9%, to $38.2 million for the three months ended March 31, 2003 as compared to $44.0 million for the three months ended March 31, 2002. The primary components of the decrease in total other expenses are discussed below.</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Interest Expense. In the first quarter of 2003, we incurred interest of $22.8 million, of which $5.2 million was capitalized yielding interest expense of $17.6 million, as compared to interest of $21.4 million in 2002, of which $4.8 million was capitalized yielding interest expense of $16.6 million. The increase in interest expense of $1.0 million, or 5.6%, for the three months ended March 31, 2003, as compared to the three months ended March 31, 2002, is attributable to:</w:t>
      </w:r>
    </w:p>
    <w:p>
      <w:pPr>
        <w:spacing w:after="0" w:line="176" w:lineRule="exact"/>
        <w:rPr>
          <w:sz w:val="20"/>
          <w:szCs w:val="20"/>
          <w:color w:val="auto"/>
        </w:rPr>
      </w:pPr>
    </w:p>
    <w:p>
      <w:pPr>
        <w:ind w:left="800" w:right="3579" w:hanging="440"/>
        <w:spacing w:after="0" w:line="234"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the $150 million 6.125% senior notes issued in November 2002;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2" w:name="page23"/>
    <w:bookmarkEnd w:id="22"/>
    <w:p>
      <w:pPr>
        <w:ind w:left="800" w:right="3239" w:hanging="440"/>
        <w:spacing w:after="0" w:line="255"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interest on our revolving credit facility as the average balance on the facility increased from $55 million in the first quarter of 2002 to $118 million in the first quarter of 2003. This interest increase due to the higher loan balance was slightly offset by a decreases in the weighted average interest rate on the loan from 2.6% as of March 31, 2002 to 2.2% as of March 31, 2003; offset by</w:t>
      </w:r>
    </w:p>
    <w:p>
      <w:pPr>
        <w:spacing w:after="0" w:line="166" w:lineRule="exact"/>
        <w:rPr>
          <w:sz w:val="20"/>
          <w:szCs w:val="20"/>
          <w:color w:val="auto"/>
        </w:rPr>
      </w:pPr>
    </w:p>
    <w:p>
      <w:pPr>
        <w:ind w:left="800" w:right="3319" w:hanging="440"/>
        <w:spacing w:after="0" w:line="235"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mortgage loan interest as the Santana construction loan was paid off in November 2002 and the Woodmont East construction loan and Friendship Center mortgage were paid off in February 2003; and</w:t>
      </w:r>
    </w:p>
    <w:p>
      <w:pPr>
        <w:spacing w:after="0" w:line="174" w:lineRule="exact"/>
        <w:rPr>
          <w:sz w:val="20"/>
          <w:szCs w:val="20"/>
          <w:color w:val="auto"/>
        </w:rPr>
      </w:pPr>
    </w:p>
    <w:p>
      <w:pPr>
        <w:ind w:left="800" w:right="3239" w:hanging="440"/>
        <w:spacing w:after="0" w:line="235"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capitalized interest, mostly at the Santana Row project reflecting the additional costs invested in the project throughout 2002 and the first quarter of 2003.</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ratio of earnings to combined fixed charges (consisting of interest on borrowed funds, including capitalized interest, amortization of debt discount and expenses and the portion of rent expense representing an interest factor) and preferred dividends was 1.22x and .95x for the first three months of 2003 and 2002, respectively. The ratio of earnings to fixed charges was 1.48x and</w:t>
      </w:r>
    </w:p>
    <w:p>
      <w:pPr>
        <w:spacing w:after="0" w:line="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1.16x for the first three months of 2003 and 2002, respectively. The ratio of earnings before interest, income taxes, depreciation and amortization ("EBITDA") to combined fixed charges and preferred dividends was 1.82x for the first three months of 2003 and 1.53x for the first three months of 2002. EBITDA is a non-GAAP financial measure that is presented because it provides useful information regarding our ability to service debt, EBITDA should not be considered an alternative measure of operating results or cash flow from operations as determined in accordance with GAAP. See "EBITDA" in this section for a reconciliation of net income to EBITDA. Excluding the one-time restructuring charge of $8.5 million in the first quarter of 2002, our ratio of earnings to combined fixed charges and preferred dividends was 1.22x and 1.27x for the first three months of 2003 and 2002, respectively, the ratio of earnings to fixed charges was 1.48x and 1.55x for the first three months of 2003 and 2002, respectively and the ratio of EBITDA to combined fixed charges and preferred dividends was 1.82x for the first quarter of 2003 and 1.84x for the first quarter of 2002.</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Expense. The increase in administrative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$275,000, or 9.2%, for the three months ended March 31, 2003, as compared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2002, is attributable to:</w:t>
      </w:r>
    </w:p>
    <w:p>
      <w:pPr>
        <w:spacing w:after="0" w:line="173" w:lineRule="exact"/>
        <w:rPr>
          <w:sz w:val="20"/>
          <w:szCs w:val="20"/>
          <w:color w:val="auto"/>
        </w:rPr>
      </w:pPr>
    </w:p>
    <w:p>
      <w:pPr>
        <w:ind w:left="800" w:hanging="440"/>
        <w:spacing w:after="0"/>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income taxes in many of the states in which we do business;</w:t>
      </w:r>
    </w:p>
    <w:p>
      <w:pPr>
        <w:spacing w:after="0" w:line="178" w:lineRule="exact"/>
        <w:rPr>
          <w:sz w:val="20"/>
          <w:szCs w:val="20"/>
          <w:color w:val="auto"/>
        </w:rPr>
      </w:pPr>
    </w:p>
    <w:p>
      <w:pPr>
        <w:ind w:left="800" w:right="3399" w:hanging="440"/>
        <w:spacing w:after="0" w:line="235" w:lineRule="auto"/>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$360,000 reimbursement received in the first quarter of 2002, which decreased administrative expense, related to acquisitions costs that had been expensed in a prior period; offset by</w:t>
      </w:r>
    </w:p>
    <w:p>
      <w:pPr>
        <w:spacing w:after="0" w:line="167" w:lineRule="exact"/>
        <w:rPr>
          <w:sz w:val="20"/>
          <w:szCs w:val="20"/>
          <w:color w:val="auto"/>
        </w:rPr>
      </w:pPr>
    </w:p>
    <w:p>
      <w:pPr>
        <w:ind w:left="800" w:hanging="440"/>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payroll costs as a result of our 2002 restructuring.</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Administrative expenses as a percentage of revenue decreased from 4.0% in the three months ended March 31, 2002 to 3.8% in the three months ended March 31, 2003.</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Restructuring Charge and New Business Plan. On February 28,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Concurrently with the adoption of the business plan, we adopted a management succession plan and restructured our management team. In connection with this change in business plan, we recorded a charge of $18.2 million. This charge included a reserve for a restructuring charge of $8.5 million made up of $6.9 million of severance and other compensation costs for several of</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 w:name="page24"/>
    <w:bookmarkEnd w:id="23"/>
    <w:p>
      <w:pPr>
        <w:jc w:val="both"/>
        <w:ind w:right="3679"/>
        <w:spacing w:after="0" w:line="235" w:lineRule="auto"/>
        <w:rPr>
          <w:sz w:val="20"/>
          <w:szCs w:val="20"/>
          <w:color w:val="auto"/>
        </w:rPr>
      </w:pPr>
      <w:r>
        <w:rPr>
          <w:rFonts w:ascii="Courier New" w:cs="Courier New" w:eastAsia="Courier New" w:hAnsi="Courier New"/>
          <w:sz w:val="15"/>
          <w:szCs w:val="15"/>
          <w:color w:val="auto"/>
        </w:rPr>
        <w:t>our senior officers related to the management restructuring, as well as the write-off of $1.6 million of our development costs. All charges against the reserve, totaling $8.5 million, were expended during 2002.</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Depreciation and Amortization Expense. The increase in depreciation and amortization expense of $1.6 million, or 10.3%, for the three months ended March 31, 2003, as compared to the three months ended March 31, 2002 reflects the impact of recent new developments, tenant improvements and property redevelopments which were placed into service throughout 2002 and the first quarter of 2003.</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Investors' Share of Operations. Investors' share of operations represents the minority partner's interest in the income of certain properties. The increase in investors' share of operations of approximately $400,000, or 53.5%, for the three months ended March 31, 2003, as compared to the three months ended March 31, 2002, is attributable to the allocation to the operating unit holders their proportionate share of our net loss realized in the first quarter of 2002. These unit holders are allocated income (loss) as if they held our shares.</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Loss on Abandoned Developments Held for Sale. An additional component of our restructuring charge, as described under "Restructuring Charge and New Business Plan," recorded in the first quarter of 2002 represented an estimated loss of $9.7 million on the abandonment of development projects held for sale, primarily the Tanasbourne development project located in Portland, Oregon, thereby adjusting the value of these assets to their estimated fair value. We are marketing these properties for sale and continue to believe we will realize the adjusted carrying value.</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Income from Operations of Discontinued Assets. Beginning in 2002, SFAS No. 144, "Accounting for the Impairment or Disposal of Long-Lived Assets," requires that gains and losses from dispositions of properties and all operating earnings from these properties be reported as income from operations of discontinued assets. As a result, previously reported income will be updated each time a property is sold. This requirement is for presentation only and has no impact on net income. In the second quarter 2002, we sold six properties for a combined gain of $19.1 million. The earnings generated from these properties have been reported as income from operations of discontinued assets in accordance with SFAS No. 144. Income from operations of discontinued assets for the three months ended March 31, 2002 was $841,000. No income was recognized from these properties during the first quarter of 2003.</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SEGMENT RESULTS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Historical operating results for the three regions are as follows (in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jc w:val="right"/>
              <w:ind w:right="2667"/>
              <w:spacing w:after="0"/>
              <w:rPr>
                <w:sz w:val="20"/>
                <w:szCs w:val="20"/>
                <w:color w:val="auto"/>
              </w:rPr>
            </w:pPr>
            <w:r>
              <w:rPr>
                <w:rFonts w:ascii="Courier New" w:cs="Courier New" w:eastAsia="Courier New" w:hAnsi="Courier New"/>
                <w:sz w:val="15"/>
                <w:szCs w:val="15"/>
                <w:color w:val="auto"/>
                <w:w w:val="96"/>
              </w:rPr>
              <w:t>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5"/>
              </w:rPr>
              <w:t>THREE MONTHS ENDING</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6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37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Rental Income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Northeast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31,264</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29,284</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Mid-Atlantic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36,738</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32,974</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West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11,994</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8,241</w:t>
            </w:r>
          </w:p>
        </w:tc>
      </w:tr>
      <w:tr>
        <w:trPr>
          <w:trHeight w:val="168"/>
        </w:trPr>
        <w:tc>
          <w:tcPr>
            <w:tcW w:w="37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79,996</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70,499</w:t>
            </w:r>
          </w:p>
        </w:tc>
      </w:tr>
      <w:tr>
        <w:trPr>
          <w:trHeight w:val="168"/>
        </w:trPr>
        <w:tc>
          <w:tcPr>
            <w:tcW w:w="37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Property Operating Income (1)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Northeast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21,738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22,474</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Mid-Atlantic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27,062</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24,233</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West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6,948</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5,418</w:t>
            </w:r>
          </w:p>
        </w:tc>
      </w:tr>
      <w:tr>
        <w:trPr>
          <w:trHeight w:val="168"/>
        </w:trPr>
        <w:tc>
          <w:tcPr>
            <w:tcW w:w="37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55,748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52,125</w:t>
            </w:r>
          </w:p>
        </w:tc>
      </w:tr>
      <w:tr>
        <w:trPr>
          <w:trHeight w:val="168"/>
        </w:trPr>
        <w:tc>
          <w:tcPr>
            <w:tcW w:w="372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360" w:right="3679"/>
        <w:spacing w:after="0" w:line="261" w:lineRule="auto"/>
        <w:tabs>
          <w:tab w:leader="none" w:pos="71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operating income consists of rental income, other property income and interest income, less rental expense and real estate taxes.</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NORTHEAST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As of March 31, 2003, 48 of our properties were located in the Northeast region. The Northeast region extends from suburban Philadelphia north through New York and its suburbs into New England and west to Illinois and Michigan.</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Rental Income. The increase in rental income of $2.0 million, or 6.8%, for the three months ended March 31, 2003 as compared to the three months ended March 31, 2002, is attributable to:</w:t>
      </w:r>
    </w:p>
    <w:p>
      <w:pPr>
        <w:spacing w:after="0" w:line="174" w:lineRule="exact"/>
        <w:rPr>
          <w:sz w:val="20"/>
          <w:szCs w:val="20"/>
          <w:color w:val="auto"/>
        </w:rPr>
      </w:pPr>
    </w:p>
    <w:p>
      <w:pPr>
        <w:ind w:left="800" w:right="3499" w:hanging="440"/>
        <w:spacing w:after="0" w:line="258"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approximately $1.3 million increase in cost recoveries reflecting the income accrued as a result of the increased snow removal costs incurred in the region during the first quarter of 2003;</w:t>
      </w:r>
    </w:p>
    <w:p>
      <w:pPr>
        <w:spacing w:after="0" w:line="161" w:lineRule="exact"/>
        <w:rPr>
          <w:sz w:val="20"/>
          <w:szCs w:val="20"/>
          <w:color w:val="auto"/>
        </w:rPr>
      </w:pPr>
    </w:p>
    <w:p>
      <w:pPr>
        <w:ind w:left="800" w:right="3239" w:hanging="440"/>
        <w:spacing w:after="0" w:line="235"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net increase of approximately $700,000 due primarily to the increased rental rates at retenanted centers, such as Brick Plaza, Dedham, Ellisburg, and Lawrence Park as well as increased rental rates associated with lease rollovers.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5" w:name="page26"/>
    <w:bookmarkEnd w:id="25"/>
    <w:p>
      <w:pPr>
        <w:ind w:right="3499" w:firstLine="787"/>
        <w:spacing w:after="0" w:line="235" w:lineRule="auto"/>
        <w:rPr>
          <w:sz w:val="20"/>
          <w:szCs w:val="20"/>
          <w:color w:val="auto"/>
        </w:rPr>
      </w:pPr>
      <w:r>
        <w:rPr>
          <w:rFonts w:ascii="Courier New" w:cs="Courier New" w:eastAsia="Courier New" w:hAnsi="Courier New"/>
          <w:sz w:val="15"/>
          <w:szCs w:val="15"/>
          <w:color w:val="auto"/>
        </w:rPr>
        <w:t>There was no significant contribution to rental income from property redevelopments or expansions in the first quarter of 2003 in the Northeast region.</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Property Operating Income. Property operating income consists of rental income, other property income and interest income, less rental expense and real estate taxes. The decrease in property operating income of $700,000, or 3.3%, for the three months ended March 31, 2003 as compared to the three months ended March 31, 2002, is attributable to:</w:t>
      </w:r>
    </w:p>
    <w:p>
      <w:pPr>
        <w:spacing w:after="0" w:line="174" w:lineRule="exact"/>
        <w:rPr>
          <w:sz w:val="20"/>
          <w:szCs w:val="20"/>
          <w:color w:val="auto"/>
        </w:rPr>
      </w:pPr>
    </w:p>
    <w:p>
      <w:pPr>
        <w:ind w:left="800" w:right="3239" w:hanging="440"/>
        <w:spacing w:after="0" w:line="261"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$2.0 million in rental expense due to the increased snow removal costs incurred in the region in the first quarter of 2003;</w:t>
      </w:r>
    </w:p>
    <w:p>
      <w:pPr>
        <w:spacing w:after="0" w:line="160" w:lineRule="exact"/>
        <w:rPr>
          <w:sz w:val="20"/>
          <w:szCs w:val="20"/>
          <w:color w:val="auto"/>
        </w:rPr>
      </w:pPr>
    </w:p>
    <w:p>
      <w:pPr>
        <w:ind w:left="800" w:right="3319" w:hanging="440"/>
        <w:spacing w:after="0" w:line="256" w:lineRule="auto"/>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$400,000 in other rental income due primarily to lower lease termination fees, a decrease of $200,000 in interest income as a result of a payoff of a $10 million mortgage note in July 2002 and an increase of $100,000 in real estate tax expense; offset by</w:t>
      </w:r>
    </w:p>
    <w:p>
      <w:pPr>
        <w:spacing w:after="0" w:line="158" w:lineRule="exact"/>
        <w:rPr>
          <w:sz w:val="20"/>
          <w:szCs w:val="20"/>
          <w:color w:val="auto"/>
        </w:rPr>
      </w:pPr>
    </w:p>
    <w:p>
      <w:pPr>
        <w:ind w:left="800" w:hanging="440"/>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$2.0 million in rental revenue as described above.</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MID-ATLANTIC</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As of March 31, 2003, 34 of our properties were located in the Mid-Atlantic region. The Mid-Atlantic region extends from Baltimore south to metropolitan Washington, D.C. and further south through Virginia and North Carolina into Florida.</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Rental Income. The increase in rental income of $3.8 million, or 11.4%, for the three months ended March 31, 2003 as compared to the three months ended March 31, 2002, is attributable to:</w:t>
      </w:r>
    </w:p>
    <w:p>
      <w:pPr>
        <w:spacing w:after="0" w:line="174" w:lineRule="exact"/>
        <w:rPr>
          <w:sz w:val="20"/>
          <w:szCs w:val="20"/>
          <w:color w:val="auto"/>
        </w:rPr>
      </w:pPr>
    </w:p>
    <w:p>
      <w:pPr>
        <w:ind w:left="800" w:right="3499" w:hanging="440"/>
        <w:spacing w:after="0" w:line="258"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approximately $1.4 million increase in cost recoveries reflecting the income accrued as a result of the increased snow removal costs incurred in the region during the first quarter of 2003; and</w:t>
      </w:r>
    </w:p>
    <w:p>
      <w:pPr>
        <w:spacing w:after="0" w:line="161" w:lineRule="exact"/>
        <w:rPr>
          <w:sz w:val="20"/>
          <w:szCs w:val="20"/>
          <w:color w:val="auto"/>
        </w:rPr>
      </w:pPr>
    </w:p>
    <w:p>
      <w:pPr>
        <w:ind w:left="800" w:right="3239" w:hanging="440"/>
        <w:spacing w:after="0" w:line="256"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net increase of approximately $2.4 million due primarily to the increased rental rates at redeveloped, expanded and retenanted centers, such as Congressional, Governor, Pentagon Row, Mid-Pike and Laurel as well as increased rental rates associated with lease rollovers.</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Same center basis for the three months ended March 31, 2003 excludes South Valley Shopping Center and Mount Vernon Plaza, which were purchased in the first quarter of 2003. There was no significant contribution to rental income from these properties during the first quarter of 2003.</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Property Operating Income. The increase in property operating income of $2.8 million, or 11.7%, for the three months ended March 31, 2003 as compared to the three months ended March 31, 2002, is attributable to:</w:t>
      </w:r>
    </w:p>
    <w:p>
      <w:pPr>
        <w:spacing w:after="0" w:line="174" w:lineRule="exact"/>
        <w:rPr>
          <w:sz w:val="20"/>
          <w:szCs w:val="20"/>
          <w:color w:val="auto"/>
        </w:rPr>
      </w:pPr>
    </w:p>
    <w:p>
      <w:pPr>
        <w:ind w:left="800" w:hanging="440"/>
        <w:spacing w:after="0"/>
        <w:tabs>
          <w:tab w:leader="none" w:pos="8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$3.8 million in rental revenue as described above; and</w:t>
      </w:r>
    </w:p>
    <w:p>
      <w:pPr>
        <w:spacing w:after="0" w:line="178" w:lineRule="exact"/>
        <w:rPr>
          <w:sz w:val="20"/>
          <w:szCs w:val="20"/>
          <w:color w:val="auto"/>
        </w:rPr>
      </w:pPr>
    </w:p>
    <w:p>
      <w:pPr>
        <w:ind w:left="800" w:right="3679" w:hanging="440"/>
        <w:spacing w:after="0" w:line="261" w:lineRule="auto"/>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$500,000 in other income due primarily to increased lease termination fees and utility recoveries; offset by</w:t>
      </w:r>
    </w:p>
    <w:p>
      <w:pPr>
        <w:spacing w:after="0" w:line="160" w:lineRule="exact"/>
        <w:rPr>
          <w:sz w:val="20"/>
          <w:szCs w:val="20"/>
          <w:color w:val="auto"/>
        </w:rPr>
      </w:pPr>
    </w:p>
    <w:p>
      <w:pPr>
        <w:ind w:left="800" w:right="3679" w:hanging="440"/>
        <w:spacing w:after="0" w:line="235"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$1.5 million in rental expense due primarily to the increased snow removal costs incurred in the region in the first quarter of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WEST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As of March 31, 2003, 34 of our properties, including Santana Row, were located in the West region. The West region extends from Texas to the West Coast.</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Rental. The increase in rental income of $3.8 million, or 45.5%, for the three months ended March 31, 2003 as compared to the three months ended March 31, 2002, is attributable to:</w:t>
      </w:r>
    </w:p>
    <w:p>
      <w:pPr>
        <w:spacing w:after="0" w:line="174" w:lineRule="exact"/>
        <w:rPr>
          <w:sz w:val="20"/>
          <w:szCs w:val="20"/>
          <w:color w:val="auto"/>
        </w:rPr>
      </w:pPr>
    </w:p>
    <w:p>
      <w:pPr>
        <w:ind w:left="800" w:right="3239" w:hanging="440"/>
        <w:spacing w:after="0" w:line="235"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$3.0 million in rental income from Santana Row which was under development for most of 2002 and began phasing into service in late 2002; and</w:t>
      </w:r>
    </w:p>
    <w:p>
      <w:pPr>
        <w:spacing w:after="0" w:line="174" w:lineRule="exact"/>
        <w:rPr>
          <w:sz w:val="20"/>
          <w:szCs w:val="20"/>
          <w:color w:val="auto"/>
        </w:rPr>
      </w:pPr>
    </w:p>
    <w:p>
      <w:pPr>
        <w:ind w:left="800" w:right="3399" w:hanging="440"/>
        <w:spacing w:after="0" w:line="256" w:lineRule="auto"/>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net increase of $800,000, or 9.7%, on a same center basis due primarily to the increased rental rates at redeveloped and retenanted properties in Los Angeles, California and San Antonio, Texas, as well as the increased rental income associated with lease rollovers.</w:t>
      </w:r>
    </w:p>
    <w:p>
      <w:pPr>
        <w:spacing w:after="0" w:line="16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Same center basis for the three months ended March 31, 2003 excludes Santana Row, which was under development for the majority of 2002 and began phasing into service in late 2002 and through 2003. Same center rental income, excluding the contribution from property redevelopments and expansions, for the three months ended March 31, 2003 increased 5.8% from 2002.</w:t>
      </w:r>
    </w:p>
    <w:p>
      <w:pPr>
        <w:spacing w:after="0" w:line="16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Property Operating Income. The increase in property operating income of $1.5 million, or 28.2%, for the three months ended March 31, 2003 as compared to the three months ended March 31, 2002, is attributable to:</w:t>
      </w:r>
    </w:p>
    <w:p>
      <w:pPr>
        <w:spacing w:after="0" w:line="167" w:lineRule="exact"/>
        <w:rPr>
          <w:sz w:val="20"/>
          <w:szCs w:val="20"/>
          <w:color w:val="auto"/>
        </w:rPr>
      </w:pPr>
    </w:p>
    <w:p>
      <w:pPr>
        <w:ind w:left="800" w:hanging="440"/>
        <w:spacing w:after="0"/>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$3.8 million in rental income as described above;</w:t>
      </w:r>
    </w:p>
    <w:p>
      <w:pPr>
        <w:spacing w:after="0" w:line="173" w:lineRule="exact"/>
        <w:rPr>
          <w:sz w:val="20"/>
          <w:szCs w:val="20"/>
          <w:color w:val="auto"/>
        </w:rPr>
      </w:pPr>
    </w:p>
    <w:p>
      <w:pPr>
        <w:ind w:left="800" w:right="3319" w:hanging="440"/>
        <w:spacing w:after="0" w:line="235"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$600,000 in other income primarily due to increased lease termination fees and to insurance and utility recoveries paid by tenants at Santana Row; and</w:t>
      </w:r>
    </w:p>
    <w:p>
      <w:pPr>
        <w:spacing w:after="0" w:line="174" w:lineRule="exact"/>
        <w:rPr>
          <w:sz w:val="20"/>
          <w:szCs w:val="20"/>
          <w:color w:val="auto"/>
        </w:rPr>
      </w:pPr>
    </w:p>
    <w:p>
      <w:pPr>
        <w:ind w:left="800" w:right="3239" w:hanging="440"/>
        <w:spacing w:after="0" w:line="234" w:lineRule="auto"/>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$200,000 in interest income on mortgage notes receivable on amounts loaned in 2002; offset by</w:t>
      </w:r>
    </w:p>
    <w:p>
      <w:pPr>
        <w:spacing w:after="0" w:line="173" w:lineRule="exact"/>
        <w:rPr>
          <w:sz w:val="20"/>
          <w:szCs w:val="20"/>
          <w:color w:val="auto"/>
        </w:rPr>
      </w:pPr>
    </w:p>
    <w:p>
      <w:pPr>
        <w:ind w:left="800" w:right="3579" w:hanging="440"/>
        <w:spacing w:after="0" w:line="235"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$3.1 million in rental expense and real estate taxes primarily Santana Row expenses as the project is phased into operations.</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Same center property operating income in the three months ended March 31, 2003 increased 7.6% from 2002. Same center property operating income, excluding the contribution from property redevelopments and expansions, for the three months ended March 31, 2003 increased 2.1% from 2002.</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Cash and cash equivalents were $18.1 million and $23.1 million at March 31, 2003 and December 31, 2002, respectively. This $5.0 million decrease is attributable to $75.2 million used in investing activities partially offset by $24.7 million and $45.5 million provided by operating and financing activities, respectively.</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FOR THE THREE MONTHS</w:t>
            </w: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MARCH 31, 2003</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Used in Investing Activities....................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(75,192)</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Provided by Operating Activities................</w:t>
            </w:r>
          </w:p>
        </w:tc>
        <w:tc>
          <w:tcPr>
            <w:tcW w:w="2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24,677</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Provided by Financing Activities................</w:t>
            </w:r>
          </w:p>
        </w:tc>
        <w:tc>
          <w:tcPr>
            <w:tcW w:w="2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45,505</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Decrease in Cash and Cash Equivalents................</w:t>
            </w:r>
          </w:p>
        </w:tc>
        <w:tc>
          <w:tcPr>
            <w:tcW w:w="2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(5,010)</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Beginning of Period.......</w:t>
            </w:r>
          </w:p>
        </w:tc>
        <w:tc>
          <w:tcPr>
            <w:tcW w:w="2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23,123</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End of Period.............</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18,113</w:t>
            </w:r>
          </w:p>
        </w:tc>
      </w:tr>
      <w:tr>
        <w:trPr>
          <w:trHeight w:val="168"/>
        </w:trPr>
        <w:tc>
          <w:tcPr>
            <w:tcW w:w="47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w:t>
      </w:r>
    </w:p>
    <w:p>
      <w:pPr>
        <w:spacing w:after="0" w:line="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cash used in investing activities for the three months ended March 31, 2003 of $75.2 million is attributable to:</w:t>
      </w:r>
    </w:p>
    <w:p>
      <w:pPr>
        <w:spacing w:after="0" w:line="173" w:lineRule="exact"/>
        <w:rPr>
          <w:sz w:val="20"/>
          <w:szCs w:val="20"/>
          <w:color w:val="auto"/>
        </w:rPr>
      </w:pPr>
    </w:p>
    <w:p>
      <w:pPr>
        <w:ind w:left="800" w:right="3679" w:hanging="440"/>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$15.6 million for the purchase of South Valley Shopping Center and Mount Vernon Plaza;</w:t>
      </w:r>
    </w:p>
    <w:p>
      <w:pPr>
        <w:spacing w:after="0" w:line="167" w:lineRule="exact"/>
        <w:rPr>
          <w:sz w:val="20"/>
          <w:szCs w:val="20"/>
          <w:color w:val="auto"/>
        </w:rPr>
      </w:pPr>
    </w:p>
    <w:p>
      <w:pPr>
        <w:ind w:left="800" w:hanging="440"/>
        <w:spacing w:after="0"/>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$47.3 million for the development of Santana Row;</w:t>
      </w:r>
    </w:p>
    <w:p>
      <w:pPr>
        <w:spacing w:after="0" w:line="173" w:lineRule="exact"/>
        <w:rPr>
          <w:sz w:val="20"/>
          <w:szCs w:val="20"/>
          <w:color w:val="auto"/>
        </w:rPr>
      </w:pPr>
    </w:p>
    <w:p>
      <w:pPr>
        <w:ind w:left="800" w:right="3399" w:hanging="440"/>
        <w:spacing w:after="0" w:line="236"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 million of capital expenditures relating to improvements to common areas, tenant work and various redevelopments including the Congressional Apartments in Rockville, Maryland, the redevelopment of retail buildings in San Antonio, Texas and the redevelopment of our Bethesda Row project in Bethesda, Maryland; and</w:t>
      </w:r>
    </w:p>
    <w:p>
      <w:pPr>
        <w:spacing w:after="0" w:line="174" w:lineRule="exact"/>
        <w:rPr>
          <w:sz w:val="20"/>
          <w:szCs w:val="20"/>
          <w:color w:val="auto"/>
        </w:rPr>
      </w:pPr>
    </w:p>
    <w:p>
      <w:pPr>
        <w:ind w:left="800" w:hanging="440"/>
        <w:spacing w:after="0"/>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of additional mortgage notes made to existing borrowers.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5"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cash provided by operating activities for the three months ended March 31, 2003 of $24.7 million is entirely attributable to property operations.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w:t>
      </w:r>
    </w:p>
    <w:p>
      <w:pPr>
        <w:ind w:left="800"/>
        <w:spacing w:after="0" w:line="237" w:lineRule="auto"/>
        <w:rPr>
          <w:sz w:val="20"/>
          <w:szCs w:val="20"/>
          <w:color w:val="auto"/>
        </w:rPr>
      </w:pPr>
      <w:r>
        <w:rPr>
          <w:rFonts w:ascii="Courier New" w:cs="Courier New" w:eastAsia="Courier New" w:hAnsi="Courier New"/>
          <w:sz w:val="15"/>
          <w:szCs w:val="15"/>
          <w:color w:val="auto"/>
        </w:rPr>
        <w:t>The cash provided by financing activities for the three months ended</w:t>
      </w:r>
    </w:p>
    <w:p>
      <w:pPr>
        <w:spacing w:after="0" w:line="238" w:lineRule="auto"/>
        <w:rPr>
          <w:sz w:val="20"/>
          <w:szCs w:val="20"/>
          <w:color w:val="auto"/>
        </w:rPr>
      </w:pPr>
      <w:r>
        <w:rPr>
          <w:rFonts w:ascii="Courier New" w:cs="Courier New" w:eastAsia="Courier New" w:hAnsi="Courier New"/>
          <w:sz w:val="15"/>
          <w:szCs w:val="15"/>
          <w:color w:val="auto"/>
        </w:rPr>
        <w:t>March 31, 2003 of $45.5 million is attributable to:</w:t>
      </w:r>
    </w:p>
    <w:p>
      <w:pPr>
        <w:spacing w:after="0" w:line="167" w:lineRule="exact"/>
        <w:rPr>
          <w:sz w:val="20"/>
          <w:szCs w:val="20"/>
          <w:color w:val="auto"/>
        </w:rPr>
      </w:pPr>
    </w:p>
    <w:p>
      <w:pPr>
        <w:ind w:left="800" w:hanging="440"/>
        <w:spacing w:after="0"/>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 million of net proceeds under our credit facility; and</w:t>
      </w:r>
    </w:p>
    <w:p>
      <w:pPr>
        <w:spacing w:after="0" w:line="173" w:lineRule="exact"/>
        <w:rPr>
          <w:sz w:val="20"/>
          <w:szCs w:val="20"/>
          <w:color w:val="auto"/>
        </w:rPr>
      </w:pPr>
    </w:p>
    <w:p>
      <w:pPr>
        <w:jc w:val="both"/>
        <w:ind w:left="800" w:right="3679" w:hanging="440"/>
        <w:spacing w:after="0" w:line="235"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$35.7 million of net proceeds received from the issuance of common shares under our dividend reinvestment plan and exercise of common stock options.</w:t>
      </w:r>
    </w:p>
    <w:p>
      <w:pPr>
        <w:spacing w:after="0" w:line="167"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provided by financing activities was partially offset by:</w:t>
      </w:r>
    </w:p>
    <w:p>
      <w:pPr>
        <w:spacing w:after="0" w:line="173" w:lineRule="exact"/>
        <w:rPr>
          <w:sz w:val="20"/>
          <w:szCs w:val="20"/>
          <w:color w:val="auto"/>
        </w:rPr>
      </w:pPr>
    </w:p>
    <w:p>
      <w:pPr>
        <w:ind w:left="800" w:right="3399" w:hanging="440"/>
        <w:spacing w:after="0" w:line="234"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 million payoff and retirement of the Woodmont East construction loan and the Friendship Center mortgage;</w:t>
      </w:r>
    </w:p>
    <w:p>
      <w:pPr>
        <w:spacing w:after="0" w:line="167" w:lineRule="exact"/>
        <w:rPr>
          <w:sz w:val="20"/>
          <w:szCs w:val="20"/>
          <w:color w:val="auto"/>
        </w:rPr>
      </w:pPr>
    </w:p>
    <w:p>
      <w:pPr>
        <w:ind w:left="800" w:hanging="440"/>
        <w:spacing w:after="0"/>
        <w:tabs>
          <w:tab w:leader="none" w:pos="8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$25.4 million of distributions to shareholders;</w:t>
      </w:r>
    </w:p>
    <w:p>
      <w:pPr>
        <w:spacing w:after="0" w:line="173" w:lineRule="exact"/>
        <w:rPr>
          <w:sz w:val="20"/>
          <w:szCs w:val="20"/>
          <w:color w:val="auto"/>
        </w:rPr>
      </w:pPr>
    </w:p>
    <w:p>
      <w:pPr>
        <w:ind w:left="800" w:right="3399" w:hanging="440"/>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of principal payments on mortgages, capital leases and notes payable;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8" w:name="page29"/>
    <w:bookmarkEnd w:id="28"/>
    <w:p>
      <w:pPr>
        <w:ind w:left="800" w:hanging="440"/>
        <w:spacing w:after="0"/>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$1.1 million decrease in minority interest.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Financing Arrangements</w:t>
      </w:r>
    </w:p>
    <w:p>
      <w:pPr>
        <w:ind w:left="800"/>
        <w:spacing w:after="0" w:line="237" w:lineRule="auto"/>
        <w:rPr>
          <w:sz w:val="20"/>
          <w:szCs w:val="20"/>
          <w:color w:val="auto"/>
        </w:rPr>
      </w:pPr>
      <w:r>
        <w:rPr>
          <w:rFonts w:ascii="Courier New" w:cs="Courier New" w:eastAsia="Courier New" w:hAnsi="Courier New"/>
          <w:sz w:val="15"/>
          <w:szCs w:val="15"/>
          <w:color w:val="auto"/>
        </w:rPr>
        <w:t>As of March 31, 2003, we had total debt outstanding of $1.1 billion.</w:t>
      </w:r>
    </w:p>
    <w:p>
      <w:pPr>
        <w:spacing w:after="0" w:line="173" w:lineRule="exact"/>
        <w:rPr>
          <w:sz w:val="20"/>
          <w:szCs w:val="20"/>
          <w:color w:val="auto"/>
        </w:rPr>
      </w:pPr>
    </w:p>
    <w:p>
      <w:pPr>
        <w:ind w:right="4800" w:firstLine="787"/>
        <w:spacing w:after="0" w:line="234" w:lineRule="auto"/>
        <w:rPr>
          <w:sz w:val="20"/>
          <w:szCs w:val="20"/>
          <w:color w:val="auto"/>
        </w:rPr>
      </w:pPr>
      <w:r>
        <w:rPr>
          <w:rFonts w:ascii="Courier New" w:cs="Courier New" w:eastAsia="Courier New" w:hAnsi="Courier New"/>
          <w:sz w:val="15"/>
          <w:szCs w:val="15"/>
          <w:color w:val="auto"/>
        </w:rPr>
        <w:t>The following is a summary of our total debt outstanding as of March 31, 2003 and 2002 (dollars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ORIGINAL</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PRINCIPAL BALANCE</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PRINCIPAL BALANCE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RATE</w:t>
            </w:r>
          </w:p>
        </w:tc>
        <w:tc>
          <w:tcPr>
            <w:tcW w:w="18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DEBT ISSUED</w:t>
            </w:r>
          </w:p>
        </w:tc>
        <w:tc>
          <w:tcPr>
            <w:tcW w:w="2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AS OF</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AS OF</w:t>
            </w: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DEBT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OR AVAILABLE</w:t>
            </w:r>
          </w:p>
        </w:tc>
        <w:tc>
          <w:tcPr>
            <w:tcW w:w="2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MARCH 31, 2003</w:t>
            </w:r>
          </w:p>
        </w:tc>
        <w:tc>
          <w:tcPr>
            <w:tcW w:w="2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MARCH 31, 2002</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31, 2003</w:t>
            </w:r>
          </w:p>
        </w:tc>
        <w:tc>
          <w:tcPr>
            <w:tcW w:w="1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MATURITY DATE</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7760" w:type="dxa"/>
            <w:vAlign w:val="bottom"/>
            <w:gridSpan w:val="8"/>
          </w:tcPr>
          <w:p>
            <w:pPr>
              <w:ind w:left="8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MORTGAGE AND CONSTRUCTION LOANS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Secured Fixed Rate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Leesburg Plaza (1).....................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6.510%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October 1, 2008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164 E. Houston Street (2)..............</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7.500%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October 6, 2008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Federal Plaza (3)......................</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35,831</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36,206</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6.750%</w:t>
            </w:r>
          </w:p>
        </w:tc>
        <w:tc>
          <w:tcPr>
            <w:tcW w:w="1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June 1, 2011</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Tysons Station (4).....................</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6,838</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6,943</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7.400%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September 1, 2011</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Barracks Road (5)......................</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7.950%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Hauppauge (6)..........................</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7.950%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Lawrence Park (7)......................</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7.950%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Wildwood (8)...........................</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7.950%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Wynnewood (9)..........................</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7.950%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Brick Plaza (10).......................</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7.415%</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Mount Vernon (11)......................</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5.660%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April 15, 2028</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Secured Variable Rate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Woodmont East Construction (12)........</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23,508</w:t>
            </w:r>
          </w:p>
        </w:tc>
        <w:tc>
          <w:tcPr>
            <w:tcW w:w="15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Libor + 1.20%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August 29, 2003</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Friendship Center (12).................</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17,000</w:t>
            </w:r>
          </w:p>
        </w:tc>
        <w:tc>
          <w:tcPr>
            <w:tcW w:w="34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Libor + 1.35%  September 22, 2003</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Santana Row Construction (13)..........</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93,086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Libor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2.125%</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April 16, 2004</w:t>
            </w: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Secured Debt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251,078</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371,938</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Unsecured Variable Rate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Escondido (Municipal Bonds) (14).......</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3.150%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 2015</w:t>
            </w: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Total Mortgage and Construction Loans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260,478</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381,338</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Unsecured Fixed Rate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Term note with banks (15)..............</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December 19, 2003</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Perring Plaza Renovation (16)..........</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3,087</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2,233</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2,356</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10.00%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January 31, 2013</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Various</w:t>
            </w:r>
          </w:p>
        </w:tc>
        <w:tc>
          <w:tcPr>
            <w:tcW w:w="18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Various</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Unsecured Variable Rate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Land purchase note (17)................</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w:t>
            </w:r>
          </w:p>
        </w:tc>
        <w:tc>
          <w:tcPr>
            <w:tcW w:w="15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Libor + 1.25%</w:t>
            </w:r>
          </w:p>
        </w:tc>
        <w:tc>
          <w:tcPr>
            <w:tcW w:w="1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June 30, 2002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Revolving credit facilities (18).......</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Libor</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 .80%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December 19, 2003</w:t>
            </w: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Notes Payable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276,278</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185,801</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SENIOR NOTES AND DEBENTURES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Unsecured Fixed Rate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8.00% Notes (19).......................</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8.000%</w:t>
            </w:r>
          </w:p>
        </w:tc>
        <w:tc>
          <w:tcPr>
            <w:tcW w:w="1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April 21, 2002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5.25% Convertible Subordinated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Debentures (20).......................</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5.250%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April 30, 2002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5.25% Convertible Subordinated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Debentures (21).......................</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5.250%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October 28, 2003</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6.74% Medium Term Notes (22)(23).......</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6.370%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March 10, 2004</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6.625% Notes (22)......................</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6.625%</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December 1, 2005</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6.99% Medium Term Notes (22)(24).......</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6.894%</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March 10, 2006</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6.125% Notes (22) (25).................</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6.325%</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November 15, 2007</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8.75% Notes (22).......................</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8.750%</w:t>
            </w:r>
          </w:p>
        </w:tc>
        <w:tc>
          <w:tcPr>
            <w:tcW w:w="18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December 1, 2009</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7.48% Debentures (22)(26)..............</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7.480%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August 15, 2026</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6.82% Medium Term Notes (22)(27).......</w:t>
            </w:r>
          </w:p>
        </w:tc>
        <w:tc>
          <w:tcPr>
            <w:tcW w:w="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8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6.820%</w:t>
            </w:r>
          </w:p>
        </w:tc>
        <w:tc>
          <w:tcPr>
            <w:tcW w:w="1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August 1, 2027</w:t>
            </w: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Senior Notes and Debentures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610,000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485,289</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6"/>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Total Debt Outstanding</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1,146,756</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1,052,428</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8"/>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505"/>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9" w:name="page30"/>
    <w:bookmarkEnd w:id="29"/>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$9.5 million.</w:t>
      </w:r>
    </w:p>
    <w:p>
      <w:pPr>
        <w:spacing w:after="0" w:line="153" w:lineRule="exact"/>
        <w:rPr>
          <w:rFonts w:ascii="Courier New" w:cs="Courier New" w:eastAsia="Courier New" w:hAnsi="Courier New"/>
          <w:sz w:val="14"/>
          <w:szCs w:val="14"/>
          <w:color w:val="auto"/>
        </w:rPr>
      </w:pPr>
    </w:p>
    <w:p>
      <w:pPr>
        <w:ind w:left="700" w:hanging="700"/>
        <w:spacing w:after="0"/>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requires monthly payments of principal and interest.</w:t>
      </w:r>
    </w:p>
    <w:p>
      <w:pPr>
        <w:spacing w:after="0" w:line="172" w:lineRule="exact"/>
        <w:rPr>
          <w:rFonts w:ascii="Courier New" w:cs="Courier New" w:eastAsia="Courier New" w:hAnsi="Courier New"/>
          <w:sz w:val="15"/>
          <w:szCs w:val="15"/>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$31.7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$5.6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$35.0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$13.2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$24.8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$21.8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$25.3 million.</w:t>
      </w:r>
    </w:p>
    <w:p>
      <w:pPr>
        <w:spacing w:after="0" w:line="159" w:lineRule="exact"/>
        <w:rPr>
          <w:rFonts w:ascii="Courier New" w:cs="Courier New" w:eastAsia="Courier New" w:hAnsi="Courier New"/>
          <w:sz w:val="14"/>
          <w:szCs w:val="14"/>
          <w:color w:val="auto"/>
        </w:rPr>
      </w:pPr>
    </w:p>
    <w:p>
      <w:pPr>
        <w:ind w:left="700" w:right="3319" w:hanging="70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$25.7 million.</w:t>
      </w:r>
    </w:p>
    <w:p>
      <w:pPr>
        <w:spacing w:after="0" w:line="159" w:lineRule="exact"/>
        <w:rPr>
          <w:rFonts w:ascii="Courier New" w:cs="Courier New" w:eastAsia="Courier New" w:hAnsi="Courier New"/>
          <w:sz w:val="14"/>
          <w:szCs w:val="14"/>
          <w:color w:val="auto"/>
        </w:rPr>
      </w:pPr>
    </w:p>
    <w:p>
      <w:pPr>
        <w:ind w:left="700" w:right="3319" w:hanging="700"/>
        <w:spacing w:after="0" w:line="235"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requires monthly payments of principal and interest. The interest rate is fixed at 5.66% for the first ten years and then is reset to a market rate. The lender has the option to call the loan after year ten.</w:t>
      </w:r>
    </w:p>
    <w:p>
      <w:pPr>
        <w:spacing w:after="0" w:line="175" w:lineRule="exact"/>
        <w:rPr>
          <w:rFonts w:ascii="Courier New" w:cs="Courier New" w:eastAsia="Courier New" w:hAnsi="Courier New"/>
          <w:sz w:val="15"/>
          <w:szCs w:val="15"/>
          <w:color w:val="auto"/>
        </w:rPr>
      </w:pPr>
    </w:p>
    <w:p>
      <w:pPr>
        <w:ind w:left="700" w:right="3399" w:hanging="700"/>
        <w:spacing w:after="0" w:line="235"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require monthly interest only payments through maturity. The loans were paid off on February 11, 2003 through borrowings under the revolving credit facility.</w:t>
      </w:r>
    </w:p>
    <w:p>
      <w:pPr>
        <w:spacing w:after="0" w:line="167" w:lineRule="exact"/>
        <w:rPr>
          <w:rFonts w:ascii="Courier New" w:cs="Courier New" w:eastAsia="Courier New" w:hAnsi="Courier New"/>
          <w:sz w:val="15"/>
          <w:szCs w:val="15"/>
          <w:color w:val="auto"/>
        </w:rPr>
      </w:pPr>
    </w:p>
    <w:p>
      <w:pPr>
        <w:ind w:left="700" w:hanging="700"/>
        <w:spacing w:after="0"/>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was repaid on November 19, 2002.</w:t>
      </w:r>
    </w:p>
    <w:p>
      <w:pPr>
        <w:spacing w:after="0" w:line="172" w:lineRule="exact"/>
        <w:rPr>
          <w:rFonts w:ascii="Courier New" w:cs="Courier New" w:eastAsia="Courier New" w:hAnsi="Courier New"/>
          <w:sz w:val="15"/>
          <w:szCs w:val="15"/>
          <w:color w:val="auto"/>
        </w:rPr>
      </w:pPr>
    </w:p>
    <w:p>
      <w:pPr>
        <w:ind w:left="700" w:right="3239" w:hanging="700"/>
        <w:spacing w:after="0" w:line="236"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three months ended March 31, 2003 was 3.15%. The property is not encumbered by a lien.</w:t>
      </w:r>
    </w:p>
    <w:p>
      <w:pPr>
        <w:spacing w:after="0" w:line="174" w:lineRule="exact"/>
        <w:rPr>
          <w:rFonts w:ascii="Courier New" w:cs="Courier New" w:eastAsia="Courier New" w:hAnsi="Courier New"/>
          <w:sz w:val="15"/>
          <w:szCs w:val="15"/>
          <w:color w:val="auto"/>
        </w:rPr>
      </w:pPr>
    </w:p>
    <w:p>
      <w:pPr>
        <w:ind w:left="700" w:right="3239" w:hanging="700"/>
        <w:spacing w:after="0" w:line="236"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requires monthly interest only payments through maturity. This loan bears interest at LIBOR plus 95 basis points. We purchased interest rate swaps or hedges on this note, thereby locking in the LIBOR rate at 5.27%. As a result, the interest rate on this loan is currently fixed at 6.22%.</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880"/>
          </w:cols>
          <w:pgMar w:left="580" w:top="624" w:right="1440" w:bottom="1440" w:gutter="0" w:footer="0" w:header="0"/>
        </w:sectPr>
      </w:pPr>
    </w:p>
    <w:bookmarkStart w:id="30" w:name="page31"/>
    <w:bookmarkEnd w:id="30"/>
    <w:p>
      <w:pPr>
        <w:ind w:left="1060" w:hanging="700"/>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requires monthly payments of principal and interest.</w:t>
      </w:r>
    </w:p>
    <w:p>
      <w:pPr>
        <w:spacing w:after="0" w:line="166" w:lineRule="exact"/>
        <w:rPr>
          <w:rFonts w:ascii="Courier New" w:cs="Courier New" w:eastAsia="Courier New" w:hAnsi="Courier New"/>
          <w:sz w:val="15"/>
          <w:szCs w:val="15"/>
          <w:color w:val="auto"/>
        </w:rPr>
      </w:pPr>
    </w:p>
    <w:p>
      <w:pPr>
        <w:ind w:left="1060" w:hanging="700"/>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was repaid on June 18, 2002.</w:t>
      </w:r>
    </w:p>
    <w:p>
      <w:pPr>
        <w:spacing w:after="0" w:line="172" w:lineRule="exact"/>
        <w:rPr>
          <w:rFonts w:ascii="Courier New" w:cs="Courier New" w:eastAsia="Courier New" w:hAnsi="Courier New"/>
          <w:sz w:val="15"/>
          <w:szCs w:val="15"/>
          <w:color w:val="auto"/>
        </w:rPr>
      </w:pPr>
    </w:p>
    <w:p>
      <w:pPr>
        <w:ind w:left="1060" w:right="3239" w:hanging="700"/>
        <w:spacing w:after="0" w:line="236"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borrowed under the facility bear interest at LIBOR plus 80 basis points. The maximum amount drawn under the facility during the first three months of 2003 was $149 million. The weighted average interest rate on borrowings under the facility for the three months ended March 31, 2003 was 2.17%.</w:t>
      </w:r>
    </w:p>
    <w:p>
      <w:pPr>
        <w:spacing w:after="0" w:line="167" w:lineRule="exact"/>
        <w:rPr>
          <w:rFonts w:ascii="Courier New" w:cs="Courier New" w:eastAsia="Courier New" w:hAnsi="Courier New"/>
          <w:sz w:val="15"/>
          <w:szCs w:val="15"/>
          <w:color w:val="auto"/>
        </w:rPr>
      </w:pPr>
    </w:p>
    <w:p>
      <w:pPr>
        <w:ind w:left="1060" w:hanging="700"/>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were paid off on April 22, 2002.</w:t>
      </w:r>
    </w:p>
    <w:p>
      <w:pPr>
        <w:spacing w:after="0" w:line="166" w:lineRule="exact"/>
        <w:rPr>
          <w:rFonts w:ascii="Courier New" w:cs="Courier New" w:eastAsia="Courier New" w:hAnsi="Courier New"/>
          <w:sz w:val="15"/>
          <w:szCs w:val="15"/>
          <w:color w:val="auto"/>
        </w:rPr>
      </w:pPr>
    </w:p>
    <w:p>
      <w:pPr>
        <w:ind w:left="1060" w:hanging="700"/>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were paid off on April 29, 2002.</w:t>
      </w:r>
    </w:p>
    <w:p>
      <w:pPr>
        <w:spacing w:after="0" w:line="172" w:lineRule="exact"/>
        <w:rPr>
          <w:rFonts w:ascii="Courier New" w:cs="Courier New" w:eastAsia="Courier New" w:hAnsi="Courier New"/>
          <w:sz w:val="15"/>
          <w:szCs w:val="15"/>
          <w:color w:val="auto"/>
        </w:rPr>
      </w:pPr>
    </w:p>
    <w:p>
      <w:pPr>
        <w:ind w:left="1060" w:right="3319" w:hanging="700"/>
        <w:spacing w:after="0" w:line="236"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require semi-annual interest payments with principal due at maturity. The debentures are convertible into our common shares at $36 per share. The debentures are redeemable by us, in whole, at any time, at 100% of the principal amount plus accrued interest.</w:t>
      </w:r>
    </w:p>
    <w:p>
      <w:pPr>
        <w:spacing w:after="0" w:line="173" w:lineRule="exact"/>
        <w:rPr>
          <w:rFonts w:ascii="Courier New" w:cs="Courier New" w:eastAsia="Courier New" w:hAnsi="Courier New"/>
          <w:sz w:val="15"/>
          <w:szCs w:val="15"/>
          <w:color w:val="auto"/>
        </w:rPr>
      </w:pPr>
    </w:p>
    <w:p>
      <w:pPr>
        <w:ind w:left="1060" w:right="3239" w:hanging="700"/>
        <w:spacing w:after="0" w:line="234"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require semi-annual payments of interest only during their terms.</w:t>
      </w:r>
    </w:p>
    <w:p>
      <w:pPr>
        <w:spacing w:after="0" w:line="173" w:lineRule="exact"/>
        <w:rPr>
          <w:rFonts w:ascii="Courier New" w:cs="Courier New" w:eastAsia="Courier New" w:hAnsi="Courier New"/>
          <w:sz w:val="15"/>
          <w:szCs w:val="15"/>
          <w:color w:val="auto"/>
        </w:rPr>
      </w:pPr>
    </w:p>
    <w:p>
      <w:pPr>
        <w:ind w:left="1060" w:right="3399" w:hanging="700"/>
        <w:spacing w:after="0" w:line="234"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purchased interest rate swaps at issuance, thereby reducing the effective interest rate from 6.74% to 6.37%.</w:t>
      </w:r>
    </w:p>
    <w:p>
      <w:pPr>
        <w:spacing w:after="0" w:line="173" w:lineRule="exact"/>
        <w:rPr>
          <w:rFonts w:ascii="Courier New" w:cs="Courier New" w:eastAsia="Courier New" w:hAnsi="Courier New"/>
          <w:sz w:val="15"/>
          <w:szCs w:val="15"/>
          <w:color w:val="auto"/>
        </w:rPr>
      </w:pPr>
    </w:p>
    <w:p>
      <w:pPr>
        <w:ind w:left="1060" w:right="3399" w:hanging="700"/>
        <w:spacing w:after="0" w:line="234"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purchased interest rate swaps at issuance, thereby reducing the effective interest rate from 6.99% to 6.894%.</w:t>
      </w:r>
    </w:p>
    <w:p>
      <w:pPr>
        <w:spacing w:after="0" w:line="173" w:lineRule="exact"/>
        <w:rPr>
          <w:rFonts w:ascii="Courier New" w:cs="Courier New" w:eastAsia="Courier New" w:hAnsi="Courier New"/>
          <w:sz w:val="15"/>
          <w:szCs w:val="15"/>
          <w:color w:val="auto"/>
        </w:rPr>
      </w:pPr>
    </w:p>
    <w:p>
      <w:pPr>
        <w:ind w:left="1060" w:right="3239" w:hanging="700"/>
        <w:spacing w:after="0" w:line="256"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lock to hedge the planned note offering. A hedge loss of $1.5 million associated with this hedge is being amortized into the November 2002 note offering thereby increasing the effective interest rate on these notes to 6.325%.</w:t>
      </w:r>
    </w:p>
    <w:p>
      <w:pPr>
        <w:spacing w:after="0" w:line="164" w:lineRule="exact"/>
        <w:rPr>
          <w:rFonts w:ascii="Courier New" w:cs="Courier New" w:eastAsia="Courier New" w:hAnsi="Courier New"/>
          <w:sz w:val="14"/>
          <w:szCs w:val="14"/>
          <w:color w:val="auto"/>
        </w:rPr>
      </w:pPr>
    </w:p>
    <w:p>
      <w:pPr>
        <w:ind w:left="1060" w:right="3399" w:hanging="700"/>
        <w:spacing w:after="0" w:line="234"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August 15, 2008, the debentures are redeemable by the holders thereof at the original purchase price.</w:t>
      </w:r>
    </w:p>
    <w:p>
      <w:pPr>
        <w:spacing w:after="0" w:line="173" w:lineRule="exact"/>
        <w:rPr>
          <w:rFonts w:ascii="Courier New" w:cs="Courier New" w:eastAsia="Courier New" w:hAnsi="Courier New"/>
          <w:sz w:val="15"/>
          <w:szCs w:val="15"/>
          <w:color w:val="auto"/>
        </w:rPr>
      </w:pPr>
    </w:p>
    <w:p>
      <w:pPr>
        <w:ind w:left="1060" w:right="3239" w:hanging="700"/>
        <w:spacing w:after="0" w:line="234"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August 1, 2007, the notes are redeemable by the holders thereof at the original purchase price.</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Our credit facility and other debt agreements include financial covenants that may limit our operating activities in the future. These covenants require us to:</w:t>
      </w:r>
    </w:p>
    <w:p>
      <w:pPr>
        <w:spacing w:after="0" w:line="174" w:lineRule="exact"/>
        <w:rPr>
          <w:sz w:val="20"/>
          <w:szCs w:val="20"/>
          <w:color w:val="auto"/>
        </w:rPr>
      </w:pPr>
    </w:p>
    <w:p>
      <w:pPr>
        <w:ind w:left="800" w:right="3319" w:hanging="440"/>
        <w:spacing w:after="0" w:line="261" w:lineRule="auto"/>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amount of debt as a percentage of gross asset value to less than .6 to 1 (we maintained a ratio of .50 to 1 as of March 31, 2003);</w:t>
      </w:r>
    </w:p>
    <w:p>
      <w:pPr>
        <w:spacing w:after="0" w:line="160" w:lineRule="exact"/>
        <w:rPr>
          <w:sz w:val="20"/>
          <w:szCs w:val="20"/>
          <w:color w:val="auto"/>
        </w:rPr>
      </w:pPr>
    </w:p>
    <w:p>
      <w:pPr>
        <w:ind w:left="800" w:right="3399" w:hanging="440"/>
        <w:spacing w:after="0" w:line="235"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amount of secured debt as a percentage of gross asset value to less than .35 to 1 (we maintained a ratio of .14 to 1 as of March 31, 2003);</w:t>
      </w:r>
    </w:p>
    <w:p>
      <w:pPr>
        <w:spacing w:after="0" w:line="174" w:lineRule="exact"/>
        <w:rPr>
          <w:sz w:val="20"/>
          <w:szCs w:val="20"/>
          <w:color w:val="auto"/>
        </w:rPr>
      </w:pPr>
    </w:p>
    <w:p>
      <w:pPr>
        <w:ind w:left="800" w:right="3239" w:hanging="440"/>
        <w:spacing w:after="0" w:line="235"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amount of debt so that our interest coverage will exceed 1.75 to 1 on a rolling four quarter basis (we maintained a ratio of 2.51 to 1 as of March 31, 2003);</w:t>
      </w:r>
    </w:p>
    <w:p>
      <w:pPr>
        <w:spacing w:after="0" w:line="174" w:lineRule="exact"/>
        <w:rPr>
          <w:sz w:val="20"/>
          <w:szCs w:val="20"/>
          <w:color w:val="auto"/>
        </w:rPr>
      </w:pPr>
    </w:p>
    <w:p>
      <w:pPr>
        <w:ind w:left="800" w:right="3239" w:hanging="440"/>
        <w:spacing w:after="0" w:line="235" w:lineRule="auto"/>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amount of secured debt so that unencumbered asset value to unsecured debt will equal or exceed 1.67 to 1 (we maintained a ratio of 1.86 to 1 as of March 31, 2003);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1" w:name="page32"/>
    <w:bookmarkEnd w:id="31"/>
    <w:p>
      <w:pPr>
        <w:ind w:left="800" w:right="3319" w:hanging="440"/>
        <w:spacing w:after="0" w:line="235"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total cost of development projects under construction to 30% or less of gross asset value (the budgeted total cost of our projects under construction represented 16.7% of gross asset value as of March 31, 2003).</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We are also obligated to comply with other covenants, including, among others, provisions:</w:t>
      </w:r>
    </w:p>
    <w:p>
      <w:pPr>
        <w:spacing w:after="0" w:line="167" w:lineRule="exact"/>
        <w:rPr>
          <w:sz w:val="20"/>
          <w:szCs w:val="20"/>
          <w:color w:val="auto"/>
        </w:rPr>
      </w:pPr>
    </w:p>
    <w:p>
      <w:pPr>
        <w:ind w:left="800" w:hanging="440"/>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maintenance of property securing a mortgage;</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our ability to pledge assets or create liens;</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our ability to incur additional debt;</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our ability to amend or modify existing leases;</w:t>
      </w:r>
    </w:p>
    <w:p>
      <w:pPr>
        <w:spacing w:after="0" w:line="172"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restricting our ability to enter into transactions with affiliates; and</w:t>
      </w:r>
    </w:p>
    <w:p>
      <w:pPr>
        <w:spacing w:after="0" w:line="178" w:lineRule="exact"/>
        <w:rPr>
          <w:sz w:val="20"/>
          <w:szCs w:val="20"/>
          <w:color w:val="auto"/>
        </w:rPr>
      </w:pPr>
    </w:p>
    <w:p>
      <w:pPr>
        <w:ind w:left="800" w:right="4199" w:hanging="440"/>
        <w:spacing w:after="0" w:line="234" w:lineRule="auto"/>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our ability to consolidate, merge or sell all or substantially all of our assets.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As of March 31, 2003, we were in compliance with all of the listed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Below are the aggregate principal payments required as of March 31, 2003 under our debt financing arrangements by year. Scheduled principal installments and amounts due at maturity are included.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SECURED</w:t>
            </w:r>
          </w:p>
        </w:tc>
        <w:tc>
          <w:tcPr>
            <w:tcW w:w="2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UNSECURED</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40" w:type="dxa"/>
            <w:vAlign w:val="bottom"/>
          </w:tcPr>
          <w:p>
            <w:pPr>
              <w:spacing w:after="0"/>
              <w:rPr>
                <w:sz w:val="14"/>
                <w:szCs w:val="14"/>
                <w:color w:val="auto"/>
              </w:rPr>
            </w:pPr>
          </w:p>
        </w:tc>
        <w:tc>
          <w:tcPr>
            <w:tcW w:w="32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2003</w:t>
            </w:r>
          </w:p>
        </w:tc>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349,104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349,828</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2004</w:t>
            </w:r>
          </w:p>
        </w:tc>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2,917</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39,652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42,569</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2005</w:t>
            </w:r>
          </w:p>
        </w:tc>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3,169</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40,168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43,337</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2006</w:t>
            </w:r>
          </w:p>
        </w:tc>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3,515</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40,685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44,200</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2007</w:t>
            </w:r>
          </w:p>
        </w:tc>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3,787</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150,204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153,991</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2008</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thereafter..........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236,966</w:t>
            </w:r>
          </w:p>
        </w:tc>
        <w:tc>
          <w:tcPr>
            <w:tcW w:w="2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275,865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512,831</w:t>
            </w:r>
          </w:p>
        </w:tc>
      </w:tr>
      <w:tr>
        <w:trPr>
          <w:trHeight w:val="168"/>
        </w:trPr>
        <w:tc>
          <w:tcPr>
            <w:tcW w:w="340" w:type="dxa"/>
            <w:vAlign w:val="bottom"/>
          </w:tcPr>
          <w:p>
            <w:pPr>
              <w:spacing w:after="0"/>
              <w:rPr>
                <w:sz w:val="14"/>
                <w:szCs w:val="14"/>
                <w:color w:val="auto"/>
              </w:rPr>
            </w:pPr>
          </w:p>
        </w:tc>
        <w:tc>
          <w:tcPr>
            <w:tcW w:w="32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0" w:type="dxa"/>
            <w:vAlign w:val="bottom"/>
          </w:tcPr>
          <w:p>
            <w:pPr>
              <w:spacing w:after="0"/>
              <w:rPr>
                <w:sz w:val="14"/>
                <w:szCs w:val="14"/>
                <w:color w:val="auto"/>
              </w:rPr>
            </w:pPr>
          </w:p>
        </w:tc>
        <w:tc>
          <w:tcPr>
            <w:tcW w:w="246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251,078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895,678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$ 1,146,756</w:t>
            </w:r>
          </w:p>
        </w:tc>
      </w:tr>
      <w:tr>
        <w:trPr>
          <w:trHeight w:val="168"/>
        </w:trPr>
        <w:tc>
          <w:tcPr>
            <w:tcW w:w="340" w:type="dxa"/>
            <w:vAlign w:val="bottom"/>
          </w:tcPr>
          <w:p>
            <w:pPr>
              <w:spacing w:after="0"/>
              <w:rPr>
                <w:sz w:val="14"/>
                <w:szCs w:val="14"/>
                <w:color w:val="auto"/>
              </w:rPr>
            </w:pPr>
          </w:p>
        </w:tc>
        <w:tc>
          <w:tcPr>
            <w:tcW w:w="32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Our organizational documents do not limit the level or amount of debt that we may incur. Also see "Liquidity Requirements" in this section regarding management's plans with respect to debt maturing in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INTEREST RATE HEDGING</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We enter into derivative contracts, which qualify as cash flow hedges under SFAS No. 133 "Accounting for Derivative Instruments and Hedging Activities", in order to manage interest rate risk. Derivatives are not purchased for speculation.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During 2001, to hedge our exposure to interest rates on our $125</w:t>
      </w:r>
    </w:p>
    <w:p>
      <w:pPr>
        <w:spacing w:after="0" w:line="237" w:lineRule="auto"/>
        <w:rPr>
          <w:sz w:val="20"/>
          <w:szCs w:val="20"/>
          <w:color w:val="auto"/>
        </w:rPr>
      </w:pPr>
      <w:r>
        <w:rPr>
          <w:rFonts w:ascii="Courier New" w:cs="Courier New" w:eastAsia="Courier New" w:hAnsi="Courier New"/>
          <w:sz w:val="15"/>
          <w:szCs w:val="15"/>
          <w:color w:val="auto"/>
        </w:rPr>
        <w:t>million term loan, we entered into interest rate swaps, which fixed the LIBOR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on the term loan at 5.27%. The current interest rate on the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is LIBOR plus 95 basis points, thus fixing the interest rate at 6.22% on</w:t>
      </w:r>
    </w:p>
    <w:p>
      <w:pPr>
        <w:spacing w:after="0" w:line="237" w:lineRule="auto"/>
        <w:rPr>
          <w:sz w:val="20"/>
          <w:szCs w:val="20"/>
          <w:color w:val="auto"/>
        </w:rPr>
      </w:pPr>
      <w:r>
        <w:rPr>
          <w:rFonts w:ascii="Courier New" w:cs="Courier New" w:eastAsia="Courier New" w:hAnsi="Courier New"/>
          <w:sz w:val="15"/>
          <w:szCs w:val="15"/>
          <w:color w:val="auto"/>
        </w:rPr>
        <w:t>notional amounts totaling $125 million. We are exposed to credit loss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non-performance by the counterparties to the interest rate protection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should interest rates exceed the cap. However, management does not</w:t>
      </w:r>
    </w:p>
    <w:p>
      <w:pPr>
        <w:spacing w:after="0" w:line="237" w:lineRule="auto"/>
        <w:rPr>
          <w:sz w:val="20"/>
          <w:szCs w:val="20"/>
          <w:color w:val="auto"/>
        </w:rPr>
      </w:pPr>
      <w:r>
        <w:rPr>
          <w:rFonts w:ascii="Courier New" w:cs="Courier New" w:eastAsia="Courier New" w:hAnsi="Courier New"/>
          <w:sz w:val="15"/>
          <w:szCs w:val="15"/>
          <w:color w:val="auto"/>
        </w:rPr>
        <w:t>anticipate non-performance by the counterparties. The counterparties have</w:t>
      </w:r>
    </w:p>
    <w:p>
      <w:pPr>
        <w:spacing w:after="0" w:line="238" w:lineRule="auto"/>
        <w:rPr>
          <w:sz w:val="20"/>
          <w:szCs w:val="20"/>
          <w:color w:val="auto"/>
        </w:rPr>
      </w:pPr>
      <w:r>
        <w:rPr>
          <w:rFonts w:ascii="Courier New" w:cs="Courier New" w:eastAsia="Courier New" w:hAnsi="Courier New"/>
          <w:sz w:val="15"/>
          <w:szCs w:val="15"/>
          <w:color w:val="auto"/>
        </w:rPr>
        <w:t>long-term debt ratings of A- or above by Standard and Poor's Ratings Service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("S&amp;P") and Aa2 or above by Moody's Investors Service ("Moody's"). Although our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 is not exchange traded, there are a number of financial institutions which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 into these types of transactions as part of their day-to-day activities.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interest rate swaps mature concurrently with the $125 million term loan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 2003. The swaps were documented as cash flow hedges and designated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effective at inception of the swap contract. Consequently, the unrealized</w:t>
      </w:r>
    </w:p>
    <w:p>
      <w:pPr>
        <w:spacing w:after="0" w:line="237" w:lineRule="auto"/>
        <w:rPr>
          <w:sz w:val="20"/>
          <w:szCs w:val="20"/>
          <w:color w:val="auto"/>
        </w:rPr>
      </w:pPr>
      <w:r>
        <w:rPr>
          <w:rFonts w:ascii="Courier New" w:cs="Courier New" w:eastAsia="Courier New" w:hAnsi="Courier New"/>
          <w:sz w:val="15"/>
          <w:szCs w:val="15"/>
          <w:color w:val="auto"/>
        </w:rPr>
        <w:t>gain or loss upon measuring the swaps at their fair value is recorded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 of other comprehensive income within shareholders' equity and either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 asset or liability is recorded on the balance sheet.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2003, a cumulative unrealized loss of $3.6 million, representing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 between the current market value and the 6.22% fixed interest rate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swap, was recorded in other comprehensive income with a corresponding</w:t>
      </w:r>
    </w:p>
    <w:p>
      <w:pPr>
        <w:spacing w:after="0" w:line="237" w:lineRule="auto"/>
        <w:rPr>
          <w:sz w:val="20"/>
          <w:szCs w:val="20"/>
          <w:color w:val="auto"/>
        </w:rPr>
      </w:pPr>
      <w:r>
        <w:rPr>
          <w:rFonts w:ascii="Courier New" w:cs="Courier New" w:eastAsia="Courier New" w:hAnsi="Courier New"/>
          <w:sz w:val="15"/>
          <w:szCs w:val="15"/>
          <w:color w:val="auto"/>
        </w:rPr>
        <w:t>derivative liability on the balance sheet. Interest expense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 million will be reclassified from other comprehensive income into current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during the remainder 2003 to bring the effective interest rate up to</w:t>
      </w:r>
    </w:p>
    <w:p>
      <w:pPr>
        <w:spacing w:after="0" w:line="237" w:lineRule="auto"/>
        <w:rPr>
          <w:sz w:val="20"/>
          <w:szCs w:val="20"/>
          <w:color w:val="auto"/>
        </w:rPr>
      </w:pPr>
      <w:r>
        <w:rPr>
          <w:rFonts w:ascii="Courier New" w:cs="Courier New" w:eastAsia="Courier New" w:hAnsi="Courier New"/>
          <w:sz w:val="15"/>
          <w:szCs w:val="15"/>
          <w:color w:val="auto"/>
        </w:rPr>
        <w:t>6.22%.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Requirements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Short-term liquidity requirements consist primarily of obligations under capital and operating leases, normal recurring operating expenses, regular debt service requirements (including debt service relating to additional or replacement debt, as well as scheduled debt maturities), recurring corporate expenditures, non-recurring corporate expenditures (such as tenant improvements and redevelopments) and dividends to common and preferred shareholders. Included in short-term liquidity requirements as of March 31, 2003 is $274 million that represents our revolving credit facility and our term loan which mature on December 19, 2003, which we plan to renew. Overall capital requirements in 2003 will depend upon acquisition opportunities, the level of improvements and redevelopments on existing properties and the timing and cost of future phases of Santana Row. We expect to fund our capital requirements, as well as our development and redevelopment costs, acquisitions and normal recurring operating costs through a combination of cash provided by operating activities, borrowings under our credit facility and other funding sources which may consist of additional debt, both secured and unsecured, additional equity, joint venture relationships and property dispositions.</w:t>
      </w:r>
    </w:p>
    <w:p>
      <w:pPr>
        <w:spacing w:after="0" w:line="33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We expect to fund our long-term capital requirements, which consist primarily of maturities under our long-term debt, development and redevelopment costs and potential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3" w:name="page34"/>
    <w:bookmarkEnd w:id="33"/>
    <w:p>
      <w:pPr>
        <w:jc w:val="both"/>
        <w:ind w:right="3679"/>
        <w:spacing w:after="0" w:line="258" w:lineRule="auto"/>
        <w:rPr>
          <w:sz w:val="20"/>
          <w:szCs w:val="20"/>
          <w:color w:val="auto"/>
        </w:rPr>
      </w:pPr>
      <w:r>
        <w:rPr>
          <w:rFonts w:ascii="Courier New" w:cs="Courier New" w:eastAsia="Courier New" w:hAnsi="Courier New"/>
          <w:sz w:val="14"/>
          <w:szCs w:val="14"/>
          <w:color w:val="auto"/>
        </w:rPr>
        <w:t>acquisition opportunities through a combination of funding sources which we believe will be available to us including debt, both secured and unsecured, additional equity, joint venture relationships and property dispositions.</w:t>
      </w:r>
    </w:p>
    <w:p>
      <w:pPr>
        <w:spacing w:after="0" w:line="161"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following factors could affect our ability to meet our liquidity requirements:</w:t>
      </w:r>
    </w:p>
    <w:p>
      <w:pPr>
        <w:spacing w:after="0" w:line="173" w:lineRule="exact"/>
        <w:rPr>
          <w:sz w:val="20"/>
          <w:szCs w:val="20"/>
          <w:color w:val="auto"/>
        </w:rPr>
      </w:pPr>
    </w:p>
    <w:p>
      <w:pPr>
        <w:ind w:left="1580" w:right="3319" w:hanging="521"/>
        <w:spacing w:after="0" w:line="235" w:lineRule="auto"/>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obtain debt or equity financing on favorable terms, or at all, as a result of our financial condition or market conditions at the time we seek additional financing;</w:t>
      </w:r>
    </w:p>
    <w:p>
      <w:pPr>
        <w:spacing w:after="0" w:line="175" w:lineRule="exact"/>
        <w:rPr>
          <w:sz w:val="20"/>
          <w:szCs w:val="20"/>
          <w:color w:val="auto"/>
        </w:rPr>
      </w:pPr>
    </w:p>
    <w:p>
      <w:pPr>
        <w:ind w:left="1580" w:right="3239" w:hanging="521"/>
        <w:spacing w:after="0" w:line="235" w:lineRule="auto"/>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our debt instruments or outstanding equity may prohibit us from incurring debt or issuing equity at all, or on terms available under then-prevailing market conditions; and</w:t>
      </w:r>
    </w:p>
    <w:p>
      <w:pPr>
        <w:spacing w:after="0" w:line="175" w:lineRule="exact"/>
        <w:rPr>
          <w:sz w:val="20"/>
          <w:szCs w:val="20"/>
          <w:color w:val="auto"/>
        </w:rPr>
      </w:pPr>
    </w:p>
    <w:p>
      <w:pPr>
        <w:ind w:left="1580" w:right="3239" w:hanging="521"/>
        <w:spacing w:after="0" w:line="235" w:lineRule="auto"/>
        <w:tabs>
          <w:tab w:leader="none" w:pos="1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service additional or replacement debt due to increases in interest rates or a decline in our operating performance.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REIT Qualification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historically reported our FFO in addition to our net income and net cash provided by operating activities. FFO is a supplemental non-GAAP financial measure of real estate companies' operating performance. The National Association of Real Estate 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w:t>
      </w:r>
    </w:p>
    <w:p>
      <w:pPr>
        <w:spacing w:after="0" w:line="179" w:lineRule="exact"/>
        <w:rPr>
          <w:sz w:val="20"/>
          <w:szCs w:val="20"/>
          <w:color w:val="auto"/>
        </w:rPr>
      </w:pPr>
    </w:p>
    <w:p>
      <w:pPr>
        <w:ind w:left="800" w:right="3399" w:hanging="440"/>
        <w:spacing w:after="0" w:line="258"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represent cash flows from operating activities in accordance with GAAP (which, unlike FFO, generally reflects all cash effects of transactions and other events in the determination of net income);</w:t>
      </w:r>
    </w:p>
    <w:p>
      <w:pPr>
        <w:spacing w:after="0" w:line="161" w:lineRule="exact"/>
        <w:rPr>
          <w:sz w:val="20"/>
          <w:szCs w:val="20"/>
          <w:color w:val="auto"/>
        </w:rPr>
      </w:pPr>
    </w:p>
    <w:p>
      <w:pPr>
        <w:ind w:left="800" w:right="3319" w:hanging="440"/>
        <w:spacing w:after="0" w:line="234"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not be considered an alternative to net income as an indication of our performance; and</w:t>
      </w:r>
    </w:p>
    <w:p>
      <w:pPr>
        <w:spacing w:after="0" w:line="173" w:lineRule="exact"/>
        <w:rPr>
          <w:sz w:val="20"/>
          <w:szCs w:val="20"/>
          <w:color w:val="auto"/>
        </w:rPr>
      </w:pPr>
    </w:p>
    <w:p>
      <w:pPr>
        <w:ind w:left="800" w:right="3239" w:hanging="440"/>
        <w:spacing w:after="0" w:line="234" w:lineRule="auto"/>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necessarily indicative of cash flow as a measure of liquidity or ability to pay dividends.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An increase or decrease in FFO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Therefore, a significant increase in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4" w:name="page35"/>
    <w:bookmarkEnd w:id="34"/>
    <w:p>
      <w:pPr>
        <w:ind w:right="3239"/>
        <w:spacing w:after="0" w:line="234" w:lineRule="auto"/>
        <w:rPr>
          <w:sz w:val="20"/>
          <w:szCs w:val="20"/>
          <w:color w:val="auto"/>
        </w:rPr>
      </w:pPr>
      <w:r>
        <w:rPr>
          <w:rFonts w:ascii="Courier New" w:cs="Courier New" w:eastAsia="Courier New" w:hAnsi="Courier New"/>
          <w:sz w:val="15"/>
          <w:szCs w:val="15"/>
          <w:color w:val="auto"/>
        </w:rPr>
        <w:t>FFO will generally require an increase in distributions to shareholders although not necessarily on a proportionate basis.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reconciliation of net income available for common shareholders to funds from operations for the three months ended March 31, 2003 and 2002 is as follows:</w:t>
      </w:r>
    </w:p>
    <w:p>
      <w:pPr>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9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FOR THE THREE MONTHS</w:t>
            </w:r>
          </w:p>
        </w:tc>
      </w:tr>
      <w:tr>
        <w:trPr>
          <w:trHeight w:val="168"/>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6140" w:type="dxa"/>
            <w:vAlign w:val="bottom"/>
          </w:tcPr>
          <w:p>
            <w:pPr>
              <w:spacing w:after="0"/>
              <w:rPr>
                <w:sz w:val="14"/>
                <w:szCs w:val="14"/>
                <w:color w:val="auto"/>
              </w:rPr>
            </w:pPr>
          </w:p>
        </w:tc>
        <w:tc>
          <w:tcPr>
            <w:tcW w:w="19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2003</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8"/>
              </w:rPr>
              <w:t>Net income (loss) available for common shareholders - basic..........</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(6,187)</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on abandoned developments held for sale.........................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9,647</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 of real estate assets..................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15,798</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14,537</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initial direct costs of leases.......................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1,354</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1,171</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(loss) attributable to operating partnership units............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Funds from operations for common shareholders........................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19,032</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used to compute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diluted FFO per share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45,354</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40,942</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FFO per diluted share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0.46</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EBITDA</w:t>
      </w:r>
    </w:p>
    <w:p>
      <w:pPr>
        <w:spacing w:after="0" w:line="17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The reconciliation of EBITDA, adjusted for discontinued operations, to net income for the three months ended March 31, 2003 and 2002 is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9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FOR THE THREE MONTHS</w:t>
            </w:r>
          </w:p>
        </w:tc>
      </w:tr>
      <w:tr>
        <w:trPr>
          <w:trHeight w:val="168"/>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6140" w:type="dxa"/>
            <w:vAlign w:val="bottom"/>
          </w:tcPr>
          <w:p>
            <w:pPr>
              <w:spacing w:after="0"/>
              <w:rPr>
                <w:sz w:val="14"/>
                <w:szCs w:val="14"/>
                <w:color w:val="auto"/>
              </w:rPr>
            </w:pPr>
          </w:p>
        </w:tc>
        <w:tc>
          <w:tcPr>
            <w:tcW w:w="19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2003</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8"/>
              </w:rPr>
              <w:t>Net income (loss)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(1,331)</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17,449</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15,986</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17,579</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16,640</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on abandoned developments held for sale ........................</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9,647</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51,404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40,942</w:t>
            </w:r>
          </w:p>
        </w:tc>
      </w:tr>
      <w:tr>
        <w:trPr>
          <w:trHeight w:val="168"/>
        </w:trPr>
        <w:tc>
          <w:tcPr>
            <w:tcW w:w="61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140" w:type="dxa"/>
            <w:vAlign w:val="bottom"/>
          </w:tcPr>
          <w:p>
            <w:pPr>
              <w:ind w:left="3420"/>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use of financial instruments, such as debt instruments, subject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its operating, investing and financing activities with anticipated outflow of cash to fund debt payments, dividends to common and preferred shareholders, investments, capital expenditures and other cash requirements. We also enter into derivative financial instruments such as interest rate swaps to mitigate our interest rate risk on a related financial instrument or to effectively lock the interest rate on a portion of its variable rate debt.</w:t>
      </w:r>
    </w:p>
    <w:p>
      <w:pPr>
        <w:spacing w:after="0" w:line="18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following discussion of market risk is based solely on hypothetical changes in interest rates related to our variable rate debt. This discussion does not purport to take into account all of the factors that may affect the financial instruments discussed in this section.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Our interest rate risk is most sensitive to fluctuations in interest rates on our variable rate debt. At March 31, 2003, we had $158.4 million of variable rate debt. Based upon this balance of variable operating debt, if interest rates increased 1%, our earnings and cash flows would decrease by approximately $1.6 million. If interest rates decreased 1%, our earnings and cash flows would increase by approximately $1.6 million. We believe that the change in the fair value of our financial instruments resulting from a foreseeable fluctuation in interest rates would be immaterial to our total assets and total liabilities.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Hedges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use derivative financial instruments to convert a portion of our variable rate debt to fixed rate debt and to manage our fixed to variable rate debt ratio. A description of these derivative financial instruments is contained in Note A to the Notes to Consolidated Financial Statements contained in "Item</w:t>
      </w:r>
    </w:p>
    <w:p>
      <w:pPr>
        <w:spacing w:after="0" w:line="1" w:lineRule="exact"/>
        <w:rPr>
          <w:sz w:val="20"/>
          <w:szCs w:val="20"/>
          <w:color w:val="auto"/>
        </w:rPr>
      </w:pPr>
    </w:p>
    <w:p>
      <w:pPr>
        <w:jc w:val="center"/>
        <w:ind w:left="3420" w:right="3679" w:hanging="3410"/>
        <w:spacing w:after="0" w:line="465" w:lineRule="auto"/>
        <w:tabs>
          <w:tab w:leader="none" w:pos="27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is incorporated by reference into this Item 3. 36</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based closely on the definition of "disclosure controls and procedures" in Rule 13a-14(c)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Within 90 days prior to the date of this report, we carried out an evaluation, under the supervision and with the participation of our management, including our President and Chief Executive Officer and our Senior Vice President and Chief Financial Officer, of the effectiveness of the design and operation of our disclosure controls and procedures. Based on the foregoing, the President and Chief Executive Officer and our Senior Vice President and Chief Financial Officer concluded that our disclosure controls and procedures were effective.</w:t>
      </w:r>
    </w:p>
    <w:p>
      <w:pPr>
        <w:spacing w:after="0" w:line="177"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There have been no significant changes in our internal controls or in other factors that could significantly affect the internal controls subsequent to the date we completed our evaluation.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Vote to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580" w:hanging="783"/>
        <w:spacing w:after="0"/>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left="1580" w:right="3239" w:hanging="783"/>
        <w:spacing w:after="0" w:line="234"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1350 Certificates of Chief Executive Officer and Chief Financial Officer (filed herewith).</w:t>
      </w:r>
    </w:p>
    <w:p>
      <w:pPr>
        <w:spacing w:after="0" w:line="167" w:lineRule="exact"/>
        <w:rPr>
          <w:sz w:val="20"/>
          <w:szCs w:val="20"/>
          <w:color w:val="auto"/>
        </w:rPr>
      </w:pPr>
    </w:p>
    <w:p>
      <w:pPr>
        <w:ind w:left="1580" w:hanging="783"/>
        <w:spacing w:after="0"/>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158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dated December 31, 2002 was filed on February 12, 2003 in response to Item 9.</w:t>
      </w:r>
    </w:p>
    <w:p>
      <w:pPr>
        <w:spacing w:after="0" w:line="173" w:lineRule="exact"/>
        <w:rPr>
          <w:sz w:val="20"/>
          <w:szCs w:val="20"/>
          <w:color w:val="auto"/>
        </w:rPr>
      </w:pPr>
    </w:p>
    <w:p>
      <w:pPr>
        <w:ind w:left="1580" w:right="3399"/>
        <w:spacing w:after="0" w:line="234" w:lineRule="auto"/>
        <w:rPr>
          <w:sz w:val="20"/>
          <w:szCs w:val="20"/>
          <w:color w:val="auto"/>
        </w:rPr>
      </w:pPr>
      <w:r>
        <w:rPr>
          <w:rFonts w:ascii="Courier New" w:cs="Courier New" w:eastAsia="Courier New" w:hAnsi="Courier New"/>
          <w:sz w:val="15"/>
          <w:szCs w:val="15"/>
          <w:color w:val="auto"/>
        </w:rPr>
        <w:t>A Form 8-K, dated March 25, 2003 was filed on March 25, 2003 in response to Item 12.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38" w:name="page39"/>
    <w:bookmarkEnd w:id="3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FEDERAL REALTY INVESTMENT TRUST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May 7, 2003</w:t>
            </w: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/s/ Donald C. Wood</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Donald C. Wood, President, Chief Executive</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Officer and Trustee (Principal Executive</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505"/>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May 7, 2003</w:t>
            </w: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/s/ Larry E. Finger</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Larry E. Finger, Senior Vice President and</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Chief Financial Officer (Principal</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Accounting Officer)</w:t>
            </w:r>
          </w:p>
        </w:tc>
      </w:tr>
      <w:tr>
        <w:trPr>
          <w:trHeight w:val="336"/>
        </w:trPr>
        <w:tc>
          <w:tcPr>
            <w:tcW w:w="2160" w:type="dxa"/>
            <w:vAlign w:val="bottom"/>
          </w:tcPr>
          <w:p>
            <w:pPr>
              <w:spacing w:after="0"/>
              <w:rPr>
                <w:sz w:val="24"/>
                <w:szCs w:val="24"/>
                <w:color w:val="auto"/>
              </w:rPr>
            </w:pPr>
          </w:p>
        </w:tc>
        <w:tc>
          <w:tcPr>
            <w:tcW w:w="4840" w:type="dxa"/>
            <w:vAlign w:val="bottom"/>
          </w:tcPr>
          <w:p>
            <w:pPr>
              <w:ind w:left="1260"/>
              <w:spacing w:after="0"/>
              <w:rPr>
                <w:sz w:val="20"/>
                <w:szCs w:val="20"/>
                <w:color w:val="auto"/>
              </w:rPr>
            </w:pPr>
            <w:r>
              <w:rPr>
                <w:rFonts w:ascii="Courier New" w:cs="Courier New" w:eastAsia="Courier New" w:hAnsi="Courier New"/>
                <w:sz w:val="15"/>
                <w:szCs w:val="15"/>
                <w:color w:val="auto"/>
              </w:rPr>
              <w:t>39</w:t>
            </w:r>
          </w:p>
        </w:tc>
      </w:tr>
    </w:tbl>
    <w:p>
      <w:pPr>
        <w:sectPr>
          <w:pgSz w:w="11900" w:h="16838" w:orient="portrait"/>
          <w:cols w:equalWidth="0" w:num="1">
            <w:col w:w="10239"/>
          </w:cols>
          <w:pgMar w:left="220" w:top="617" w:right="1440" w:bottom="1440" w:gutter="0" w:footer="0" w:header="0"/>
        </w:sectPr>
      </w:pPr>
    </w:p>
    <w:bookmarkStart w:id="39" w:name="page40"/>
    <w:bookmarkEnd w:id="39"/>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Donald C. Wood, certify that:</w:t>
      </w:r>
    </w:p>
    <w:p>
      <w:pPr>
        <w:spacing w:after="0" w:line="173" w:lineRule="exact"/>
        <w:rPr>
          <w:sz w:val="20"/>
          <w:szCs w:val="20"/>
          <w:color w:val="auto"/>
        </w:rPr>
      </w:pPr>
    </w:p>
    <w:p>
      <w:pPr>
        <w:ind w:left="800" w:right="3499" w:hanging="440"/>
        <w:spacing w:after="0" w:line="234"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Federal Realty Investment Trust;</w:t>
      </w:r>
    </w:p>
    <w:p>
      <w:pPr>
        <w:spacing w:after="0" w:line="173" w:lineRule="exact"/>
        <w:rPr>
          <w:rFonts w:ascii="Courier New" w:cs="Courier New" w:eastAsia="Courier New" w:hAnsi="Courier New"/>
          <w:sz w:val="15"/>
          <w:szCs w:val="15"/>
          <w:color w:val="auto"/>
        </w:rPr>
      </w:pPr>
    </w:p>
    <w:p>
      <w:pPr>
        <w:ind w:left="800" w:right="3399" w:hanging="440"/>
        <w:spacing w:after="0" w:line="236"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73" w:lineRule="exact"/>
        <w:rPr>
          <w:rFonts w:ascii="Courier New" w:cs="Courier New" w:eastAsia="Courier New" w:hAnsi="Courier New"/>
          <w:sz w:val="15"/>
          <w:szCs w:val="15"/>
          <w:color w:val="auto"/>
        </w:rPr>
      </w:pPr>
    </w:p>
    <w:p>
      <w:pPr>
        <w:ind w:left="800" w:right="3399" w:hanging="440"/>
        <w:spacing w:after="0" w:line="236"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Courier New" w:cs="Courier New" w:eastAsia="Courier New" w:hAnsi="Courier New"/>
          <w:sz w:val="15"/>
          <w:szCs w:val="15"/>
          <w:color w:val="auto"/>
        </w:rPr>
      </w:pPr>
    </w:p>
    <w:p>
      <w:pPr>
        <w:ind w:left="800" w:right="3239" w:hanging="440"/>
        <w:spacing w:after="0" w:line="235"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140" w:right="3579" w:hanging="343"/>
        <w:spacing w:after="0" w:line="236"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3" w:lineRule="exact"/>
        <w:rPr>
          <w:rFonts w:ascii="Courier New" w:cs="Courier New" w:eastAsia="Courier New" w:hAnsi="Courier New"/>
          <w:sz w:val="15"/>
          <w:szCs w:val="15"/>
          <w:color w:val="auto"/>
        </w:rPr>
      </w:pPr>
    </w:p>
    <w:p>
      <w:pPr>
        <w:jc w:val="both"/>
        <w:ind w:left="1140" w:right="3239" w:hanging="343"/>
        <w:spacing w:after="0" w:line="235"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3" w:lineRule="exact"/>
        <w:rPr>
          <w:rFonts w:ascii="Courier New" w:cs="Courier New" w:eastAsia="Courier New" w:hAnsi="Courier New"/>
          <w:sz w:val="15"/>
          <w:szCs w:val="15"/>
          <w:color w:val="auto"/>
        </w:rPr>
      </w:pPr>
    </w:p>
    <w:p>
      <w:pPr>
        <w:ind w:left="1140" w:right="3499" w:hanging="343"/>
        <w:spacing w:after="0" w:line="235"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3" w:lineRule="exact"/>
        <w:rPr>
          <w:rFonts w:ascii="Courier New" w:cs="Courier New" w:eastAsia="Courier New" w:hAnsi="Courier New"/>
          <w:sz w:val="15"/>
          <w:szCs w:val="15"/>
          <w:color w:val="auto"/>
        </w:rPr>
      </w:pPr>
    </w:p>
    <w:p>
      <w:pPr>
        <w:ind w:left="800" w:right="3399" w:hanging="440"/>
        <w:spacing w:after="0" w:line="235"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trustees (or persons performing the equivalent functions):</w:t>
      </w:r>
    </w:p>
    <w:p>
      <w:pPr>
        <w:spacing w:after="0" w:line="175" w:lineRule="exact"/>
        <w:rPr>
          <w:rFonts w:ascii="Courier New" w:cs="Courier New" w:eastAsia="Courier New" w:hAnsi="Courier New"/>
          <w:sz w:val="15"/>
          <w:szCs w:val="15"/>
          <w:color w:val="auto"/>
        </w:rPr>
      </w:pPr>
    </w:p>
    <w:p>
      <w:pPr>
        <w:ind w:left="1140" w:right="3239" w:hanging="343"/>
        <w:spacing w:after="0" w:line="236"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Courier New" w:cs="Courier New" w:eastAsia="Courier New" w:hAnsi="Courier New"/>
          <w:sz w:val="15"/>
          <w:szCs w:val="15"/>
          <w:color w:val="auto"/>
        </w:rPr>
      </w:pPr>
    </w:p>
    <w:p>
      <w:pPr>
        <w:jc w:val="both"/>
        <w:ind w:left="1140" w:right="3579" w:hanging="343"/>
        <w:spacing w:after="0" w:line="235"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800" w:right="3319" w:hanging="440"/>
        <w:spacing w:after="0" w:line="235"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there were significant changes in internal controls or in other factors that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0" w:name="page41"/>
    <w:bookmarkEnd w:id="40"/>
    <w:p>
      <w:pPr>
        <w:ind w:left="800" w:right="3319"/>
        <w:spacing w:after="0" w:line="235" w:lineRule="auto"/>
        <w:rPr>
          <w:sz w:val="20"/>
          <w:szCs w:val="20"/>
          <w:color w:val="auto"/>
        </w:rPr>
      </w:pPr>
      <w:r>
        <w:rPr>
          <w:rFonts w:ascii="Courier New" w:cs="Courier New" w:eastAsia="Courier New" w:hAnsi="Courier New"/>
          <w:sz w:val="15"/>
          <w:szCs w:val="15"/>
          <w:color w:val="auto"/>
        </w:rPr>
        <w:t>could significantly affect internal controls subsequent to the date of our most recent evaluation, including any corrective actions with regard to significant deficiencies and material weaknesses.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May 7, 2003</w:t>
            </w: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/s/ Donald C. Wood</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Donald C. Wood, President, Chief Executive</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Officer and Trustee (Principal Executive</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336"/>
        </w:trPr>
        <w:tc>
          <w:tcPr>
            <w:tcW w:w="2160" w:type="dxa"/>
            <w:vAlign w:val="bottom"/>
          </w:tcPr>
          <w:p>
            <w:pPr>
              <w:spacing w:after="0"/>
              <w:rPr>
                <w:sz w:val="24"/>
                <w:szCs w:val="24"/>
                <w:color w:val="auto"/>
              </w:rPr>
            </w:pPr>
          </w:p>
        </w:tc>
        <w:tc>
          <w:tcPr>
            <w:tcW w:w="4840" w:type="dxa"/>
            <w:vAlign w:val="bottom"/>
          </w:tcPr>
          <w:p>
            <w:pPr>
              <w:ind w:left="1260"/>
              <w:spacing w:after="0"/>
              <w:rPr>
                <w:sz w:val="20"/>
                <w:szCs w:val="20"/>
                <w:color w:val="auto"/>
              </w:rPr>
            </w:pPr>
            <w:r>
              <w:rPr>
                <w:rFonts w:ascii="Courier New" w:cs="Courier New" w:eastAsia="Courier New" w:hAnsi="Courier New"/>
                <w:sz w:val="15"/>
                <w:szCs w:val="15"/>
                <w:color w:val="auto"/>
              </w:rPr>
              <w:t>41</w:t>
            </w:r>
          </w:p>
        </w:tc>
      </w:tr>
    </w:tbl>
    <w:p>
      <w:pPr>
        <w:sectPr>
          <w:pgSz w:w="11900" w:h="16838" w:orient="portrait"/>
          <w:cols w:equalWidth="0" w:num="1">
            <w:col w:w="10239"/>
          </w:cols>
          <w:pgMar w:left="220" w:top="624" w:right="1440" w:bottom="1440" w:gutter="0" w:footer="0" w:header="0"/>
        </w:sectPr>
      </w:pPr>
    </w:p>
    <w:bookmarkStart w:id="41" w:name="page42"/>
    <w:bookmarkEnd w:id="41"/>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Larry E. Finger, certify that:</w:t>
      </w:r>
    </w:p>
    <w:p>
      <w:pPr>
        <w:spacing w:after="0" w:line="173" w:lineRule="exact"/>
        <w:rPr>
          <w:sz w:val="20"/>
          <w:szCs w:val="20"/>
          <w:color w:val="auto"/>
        </w:rPr>
      </w:pPr>
    </w:p>
    <w:p>
      <w:pPr>
        <w:ind w:left="800" w:right="3499" w:hanging="440"/>
        <w:spacing w:after="0" w:line="234"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Federal Realty Investment Trust;</w:t>
      </w:r>
    </w:p>
    <w:p>
      <w:pPr>
        <w:spacing w:after="0" w:line="173" w:lineRule="exact"/>
        <w:rPr>
          <w:rFonts w:ascii="Courier New" w:cs="Courier New" w:eastAsia="Courier New" w:hAnsi="Courier New"/>
          <w:sz w:val="15"/>
          <w:szCs w:val="15"/>
          <w:color w:val="auto"/>
        </w:rPr>
      </w:pPr>
    </w:p>
    <w:p>
      <w:pPr>
        <w:ind w:left="800" w:right="3399" w:hanging="440"/>
        <w:spacing w:after="0" w:line="236"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73" w:lineRule="exact"/>
        <w:rPr>
          <w:rFonts w:ascii="Courier New" w:cs="Courier New" w:eastAsia="Courier New" w:hAnsi="Courier New"/>
          <w:sz w:val="15"/>
          <w:szCs w:val="15"/>
          <w:color w:val="auto"/>
        </w:rPr>
      </w:pPr>
    </w:p>
    <w:p>
      <w:pPr>
        <w:ind w:left="800" w:right="3399" w:hanging="440"/>
        <w:spacing w:after="0" w:line="236"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Courier New" w:cs="Courier New" w:eastAsia="Courier New" w:hAnsi="Courier New"/>
          <w:sz w:val="15"/>
          <w:szCs w:val="15"/>
          <w:color w:val="auto"/>
        </w:rPr>
      </w:pPr>
    </w:p>
    <w:p>
      <w:pPr>
        <w:ind w:left="800" w:right="3239" w:hanging="440"/>
        <w:spacing w:after="0" w:line="235"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140" w:right="3579" w:hanging="343"/>
        <w:spacing w:after="0" w:line="236" w:lineRule="auto"/>
        <w:tabs>
          <w:tab w:leader="none" w:pos="11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3" w:lineRule="exact"/>
        <w:rPr>
          <w:rFonts w:ascii="Courier New" w:cs="Courier New" w:eastAsia="Courier New" w:hAnsi="Courier New"/>
          <w:sz w:val="15"/>
          <w:szCs w:val="15"/>
          <w:color w:val="auto"/>
        </w:rPr>
      </w:pPr>
    </w:p>
    <w:p>
      <w:pPr>
        <w:jc w:val="both"/>
        <w:ind w:left="1140" w:right="3239" w:hanging="343"/>
        <w:spacing w:after="0" w:line="235" w:lineRule="auto"/>
        <w:tabs>
          <w:tab w:leader="none" w:pos="11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3" w:lineRule="exact"/>
        <w:rPr>
          <w:rFonts w:ascii="Courier New" w:cs="Courier New" w:eastAsia="Courier New" w:hAnsi="Courier New"/>
          <w:sz w:val="15"/>
          <w:szCs w:val="15"/>
          <w:color w:val="auto"/>
        </w:rPr>
      </w:pPr>
    </w:p>
    <w:p>
      <w:pPr>
        <w:ind w:left="1140" w:right="3499" w:hanging="343"/>
        <w:spacing w:after="0" w:line="235" w:lineRule="auto"/>
        <w:tabs>
          <w:tab w:leader="none" w:pos="11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3" w:lineRule="exact"/>
        <w:rPr>
          <w:rFonts w:ascii="Courier New" w:cs="Courier New" w:eastAsia="Courier New" w:hAnsi="Courier New"/>
          <w:sz w:val="15"/>
          <w:szCs w:val="15"/>
          <w:color w:val="auto"/>
        </w:rPr>
      </w:pPr>
    </w:p>
    <w:p>
      <w:pPr>
        <w:ind w:left="800" w:right="3399" w:hanging="440"/>
        <w:spacing w:after="0" w:line="235"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trustees (or persons performing the equivalent functions):</w:t>
      </w:r>
    </w:p>
    <w:p>
      <w:pPr>
        <w:spacing w:after="0" w:line="175" w:lineRule="exact"/>
        <w:rPr>
          <w:rFonts w:ascii="Courier New" w:cs="Courier New" w:eastAsia="Courier New" w:hAnsi="Courier New"/>
          <w:sz w:val="15"/>
          <w:szCs w:val="15"/>
          <w:color w:val="auto"/>
        </w:rPr>
      </w:pPr>
    </w:p>
    <w:p>
      <w:pPr>
        <w:ind w:left="1140" w:right="3239" w:hanging="343"/>
        <w:spacing w:after="0" w:line="236" w:lineRule="auto"/>
        <w:tabs>
          <w:tab w:leader="none" w:pos="11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Courier New" w:cs="Courier New" w:eastAsia="Courier New" w:hAnsi="Courier New"/>
          <w:sz w:val="15"/>
          <w:szCs w:val="15"/>
          <w:color w:val="auto"/>
        </w:rPr>
      </w:pPr>
    </w:p>
    <w:p>
      <w:pPr>
        <w:jc w:val="both"/>
        <w:ind w:left="1140" w:right="3579" w:hanging="343"/>
        <w:spacing w:after="0" w:line="235" w:lineRule="auto"/>
        <w:tabs>
          <w:tab w:leader="none" w:pos="11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800" w:right="3319" w:hanging="440"/>
        <w:spacing w:after="0" w:line="235"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there were significant changes in internal controls or in other factors that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2" w:name="page43"/>
    <w:bookmarkEnd w:id="42"/>
    <w:p>
      <w:pPr>
        <w:ind w:left="800" w:right="3319"/>
        <w:spacing w:after="0" w:line="235" w:lineRule="auto"/>
        <w:rPr>
          <w:sz w:val="20"/>
          <w:szCs w:val="20"/>
          <w:color w:val="auto"/>
        </w:rPr>
      </w:pPr>
      <w:r>
        <w:rPr>
          <w:rFonts w:ascii="Courier New" w:cs="Courier New" w:eastAsia="Courier New" w:hAnsi="Courier New"/>
          <w:sz w:val="15"/>
          <w:szCs w:val="15"/>
          <w:color w:val="auto"/>
        </w:rPr>
        <w:t>could significantly affect internal controls subsequent to the date of our most recent evaluation, including any corrective actions with regard to significant deficiencies and material weaknesses.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May 7, 2003</w:t>
            </w: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/s/ Larry E. Finger</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Larry E. Finger, Senior Vice President and</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Chief Financial Officer(Principal</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Accounting Officer)</w:t>
            </w:r>
          </w:p>
        </w:tc>
      </w:tr>
      <w:tr>
        <w:trPr>
          <w:trHeight w:val="336"/>
        </w:trPr>
        <w:tc>
          <w:tcPr>
            <w:tcW w:w="2160" w:type="dxa"/>
            <w:vAlign w:val="bottom"/>
          </w:tcPr>
          <w:p>
            <w:pPr>
              <w:spacing w:after="0"/>
              <w:rPr>
                <w:sz w:val="24"/>
                <w:szCs w:val="24"/>
                <w:color w:val="auto"/>
              </w:rPr>
            </w:pPr>
          </w:p>
        </w:tc>
        <w:tc>
          <w:tcPr>
            <w:tcW w:w="4840" w:type="dxa"/>
            <w:vAlign w:val="bottom"/>
          </w:tcPr>
          <w:p>
            <w:pPr>
              <w:ind w:left="1260"/>
              <w:spacing w:after="0"/>
              <w:rPr>
                <w:sz w:val="20"/>
                <w:szCs w:val="20"/>
                <w:color w:val="auto"/>
              </w:rPr>
            </w:pPr>
            <w:r>
              <w:rPr>
                <w:rFonts w:ascii="Courier New" w:cs="Courier New" w:eastAsia="Courier New" w:hAnsi="Courier New"/>
                <w:sz w:val="15"/>
                <w:szCs w:val="15"/>
                <w:color w:val="auto"/>
              </w:rPr>
              <w:t>43</w:t>
            </w:r>
          </w:p>
        </w:tc>
      </w:tr>
    </w:tbl>
    <w:p>
      <w:pPr>
        <w:sectPr>
          <w:pgSz w:w="11900" w:h="16838" w:orient="portrait"/>
          <w:cols w:equalWidth="0" w:num="1">
            <w:col w:w="10239"/>
          </w:cols>
          <w:pgMar w:left="220" w:top="62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EXHIBIT INDEX</w:t>
      </w:r>
    </w:p>
    <w:p>
      <w:pPr>
        <w:spacing w:after="0" w:line="166" w:lineRule="exact"/>
        <w:rPr>
          <w:sz w:val="20"/>
          <w:szCs w:val="20"/>
          <w:color w:val="auto"/>
        </w:rPr>
      </w:pPr>
    </w:p>
    <w:p>
      <w:pPr>
        <w:ind w:left="1580" w:hanging="783"/>
        <w:spacing w:after="0"/>
        <w:tabs>
          <w:tab w:leader="none" w:pos="15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left="1580" w:right="3579" w:hanging="783"/>
        <w:spacing w:after="0" w:line="234" w:lineRule="auto"/>
        <w:tabs>
          <w:tab w:leader="none" w:pos="1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1350 Certifications of Chief Executive Officer and Chief Financial Officer (filed herewith).</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44" w:name="page45"/>
    <w:bookmarkEnd w:id="44"/>
    <w:p>
      <w:pPr>
        <w:ind w:left="5700"/>
        <w:spacing w:after="0"/>
        <w:rPr>
          <w:sz w:val="20"/>
          <w:szCs w:val="20"/>
          <w:color w:val="auto"/>
        </w:rPr>
      </w:pPr>
      <w:r>
        <w:rPr>
          <w:rFonts w:ascii="Courier New" w:cs="Courier New" w:eastAsia="Courier New" w:hAnsi="Courier New"/>
          <w:sz w:val="15"/>
          <w:szCs w:val="15"/>
          <w:color w:val="auto"/>
        </w:rPr>
        <w:t>Exhibit 99</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18 U.S.C. SECTION 1350 AS ADOPTED PURSUANT TO</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ending March 31, 2003, (the "Report"). The undersigned hereby certifies that:</w:t>
      </w:r>
    </w:p>
    <w:p>
      <w:pPr>
        <w:spacing w:after="0" w:line="163" w:lineRule="exact"/>
        <w:rPr>
          <w:sz w:val="20"/>
          <w:szCs w:val="20"/>
          <w:color w:val="auto"/>
        </w:rPr>
      </w:pPr>
    </w:p>
    <w:p>
      <w:pPr>
        <w:jc w:val="both"/>
        <w:ind w:left="1580" w:right="3579" w:hanging="783"/>
        <w:spacing w:after="0" w:line="261" w:lineRule="auto"/>
        <w:tabs>
          <w:tab w:leader="none" w:pos="15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59" w:lineRule="exact"/>
        <w:rPr>
          <w:rFonts w:ascii="Courier New" w:cs="Courier New" w:eastAsia="Courier New" w:hAnsi="Courier New"/>
          <w:sz w:val="14"/>
          <w:szCs w:val="14"/>
          <w:color w:val="auto"/>
        </w:rPr>
      </w:pPr>
    </w:p>
    <w:p>
      <w:pPr>
        <w:ind w:left="1580" w:right="3319" w:hanging="783"/>
        <w:spacing w:after="0" w:line="235" w:lineRule="auto"/>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May 7, 2003</w:t>
            </w: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/s/ Donald C. Wood</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Donald C. Wood, President, Chief Executive</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Officer and Trustee (Principal Executive</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Officer)</w:t>
            </w:r>
          </w:p>
        </w:tc>
      </w:tr>
    </w:tbl>
    <w:p>
      <w:pPr>
        <w:sectPr>
          <w:pgSz w:w="11900" w:h="16838" w:orient="portrait"/>
          <w:cols w:equalWidth="0" w:num="1">
            <w:col w:w="10239"/>
          </w:cols>
          <w:pgMar w:left="220" w:top="471" w:right="1440" w:bottom="1440" w:gutter="0" w:footer="0" w:header="0"/>
        </w:sectPr>
      </w:pPr>
    </w:p>
    <w:bookmarkStart w:id="45" w:name="page46"/>
    <w:bookmarkEnd w:id="45"/>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18 U.S.C. SECTION 1350 AS ADOPTED PURSUANT TO</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ending March 31, 2003 (the "Report"). The undersigned hereby certifies that:</w:t>
      </w:r>
    </w:p>
    <w:p>
      <w:pPr>
        <w:spacing w:after="0" w:line="175" w:lineRule="exact"/>
        <w:rPr>
          <w:sz w:val="20"/>
          <w:szCs w:val="20"/>
          <w:color w:val="auto"/>
        </w:rPr>
      </w:pPr>
    </w:p>
    <w:p>
      <w:pPr>
        <w:jc w:val="both"/>
        <w:ind w:left="1580" w:right="3579" w:hanging="783"/>
        <w:spacing w:after="0" w:line="261" w:lineRule="auto"/>
        <w:tabs>
          <w:tab w:leader="none" w:pos="15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59" w:lineRule="exact"/>
        <w:rPr>
          <w:rFonts w:ascii="Courier New" w:cs="Courier New" w:eastAsia="Courier New" w:hAnsi="Courier New"/>
          <w:sz w:val="14"/>
          <w:szCs w:val="14"/>
          <w:color w:val="auto"/>
        </w:rPr>
      </w:pPr>
    </w:p>
    <w:p>
      <w:pPr>
        <w:ind w:left="1580" w:right="3319" w:hanging="783"/>
        <w:spacing w:after="0" w:line="235"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May 7, 2003</w:t>
            </w:r>
          </w:p>
        </w:tc>
        <w:tc>
          <w:tcPr>
            <w:tcW w:w="4840" w:type="dxa"/>
            <w:vAlign w:val="bottom"/>
          </w:tcPr>
          <w:p>
            <w:pPr>
              <w:ind w:left="1180"/>
              <w:spacing w:after="0"/>
              <w:rPr>
                <w:sz w:val="20"/>
                <w:szCs w:val="20"/>
                <w:color w:val="auto"/>
              </w:rPr>
            </w:pPr>
            <w:r>
              <w:rPr>
                <w:rFonts w:ascii="Courier New" w:cs="Courier New" w:eastAsia="Courier New" w:hAnsi="Courier New"/>
                <w:sz w:val="15"/>
                <w:szCs w:val="15"/>
                <w:color w:val="auto"/>
              </w:rPr>
              <w:t>/s/ Larry E. Finger</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Larry E. Finger, Senior Vice President and</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Chief Financial Officer (Principal</w:t>
            </w:r>
          </w:p>
        </w:tc>
      </w:tr>
      <w:tr>
        <w:trPr>
          <w:trHeight w:val="168"/>
        </w:trPr>
        <w:tc>
          <w:tcPr>
            <w:tcW w:w="2160" w:type="dxa"/>
            <w:vAlign w:val="bottom"/>
          </w:tcPr>
          <w:p>
            <w:pPr>
              <w:spacing w:after="0"/>
              <w:rPr>
                <w:sz w:val="14"/>
                <w:szCs w:val="14"/>
                <w:color w:val="auto"/>
              </w:rPr>
            </w:pPr>
          </w:p>
        </w:tc>
        <w:tc>
          <w:tcPr>
            <w:tcW w:w="4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Accounting Officer)</w:t>
            </w:r>
          </w:p>
        </w:tc>
      </w:tr>
    </w:tbl>
    <w:p>
      <w:pPr>
        <w:spacing w:after="0" w:line="1" w:lineRule="exact"/>
        <w:rPr>
          <w:sz w:val="20"/>
          <w:szCs w:val="20"/>
          <w:color w:val="auto"/>
        </w:rPr>
      </w:pP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6"/>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upperLetter"/>
      <w:start w:val="1"/>
    </w:lvl>
  </w:abstractNum>
  <w:abstractNum w:abstractNumId="61">
    <w:nsid w:val="25A70BF7"/>
    <w:multiLevelType w:val="hybridMultilevel"/>
    <w:lvl w:ilvl="0">
      <w:lvlJc w:val="left"/>
      <w:lvlText w:val="(%1)"/>
      <w:numFmt w:val="decimal"/>
      <w:start w:val="99"/>
    </w:lvl>
  </w:abstractNum>
  <w:abstractNum w:abstractNumId="62">
    <w:nsid w:val="1DBABF00"/>
    <w:multiLevelType w:val="hybridMultilevel"/>
    <w:lvl w:ilvl="0">
      <w:lvlJc w:val="left"/>
      <w:lvlText w:val="(%1)"/>
      <w:numFmt w:val="upperLetter"/>
      <w:start w:val="2"/>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upperLetter"/>
      <w:start w:val="1"/>
    </w:lvl>
  </w:abstractNum>
  <w:abstractNum w:abstractNumId="66">
    <w:nsid w:val="5DB70AE5"/>
    <w:multiLevelType w:val="hybridMultilevel"/>
    <w:lvl w:ilvl="0">
      <w:lvlJc w:val="left"/>
      <w:lvlText w:val="(%1)"/>
      <w:numFmt w:val="decimal"/>
      <w:start w:val="99"/>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2019-12-11T23:46:53Z</dcterms:created>
  <dcterms:modified xsi:type="dcterms:W3CDTF">2019-12-11T23:46:53Z</dcterms:modified>
</cp:coreProperties>
</file>