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4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Washington, D.C. 20549</w:t>
      </w:r>
    </w:p>
    <w:p>
      <w:pPr>
        <w:spacing w:after="0" w:line="338"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CURRENT REPORT</w:t>
      </w:r>
    </w:p>
    <w:p>
      <w:pPr>
        <w:spacing w:after="0" w:line="173"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7"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Date of Report (Date of earliest event reported) December 31, 1996</w:t>
      </w:r>
    </w:p>
    <w:p>
      <w:pPr>
        <w:spacing w:after="0" w:line="173"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173"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District of Columbia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240"/>
        <w:spacing w:after="0"/>
        <w:rPr>
          <w:sz w:val="20"/>
          <w:szCs w:val="20"/>
          <w:color w:val="auto"/>
        </w:rPr>
      </w:pPr>
      <w:r>
        <w:rPr>
          <w:rFonts w:ascii="Courier New" w:cs="Courier New" w:eastAsia="Courier New" w:hAnsi="Courier New"/>
          <w:sz w:val="14"/>
          <w:szCs w:val="14"/>
          <w:color w:val="auto"/>
        </w:rPr>
        <w:t>1-7533</w:t>
      </w:r>
    </w:p>
    <w:p>
      <w:pPr>
        <w:spacing w:after="0" w:line="7"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3">
            <w:col w:w="2500" w:space="360"/>
            <w:col w:w="1160" w:space="720"/>
            <w:col w:w="549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1626 East Jefferson Street, Rockville, Maryland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20852-4041</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sectPr>
          <w:pgSz w:w="11900" w:h="16838" w:orient="portrait"/>
          <w:cols w:equalWidth="0" w:num="2">
            <w:col w:w="4800" w:space="720"/>
            <w:col w:w="471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Registrant's telephone number including area code: 301/998-8100</w:t>
      </w:r>
    </w:p>
    <w:p>
      <w:pPr>
        <w:spacing w:after="0" w:line="7" w:lineRule="exact"/>
        <w:rPr>
          <w:sz w:val="24"/>
          <w:szCs w:val="24"/>
          <w:color w:val="auto"/>
        </w:rPr>
      </w:pPr>
    </w:p>
    <w:p>
      <w:pPr>
        <w:ind w:left="44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110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338" w:lineRule="exact"/>
        <w:rPr>
          <w:sz w:val="20"/>
          <w:szCs w:val="20"/>
          <w:color w:val="auto"/>
        </w:rPr>
      </w:pPr>
    </w:p>
    <w:p>
      <w:pPr>
        <w:ind w:right="3939" w:firstLine="1120"/>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December 31, 1996.</w:t>
      </w:r>
    </w:p>
    <w:p>
      <w:pPr>
        <w:spacing w:after="0" w:line="16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173" w:lineRule="exact"/>
        <w:rPr>
          <w:sz w:val="20"/>
          <w:szCs w:val="20"/>
          <w:color w:val="auto"/>
        </w:rPr>
      </w:pPr>
    </w:p>
    <w:p>
      <w:pPr>
        <w:ind w:left="1040" w:hanging="687"/>
        <w:spacing w:after="0"/>
        <w:tabs>
          <w:tab w:leader="none" w:pos="10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1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December 31, 1996</w:t>
      </w:r>
    </w:p>
    <w:p>
      <w:pPr>
        <w:spacing w:after="0" w:line="173"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ind w:right="3419" w:firstLine="947"/>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24, 1997</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200" w:lineRule="exact"/>
        <w:rPr>
          <w:sz w:val="20"/>
          <w:szCs w:val="20"/>
          <w:color w:val="auto"/>
        </w:rPr>
      </w:pPr>
    </w:p>
    <w:p>
      <w:pPr>
        <w:sectPr>
          <w:pgSz w:w="11900" w:h="16838" w:orient="portrait"/>
          <w:cols w:equalWidth="0" w:num="3">
            <w:col w:w="440" w:space="180"/>
            <w:col w:w="2280" w:space="720"/>
            <w:col w:w="6619"/>
          </w:cols>
          <w:pgMar w:left="220" w:top="616"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80"/>
            <w:col w:w="4380" w:space="720"/>
            <w:col w:w="4279"/>
          </w:cols>
          <w:pgMar w:left="220" w:top="616"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Supplemental portfolio information at December 31,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184" w:lineRule="exact"/>
        <w:rPr>
          <w:sz w:val="20"/>
          <w:szCs w:val="20"/>
          <w:color w:val="auto"/>
        </w:rPr>
      </w:pPr>
    </w:p>
    <w:p>
      <w:pPr>
        <w:sectPr>
          <w:pgSz w:w="11900" w:h="16838" w:orient="portrait"/>
          <w:cols w:equalWidth="0" w:num="3">
            <w:col w:w="360" w:space="500"/>
            <w:col w:w="4980" w:space="720"/>
            <w:col w:w="367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December 31, 1996</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1.</w:t>
            </w:r>
          </w:p>
        </w:tc>
        <w:tc>
          <w:tcPr>
            <w:tcW w:w="6080" w:type="dxa"/>
            <w:vAlign w:val="bottom"/>
          </w:tcPr>
          <w:p>
            <w:pPr>
              <w:ind w:left="140"/>
              <w:spacing w:after="0"/>
              <w:rPr>
                <w:sz w:val="20"/>
                <w:szCs w:val="20"/>
                <w:color w:val="auto"/>
              </w:rPr>
            </w:pPr>
            <w:r>
              <w:rPr>
                <w:rFonts w:ascii="Courier New" w:cs="Courier New" w:eastAsia="Courier New" w:hAnsi="Courier New"/>
                <w:sz w:val="14"/>
                <w:szCs w:val="14"/>
                <w:color w:val="auto"/>
              </w:rPr>
              <w:t>Debt Summary........................................................</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E-2</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2.</w:t>
            </w:r>
          </w:p>
        </w:tc>
        <w:tc>
          <w:tcPr>
            <w:tcW w:w="6080" w:type="dxa"/>
            <w:vAlign w:val="bottom"/>
          </w:tcPr>
          <w:p>
            <w:pPr>
              <w:ind w:left="140"/>
              <w:spacing w:after="0"/>
              <w:rPr>
                <w:sz w:val="20"/>
                <w:szCs w:val="20"/>
                <w:color w:val="auto"/>
              </w:rPr>
            </w:pPr>
            <w:r>
              <w:rPr>
                <w:rFonts w:ascii="Courier New" w:cs="Courier New" w:eastAsia="Courier New" w:hAnsi="Courier New"/>
                <w:sz w:val="14"/>
                <w:szCs w:val="14"/>
                <w:color w:val="auto"/>
              </w:rPr>
              <w:t>Occupancy</w:t>
            </w:r>
          </w:p>
        </w:tc>
        <w:tc>
          <w:tcPr>
            <w:tcW w:w="34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6080" w:type="dxa"/>
            <w:vAlign w:val="bottom"/>
          </w:tcPr>
          <w:p>
            <w:pPr>
              <w:ind w:left="660"/>
              <w:spacing w:after="0"/>
              <w:rPr>
                <w:sz w:val="20"/>
                <w:szCs w:val="20"/>
                <w:color w:val="auto"/>
              </w:rPr>
            </w:pPr>
            <w:r>
              <w:rPr>
                <w:rFonts w:ascii="Courier New" w:cs="Courier New" w:eastAsia="Courier New" w:hAnsi="Courier New"/>
                <w:sz w:val="14"/>
                <w:szCs w:val="14"/>
                <w:color w:val="auto"/>
              </w:rPr>
              <w:t>Percentage Leased.............................................</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300" w:type="dxa"/>
            <w:vAlign w:val="bottom"/>
          </w:tcPr>
          <w:p>
            <w:pPr>
              <w:spacing w:after="0"/>
              <w:rPr>
                <w:sz w:val="14"/>
                <w:szCs w:val="14"/>
                <w:color w:val="auto"/>
              </w:rPr>
            </w:pPr>
          </w:p>
        </w:tc>
        <w:tc>
          <w:tcPr>
            <w:tcW w:w="6080" w:type="dxa"/>
            <w:vAlign w:val="bottom"/>
          </w:tcPr>
          <w:p>
            <w:pPr>
              <w:ind w:left="660"/>
              <w:spacing w:after="0"/>
              <w:rPr>
                <w:sz w:val="20"/>
                <w:szCs w:val="20"/>
                <w:color w:val="auto"/>
              </w:rPr>
            </w:pPr>
            <w:r>
              <w:rPr>
                <w:rFonts w:ascii="Courier New" w:cs="Courier New" w:eastAsia="Courier New" w:hAnsi="Courier New"/>
                <w:sz w:val="14"/>
                <w:szCs w:val="14"/>
                <w:color w:val="auto"/>
              </w:rPr>
              <w:t>Economic Occupancy............................................</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E-4</w:t>
            </w:r>
          </w:p>
        </w:tc>
      </w:tr>
      <w:tr>
        <w:trPr>
          <w:trHeight w:val="166"/>
        </w:trPr>
        <w:tc>
          <w:tcPr>
            <w:tcW w:w="300" w:type="dxa"/>
            <w:vAlign w:val="bottom"/>
          </w:tcPr>
          <w:p>
            <w:pPr>
              <w:spacing w:after="0"/>
              <w:rPr>
                <w:sz w:val="14"/>
                <w:szCs w:val="14"/>
                <w:color w:val="auto"/>
              </w:rPr>
            </w:pPr>
          </w:p>
        </w:tc>
        <w:tc>
          <w:tcPr>
            <w:tcW w:w="6080" w:type="dxa"/>
            <w:vAlign w:val="bottom"/>
          </w:tcPr>
          <w:p>
            <w:pPr>
              <w:ind w:left="660"/>
              <w:spacing w:after="0"/>
              <w:rPr>
                <w:sz w:val="20"/>
                <w:szCs w:val="20"/>
                <w:color w:val="auto"/>
              </w:rPr>
            </w:pPr>
            <w:r>
              <w:rPr>
                <w:rFonts w:ascii="Courier New" w:cs="Courier New" w:eastAsia="Courier New" w:hAnsi="Courier New"/>
                <w:sz w:val="14"/>
                <w:szCs w:val="14"/>
                <w:color w:val="auto"/>
              </w:rPr>
              <w:t>Regional Breakdown............................................</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E-5</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3.</w:t>
            </w:r>
          </w:p>
        </w:tc>
        <w:tc>
          <w:tcPr>
            <w:tcW w:w="6080" w:type="dxa"/>
            <w:vAlign w:val="bottom"/>
          </w:tcPr>
          <w:p>
            <w:pPr>
              <w:ind w:left="140"/>
              <w:spacing w:after="0"/>
              <w:rPr>
                <w:sz w:val="20"/>
                <w:szCs w:val="20"/>
                <w:color w:val="auto"/>
              </w:rPr>
            </w:pPr>
            <w:r>
              <w:rPr>
                <w:rFonts w:ascii="Courier New" w:cs="Courier New" w:eastAsia="Courier New" w:hAnsi="Courier New"/>
                <w:sz w:val="14"/>
                <w:szCs w:val="14"/>
                <w:color w:val="auto"/>
              </w:rPr>
              <w:t>Leases Signed Analysis</w:t>
            </w:r>
          </w:p>
        </w:tc>
        <w:tc>
          <w:tcPr>
            <w:tcW w:w="34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6080" w:type="dxa"/>
            <w:vAlign w:val="bottom"/>
          </w:tcPr>
          <w:p>
            <w:pPr>
              <w:ind w:left="660"/>
              <w:spacing w:after="0"/>
              <w:rPr>
                <w:sz w:val="20"/>
                <w:szCs w:val="20"/>
                <w:color w:val="auto"/>
              </w:rPr>
            </w:pPr>
            <w:r>
              <w:rPr>
                <w:rFonts w:ascii="Courier New" w:cs="Courier New" w:eastAsia="Courier New" w:hAnsi="Courier New"/>
                <w:sz w:val="14"/>
                <w:szCs w:val="14"/>
                <w:color w:val="auto"/>
              </w:rPr>
              <w:t>Comparable and Non-Comparable.................................</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E-6</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4.</w:t>
            </w:r>
          </w:p>
        </w:tc>
        <w:tc>
          <w:tcPr>
            <w:tcW w:w="6080" w:type="dxa"/>
            <w:vAlign w:val="bottom"/>
          </w:tcPr>
          <w:p>
            <w:pPr>
              <w:ind w:left="140"/>
              <w:spacing w:after="0"/>
              <w:rPr>
                <w:sz w:val="20"/>
                <w:szCs w:val="20"/>
                <w:color w:val="auto"/>
              </w:rPr>
            </w:pPr>
            <w:r>
              <w:rPr>
                <w:rFonts w:ascii="Courier New" w:cs="Courier New" w:eastAsia="Courier New" w:hAnsi="Courier New"/>
                <w:sz w:val="14"/>
                <w:szCs w:val="14"/>
                <w:color w:val="auto"/>
              </w:rPr>
              <w:t>Lease Expirations</w:t>
            </w:r>
          </w:p>
        </w:tc>
        <w:tc>
          <w:tcPr>
            <w:tcW w:w="340" w:type="dxa"/>
            <w:vAlign w:val="bottom"/>
          </w:tcPr>
          <w:p>
            <w:pPr>
              <w:spacing w:after="0"/>
              <w:rPr>
                <w:sz w:val="24"/>
                <w:szCs w:val="24"/>
                <w:color w:val="auto"/>
              </w:rPr>
            </w:pPr>
          </w:p>
        </w:tc>
      </w:tr>
      <w:tr>
        <w:trPr>
          <w:trHeight w:val="166"/>
        </w:trPr>
        <w:tc>
          <w:tcPr>
            <w:tcW w:w="300" w:type="dxa"/>
            <w:vAlign w:val="bottom"/>
          </w:tcPr>
          <w:p>
            <w:pPr>
              <w:spacing w:after="0"/>
              <w:rPr>
                <w:sz w:val="14"/>
                <w:szCs w:val="14"/>
                <w:color w:val="auto"/>
              </w:rPr>
            </w:pPr>
          </w:p>
        </w:tc>
        <w:tc>
          <w:tcPr>
            <w:tcW w:w="6080" w:type="dxa"/>
            <w:vAlign w:val="bottom"/>
          </w:tcPr>
          <w:p>
            <w:pPr>
              <w:ind w:left="660"/>
              <w:spacing w:after="0"/>
              <w:rPr>
                <w:sz w:val="20"/>
                <w:szCs w:val="20"/>
                <w:color w:val="auto"/>
              </w:rPr>
            </w:pPr>
            <w:r>
              <w:rPr>
                <w:rFonts w:ascii="Courier New" w:cs="Courier New" w:eastAsia="Courier New" w:hAnsi="Courier New"/>
                <w:sz w:val="14"/>
                <w:szCs w:val="14"/>
                <w:color w:val="auto"/>
              </w:rPr>
              <w:t>Average Rent on Leases Expiring...............................</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E-7</w:t>
            </w:r>
          </w:p>
        </w:tc>
      </w:tr>
      <w:tr>
        <w:trPr>
          <w:trHeight w:val="166"/>
        </w:trPr>
        <w:tc>
          <w:tcPr>
            <w:tcW w:w="300" w:type="dxa"/>
            <w:vAlign w:val="bottom"/>
          </w:tcPr>
          <w:p>
            <w:pPr>
              <w:spacing w:after="0"/>
              <w:rPr>
                <w:sz w:val="14"/>
                <w:szCs w:val="14"/>
                <w:color w:val="auto"/>
              </w:rPr>
            </w:pPr>
          </w:p>
        </w:tc>
        <w:tc>
          <w:tcPr>
            <w:tcW w:w="6080" w:type="dxa"/>
            <w:vAlign w:val="bottom"/>
          </w:tcPr>
          <w:p>
            <w:pPr>
              <w:ind w:left="660"/>
              <w:spacing w:after="0"/>
              <w:rPr>
                <w:sz w:val="20"/>
                <w:szCs w:val="20"/>
                <w:color w:val="auto"/>
              </w:rPr>
            </w:pPr>
            <w:r>
              <w:rPr>
                <w:rFonts w:ascii="Courier New" w:cs="Courier New" w:eastAsia="Courier New" w:hAnsi="Courier New"/>
                <w:sz w:val="14"/>
                <w:szCs w:val="14"/>
                <w:color w:val="auto"/>
              </w:rPr>
              <w:t>Leases Expiring on Anchor and Small Shops.....................</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E-8</w:t>
            </w:r>
          </w:p>
        </w:tc>
      </w:tr>
    </w:tbl>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Sales/Occupancy Costs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Overall, Anchor &amp; Small Shop..................................</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E-9</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6.</w:t>
            </w:r>
          </w:p>
        </w:tc>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Press Release.......................................................</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E-10</w:t>
            </w:r>
          </w:p>
        </w:tc>
      </w:tr>
      <w:tr>
        <w:trPr>
          <w:trHeight w:val="331"/>
        </w:trPr>
        <w:tc>
          <w:tcPr>
            <w:tcW w:w="30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4"/>
              </w:rPr>
              <w:t>7.</w:t>
            </w:r>
          </w:p>
        </w:tc>
        <w:tc>
          <w:tcPr>
            <w:tcW w:w="6040" w:type="dxa"/>
            <w:vAlign w:val="bottom"/>
          </w:tcPr>
          <w:p>
            <w:pPr>
              <w:jc w:val="right"/>
              <w:spacing w:after="0"/>
              <w:rPr>
                <w:sz w:val="20"/>
                <w:szCs w:val="20"/>
                <w:color w:val="auto"/>
              </w:rPr>
            </w:pPr>
            <w:r>
              <w:rPr>
                <w:rFonts w:ascii="Courier New" w:cs="Courier New" w:eastAsia="Courier New" w:hAnsi="Courier New"/>
                <w:sz w:val="14"/>
                <w:szCs w:val="14"/>
                <w:color w:val="auto"/>
              </w:rPr>
              <w:t>Glossary of Terms...................................................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E-13</w:t>
            </w:r>
          </w:p>
        </w:tc>
      </w:tr>
    </w:tbl>
    <w:p>
      <w:pPr>
        <w:spacing w:after="0" w:line="335"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Rockville, Maryland 20852-4041</w:t>
      </w:r>
    </w:p>
    <w:p>
      <w:pPr>
        <w:spacing w:after="0" w:line="7"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DEBT ANALYSIS (excluding capital leases)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Balance</w:t>
            </w:r>
          </w:p>
        </w:tc>
        <w:tc>
          <w:tcPr>
            <w:tcW w:w="9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Maturity</w:t>
            </w:r>
          </w:p>
        </w:tc>
        <w:tc>
          <w:tcPr>
            <w:tcW w:w="2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Rate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9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Barracks Road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06/01/98</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9.77%</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$21,412</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Falls Plaza</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06/01/98</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9.77%</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4,257</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Old Keene Mill</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06/01/98</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9.77%</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6,979</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West Falls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06/01/98</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9.77%</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4,885</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Loehmanns Plaza</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07/21/98</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9.75%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6,415</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Bristol</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08/01/98</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9.65%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11,018</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Federal Plaza</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03/10/01</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8.95%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28,445</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Tysons Station</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09/01/01</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9.875%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4,265</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Northeast</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12/31/01</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participating</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1,500</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Escondido (Municipal bonds) purchased 12/31/96</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10/01/16</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Variable***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9,400</w:t>
            </w:r>
          </w:p>
        </w:tc>
        <w:tc>
          <w:tcPr>
            <w:tcW w:w="900" w:type="dxa"/>
            <w:vAlign w:val="bottom"/>
          </w:tcPr>
          <w:p>
            <w:pPr>
              <w:spacing w:after="0"/>
              <w:rPr>
                <w:sz w:val="14"/>
                <w:szCs w:val="14"/>
                <w:color w:val="auto"/>
              </w:rPr>
            </w:pPr>
          </w:p>
        </w:tc>
      </w:tr>
      <w:tr>
        <w:trPr>
          <w:trHeight w:val="331"/>
        </w:trPr>
        <w:tc>
          <w:tcPr>
            <w:tcW w:w="5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$98,576</w:t>
            </w:r>
          </w:p>
        </w:tc>
        <w:tc>
          <w:tcPr>
            <w:tcW w:w="900" w:type="dxa"/>
            <w:vAlign w:val="bottom"/>
          </w:tcPr>
          <w:p>
            <w:pPr>
              <w:spacing w:after="0"/>
              <w:rPr>
                <w:sz w:val="24"/>
                <w:szCs w:val="24"/>
                <w:color w:val="auto"/>
              </w:rPr>
            </w:pPr>
          </w:p>
        </w:tc>
      </w:tr>
      <w:tr>
        <w:trPr>
          <w:trHeight w:val="166"/>
        </w:trPr>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Revolving credit facilities</w:t>
            </w:r>
          </w:p>
        </w:tc>
        <w:tc>
          <w:tcPr>
            <w:tcW w:w="1240" w:type="dxa"/>
            <w:vAlign w:val="bottom"/>
          </w:tcPr>
          <w:p>
            <w:pPr>
              <w:spacing w:after="0"/>
              <w:rPr>
                <w:sz w:val="14"/>
                <w:szCs w:val="14"/>
                <w:color w:val="auto"/>
              </w:rPr>
            </w:pPr>
          </w:p>
        </w:tc>
        <w:tc>
          <w:tcPr>
            <w:tcW w:w="246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libor +.75%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$59,400</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Note issued in connection with</w:t>
            </w: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140" w:type="dxa"/>
            <w:vAlign w:val="bottom"/>
          </w:tcPr>
          <w:p>
            <w:pPr>
              <w:ind w:left="1220"/>
              <w:spacing w:after="0"/>
              <w:rPr>
                <w:sz w:val="20"/>
                <w:szCs w:val="20"/>
                <w:color w:val="auto"/>
              </w:rPr>
            </w:pPr>
            <w:r>
              <w:rPr>
                <w:rFonts w:ascii="Courier New" w:cs="Courier New" w:eastAsia="Courier New" w:hAnsi="Courier New"/>
                <w:sz w:val="14"/>
                <w:szCs w:val="14"/>
                <w:color w:val="auto"/>
              </w:rPr>
              <w:t>tenant buyout at Queen Anne Plaza</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01/15/06</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8.875%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1,291</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Note issued in connection with</w:t>
            </w: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140" w:type="dxa"/>
            <w:vAlign w:val="bottom"/>
          </w:tcPr>
          <w:p>
            <w:pPr>
              <w:ind w:left="1220"/>
              <w:spacing w:after="0"/>
              <w:rPr>
                <w:sz w:val="20"/>
                <w:szCs w:val="20"/>
                <w:color w:val="auto"/>
              </w:rPr>
            </w:pPr>
            <w:r>
              <w:rPr>
                <w:rFonts w:ascii="Courier New" w:cs="Courier New" w:eastAsia="Courier New" w:hAnsi="Courier New"/>
                <w:sz w:val="14"/>
                <w:szCs w:val="14"/>
                <w:color w:val="auto"/>
              </w:rPr>
              <w:t>renovation of Perring Plaza</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01/31/13</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2,854</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Note issued in connection with lease</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11/13/95</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none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2,500</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Other</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various</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various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c>
          <w:tcPr>
            <w:tcW w:w="9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5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$66,106</w:t>
            </w:r>
          </w:p>
        </w:tc>
        <w:tc>
          <w:tcPr>
            <w:tcW w:w="900" w:type="dxa"/>
            <w:vAlign w:val="bottom"/>
          </w:tcPr>
          <w:p>
            <w:pPr>
              <w:spacing w:after="0"/>
              <w:rPr>
                <w:sz w:val="24"/>
                <w:szCs w:val="24"/>
                <w:color w:val="auto"/>
              </w:rPr>
            </w:pPr>
          </w:p>
        </w:tc>
      </w:tr>
      <w:tr>
        <w:trPr>
          <w:trHeight w:val="166"/>
        </w:trPr>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514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5 1/4% Convertible subordinated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04/30/02</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5.250%</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$289</w:t>
            </w:r>
          </w:p>
        </w:tc>
        <w:tc>
          <w:tcPr>
            <w:tcW w:w="900" w:type="dxa"/>
            <w:vAlign w:val="bottom"/>
          </w:tcPr>
          <w:p>
            <w:pPr>
              <w:spacing w:after="0"/>
              <w:rPr>
                <w:sz w:val="14"/>
                <w:szCs w:val="14"/>
                <w:color w:val="auto"/>
              </w:rPr>
            </w:pPr>
          </w:p>
        </w:tc>
      </w:tr>
      <w:tr>
        <w:trPr>
          <w:trHeight w:val="166"/>
        </w:trPr>
        <w:tc>
          <w:tcPr>
            <w:tcW w:w="5140" w:type="dxa"/>
            <w:vAlign w:val="bottom"/>
          </w:tcPr>
          <w:p>
            <w:pPr>
              <w:ind w:left="1220"/>
              <w:spacing w:after="0"/>
              <w:rPr>
                <w:sz w:val="20"/>
                <w:szCs w:val="20"/>
                <w:color w:val="auto"/>
              </w:rPr>
            </w:pPr>
            <w:r>
              <w:rPr>
                <w:rFonts w:ascii="Courier New" w:cs="Courier New" w:eastAsia="Courier New" w:hAnsi="Courier New"/>
                <w:sz w:val="14"/>
                <w:szCs w:val="14"/>
                <w:color w:val="auto"/>
              </w:rPr>
              <w:t>debentures</w:t>
            </w: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5 1/4% Convertible subordinated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10/28/03</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5.250%</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c>
          <w:tcPr>
            <w:tcW w:w="900" w:type="dxa"/>
            <w:vAlign w:val="bottom"/>
          </w:tcPr>
          <w:p>
            <w:pPr>
              <w:spacing w:after="0"/>
              <w:rPr>
                <w:sz w:val="14"/>
                <w:szCs w:val="14"/>
                <w:color w:val="auto"/>
              </w:rPr>
            </w:pPr>
          </w:p>
        </w:tc>
      </w:tr>
      <w:tr>
        <w:trPr>
          <w:trHeight w:val="166"/>
        </w:trPr>
        <w:tc>
          <w:tcPr>
            <w:tcW w:w="5140" w:type="dxa"/>
            <w:vAlign w:val="bottom"/>
          </w:tcPr>
          <w:p>
            <w:pPr>
              <w:ind w:left="1220"/>
              <w:spacing w:after="0"/>
              <w:rPr>
                <w:sz w:val="20"/>
                <w:szCs w:val="20"/>
                <w:color w:val="auto"/>
              </w:rPr>
            </w:pPr>
            <w:r>
              <w:rPr>
                <w:rFonts w:ascii="Courier New" w:cs="Courier New" w:eastAsia="Courier New" w:hAnsi="Courier New"/>
                <w:sz w:val="14"/>
                <w:szCs w:val="14"/>
                <w:color w:val="auto"/>
              </w:rPr>
              <w:t>debentures</w:t>
            </w: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8 7/8% Notes (fixed)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01/15/00</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8.875%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75,000</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8 7/8% Notes (fixed)*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01/15/00</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7.530%</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8% Notes (fixed)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04/21/02</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8.000%</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25,000</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6 5/8% Notes (fixed)</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12/01/05</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6.625%</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40,000</w:t>
            </w:r>
          </w:p>
        </w:tc>
        <w:tc>
          <w:tcPr>
            <w:tcW w:w="900" w:type="dxa"/>
            <w:vAlign w:val="bottom"/>
          </w:tcPr>
          <w:p>
            <w:pPr>
              <w:spacing w:after="0"/>
              <w:rPr>
                <w:sz w:val="14"/>
                <w:szCs w:val="14"/>
                <w:color w:val="auto"/>
              </w:rPr>
            </w:pPr>
          </w:p>
        </w:tc>
      </w:tr>
      <w:tr>
        <w:trPr>
          <w:trHeight w:val="166"/>
        </w:trPr>
        <w:tc>
          <w:tcPr>
            <w:tcW w:w="5140" w:type="dxa"/>
            <w:vAlign w:val="bottom"/>
          </w:tcPr>
          <w:p>
            <w:pPr>
              <w:ind w:left="1040"/>
              <w:spacing w:after="0"/>
              <w:rPr>
                <w:sz w:val="20"/>
                <w:szCs w:val="20"/>
                <w:color w:val="auto"/>
              </w:rPr>
            </w:pPr>
            <w:r>
              <w:rPr>
                <w:rFonts w:ascii="Courier New" w:cs="Courier New" w:eastAsia="Courier New" w:hAnsi="Courier New"/>
                <w:sz w:val="14"/>
                <w:szCs w:val="14"/>
                <w:color w:val="auto"/>
              </w:rPr>
              <w:t>7.48% Debentures</w:t>
            </w:r>
          </w:p>
        </w:tc>
        <w:tc>
          <w:tcPr>
            <w:tcW w:w="12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08/15/26</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7.480%</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50,000</w:t>
            </w:r>
          </w:p>
        </w:tc>
        <w:tc>
          <w:tcPr>
            <w:tcW w:w="9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5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$290,289</w:t>
            </w:r>
          </w:p>
        </w:tc>
        <w:tc>
          <w:tcPr>
            <w:tcW w:w="900" w:type="dxa"/>
            <w:vAlign w:val="bottom"/>
          </w:tcPr>
          <w:p>
            <w:pPr>
              <w:spacing w:after="0"/>
              <w:rPr>
                <w:sz w:val="24"/>
                <w:szCs w:val="24"/>
                <w:color w:val="auto"/>
              </w:rPr>
            </w:pPr>
          </w:p>
        </w:tc>
      </w:tr>
      <w:tr>
        <w:trPr>
          <w:trHeight w:val="166"/>
        </w:trPr>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spacing w:after="0"/>
              <w:rPr>
                <w:sz w:val="14"/>
                <w:szCs w:val="14"/>
                <w:color w:val="auto"/>
              </w:rPr>
            </w:pPr>
          </w:p>
        </w:tc>
      </w:tr>
      <w:tr>
        <w:trPr>
          <w:trHeight w:val="331"/>
        </w:trPr>
        <w:tc>
          <w:tcPr>
            <w:tcW w:w="5140" w:type="dxa"/>
            <w:vAlign w:val="bottom"/>
          </w:tcPr>
          <w:p>
            <w:pPr>
              <w:spacing w:after="0"/>
              <w:rPr>
                <w:sz w:val="24"/>
                <w:szCs w:val="24"/>
                <w:color w:val="auto"/>
              </w:rPr>
            </w:pPr>
          </w:p>
        </w:tc>
        <w:tc>
          <w:tcPr>
            <w:tcW w:w="3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Total fixed rate debt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$384,671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84.55%</w:t>
            </w:r>
          </w:p>
        </w:tc>
      </w:tr>
      <w:tr>
        <w:trPr>
          <w:trHeight w:val="331"/>
        </w:trPr>
        <w:tc>
          <w:tcPr>
            <w:tcW w:w="5140" w:type="dxa"/>
            <w:vAlign w:val="bottom"/>
          </w:tcPr>
          <w:p>
            <w:pPr>
              <w:spacing w:after="0"/>
              <w:rPr>
                <w:sz w:val="24"/>
                <w:szCs w:val="24"/>
                <w:color w:val="auto"/>
              </w:rPr>
            </w:pPr>
          </w:p>
        </w:tc>
        <w:tc>
          <w:tcPr>
            <w:tcW w:w="3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Total variable rate debt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70,300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15.45%</w:t>
            </w:r>
          </w:p>
        </w:tc>
      </w:tr>
      <w:tr>
        <w:trPr>
          <w:trHeight w:val="166"/>
        </w:trPr>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4"/>
                <w:szCs w:val="24"/>
                <w:color w:val="auto"/>
              </w:rPr>
            </w:pP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Total debt</w:t>
            </w:r>
          </w:p>
        </w:tc>
        <w:tc>
          <w:tcPr>
            <w:tcW w:w="24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$454,971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5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140" w:type="dxa"/>
            <w:vAlign w:val="bottom"/>
          </w:tcPr>
          <w:p>
            <w:pPr>
              <w:spacing w:after="0"/>
              <w:rPr>
                <w:sz w:val="24"/>
                <w:szCs w:val="24"/>
                <w:color w:val="auto"/>
              </w:rPr>
            </w:pPr>
          </w:p>
        </w:tc>
        <w:tc>
          <w:tcPr>
            <w:tcW w:w="3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Weighted average interest rate:</w:t>
            </w:r>
          </w:p>
        </w:tc>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140" w:type="dxa"/>
            <w:vAlign w:val="bottom"/>
          </w:tcPr>
          <w:p>
            <w:pPr>
              <w:spacing w:after="0"/>
              <w:rPr>
                <w:sz w:val="14"/>
                <w:szCs w:val="14"/>
                <w:color w:val="auto"/>
              </w:rPr>
            </w:pPr>
          </w:p>
        </w:tc>
        <w:tc>
          <w:tcPr>
            <w:tcW w:w="37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3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Fixed rate debt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7.75%</w:t>
            </w:r>
          </w:p>
        </w:tc>
        <w:tc>
          <w:tcPr>
            <w:tcW w:w="900" w:type="dxa"/>
            <w:vAlign w:val="bottom"/>
          </w:tcPr>
          <w:p>
            <w:pPr>
              <w:spacing w:after="0"/>
              <w:rPr>
                <w:sz w:val="14"/>
                <w:szCs w:val="14"/>
                <w:color w:val="auto"/>
              </w:rPr>
            </w:pPr>
          </w:p>
        </w:tc>
      </w:tr>
      <w:tr>
        <w:trPr>
          <w:trHeight w:val="166"/>
        </w:trPr>
        <w:tc>
          <w:tcPr>
            <w:tcW w:w="5140" w:type="dxa"/>
            <w:vAlign w:val="bottom"/>
          </w:tcPr>
          <w:p>
            <w:pPr>
              <w:spacing w:after="0"/>
              <w:rPr>
                <w:sz w:val="14"/>
                <w:szCs w:val="14"/>
                <w:color w:val="auto"/>
              </w:rPr>
            </w:pPr>
          </w:p>
        </w:tc>
        <w:tc>
          <w:tcPr>
            <w:tcW w:w="37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Variable on revolving facilities</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6.40%</w:t>
            </w:r>
          </w:p>
        </w:tc>
        <w:tc>
          <w:tcPr>
            <w:tcW w:w="9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ind w:left="100" w:right="4740" w:hanging="85"/>
        <w:spacing w:after="0" w:line="250" w:lineRule="auto"/>
        <w:rPr>
          <w:sz w:val="20"/>
          <w:szCs w:val="20"/>
          <w:color w:val="auto"/>
        </w:rPr>
      </w:pPr>
      <w:r>
        <w:rPr>
          <w:rFonts w:ascii="Courier New" w:cs="Courier New" w:eastAsia="Courier New" w:hAnsi="Courier New"/>
          <w:sz w:val="14"/>
          <w:szCs w:val="14"/>
          <w:color w:val="auto"/>
        </w:rPr>
        <w:t>*The Trust purchased an interest rate swap on $25 million which sold for $1.5 million, thereby decreasing the effective interest rate.</w:t>
      </w:r>
    </w:p>
    <w:p>
      <w:pPr>
        <w:spacing w:after="0" w:line="1" w:lineRule="exact"/>
        <w:rPr>
          <w:sz w:val="20"/>
          <w:szCs w:val="20"/>
          <w:color w:val="auto"/>
        </w:rPr>
      </w:pPr>
    </w:p>
    <w:p>
      <w:pPr>
        <w:ind w:left="180" w:right="5000" w:hanging="171"/>
        <w:spacing w:after="0" w:line="250" w:lineRule="auto"/>
        <w:rPr>
          <w:sz w:val="20"/>
          <w:szCs w:val="20"/>
          <w:color w:val="auto"/>
        </w:rPr>
      </w:pPr>
      <w:r>
        <w:rPr>
          <w:rFonts w:ascii="Courier New" w:cs="Courier New" w:eastAsia="Courier New" w:hAnsi="Courier New"/>
          <w:sz w:val="14"/>
          <w:szCs w:val="14"/>
          <w:color w:val="auto"/>
        </w:rPr>
        <w:t>**Weighted average interest rate on revolving credit facilities for twelve months ended December 31, 1996.</w:t>
      </w:r>
    </w:p>
    <w:p>
      <w:pPr>
        <w:spacing w:after="0" w:line="1" w:lineRule="exact"/>
        <w:rPr>
          <w:sz w:val="20"/>
          <w:szCs w:val="20"/>
          <w:color w:val="auto"/>
        </w:rPr>
      </w:pPr>
    </w:p>
    <w:p>
      <w:pPr>
        <w:ind w:left="260" w:right="4560" w:hanging="257"/>
        <w:spacing w:after="0" w:line="252" w:lineRule="auto"/>
        <w:rPr>
          <w:sz w:val="20"/>
          <w:szCs w:val="20"/>
          <w:color w:val="auto"/>
        </w:rPr>
      </w:pPr>
      <w:r>
        <w:rPr>
          <w:rFonts w:ascii="Courier New" w:cs="Courier New" w:eastAsia="Courier New" w:hAnsi="Courier New"/>
          <w:sz w:val="14"/>
          <w:szCs w:val="14"/>
          <w:color w:val="auto"/>
        </w:rPr>
        <w:t>***The bonds bear interest at a variable rate determined weekly to be the Interest rate which would enable the bonds to be remarketed at 100% of their principal amount.</w:t>
      </w:r>
    </w:p>
    <w:p>
      <w:pPr>
        <w:sectPr>
          <w:pgSz w:w="11900" w:h="16838" w:orient="portrait"/>
          <w:cols w:equalWidth="0" w:num="1">
            <w:col w:w="11380"/>
          </w:cols>
          <w:pgMar w:left="220" w:top="616" w:right="29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Overall Occupancy</w:t>
            </w: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3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(Quarter to Quarter Analysis)</w:t>
            </w: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1996</w:t>
            </w:r>
          </w:p>
        </w:tc>
        <w:tc>
          <w:tcPr>
            <w:tcW w:w="1060" w:type="dxa"/>
            <w:vAlign w:val="bottom"/>
          </w:tcPr>
          <w:p>
            <w:pPr>
              <w:spacing w:after="0"/>
              <w:rPr>
                <w:sz w:val="14"/>
                <w:szCs w:val="14"/>
                <w:color w:val="auto"/>
              </w:rPr>
            </w:pPr>
          </w:p>
        </w:tc>
        <w:tc>
          <w:tcPr>
            <w:tcW w:w="250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December 31, 1995</w:t>
            </w:r>
          </w:p>
        </w:tc>
        <w:tc>
          <w:tcPr>
            <w:tcW w:w="10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0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4"/>
              </w:rPr>
              <w:t>----------------------------------------</w:t>
            </w:r>
          </w:p>
        </w:tc>
        <w:tc>
          <w:tcPr>
            <w:tcW w:w="1060" w:type="dxa"/>
            <w:vAlign w:val="bottom"/>
          </w:tcPr>
          <w:p>
            <w:pPr>
              <w:spacing w:after="0"/>
              <w:rPr>
                <w:sz w:val="14"/>
                <w:szCs w:val="14"/>
                <w:color w:val="auto"/>
              </w:rPr>
            </w:pPr>
          </w:p>
        </w:tc>
        <w:tc>
          <w:tcPr>
            <w:tcW w:w="354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spacing w:after="0"/>
              <w:rPr>
                <w:sz w:val="14"/>
                <w:szCs w:val="14"/>
                <w:color w:val="auto"/>
              </w:rPr>
            </w:pP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Size</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Leased</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Size</w:t>
            </w:r>
          </w:p>
        </w:tc>
        <w:tc>
          <w:tcPr>
            <w:tcW w:w="12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w w:val="94"/>
              </w:rPr>
              <w:t>- ----------------------------------------</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Retail Properties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12,733,461</w:t>
            </w:r>
          </w:p>
        </w:tc>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11,935,107</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12,455,447</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11,888,280</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Rollingwood apartments (#</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278</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2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w:t>
            </w:r>
          </w:p>
        </w:tc>
      </w:tr>
      <w:tr>
        <w:trPr>
          <w:trHeight w:val="663"/>
        </w:trPr>
        <w:tc>
          <w:tcPr>
            <w:tcW w:w="224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Overall Occupancy</w:t>
            </w: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24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(Rolling 12 Months)</w:t>
            </w:r>
          </w:p>
        </w:tc>
        <w:tc>
          <w:tcPr>
            <w:tcW w:w="1120" w:type="dxa"/>
            <w:vAlign w:val="bottom"/>
          </w:tcPr>
          <w:p>
            <w:pPr>
              <w:spacing w:after="0"/>
              <w:rPr>
                <w:sz w:val="14"/>
                <w:szCs w:val="14"/>
                <w:color w:val="auto"/>
              </w:rPr>
            </w:pPr>
          </w:p>
        </w:tc>
        <w:tc>
          <w:tcPr>
            <w:tcW w:w="2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1996</w:t>
            </w:r>
          </w:p>
        </w:tc>
        <w:tc>
          <w:tcPr>
            <w:tcW w:w="1060" w:type="dxa"/>
            <w:vAlign w:val="bottom"/>
          </w:tcPr>
          <w:p>
            <w:pPr>
              <w:spacing w:after="0"/>
              <w:rPr>
                <w:sz w:val="14"/>
                <w:szCs w:val="14"/>
                <w:color w:val="auto"/>
              </w:rPr>
            </w:pPr>
          </w:p>
        </w:tc>
        <w:tc>
          <w:tcPr>
            <w:tcW w:w="2500" w:type="dxa"/>
            <w:vAlign w:val="bottom"/>
            <w:gridSpan w:val="2"/>
          </w:tcPr>
          <w:p>
            <w:pPr>
              <w:jc w:val="center"/>
              <w:ind w:left="888"/>
              <w:spacing w:after="0"/>
              <w:rPr>
                <w:sz w:val="20"/>
                <w:szCs w:val="20"/>
                <w:color w:val="auto"/>
              </w:rPr>
            </w:pPr>
            <w:r>
              <w:rPr>
                <w:rFonts w:ascii="Courier New" w:cs="Courier New" w:eastAsia="Courier New" w:hAnsi="Courier New"/>
                <w:sz w:val="14"/>
                <w:szCs w:val="14"/>
                <w:color w:val="auto"/>
              </w:rPr>
              <w:t>September 30, 1996</w:t>
            </w:r>
          </w:p>
        </w:tc>
        <w:tc>
          <w:tcPr>
            <w:tcW w:w="10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0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4"/>
              </w:rPr>
              <w:t>----------------------------------------</w:t>
            </w:r>
          </w:p>
        </w:tc>
        <w:tc>
          <w:tcPr>
            <w:tcW w:w="1060" w:type="dxa"/>
            <w:vAlign w:val="bottom"/>
          </w:tcPr>
          <w:p>
            <w:pPr>
              <w:spacing w:after="0"/>
              <w:rPr>
                <w:sz w:val="14"/>
                <w:szCs w:val="14"/>
                <w:color w:val="auto"/>
              </w:rPr>
            </w:pPr>
          </w:p>
        </w:tc>
        <w:tc>
          <w:tcPr>
            <w:tcW w:w="354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spacing w:after="0"/>
              <w:rPr>
                <w:sz w:val="14"/>
                <w:szCs w:val="14"/>
                <w:color w:val="auto"/>
              </w:rPr>
            </w:pP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Size</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Leased</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Size</w:t>
            </w:r>
          </w:p>
        </w:tc>
        <w:tc>
          <w:tcPr>
            <w:tcW w:w="12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w w:val="94"/>
              </w:rPr>
              <w:t>- ----------------------------------------</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Retail Properties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12,733,461</w:t>
            </w:r>
          </w:p>
        </w:tc>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11,935,107</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12,324,469</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11,509,125</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93%</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Rollingwood apartments (#</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278</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2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281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w:t>
            </w:r>
          </w:p>
        </w:tc>
      </w:tr>
      <w:tr>
        <w:trPr>
          <w:trHeight w:val="663"/>
        </w:trPr>
        <w:tc>
          <w:tcPr>
            <w:tcW w:w="224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Overall Occupancy</w:t>
            </w: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2240" w:type="dxa"/>
            <w:vAlign w:val="bottom"/>
          </w:tcPr>
          <w:p>
            <w:pPr>
              <w:jc w:val="center"/>
              <w:ind w:left="548"/>
              <w:spacing w:after="0"/>
              <w:rPr>
                <w:sz w:val="20"/>
                <w:szCs w:val="20"/>
                <w:color w:val="auto"/>
              </w:rPr>
            </w:pPr>
            <w:r>
              <w:rPr>
                <w:rFonts w:ascii="Courier New" w:cs="Courier New" w:eastAsia="Courier New" w:hAnsi="Courier New"/>
                <w:sz w:val="14"/>
                <w:szCs w:val="14"/>
                <w:color w:val="auto"/>
              </w:rPr>
              <w:t>(Rolling 12 Months)</w:t>
            </w:r>
          </w:p>
        </w:tc>
        <w:tc>
          <w:tcPr>
            <w:tcW w:w="1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June 30, 1996</w:t>
            </w:r>
          </w:p>
        </w:tc>
        <w:tc>
          <w:tcPr>
            <w:tcW w:w="1060" w:type="dxa"/>
            <w:vAlign w:val="bottom"/>
          </w:tcPr>
          <w:p>
            <w:pPr>
              <w:spacing w:after="0"/>
              <w:rPr>
                <w:sz w:val="14"/>
                <w:szCs w:val="14"/>
                <w:color w:val="auto"/>
              </w:rPr>
            </w:pPr>
          </w:p>
        </w:tc>
        <w:tc>
          <w:tcPr>
            <w:tcW w:w="2500" w:type="dxa"/>
            <w:vAlign w:val="bottom"/>
            <w:gridSpan w:val="2"/>
          </w:tcPr>
          <w:p>
            <w:pPr>
              <w:jc w:val="center"/>
              <w:ind w:left="888"/>
              <w:spacing w:after="0"/>
              <w:rPr>
                <w:sz w:val="20"/>
                <w:szCs w:val="20"/>
                <w:color w:val="auto"/>
              </w:rPr>
            </w:pPr>
            <w:r>
              <w:rPr>
                <w:rFonts w:ascii="Courier New" w:cs="Courier New" w:eastAsia="Courier New" w:hAnsi="Courier New"/>
                <w:sz w:val="14"/>
                <w:szCs w:val="14"/>
                <w:color w:val="auto"/>
              </w:rPr>
              <w:t>March 31, 1996</w:t>
            </w:r>
          </w:p>
        </w:tc>
        <w:tc>
          <w:tcPr>
            <w:tcW w:w="104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90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74"/>
              </w:rPr>
              <w:t>----------------------------------------</w:t>
            </w:r>
          </w:p>
        </w:tc>
        <w:tc>
          <w:tcPr>
            <w:tcW w:w="1060" w:type="dxa"/>
            <w:vAlign w:val="bottom"/>
          </w:tcPr>
          <w:p>
            <w:pPr>
              <w:spacing w:after="0"/>
              <w:rPr>
                <w:sz w:val="14"/>
                <w:szCs w:val="14"/>
                <w:color w:val="auto"/>
              </w:rPr>
            </w:pPr>
          </w:p>
        </w:tc>
        <w:tc>
          <w:tcPr>
            <w:tcW w:w="354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spacing w:after="0"/>
              <w:rPr>
                <w:sz w:val="14"/>
                <w:szCs w:val="14"/>
                <w:color w:val="auto"/>
              </w:rPr>
            </w:pP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Size</w:t>
            </w:r>
          </w:p>
        </w:tc>
        <w:tc>
          <w:tcPr>
            <w:tcW w:w="134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Leased</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Size</w:t>
            </w:r>
          </w:p>
        </w:tc>
        <w:tc>
          <w:tcPr>
            <w:tcW w:w="12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w w:val="94"/>
              </w:rPr>
              <w:t>- ----------------------------------------</w:t>
            </w:r>
          </w:p>
        </w:tc>
        <w:tc>
          <w:tcPr>
            <w:tcW w:w="15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spacing w:after="0"/>
              <w:rPr>
                <w:sz w:val="20"/>
                <w:szCs w:val="20"/>
                <w:color w:val="auto"/>
              </w:rPr>
            </w:pPr>
            <w:r>
              <w:rPr>
                <w:rFonts w:ascii="Courier New" w:cs="Courier New" w:eastAsia="Courier New" w:hAnsi="Courier New"/>
                <w:sz w:val="14"/>
                <w:szCs w:val="14"/>
                <w:color w:val="auto"/>
              </w:rPr>
              <w:t>Retail Properties (square</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560" w:type="dxa"/>
            <w:vAlign w:val="bottom"/>
          </w:tcPr>
          <w:p>
            <w:pPr>
              <w:ind w:left="440"/>
              <w:spacing w:after="0"/>
              <w:rPr>
                <w:sz w:val="20"/>
                <w:szCs w:val="20"/>
                <w:color w:val="auto"/>
              </w:rPr>
            </w:pPr>
            <w:r>
              <w:rPr>
                <w:rFonts w:ascii="Courier New" w:cs="Courier New" w:eastAsia="Courier New" w:hAnsi="Courier New"/>
                <w:sz w:val="14"/>
                <w:szCs w:val="14"/>
                <w:color w:val="auto"/>
              </w:rPr>
              <w:t>12,317,789</w:t>
            </w:r>
          </w:p>
        </w:tc>
        <w:tc>
          <w:tcPr>
            <w:tcW w:w="134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11,593,141</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12,480,181</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11,796,821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240" w:type="dxa"/>
            <w:vAlign w:val="bottom"/>
          </w:tcPr>
          <w:p>
            <w:pPr>
              <w:spacing w:after="0"/>
              <w:rPr>
                <w:sz w:val="20"/>
                <w:szCs w:val="20"/>
                <w:color w:val="auto"/>
              </w:rPr>
            </w:pPr>
            <w:r>
              <w:rPr>
                <w:rFonts w:ascii="Courier New" w:cs="Courier New" w:eastAsia="Courier New" w:hAnsi="Courier New"/>
                <w:sz w:val="14"/>
                <w:szCs w:val="14"/>
                <w:color w:val="auto"/>
              </w:rPr>
              <w:t>Rollingwood apartments (#</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560" w:type="dxa"/>
            <w:vAlign w:val="bottom"/>
          </w:tcPr>
          <w:p>
            <w:pPr>
              <w:ind w:left="700"/>
              <w:spacing w:after="0"/>
              <w:rPr>
                <w:sz w:val="20"/>
                <w:szCs w:val="20"/>
                <w:color w:val="auto"/>
              </w:rPr>
            </w:pPr>
            <w:r>
              <w:rPr>
                <w:rFonts w:ascii="Courier New" w:cs="Courier New" w:eastAsia="Courier New" w:hAnsi="Courier New"/>
                <w:sz w:val="14"/>
                <w:szCs w:val="14"/>
                <w:color w:val="auto"/>
              </w:rPr>
              <w:t>282</w:t>
            </w:r>
          </w:p>
        </w:tc>
        <w:tc>
          <w:tcPr>
            <w:tcW w:w="1340" w:type="dxa"/>
            <w:vAlign w:val="bottom"/>
          </w:tcPr>
          <w:p>
            <w:pPr>
              <w:spacing w:after="0"/>
              <w:rPr>
                <w:sz w:val="14"/>
                <w:szCs w:val="14"/>
                <w:color w:val="auto"/>
              </w:rPr>
            </w:pP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2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274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Same Center Occupancy</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(Quarter to Quarter Comparison)</w:t>
            </w:r>
          </w:p>
        </w:tc>
        <w:tc>
          <w:tcPr>
            <w:tcW w:w="2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1996</w:t>
            </w:r>
          </w:p>
        </w:tc>
        <w:tc>
          <w:tcPr>
            <w:tcW w:w="1060" w:type="dxa"/>
            <w:vAlign w:val="bottom"/>
          </w:tcPr>
          <w:p>
            <w:pPr>
              <w:spacing w:after="0"/>
              <w:rPr>
                <w:sz w:val="14"/>
                <w:szCs w:val="14"/>
                <w:color w:val="auto"/>
              </w:rPr>
            </w:pPr>
          </w:p>
        </w:tc>
        <w:tc>
          <w:tcPr>
            <w:tcW w:w="250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December 31, 1995</w:t>
            </w:r>
          </w:p>
        </w:tc>
        <w:tc>
          <w:tcPr>
            <w:tcW w:w="10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60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4"/>
              </w:rPr>
              <w:t>----------------------------------------</w:t>
            </w:r>
          </w:p>
        </w:tc>
        <w:tc>
          <w:tcPr>
            <w:tcW w:w="1060" w:type="dxa"/>
            <w:vAlign w:val="bottom"/>
          </w:tcPr>
          <w:p>
            <w:pPr>
              <w:spacing w:after="0"/>
              <w:rPr>
                <w:sz w:val="14"/>
                <w:szCs w:val="14"/>
                <w:color w:val="auto"/>
              </w:rPr>
            </w:pPr>
          </w:p>
        </w:tc>
        <w:tc>
          <w:tcPr>
            <w:tcW w:w="354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Leased</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Size</w:t>
            </w:r>
          </w:p>
        </w:tc>
        <w:tc>
          <w:tcPr>
            <w:tcW w:w="12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11,247,168</w:t>
            </w: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10,625,745</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11,215,520</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10,727,011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278</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2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271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w:t>
            </w:r>
          </w:p>
        </w:tc>
      </w:tr>
      <w:tr>
        <w:trPr>
          <w:trHeight w:val="663"/>
        </w:trPr>
        <w:tc>
          <w:tcPr>
            <w:tcW w:w="366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Same Center Occupancy</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660" w:type="dxa"/>
            <w:vAlign w:val="bottom"/>
          </w:tcPr>
          <w:p>
            <w:pPr>
              <w:jc w:val="center"/>
              <w:ind w:right="728"/>
              <w:spacing w:after="0"/>
              <w:rPr>
                <w:sz w:val="20"/>
                <w:szCs w:val="20"/>
                <w:color w:val="auto"/>
              </w:rPr>
            </w:pPr>
            <w:r>
              <w:rPr>
                <w:rFonts w:ascii="Courier New" w:cs="Courier New" w:eastAsia="Courier New" w:hAnsi="Courier New"/>
                <w:sz w:val="14"/>
                <w:szCs w:val="14"/>
                <w:color w:val="auto"/>
              </w:rPr>
              <w:t>(Rolling 12 Months)</w:t>
            </w:r>
          </w:p>
        </w:tc>
        <w:tc>
          <w:tcPr>
            <w:tcW w:w="2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December 31, 1996</w:t>
            </w:r>
          </w:p>
        </w:tc>
        <w:tc>
          <w:tcPr>
            <w:tcW w:w="1060" w:type="dxa"/>
            <w:vAlign w:val="bottom"/>
          </w:tcPr>
          <w:p>
            <w:pPr>
              <w:spacing w:after="0"/>
              <w:rPr>
                <w:sz w:val="14"/>
                <w:szCs w:val="14"/>
                <w:color w:val="auto"/>
              </w:rPr>
            </w:pPr>
          </w:p>
        </w:tc>
        <w:tc>
          <w:tcPr>
            <w:tcW w:w="3540" w:type="dxa"/>
            <w:vAlign w:val="bottom"/>
            <w:gridSpan w:val="3"/>
          </w:tcPr>
          <w:p>
            <w:pPr>
              <w:ind w:left="780"/>
              <w:spacing w:after="0"/>
              <w:rPr>
                <w:sz w:val="20"/>
                <w:szCs w:val="20"/>
                <w:color w:val="auto"/>
              </w:rPr>
            </w:pPr>
            <w:r>
              <w:rPr>
                <w:rFonts w:ascii="Courier New" w:cs="Courier New" w:eastAsia="Courier New" w:hAnsi="Courier New"/>
                <w:sz w:val="14"/>
                <w:szCs w:val="14"/>
                <w:color w:val="auto"/>
              </w:rPr>
              <w:t>At September 31, 1995</w:t>
            </w:r>
          </w:p>
        </w:tc>
      </w:tr>
      <w:tr>
        <w:trPr>
          <w:trHeight w:val="166"/>
        </w:trPr>
        <w:tc>
          <w:tcPr>
            <w:tcW w:w="3660" w:type="dxa"/>
            <w:vAlign w:val="bottom"/>
          </w:tcPr>
          <w:p>
            <w:pPr>
              <w:spacing w:after="0"/>
              <w:rPr>
                <w:sz w:val="14"/>
                <w:szCs w:val="14"/>
                <w:color w:val="auto"/>
              </w:rPr>
            </w:pPr>
          </w:p>
        </w:tc>
        <w:tc>
          <w:tcPr>
            <w:tcW w:w="260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4"/>
              </w:rPr>
              <w:t>----------------------------------------</w:t>
            </w:r>
          </w:p>
        </w:tc>
        <w:tc>
          <w:tcPr>
            <w:tcW w:w="1060" w:type="dxa"/>
            <w:vAlign w:val="bottom"/>
          </w:tcPr>
          <w:p>
            <w:pPr>
              <w:spacing w:after="0"/>
              <w:rPr>
                <w:sz w:val="14"/>
                <w:szCs w:val="14"/>
                <w:color w:val="auto"/>
              </w:rPr>
            </w:pPr>
          </w:p>
        </w:tc>
        <w:tc>
          <w:tcPr>
            <w:tcW w:w="354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Leased</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Size</w:t>
            </w:r>
          </w:p>
        </w:tc>
        <w:tc>
          <w:tcPr>
            <w:tcW w:w="12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11,247,168</w:t>
            </w: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10,625,745</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11,559,958</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10,904,972</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278</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2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281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w:t>
            </w:r>
          </w:p>
        </w:tc>
      </w:tr>
      <w:tr>
        <w:trPr>
          <w:trHeight w:val="663"/>
        </w:trPr>
        <w:tc>
          <w:tcPr>
            <w:tcW w:w="366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Same Center Occupancy</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6"/>
        </w:trPr>
        <w:tc>
          <w:tcPr>
            <w:tcW w:w="3660" w:type="dxa"/>
            <w:vAlign w:val="bottom"/>
          </w:tcPr>
          <w:p>
            <w:pPr>
              <w:jc w:val="right"/>
              <w:ind w:right="988"/>
              <w:spacing w:after="0"/>
              <w:rPr>
                <w:sz w:val="20"/>
                <w:szCs w:val="20"/>
                <w:color w:val="auto"/>
              </w:rPr>
            </w:pPr>
            <w:r>
              <w:rPr>
                <w:rFonts w:ascii="Courier New" w:cs="Courier New" w:eastAsia="Courier New" w:hAnsi="Courier New"/>
                <w:sz w:val="14"/>
                <w:szCs w:val="14"/>
                <w:color w:val="auto"/>
              </w:rPr>
              <w:t>(Rolling 12 Months)</w:t>
            </w:r>
          </w:p>
        </w:tc>
        <w:tc>
          <w:tcPr>
            <w:tcW w:w="2600" w:type="dxa"/>
            <w:vAlign w:val="bottom"/>
            <w:gridSpan w:val="2"/>
          </w:tcPr>
          <w:p>
            <w:pPr>
              <w:jc w:val="center"/>
              <w:ind w:left="1068"/>
              <w:spacing w:after="0"/>
              <w:rPr>
                <w:sz w:val="20"/>
                <w:szCs w:val="20"/>
                <w:color w:val="auto"/>
              </w:rPr>
            </w:pPr>
            <w:r>
              <w:rPr>
                <w:rFonts w:ascii="Courier New" w:cs="Courier New" w:eastAsia="Courier New" w:hAnsi="Courier New"/>
                <w:sz w:val="14"/>
                <w:szCs w:val="14"/>
                <w:color w:val="auto"/>
              </w:rPr>
              <w:t>At June 30, 1996</w:t>
            </w:r>
          </w:p>
        </w:tc>
        <w:tc>
          <w:tcPr>
            <w:tcW w:w="1060" w:type="dxa"/>
            <w:vAlign w:val="bottom"/>
          </w:tcPr>
          <w:p>
            <w:pPr>
              <w:spacing w:after="0"/>
              <w:rPr>
                <w:sz w:val="14"/>
                <w:szCs w:val="14"/>
                <w:color w:val="auto"/>
              </w:rPr>
            </w:pPr>
          </w:p>
        </w:tc>
        <w:tc>
          <w:tcPr>
            <w:tcW w:w="25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At March 31, 1996</w:t>
            </w:r>
          </w:p>
        </w:tc>
        <w:tc>
          <w:tcPr>
            <w:tcW w:w="1040" w:type="dxa"/>
            <w:vAlign w:val="bottom"/>
          </w:tcPr>
          <w:p>
            <w:pPr>
              <w:spacing w:after="0"/>
              <w:rPr>
                <w:sz w:val="14"/>
                <w:szCs w:val="14"/>
                <w:color w:val="auto"/>
              </w:rPr>
            </w:pPr>
          </w:p>
        </w:tc>
      </w:tr>
      <w:tr>
        <w:trPr>
          <w:trHeight w:val="166"/>
        </w:trPr>
        <w:tc>
          <w:tcPr>
            <w:tcW w:w="3660" w:type="dxa"/>
            <w:vAlign w:val="bottom"/>
          </w:tcPr>
          <w:p>
            <w:pPr>
              <w:spacing w:after="0"/>
              <w:rPr>
                <w:sz w:val="14"/>
                <w:szCs w:val="14"/>
                <w:color w:val="auto"/>
              </w:rPr>
            </w:pPr>
          </w:p>
        </w:tc>
        <w:tc>
          <w:tcPr>
            <w:tcW w:w="260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4"/>
              </w:rPr>
              <w:t>----------------------------------------</w:t>
            </w:r>
          </w:p>
        </w:tc>
        <w:tc>
          <w:tcPr>
            <w:tcW w:w="1060" w:type="dxa"/>
            <w:vAlign w:val="bottom"/>
          </w:tcPr>
          <w:p>
            <w:pPr>
              <w:spacing w:after="0"/>
              <w:rPr>
                <w:sz w:val="14"/>
                <w:szCs w:val="14"/>
                <w:color w:val="auto"/>
              </w:rPr>
            </w:pPr>
          </w:p>
        </w:tc>
        <w:tc>
          <w:tcPr>
            <w:tcW w:w="3540" w:type="dxa"/>
            <w:vAlign w:val="bottom"/>
            <w:gridSpan w:val="3"/>
          </w:tcPr>
          <w:p>
            <w:pPr>
              <w:jc w:val="center"/>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366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Size</w:t>
            </w:r>
          </w:p>
        </w:tc>
        <w:tc>
          <w:tcPr>
            <w:tcW w:w="116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Leased</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Occupancy</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Size</w:t>
            </w:r>
          </w:p>
        </w:tc>
        <w:tc>
          <w:tcPr>
            <w:tcW w:w="12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Leased</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440" w:type="dxa"/>
            <w:vAlign w:val="bottom"/>
          </w:tcPr>
          <w:p>
            <w:pPr>
              <w:ind w:left="140"/>
              <w:spacing w:after="0"/>
              <w:rPr>
                <w:sz w:val="20"/>
                <w:szCs w:val="20"/>
                <w:color w:val="auto"/>
              </w:rPr>
            </w:pPr>
            <w:r>
              <w:rPr>
                <w:rFonts w:ascii="Courier New" w:cs="Courier New" w:eastAsia="Courier New" w:hAnsi="Courier New"/>
                <w:sz w:val="14"/>
                <w:szCs w:val="14"/>
                <w:color w:val="auto"/>
              </w:rPr>
              <w:t>11,115,866</w:t>
            </w:r>
          </w:p>
        </w:tc>
        <w:tc>
          <w:tcPr>
            <w:tcW w:w="116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10,546,049</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c>
          <w:tcPr>
            <w:tcW w:w="1260" w:type="dxa"/>
            <w:vAlign w:val="bottom"/>
          </w:tcPr>
          <w:p>
            <w:pPr>
              <w:ind w:left="100"/>
              <w:spacing w:after="0"/>
              <w:rPr>
                <w:sz w:val="20"/>
                <w:szCs w:val="20"/>
                <w:color w:val="auto"/>
              </w:rPr>
            </w:pPr>
            <w:r>
              <w:rPr>
                <w:rFonts w:ascii="Courier New" w:cs="Courier New" w:eastAsia="Courier New" w:hAnsi="Courier New"/>
                <w:sz w:val="14"/>
                <w:szCs w:val="14"/>
                <w:color w:val="auto"/>
              </w:rPr>
              <w:t>11,223,075</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10,605,961</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6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440" w:type="dxa"/>
            <w:vAlign w:val="bottom"/>
          </w:tcPr>
          <w:p>
            <w:pPr>
              <w:ind w:left="400"/>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282</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260" w:type="dxa"/>
            <w:vAlign w:val="bottom"/>
          </w:tcPr>
          <w:p>
            <w:pPr>
              <w:ind w:left="360"/>
              <w:spacing w:after="0"/>
              <w:rPr>
                <w:sz w:val="20"/>
                <w:szCs w:val="20"/>
                <w:color w:val="auto"/>
              </w:rPr>
            </w:pPr>
            <w:r>
              <w:rPr>
                <w:rFonts w:ascii="Courier New" w:cs="Courier New" w:eastAsia="Courier New" w:hAnsi="Courier New"/>
                <w:sz w:val="14"/>
                <w:szCs w:val="14"/>
                <w:color w:val="auto"/>
              </w:rPr>
              <w:t>282</w:t>
            </w:r>
          </w:p>
        </w:tc>
        <w:tc>
          <w:tcPr>
            <w:tcW w:w="12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274</w:t>
            </w:r>
          </w:p>
        </w:tc>
        <w:tc>
          <w:tcPr>
            <w:tcW w:w="10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r>
    </w:tbl>
    <w:p>
      <w:pPr>
        <w:sectPr>
          <w:pgSz w:w="11900" w:h="16838" w:orient="portrait"/>
          <w:cols w:equalWidth="0" w:num="1">
            <w:col w:w="11200"/>
          </w:cols>
          <w:pgMar w:left="220" w:top="616" w:right="47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Overall Economic Occupancy</w:t>
            </w: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(Quarter to Quarter Analysis)</w:t>
            </w:r>
          </w:p>
        </w:tc>
        <w:tc>
          <w:tcPr>
            <w:tcW w:w="94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 1996</w:t>
            </w:r>
          </w:p>
        </w:tc>
        <w:tc>
          <w:tcPr>
            <w:tcW w:w="1280" w:type="dxa"/>
            <w:vAlign w:val="bottom"/>
          </w:tcPr>
          <w:p>
            <w:pPr>
              <w:spacing w:after="0"/>
              <w:rPr>
                <w:sz w:val="14"/>
                <w:szCs w:val="14"/>
                <w:color w:val="auto"/>
              </w:rPr>
            </w:pPr>
          </w:p>
        </w:tc>
        <w:tc>
          <w:tcPr>
            <w:tcW w:w="2840" w:type="dxa"/>
            <w:vAlign w:val="bottom"/>
            <w:gridSpan w:val="2"/>
          </w:tcPr>
          <w:p>
            <w:pPr>
              <w:ind w:left="1120"/>
              <w:spacing w:after="0"/>
              <w:rPr>
                <w:sz w:val="20"/>
                <w:szCs w:val="20"/>
                <w:color w:val="auto"/>
              </w:rPr>
            </w:pPr>
            <w:r>
              <w:rPr>
                <w:rFonts w:ascii="Courier New" w:cs="Courier New" w:eastAsia="Courier New" w:hAnsi="Courier New"/>
                <w:sz w:val="14"/>
                <w:szCs w:val="14"/>
                <w:color w:val="auto"/>
              </w:rPr>
              <w:t>December 31,1995</w:t>
            </w:r>
          </w:p>
        </w:tc>
        <w:tc>
          <w:tcPr>
            <w:tcW w:w="112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2"/>
              </w:rPr>
              <w:t>-----------------------------------------</w:t>
            </w:r>
          </w:p>
        </w:tc>
        <w:tc>
          <w:tcPr>
            <w:tcW w:w="1280" w:type="dxa"/>
            <w:vAlign w:val="bottom"/>
          </w:tcPr>
          <w:p>
            <w:pPr>
              <w:spacing w:after="0"/>
              <w:rPr>
                <w:sz w:val="14"/>
                <w:szCs w:val="14"/>
                <w:color w:val="auto"/>
              </w:rPr>
            </w:pPr>
          </w:p>
        </w:tc>
        <w:tc>
          <w:tcPr>
            <w:tcW w:w="39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r>
      <w:tr>
        <w:trPr>
          <w:trHeight w:val="166"/>
        </w:trPr>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c>
          <w:tcPr>
            <w:tcW w:w="138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0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12,733,461</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11,681,107</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92%</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12,455,447</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11,627,243</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277</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98%</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271</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w:t>
            </w:r>
          </w:p>
        </w:tc>
      </w:tr>
      <w:tr>
        <w:trPr>
          <w:trHeight w:val="497"/>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Overall Economic Occupancy</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(Rolling 12 Months)</w:t>
            </w:r>
          </w:p>
        </w:tc>
        <w:tc>
          <w:tcPr>
            <w:tcW w:w="378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At December 31, 1996</w:t>
            </w:r>
          </w:p>
        </w:tc>
        <w:tc>
          <w:tcPr>
            <w:tcW w:w="2840" w:type="dxa"/>
            <w:vAlign w:val="bottom"/>
            <w:gridSpan w:val="2"/>
          </w:tcPr>
          <w:p>
            <w:pPr>
              <w:jc w:val="center"/>
              <w:ind w:left="968"/>
              <w:spacing w:after="0"/>
              <w:rPr>
                <w:sz w:val="20"/>
                <w:szCs w:val="20"/>
                <w:color w:val="auto"/>
              </w:rPr>
            </w:pPr>
            <w:r>
              <w:rPr>
                <w:rFonts w:ascii="Courier New" w:cs="Courier New" w:eastAsia="Courier New" w:hAnsi="Courier New"/>
                <w:sz w:val="14"/>
                <w:szCs w:val="14"/>
                <w:color w:val="auto"/>
              </w:rPr>
              <w:t>At September 30, 1996</w:t>
            </w:r>
          </w:p>
        </w:tc>
        <w:tc>
          <w:tcPr>
            <w:tcW w:w="112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2"/>
              </w:rPr>
              <w:t>-----------------------------------------</w:t>
            </w:r>
          </w:p>
        </w:tc>
        <w:tc>
          <w:tcPr>
            <w:tcW w:w="1280" w:type="dxa"/>
            <w:vAlign w:val="bottom"/>
          </w:tcPr>
          <w:p>
            <w:pPr>
              <w:spacing w:after="0"/>
              <w:rPr>
                <w:sz w:val="14"/>
                <w:szCs w:val="14"/>
                <w:color w:val="auto"/>
              </w:rPr>
            </w:pPr>
          </w:p>
        </w:tc>
        <w:tc>
          <w:tcPr>
            <w:tcW w:w="39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r>
      <w:tr>
        <w:trPr>
          <w:trHeight w:val="166"/>
        </w:trPr>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c>
          <w:tcPr>
            <w:tcW w:w="138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0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12,733,461</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11,680,876</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92%</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12,324,469</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11,277,086</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277</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98%</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277</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w:t>
            </w:r>
          </w:p>
        </w:tc>
      </w:tr>
      <w:tr>
        <w:trPr>
          <w:trHeight w:val="497"/>
        </w:trPr>
        <w:tc>
          <w:tcPr>
            <w:tcW w:w="3200" w:type="dxa"/>
            <w:vAlign w:val="bottom"/>
          </w:tcPr>
          <w:p>
            <w:pPr>
              <w:ind w:left="180"/>
              <w:spacing w:after="0"/>
              <w:rPr>
                <w:sz w:val="20"/>
                <w:szCs w:val="20"/>
                <w:color w:val="auto"/>
              </w:rPr>
            </w:pPr>
            <w:r>
              <w:rPr>
                <w:rFonts w:ascii="Courier New" w:cs="Courier New" w:eastAsia="Courier New" w:hAnsi="Courier New"/>
                <w:sz w:val="14"/>
                <w:szCs w:val="14"/>
                <w:color w:val="auto"/>
              </w:rPr>
              <w:t>Overall Economic Occupancy</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(Rolling 12 Months)</w:t>
            </w:r>
          </w:p>
        </w:tc>
        <w:tc>
          <w:tcPr>
            <w:tcW w:w="9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At June 30, 1996</w:t>
            </w:r>
          </w:p>
        </w:tc>
        <w:tc>
          <w:tcPr>
            <w:tcW w:w="1280" w:type="dxa"/>
            <w:vAlign w:val="bottom"/>
          </w:tcPr>
          <w:p>
            <w:pPr>
              <w:spacing w:after="0"/>
              <w:rPr>
                <w:sz w:val="14"/>
                <w:szCs w:val="14"/>
                <w:color w:val="auto"/>
              </w:rPr>
            </w:pPr>
          </w:p>
        </w:tc>
        <w:tc>
          <w:tcPr>
            <w:tcW w:w="2840" w:type="dxa"/>
            <w:vAlign w:val="bottom"/>
            <w:gridSpan w:val="2"/>
          </w:tcPr>
          <w:p>
            <w:pPr>
              <w:jc w:val="center"/>
              <w:ind w:left="988"/>
              <w:spacing w:after="0"/>
              <w:rPr>
                <w:sz w:val="20"/>
                <w:szCs w:val="20"/>
                <w:color w:val="auto"/>
              </w:rPr>
            </w:pPr>
            <w:r>
              <w:rPr>
                <w:rFonts w:ascii="Courier New" w:cs="Courier New" w:eastAsia="Courier New" w:hAnsi="Courier New"/>
                <w:sz w:val="14"/>
                <w:szCs w:val="14"/>
                <w:color w:val="auto"/>
              </w:rPr>
              <w:t>At March 31, 1996</w:t>
            </w:r>
          </w:p>
        </w:tc>
        <w:tc>
          <w:tcPr>
            <w:tcW w:w="112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2"/>
              </w:rPr>
              <w:t>-----------------------------------------</w:t>
            </w:r>
          </w:p>
        </w:tc>
        <w:tc>
          <w:tcPr>
            <w:tcW w:w="1280" w:type="dxa"/>
            <w:vAlign w:val="bottom"/>
          </w:tcPr>
          <w:p>
            <w:pPr>
              <w:spacing w:after="0"/>
              <w:rPr>
                <w:sz w:val="14"/>
                <w:szCs w:val="14"/>
                <w:color w:val="auto"/>
              </w:rPr>
            </w:pPr>
          </w:p>
        </w:tc>
        <w:tc>
          <w:tcPr>
            <w:tcW w:w="39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r>
      <w:tr>
        <w:trPr>
          <w:trHeight w:val="166"/>
        </w:trPr>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c>
          <w:tcPr>
            <w:tcW w:w="1380" w:type="dxa"/>
            <w:vAlign w:val="bottom"/>
          </w:tcPr>
          <w:p>
            <w:pPr>
              <w:spacing w:after="0"/>
              <w:rPr>
                <w:sz w:val="14"/>
                <w:szCs w:val="14"/>
                <w:color w:val="auto"/>
              </w:rPr>
            </w:pP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0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12,317,789</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11,300,470</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92%</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12,480,181</w:t>
            </w:r>
          </w:p>
        </w:tc>
        <w:tc>
          <w:tcPr>
            <w:tcW w:w="1460" w:type="dxa"/>
            <w:vAlign w:val="bottom"/>
          </w:tcPr>
          <w:p>
            <w:pPr>
              <w:ind w:left="80"/>
              <w:spacing w:after="0"/>
              <w:rPr>
                <w:sz w:val="20"/>
                <w:szCs w:val="20"/>
                <w:color w:val="auto"/>
              </w:rPr>
            </w:pPr>
            <w:r>
              <w:rPr>
                <w:rFonts w:ascii="Courier New" w:cs="Courier New" w:eastAsia="Courier New" w:hAnsi="Courier New"/>
                <w:sz w:val="14"/>
                <w:szCs w:val="14"/>
                <w:color w:val="auto"/>
              </w:rPr>
              <w:t>11,544,594</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282</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200" w:type="dxa"/>
            <w:vAlign w:val="bottom"/>
          </w:tcPr>
          <w:p>
            <w:pPr>
              <w:ind w:left="100"/>
              <w:spacing w:after="0"/>
              <w:rPr>
                <w:sz w:val="20"/>
                <w:szCs w:val="20"/>
                <w:color w:val="auto"/>
              </w:rPr>
            </w:pPr>
            <w:r>
              <w:rPr>
                <w:rFonts w:ascii="Courier New" w:cs="Courier New" w:eastAsia="Courier New" w:hAnsi="Courier New"/>
                <w:sz w:val="14"/>
                <w:szCs w:val="14"/>
                <w:color w:val="auto"/>
              </w:rPr>
              <w:t>(Quarter to Quarter Comparison)</w:t>
            </w:r>
          </w:p>
        </w:tc>
        <w:tc>
          <w:tcPr>
            <w:tcW w:w="94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December 31, 1996</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40" w:type="dxa"/>
            <w:vAlign w:val="bottom"/>
          </w:tcPr>
          <w:p>
            <w:pPr>
              <w:spacing w:after="0"/>
              <w:rPr>
                <w:sz w:val="20"/>
                <w:szCs w:val="20"/>
                <w:color w:val="auto"/>
              </w:rPr>
            </w:pPr>
            <w:r>
              <w:rPr>
                <w:rFonts w:ascii="Courier New" w:cs="Courier New" w:eastAsia="Courier New" w:hAnsi="Courier New"/>
                <w:sz w:val="14"/>
                <w:szCs w:val="14"/>
                <w:color w:val="auto"/>
              </w:rPr>
              <w:t>December 31, 1995</w:t>
            </w:r>
          </w:p>
        </w:tc>
        <w:tc>
          <w:tcPr>
            <w:tcW w:w="112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2"/>
              </w:rPr>
              <w:t>-----------------------------------------</w:t>
            </w:r>
          </w:p>
        </w:tc>
        <w:tc>
          <w:tcPr>
            <w:tcW w:w="1280" w:type="dxa"/>
            <w:vAlign w:val="bottom"/>
          </w:tcPr>
          <w:p>
            <w:pPr>
              <w:spacing w:after="0"/>
              <w:rPr>
                <w:sz w:val="14"/>
                <w:szCs w:val="14"/>
                <w:color w:val="auto"/>
              </w:rPr>
            </w:pPr>
          </w:p>
        </w:tc>
        <w:tc>
          <w:tcPr>
            <w:tcW w:w="39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r>
      <w:tr>
        <w:trPr>
          <w:trHeight w:val="166"/>
        </w:trPr>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c>
          <w:tcPr>
            <w:tcW w:w="130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0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11,247,168</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10,378,343</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92%</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11,215,520</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10,477,908</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277</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98%</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271</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(Rolling 12 Months)</w:t>
            </w:r>
          </w:p>
        </w:tc>
        <w:tc>
          <w:tcPr>
            <w:tcW w:w="3780" w:type="dxa"/>
            <w:vAlign w:val="bottom"/>
            <w:gridSpan w:val="3"/>
          </w:tcPr>
          <w:p>
            <w:pPr>
              <w:ind w:left="860"/>
              <w:spacing w:after="0"/>
              <w:rPr>
                <w:sz w:val="20"/>
                <w:szCs w:val="20"/>
                <w:color w:val="auto"/>
              </w:rPr>
            </w:pPr>
            <w:r>
              <w:rPr>
                <w:rFonts w:ascii="Courier New" w:cs="Courier New" w:eastAsia="Courier New" w:hAnsi="Courier New"/>
                <w:sz w:val="14"/>
                <w:szCs w:val="14"/>
                <w:color w:val="auto"/>
              </w:rPr>
              <w:t>At December 31, 1996</w:t>
            </w:r>
          </w:p>
        </w:tc>
        <w:tc>
          <w:tcPr>
            <w:tcW w:w="2840" w:type="dxa"/>
            <w:vAlign w:val="bottom"/>
            <w:gridSpan w:val="2"/>
          </w:tcPr>
          <w:p>
            <w:pPr>
              <w:jc w:val="center"/>
              <w:ind w:left="968"/>
              <w:spacing w:after="0"/>
              <w:rPr>
                <w:sz w:val="20"/>
                <w:szCs w:val="20"/>
                <w:color w:val="auto"/>
              </w:rPr>
            </w:pPr>
            <w:r>
              <w:rPr>
                <w:rFonts w:ascii="Courier New" w:cs="Courier New" w:eastAsia="Courier New" w:hAnsi="Courier New"/>
                <w:sz w:val="14"/>
                <w:szCs w:val="14"/>
                <w:color w:val="auto"/>
              </w:rPr>
              <w:t>At September 30, 1996</w:t>
            </w:r>
          </w:p>
        </w:tc>
        <w:tc>
          <w:tcPr>
            <w:tcW w:w="112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2"/>
              </w:rPr>
              <w:t>-----------------------------------------</w:t>
            </w:r>
          </w:p>
        </w:tc>
        <w:tc>
          <w:tcPr>
            <w:tcW w:w="1280" w:type="dxa"/>
            <w:vAlign w:val="bottom"/>
          </w:tcPr>
          <w:p>
            <w:pPr>
              <w:spacing w:after="0"/>
              <w:rPr>
                <w:sz w:val="14"/>
                <w:szCs w:val="14"/>
                <w:color w:val="auto"/>
              </w:rPr>
            </w:pPr>
          </w:p>
        </w:tc>
        <w:tc>
          <w:tcPr>
            <w:tcW w:w="39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r>
      <w:tr>
        <w:trPr>
          <w:trHeight w:val="166"/>
        </w:trPr>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c>
          <w:tcPr>
            <w:tcW w:w="130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0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11,247,168</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10,378,343</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92%</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11,559,958</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10,678,908</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277</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98%</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277</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98%</w:t>
            </w:r>
          </w:p>
        </w:tc>
      </w:tr>
      <w:tr>
        <w:trPr>
          <w:trHeight w:val="497"/>
        </w:trPr>
        <w:tc>
          <w:tcPr>
            <w:tcW w:w="3200" w:type="dxa"/>
            <w:vAlign w:val="bottom"/>
          </w:tcPr>
          <w:p>
            <w:pPr>
              <w:spacing w:after="0"/>
              <w:rPr>
                <w:sz w:val="20"/>
                <w:szCs w:val="20"/>
                <w:color w:val="auto"/>
              </w:rPr>
            </w:pPr>
            <w:r>
              <w:rPr>
                <w:rFonts w:ascii="Courier New" w:cs="Courier New" w:eastAsia="Courier New" w:hAnsi="Courier New"/>
                <w:sz w:val="14"/>
                <w:szCs w:val="14"/>
                <w:color w:val="auto"/>
              </w:rPr>
              <w:t>Same Center Economic Occupancy</w:t>
            </w: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200" w:type="dxa"/>
            <w:vAlign w:val="bottom"/>
          </w:tcPr>
          <w:p>
            <w:pPr>
              <w:ind w:left="440"/>
              <w:spacing w:after="0"/>
              <w:rPr>
                <w:sz w:val="20"/>
                <w:szCs w:val="20"/>
                <w:color w:val="auto"/>
              </w:rPr>
            </w:pPr>
            <w:r>
              <w:rPr>
                <w:rFonts w:ascii="Courier New" w:cs="Courier New" w:eastAsia="Courier New" w:hAnsi="Courier New"/>
                <w:sz w:val="14"/>
                <w:szCs w:val="14"/>
                <w:color w:val="auto"/>
              </w:rPr>
              <w:t>(Rolling 12 Months)</w:t>
            </w:r>
          </w:p>
        </w:tc>
        <w:tc>
          <w:tcPr>
            <w:tcW w:w="9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At June 30, 1996</w:t>
            </w:r>
          </w:p>
        </w:tc>
        <w:tc>
          <w:tcPr>
            <w:tcW w:w="1280" w:type="dxa"/>
            <w:vAlign w:val="bottom"/>
          </w:tcPr>
          <w:p>
            <w:pPr>
              <w:spacing w:after="0"/>
              <w:rPr>
                <w:sz w:val="14"/>
                <w:szCs w:val="14"/>
                <w:color w:val="auto"/>
              </w:rPr>
            </w:pPr>
          </w:p>
        </w:tc>
        <w:tc>
          <w:tcPr>
            <w:tcW w:w="2840" w:type="dxa"/>
            <w:vAlign w:val="bottom"/>
            <w:gridSpan w:val="2"/>
          </w:tcPr>
          <w:p>
            <w:pPr>
              <w:jc w:val="center"/>
              <w:ind w:left="988"/>
              <w:spacing w:after="0"/>
              <w:rPr>
                <w:sz w:val="20"/>
                <w:szCs w:val="20"/>
                <w:color w:val="auto"/>
              </w:rPr>
            </w:pPr>
            <w:r>
              <w:rPr>
                <w:rFonts w:ascii="Courier New" w:cs="Courier New" w:eastAsia="Courier New" w:hAnsi="Courier New"/>
                <w:sz w:val="14"/>
                <w:szCs w:val="14"/>
                <w:color w:val="auto"/>
              </w:rPr>
              <w:t>At March 31, 1996</w:t>
            </w:r>
          </w:p>
        </w:tc>
        <w:tc>
          <w:tcPr>
            <w:tcW w:w="112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w w:val="72"/>
              </w:rPr>
              <w:t>-----------------------------------------</w:t>
            </w:r>
          </w:p>
        </w:tc>
        <w:tc>
          <w:tcPr>
            <w:tcW w:w="1280" w:type="dxa"/>
            <w:vAlign w:val="bottom"/>
          </w:tcPr>
          <w:p>
            <w:pPr>
              <w:spacing w:after="0"/>
              <w:rPr>
                <w:sz w:val="14"/>
                <w:szCs w:val="14"/>
                <w:color w:val="auto"/>
              </w:rPr>
            </w:pPr>
          </w:p>
        </w:tc>
        <w:tc>
          <w:tcPr>
            <w:tcW w:w="396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Leases</w:t>
            </w:r>
          </w:p>
        </w:tc>
        <w:tc>
          <w:tcPr>
            <w:tcW w:w="1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r>
      <w:tr>
        <w:trPr>
          <w:trHeight w:val="166"/>
        </w:trPr>
        <w:tc>
          <w:tcPr>
            <w:tcW w:w="3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Generating</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c>
          <w:tcPr>
            <w:tcW w:w="1300" w:type="dxa"/>
            <w:vAlign w:val="bottom"/>
          </w:tcPr>
          <w:p>
            <w:pPr>
              <w:spacing w:after="0"/>
              <w:rPr>
                <w:sz w:val="14"/>
                <w:szCs w:val="14"/>
                <w:color w:val="auto"/>
              </w:rPr>
            </w:pP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200" w:type="dxa"/>
            <w:vAlign w:val="bottom"/>
          </w:tcPr>
          <w:p>
            <w:pPr>
              <w:ind w:left="1300"/>
              <w:spacing w:after="0"/>
              <w:rPr>
                <w:sz w:val="20"/>
                <w:szCs w:val="20"/>
                <w:color w:val="auto"/>
              </w:rPr>
            </w:pPr>
            <w:r>
              <w:rPr>
                <w:rFonts w:ascii="Courier New" w:cs="Courier New" w:eastAsia="Courier New" w:hAnsi="Courier New"/>
                <w:sz w:val="14"/>
                <w:szCs w:val="14"/>
                <w:color w:val="auto"/>
              </w:rPr>
              <w:t>Type</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6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Income</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 ------------</w:t>
            </w:r>
          </w:p>
        </w:tc>
        <w:tc>
          <w:tcPr>
            <w:tcW w:w="12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20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11,115,866</w:t>
            </w:r>
          </w:p>
        </w:tc>
        <w:tc>
          <w:tcPr>
            <w:tcW w:w="156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10,272,070</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92%</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11,223,075</w:t>
            </w:r>
          </w:p>
        </w:tc>
        <w:tc>
          <w:tcPr>
            <w:tcW w:w="1540" w:type="dxa"/>
            <w:vAlign w:val="bottom"/>
          </w:tcPr>
          <w:p>
            <w:pPr>
              <w:ind w:left="160"/>
              <w:spacing w:after="0"/>
              <w:rPr>
                <w:sz w:val="20"/>
                <w:szCs w:val="20"/>
                <w:color w:val="auto"/>
              </w:rPr>
            </w:pPr>
            <w:r>
              <w:rPr>
                <w:rFonts w:ascii="Courier New" w:cs="Courier New" w:eastAsia="Courier New" w:hAnsi="Courier New"/>
                <w:sz w:val="14"/>
                <w:szCs w:val="14"/>
                <w:color w:val="auto"/>
              </w:rPr>
              <w:t>10,413,790</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94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282</w:t>
            </w:r>
          </w:p>
        </w:tc>
        <w:tc>
          <w:tcPr>
            <w:tcW w:w="12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100%</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ind w:left="420"/>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97%</w:t>
            </w:r>
          </w:p>
        </w:tc>
      </w:tr>
    </w:tbl>
    <w:p>
      <w:pPr>
        <w:sectPr>
          <w:pgSz w:w="11900" w:h="16838" w:orient="portrait"/>
          <w:cols w:equalWidth="0" w:num="1">
            <w:col w:w="10940"/>
          </w:cols>
          <w:pgMar w:left="220" w:top="616" w:right="73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spacing w:after="0"/>
              <w:rPr>
                <w:sz w:val="14"/>
                <w:szCs w:val="14"/>
                <w:color w:val="auto"/>
              </w:rPr>
            </w:pPr>
          </w:p>
        </w:tc>
        <w:tc>
          <w:tcPr>
            <w:tcW w:w="2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 Square</w:t>
            </w:r>
          </w:p>
        </w:tc>
        <w:tc>
          <w:tcPr>
            <w:tcW w:w="2080" w:type="dxa"/>
            <w:vAlign w:val="bottom"/>
          </w:tcPr>
          <w:p>
            <w:pPr>
              <w:ind w:left="86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460" w:type="dxa"/>
            <w:vAlign w:val="bottom"/>
          </w:tcPr>
          <w:p>
            <w:pPr>
              <w:ind w:left="780"/>
              <w:spacing w:after="0"/>
              <w:rPr>
                <w:sz w:val="20"/>
                <w:szCs w:val="20"/>
                <w:color w:val="auto"/>
              </w:rPr>
            </w:pPr>
            <w:r>
              <w:rPr>
                <w:rFonts w:ascii="Courier New" w:cs="Courier New" w:eastAsia="Courier New" w:hAnsi="Courier New"/>
                <w:sz w:val="14"/>
                <w:szCs w:val="14"/>
                <w:color w:val="auto"/>
              </w:rPr>
              <w:t>Region</w:t>
            </w:r>
          </w:p>
        </w:tc>
        <w:tc>
          <w:tcPr>
            <w:tcW w:w="25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Footage</w:t>
            </w:r>
          </w:p>
        </w:tc>
        <w:tc>
          <w:tcPr>
            <w:tcW w:w="2080" w:type="dxa"/>
            <w:vAlign w:val="bottom"/>
          </w:tcPr>
          <w:p>
            <w:pPr>
              <w:ind w:left="860"/>
              <w:spacing w:after="0"/>
              <w:rPr>
                <w:sz w:val="20"/>
                <w:szCs w:val="20"/>
                <w:color w:val="auto"/>
              </w:rPr>
            </w:pPr>
            <w:r>
              <w:rPr>
                <w:rFonts w:ascii="Courier New" w:cs="Courier New" w:eastAsia="Courier New" w:hAnsi="Courier New"/>
                <w:sz w:val="14"/>
                <w:szCs w:val="14"/>
                <w:color w:val="auto"/>
              </w:rPr>
              <w:t>12/31/96</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3,782,761</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2,301,010</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1,962,610</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1,175,872</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1,097,895</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83%</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1,109,995</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Southern California</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273,540</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92%</w:t>
            </w:r>
          </w:p>
        </w:tc>
      </w:tr>
      <w:tr>
        <w:trPr>
          <w:trHeight w:val="166"/>
        </w:trPr>
        <w:tc>
          <w:tcPr>
            <w:tcW w:w="24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1,029,778</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 Square</w:t>
            </w:r>
          </w:p>
        </w:tc>
        <w:tc>
          <w:tcPr>
            <w:tcW w:w="2080" w:type="dxa"/>
            <w:vAlign w:val="bottom"/>
          </w:tcPr>
          <w:p>
            <w:pPr>
              <w:ind w:left="86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780" w:type="dxa"/>
            <w:vAlign w:val="bottom"/>
          </w:tcPr>
          <w:p>
            <w:pPr>
              <w:spacing w:after="0"/>
              <w:rPr>
                <w:sz w:val="14"/>
                <w:szCs w:val="14"/>
                <w:color w:val="auto"/>
              </w:rPr>
            </w:pP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Region</w:t>
            </w:r>
          </w:p>
        </w:tc>
        <w:tc>
          <w:tcPr>
            <w:tcW w:w="25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Footage</w:t>
            </w:r>
          </w:p>
        </w:tc>
        <w:tc>
          <w:tcPr>
            <w:tcW w:w="2080" w:type="dxa"/>
            <w:vAlign w:val="bottom"/>
          </w:tcPr>
          <w:p>
            <w:pPr>
              <w:ind w:left="860"/>
              <w:spacing w:after="0"/>
              <w:rPr>
                <w:sz w:val="20"/>
                <w:szCs w:val="20"/>
                <w:color w:val="auto"/>
              </w:rPr>
            </w:pPr>
            <w:r>
              <w:rPr>
                <w:rFonts w:ascii="Courier New" w:cs="Courier New" w:eastAsia="Courier New" w:hAnsi="Courier New"/>
                <w:sz w:val="14"/>
                <w:szCs w:val="14"/>
                <w:color w:val="auto"/>
              </w:rPr>
              <w:t>12/31/96</w:t>
            </w:r>
          </w:p>
        </w:tc>
      </w:tr>
      <w:tr>
        <w:trPr>
          <w:trHeight w:val="166"/>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2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D.C./Baltimore</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3,782,761</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95%</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Anchor</w:t>
            </w:r>
          </w:p>
        </w:tc>
        <w:tc>
          <w:tcPr>
            <w:tcW w:w="1680" w:type="dxa"/>
            <w:vAlign w:val="bottom"/>
          </w:tcPr>
          <w:p>
            <w:pPr>
              <w:spacing w:after="0"/>
              <w:rPr>
                <w:sz w:val="14"/>
                <w:szCs w:val="14"/>
                <w:color w:val="auto"/>
              </w:rPr>
            </w:pP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1,886,095</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98%</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Small</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Shops</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1,896,666</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92%</w:t>
            </w:r>
          </w:p>
        </w:tc>
      </w:tr>
      <w:tr>
        <w:trPr>
          <w:trHeight w:val="331"/>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Philadelphia</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2,301,010</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Anchor</w:t>
            </w:r>
          </w:p>
        </w:tc>
        <w:tc>
          <w:tcPr>
            <w:tcW w:w="1680" w:type="dxa"/>
            <w:vAlign w:val="bottom"/>
          </w:tcPr>
          <w:p>
            <w:pPr>
              <w:spacing w:after="0"/>
              <w:rPr>
                <w:sz w:val="14"/>
                <w:szCs w:val="14"/>
                <w:color w:val="auto"/>
              </w:rPr>
            </w:pP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1,312,322</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98%</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Small</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Shops</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988,688</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New York/New Jersey</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1,962,610</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98%</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Anchor</w:t>
            </w:r>
          </w:p>
        </w:tc>
        <w:tc>
          <w:tcPr>
            <w:tcW w:w="1680" w:type="dxa"/>
            <w:vAlign w:val="bottom"/>
          </w:tcPr>
          <w:p>
            <w:pPr>
              <w:spacing w:after="0"/>
              <w:rPr>
                <w:sz w:val="14"/>
                <w:szCs w:val="14"/>
                <w:color w:val="auto"/>
              </w:rPr>
            </w:pP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1,428,008</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Small</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Shops</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534,602</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Central Virginia</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1,175,872</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95%</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Anchor</w:t>
            </w:r>
          </w:p>
        </w:tc>
        <w:tc>
          <w:tcPr>
            <w:tcW w:w="1680" w:type="dxa"/>
            <w:vAlign w:val="bottom"/>
          </w:tcPr>
          <w:p>
            <w:pPr>
              <w:spacing w:after="0"/>
              <w:rPr>
                <w:sz w:val="14"/>
                <w:szCs w:val="14"/>
                <w:color w:val="auto"/>
              </w:rPr>
            </w:pP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543,525</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Small</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Shops</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632,347</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91%</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680" w:type="dxa"/>
            <w:vAlign w:val="bottom"/>
          </w:tcPr>
          <w:p>
            <w:pPr>
              <w:spacing w:after="0"/>
              <w:rPr>
                <w:sz w:val="24"/>
                <w:szCs w:val="24"/>
                <w:color w:val="auto"/>
              </w:rPr>
            </w:pP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1,097,895</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83%</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Anchor</w:t>
            </w:r>
          </w:p>
        </w:tc>
        <w:tc>
          <w:tcPr>
            <w:tcW w:w="1680" w:type="dxa"/>
            <w:vAlign w:val="bottom"/>
          </w:tcPr>
          <w:p>
            <w:pPr>
              <w:spacing w:after="0"/>
              <w:rPr>
                <w:sz w:val="14"/>
                <w:szCs w:val="14"/>
                <w:color w:val="auto"/>
              </w:rPr>
            </w:pP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654,384</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76%</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Small</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Shops</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443,511</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New England</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1,109,995</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96%</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Anchor</w:t>
            </w:r>
          </w:p>
        </w:tc>
        <w:tc>
          <w:tcPr>
            <w:tcW w:w="1680" w:type="dxa"/>
            <w:vAlign w:val="bottom"/>
          </w:tcPr>
          <w:p>
            <w:pPr>
              <w:spacing w:after="0"/>
              <w:rPr>
                <w:sz w:val="14"/>
                <w:szCs w:val="14"/>
                <w:color w:val="auto"/>
              </w:rPr>
            </w:pP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564,207</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Small</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Shops</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545,788</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93%</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Southern</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California</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273,540</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92%</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Anchor</w:t>
            </w:r>
          </w:p>
        </w:tc>
        <w:tc>
          <w:tcPr>
            <w:tcW w:w="1680" w:type="dxa"/>
            <w:vAlign w:val="bottom"/>
          </w:tcPr>
          <w:p>
            <w:pPr>
              <w:spacing w:after="0"/>
              <w:rPr>
                <w:sz w:val="14"/>
                <w:szCs w:val="14"/>
                <w:color w:val="auto"/>
              </w:rPr>
            </w:pP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88,095</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Small</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Shops</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185,445</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88%</w:t>
            </w:r>
          </w:p>
        </w:tc>
      </w:tr>
      <w:tr>
        <w:trPr>
          <w:trHeight w:val="331"/>
        </w:trPr>
        <w:tc>
          <w:tcPr>
            <w:tcW w:w="7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680" w:type="dxa"/>
            <w:vAlign w:val="bottom"/>
          </w:tcPr>
          <w:p>
            <w:pPr>
              <w:spacing w:after="0"/>
              <w:rPr>
                <w:sz w:val="24"/>
                <w:szCs w:val="24"/>
                <w:color w:val="auto"/>
              </w:rPr>
            </w:pP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1,029,778</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81%</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w w:val="99"/>
              </w:rPr>
              <w:t>Anchor</w:t>
            </w:r>
          </w:p>
        </w:tc>
        <w:tc>
          <w:tcPr>
            <w:tcW w:w="1680" w:type="dxa"/>
            <w:vAlign w:val="bottom"/>
          </w:tcPr>
          <w:p>
            <w:pPr>
              <w:spacing w:after="0"/>
              <w:rPr>
                <w:sz w:val="14"/>
                <w:szCs w:val="14"/>
                <w:color w:val="auto"/>
              </w:rPr>
            </w:pP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522,790</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81%</w:t>
            </w:r>
          </w:p>
        </w:tc>
      </w:tr>
      <w:tr>
        <w:trPr>
          <w:trHeight w:val="166"/>
        </w:trPr>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Small</w:t>
            </w:r>
          </w:p>
        </w:tc>
        <w:tc>
          <w:tcPr>
            <w:tcW w:w="1680" w:type="dxa"/>
            <w:vAlign w:val="bottom"/>
          </w:tcPr>
          <w:p>
            <w:pPr>
              <w:spacing w:after="0"/>
              <w:rPr>
                <w:sz w:val="20"/>
                <w:szCs w:val="20"/>
                <w:color w:val="auto"/>
              </w:rPr>
            </w:pPr>
            <w:r>
              <w:rPr>
                <w:rFonts w:ascii="Courier New" w:cs="Courier New" w:eastAsia="Courier New" w:hAnsi="Courier New"/>
                <w:sz w:val="14"/>
                <w:szCs w:val="14"/>
                <w:color w:val="auto"/>
              </w:rPr>
              <w:t>Shops</w:t>
            </w:r>
          </w:p>
        </w:tc>
        <w:tc>
          <w:tcPr>
            <w:tcW w:w="25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506,988</w:t>
            </w:r>
          </w:p>
        </w:tc>
        <w:tc>
          <w:tcPr>
            <w:tcW w:w="2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82%</w:t>
            </w:r>
          </w:p>
        </w:tc>
      </w:tr>
    </w:tbl>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Comparable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Weighted</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 Prior</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Average Current</w:t>
            </w:r>
          </w:p>
        </w:tc>
        <w:tc>
          <w:tcPr>
            <w:tcW w:w="17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Number of</w:t>
            </w:r>
          </w:p>
        </w:tc>
        <w:tc>
          <w:tcPr>
            <w:tcW w:w="12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Square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 Lease</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Rent Per</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Rent Per</w:t>
            </w:r>
          </w:p>
        </w:tc>
        <w:tc>
          <w:tcPr>
            <w:tcW w:w="17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Annualized</w:t>
            </w: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Rolling 12 Months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Leases Signed</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Feet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Term (Years)</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Square Foot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Square Foot</w:t>
            </w:r>
          </w:p>
        </w:tc>
        <w:tc>
          <w:tcPr>
            <w:tcW w:w="1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Increase in Rent</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5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4th Quarter 1996</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469,455</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$10.88</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$15.94</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$2,376,264</w:t>
            </w: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3rd Quarter 1996</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89</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298,546</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14.17</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16.05</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562,179</w:t>
            </w: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2nd Quarter 1996</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81</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272,984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14.80</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15.52</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196,312</w:t>
            </w: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1st Quarter 1996</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61</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259,925</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7.0</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13.28</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14.88</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416,047</w:t>
            </w:r>
          </w:p>
        </w:tc>
      </w:tr>
      <w:tr>
        <w:trPr>
          <w:trHeight w:val="166"/>
        </w:trPr>
        <w:tc>
          <w:tcPr>
            <w:tcW w:w="2420" w:type="dxa"/>
            <w:vAlign w:val="bottom"/>
          </w:tcPr>
          <w:p>
            <w:pPr>
              <w:ind w:left="780"/>
              <w:spacing w:after="0"/>
              <w:rPr>
                <w:sz w:val="20"/>
                <w:szCs w:val="20"/>
                <w:color w:val="auto"/>
              </w:rPr>
            </w:pPr>
            <w:r>
              <w:rPr>
                <w:rFonts w:ascii="Courier New" w:cs="Courier New" w:eastAsia="Courier New" w:hAnsi="Courier New"/>
                <w:sz w:val="14"/>
                <w:szCs w:val="14"/>
                <w:color w:val="auto"/>
              </w:rPr>
              <w:t>Total</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316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1,300,910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$12.94</w:t>
            </w:r>
          </w:p>
        </w:tc>
        <w:tc>
          <w:tcPr>
            <w:tcW w:w="15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$15.67</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$3,550,802</w:t>
            </w:r>
          </w:p>
        </w:tc>
      </w:tr>
      <w:tr>
        <w:trPr>
          <w:trHeight w:val="497"/>
        </w:trPr>
        <w:tc>
          <w:tcPr>
            <w:tcW w:w="2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Estimated</w:t>
            </w: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2420" w:type="dxa"/>
            <w:vAlign w:val="bottom"/>
          </w:tcPr>
          <w:p>
            <w:pPr>
              <w:spacing w:after="0"/>
              <w:rPr>
                <w:sz w:val="14"/>
                <w:szCs w:val="14"/>
                <w:color w:val="auto"/>
              </w:rPr>
            </w:pP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Percentage</w:t>
            </w:r>
          </w:p>
        </w:tc>
        <w:tc>
          <w:tcPr>
            <w:tcW w:w="12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Tenant</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2420" w:type="dxa"/>
            <w:vAlign w:val="bottom"/>
          </w:tcPr>
          <w:p>
            <w:pPr>
              <w:spacing w:after="0"/>
              <w:rPr>
                <w:sz w:val="14"/>
                <w:szCs w:val="14"/>
                <w:color w:val="auto"/>
              </w:rPr>
            </w:pP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Increase</w:t>
            </w:r>
          </w:p>
        </w:tc>
        <w:tc>
          <w:tcPr>
            <w:tcW w:w="12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Improvement</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Rolling 12 Months</w:t>
            </w:r>
          </w:p>
        </w:tc>
        <w:tc>
          <w:tcPr>
            <w:tcW w:w="16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over Prior Rent</w:t>
            </w:r>
          </w:p>
        </w:tc>
        <w:tc>
          <w:tcPr>
            <w:tcW w:w="1240" w:type="dxa"/>
            <w:vAlign w:val="bottom"/>
          </w:tcPr>
          <w:p>
            <w:pPr>
              <w:jc w:val="center"/>
              <w:ind w:left="228"/>
              <w:spacing w:after="0"/>
              <w:rPr>
                <w:sz w:val="20"/>
                <w:szCs w:val="20"/>
                <w:color w:val="auto"/>
              </w:rPr>
            </w:pPr>
            <w:r>
              <w:rPr>
                <w:rFonts w:ascii="Courier New" w:cs="Courier New" w:eastAsia="Courier New" w:hAnsi="Courier New"/>
                <w:sz w:val="14"/>
                <w:szCs w:val="14"/>
                <w:color w:val="auto"/>
                <w:w w:val="99"/>
              </w:rPr>
              <w:t>Costs</w:t>
            </w:r>
          </w:p>
        </w:tc>
        <w:tc>
          <w:tcPr>
            <w:tcW w:w="1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1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331"/>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4th Quarter 1996</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47%</w:t>
            </w:r>
          </w:p>
        </w:tc>
        <w:tc>
          <w:tcPr>
            <w:tcW w:w="2580" w:type="dxa"/>
            <w:vAlign w:val="bottom"/>
            <w:gridSpan w:val="2"/>
          </w:tcPr>
          <w:p>
            <w:pPr>
              <w:jc w:val="right"/>
              <w:ind w:right="1188"/>
              <w:spacing w:after="0"/>
              <w:rPr>
                <w:sz w:val="20"/>
                <w:szCs w:val="20"/>
                <w:color w:val="auto"/>
              </w:rPr>
            </w:pPr>
            <w:r>
              <w:rPr>
                <w:rFonts w:ascii="Courier New" w:cs="Courier New" w:eastAsia="Courier New" w:hAnsi="Courier New"/>
                <w:sz w:val="14"/>
                <w:szCs w:val="14"/>
                <w:color w:val="auto"/>
              </w:rPr>
              <w:t>$6,988,000</w:t>
            </w: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3rd Quarter 1996</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13%</w:t>
            </w:r>
          </w:p>
        </w:tc>
        <w:tc>
          <w:tcPr>
            <w:tcW w:w="2580" w:type="dxa"/>
            <w:vAlign w:val="bottom"/>
            <w:gridSpan w:val="2"/>
          </w:tcPr>
          <w:p>
            <w:pPr>
              <w:jc w:val="right"/>
              <w:ind w:right="1188"/>
              <w:spacing w:after="0"/>
              <w:rPr>
                <w:sz w:val="20"/>
                <w:szCs w:val="20"/>
                <w:color w:val="auto"/>
              </w:rPr>
            </w:pPr>
            <w:r>
              <w:rPr>
                <w:rFonts w:ascii="Courier New" w:cs="Courier New" w:eastAsia="Courier New" w:hAnsi="Courier New"/>
                <w:sz w:val="14"/>
                <w:szCs w:val="14"/>
                <w:color w:val="auto"/>
              </w:rPr>
              <w:t>1,740,000</w:t>
            </w: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2nd Quarter 1996</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w:t>
            </w:r>
          </w:p>
        </w:tc>
        <w:tc>
          <w:tcPr>
            <w:tcW w:w="2580" w:type="dxa"/>
            <w:vAlign w:val="bottom"/>
            <w:gridSpan w:val="2"/>
          </w:tcPr>
          <w:p>
            <w:pPr>
              <w:jc w:val="right"/>
              <w:ind w:right="1188"/>
              <w:spacing w:after="0"/>
              <w:rPr>
                <w:sz w:val="20"/>
                <w:szCs w:val="20"/>
                <w:color w:val="auto"/>
              </w:rPr>
            </w:pPr>
            <w:r>
              <w:rPr>
                <w:rFonts w:ascii="Courier New" w:cs="Courier New" w:eastAsia="Courier New" w:hAnsi="Courier New"/>
                <w:sz w:val="14"/>
                <w:szCs w:val="14"/>
                <w:color w:val="auto"/>
              </w:rPr>
              <w:t>2,042,000</w:t>
            </w: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1st Quarter 1996</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w:t>
            </w:r>
          </w:p>
        </w:tc>
        <w:tc>
          <w:tcPr>
            <w:tcW w:w="2580" w:type="dxa"/>
            <w:vAlign w:val="bottom"/>
            <w:gridSpan w:val="2"/>
          </w:tcPr>
          <w:p>
            <w:pPr>
              <w:jc w:val="right"/>
              <w:ind w:right="1188"/>
              <w:spacing w:after="0"/>
              <w:rPr>
                <w:sz w:val="20"/>
                <w:szCs w:val="20"/>
                <w:color w:val="auto"/>
              </w:rPr>
            </w:pPr>
            <w:r>
              <w:rPr>
                <w:rFonts w:ascii="Courier New" w:cs="Courier New" w:eastAsia="Courier New" w:hAnsi="Courier New"/>
                <w:sz w:val="14"/>
                <w:szCs w:val="14"/>
                <w:color w:val="auto"/>
              </w:rPr>
              <w:t>1,010,000</w:t>
            </w: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66"/>
        </w:trPr>
        <w:tc>
          <w:tcPr>
            <w:tcW w:w="2420" w:type="dxa"/>
            <w:vAlign w:val="bottom"/>
          </w:tcPr>
          <w:p>
            <w:pPr>
              <w:ind w:left="780"/>
              <w:spacing w:after="0"/>
              <w:rPr>
                <w:sz w:val="20"/>
                <w:szCs w:val="20"/>
                <w:color w:val="auto"/>
              </w:rPr>
            </w:pPr>
            <w:r>
              <w:rPr>
                <w:rFonts w:ascii="Courier New" w:cs="Courier New" w:eastAsia="Courier New" w:hAnsi="Courier New"/>
                <w:sz w:val="14"/>
                <w:szCs w:val="14"/>
                <w:color w:val="auto"/>
              </w:rPr>
              <w:t>Total</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21%</w:t>
            </w:r>
          </w:p>
        </w:tc>
        <w:tc>
          <w:tcPr>
            <w:tcW w:w="2580" w:type="dxa"/>
            <w:vAlign w:val="bottom"/>
            <w:gridSpan w:val="2"/>
          </w:tcPr>
          <w:p>
            <w:pPr>
              <w:jc w:val="right"/>
              <w:ind w:right="1188"/>
              <w:spacing w:after="0"/>
              <w:rPr>
                <w:sz w:val="20"/>
                <w:szCs w:val="20"/>
                <w:color w:val="auto"/>
              </w:rPr>
            </w:pPr>
            <w:r>
              <w:rPr>
                <w:rFonts w:ascii="Courier New" w:cs="Courier New" w:eastAsia="Courier New" w:hAnsi="Courier New"/>
                <w:sz w:val="14"/>
                <w:szCs w:val="14"/>
                <w:color w:val="auto"/>
              </w:rPr>
              <w:t>$11,780,000</w:t>
            </w: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497"/>
        </w:trPr>
        <w:tc>
          <w:tcPr>
            <w:tcW w:w="242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97"/>
        </w:trPr>
        <w:tc>
          <w:tcPr>
            <w:tcW w:w="2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2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Weighted</w:t>
            </w:r>
          </w:p>
        </w:tc>
        <w:tc>
          <w:tcPr>
            <w:tcW w:w="1600" w:type="dxa"/>
            <w:vAlign w:val="bottom"/>
          </w:tcPr>
          <w:p>
            <w:pPr>
              <w:spacing w:after="0"/>
              <w:rPr>
                <w:sz w:val="14"/>
                <w:szCs w:val="14"/>
                <w:color w:val="auto"/>
              </w:rPr>
            </w:pPr>
          </w:p>
        </w:tc>
        <w:tc>
          <w:tcPr>
            <w:tcW w:w="15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Annualized</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42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Number of</w:t>
            </w:r>
          </w:p>
        </w:tc>
        <w:tc>
          <w:tcPr>
            <w:tcW w:w="12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Square</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Average Lease</w:t>
            </w:r>
          </w:p>
        </w:tc>
        <w:tc>
          <w:tcPr>
            <w:tcW w:w="1600" w:type="dxa"/>
            <w:vAlign w:val="bottom"/>
          </w:tcPr>
          <w:p>
            <w:pPr>
              <w:ind w:left="380"/>
              <w:spacing w:after="0"/>
              <w:rPr>
                <w:sz w:val="20"/>
                <w:szCs w:val="20"/>
                <w:color w:val="auto"/>
              </w:rPr>
            </w:pPr>
            <w:r>
              <w:rPr>
                <w:rFonts w:ascii="Courier New" w:cs="Courier New" w:eastAsia="Courier New" w:hAnsi="Courier New"/>
                <w:sz w:val="14"/>
                <w:szCs w:val="14"/>
                <w:color w:val="auto"/>
              </w:rPr>
              <w:t>Average Rent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Current</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Rolling 12 Months</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Leases Signed</w:t>
            </w:r>
          </w:p>
        </w:tc>
        <w:tc>
          <w:tcPr>
            <w:tcW w:w="12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Feet</w:t>
            </w:r>
          </w:p>
        </w:tc>
        <w:tc>
          <w:tcPr>
            <w:tcW w:w="13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Term (Years)</w:t>
            </w:r>
          </w:p>
        </w:tc>
        <w:tc>
          <w:tcPr>
            <w:tcW w:w="1600" w:type="dxa"/>
            <w:vAlign w:val="bottom"/>
          </w:tcPr>
          <w:p>
            <w:pPr>
              <w:ind w:left="300"/>
              <w:spacing w:after="0"/>
              <w:rPr>
                <w:sz w:val="20"/>
                <w:szCs w:val="20"/>
                <w:color w:val="auto"/>
              </w:rPr>
            </w:pPr>
            <w:r>
              <w:rPr>
                <w:rFonts w:ascii="Courier New" w:cs="Courier New" w:eastAsia="Courier New" w:hAnsi="Courier New"/>
                <w:sz w:val="14"/>
                <w:szCs w:val="14"/>
                <w:color w:val="auto"/>
              </w:rPr>
              <w:t>Per Square Foot</w:t>
            </w:r>
          </w:p>
        </w:tc>
        <w:tc>
          <w:tcPr>
            <w:tcW w:w="15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Rent</w:t>
            </w:r>
          </w:p>
        </w:tc>
        <w:tc>
          <w:tcPr>
            <w:tcW w:w="1760" w:type="dxa"/>
            <w:vAlign w:val="bottom"/>
          </w:tcPr>
          <w:p>
            <w:pPr>
              <w:jc w:val="center"/>
              <w:spacing w:after="0"/>
              <w:rPr>
                <w:sz w:val="20"/>
                <w:szCs w:val="20"/>
                <w:color w:val="auto"/>
              </w:rPr>
            </w:pPr>
            <w:r>
              <w:rPr>
                <w:rFonts w:ascii="Courier New" w:cs="Courier New" w:eastAsia="Courier New" w:hAnsi="Courier New"/>
                <w:sz w:val="14"/>
                <w:szCs w:val="14"/>
                <w:color w:val="auto"/>
                <w:w w:val="99"/>
              </w:rPr>
              <w:t>Costs</w:t>
            </w:r>
          </w:p>
        </w:tc>
      </w:tr>
      <w:tr>
        <w:trPr>
          <w:trHeight w:val="166"/>
        </w:trPr>
        <w:tc>
          <w:tcPr>
            <w:tcW w:w="24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75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  ----------------  -------------------  ---------------  ----------------</w:t>
            </w:r>
          </w:p>
        </w:tc>
      </w:tr>
      <w:tr>
        <w:trPr>
          <w:trHeight w:val="331"/>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4th Quarter 1996</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170,449</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18.3</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$12.85</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$2,189,679</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$995,000</w:t>
            </w: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3rd Quarter 1996</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19,918</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13.89</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276,607</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380,000</w:t>
            </w: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2nd Quarter 1996</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31,194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8.7</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8.10</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252,789</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390,000</w:t>
            </w:r>
          </w:p>
        </w:tc>
      </w:tr>
      <w:tr>
        <w:trPr>
          <w:trHeight w:val="166"/>
        </w:trPr>
        <w:tc>
          <w:tcPr>
            <w:tcW w:w="2420" w:type="dxa"/>
            <w:vAlign w:val="bottom"/>
          </w:tcPr>
          <w:p>
            <w:pPr>
              <w:ind w:left="360"/>
              <w:spacing w:after="0"/>
              <w:rPr>
                <w:sz w:val="20"/>
                <w:szCs w:val="20"/>
                <w:color w:val="auto"/>
              </w:rPr>
            </w:pPr>
            <w:r>
              <w:rPr>
                <w:rFonts w:ascii="Courier New" w:cs="Courier New" w:eastAsia="Courier New" w:hAnsi="Courier New"/>
                <w:sz w:val="14"/>
                <w:szCs w:val="14"/>
                <w:color w:val="auto"/>
              </w:rPr>
              <w:t>1st Quarter 1996</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69,840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12.6</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12.54</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875,799</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351,000</w:t>
            </w:r>
          </w:p>
        </w:tc>
      </w:tr>
      <w:tr>
        <w:trPr>
          <w:trHeight w:val="166"/>
        </w:trPr>
        <w:tc>
          <w:tcPr>
            <w:tcW w:w="2420" w:type="dxa"/>
            <w:vAlign w:val="bottom"/>
          </w:tcPr>
          <w:p>
            <w:pPr>
              <w:ind w:left="780"/>
              <w:spacing w:after="0"/>
              <w:rPr>
                <w:sz w:val="20"/>
                <w:szCs w:val="20"/>
                <w:color w:val="auto"/>
              </w:rPr>
            </w:pPr>
            <w:r>
              <w:rPr>
                <w:rFonts w:ascii="Courier New" w:cs="Courier New" w:eastAsia="Courier New" w:hAnsi="Courier New"/>
                <w:sz w:val="14"/>
                <w:szCs w:val="14"/>
                <w:color w:val="auto"/>
              </w:rPr>
              <w:t>Total</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w:t>
            </w:r>
          </w:p>
        </w:tc>
        <w:tc>
          <w:tcPr>
            <w:tcW w:w="1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291,401</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17.5</w:t>
            </w:r>
          </w:p>
        </w:tc>
        <w:tc>
          <w:tcPr>
            <w:tcW w:w="16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$12.34</w:t>
            </w:r>
          </w:p>
        </w:tc>
        <w:tc>
          <w:tcPr>
            <w:tcW w:w="1580" w:type="dxa"/>
            <w:vAlign w:val="bottom"/>
          </w:tcPr>
          <w:p>
            <w:pPr>
              <w:jc w:val="right"/>
              <w:spacing w:after="0"/>
              <w:rPr>
                <w:sz w:val="20"/>
                <w:szCs w:val="20"/>
                <w:color w:val="auto"/>
              </w:rPr>
            </w:pPr>
            <w:r>
              <w:rPr>
                <w:rFonts w:ascii="Courier New" w:cs="Courier New" w:eastAsia="Courier New" w:hAnsi="Courier New"/>
                <w:sz w:val="14"/>
                <w:szCs w:val="14"/>
                <w:color w:val="auto"/>
              </w:rPr>
              <w:t>$3,594,874</w:t>
            </w:r>
          </w:p>
        </w:tc>
        <w:tc>
          <w:tcPr>
            <w:tcW w:w="17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$2,116,000</w:t>
            </w:r>
          </w:p>
        </w:tc>
      </w:tr>
    </w:tbl>
    <w:p>
      <w:pPr>
        <w:sectPr>
          <w:pgSz w:w="11900" w:h="16838" w:orient="portrait"/>
          <w:cols w:equalWidth="0" w:num="1">
            <w:col w:w="11540"/>
          </w:cols>
          <w:pgMar w:left="220" w:top="616" w:right="139"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w w:val="99"/>
              </w:rPr>
              <w:t>Total</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Percent</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66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Square Feet</w:t>
            </w:r>
          </w:p>
        </w:tc>
        <w:tc>
          <w:tcPr>
            <w:tcW w:w="15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of Total</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Rent Per</w:t>
            </w:r>
          </w:p>
        </w:tc>
      </w:tr>
      <w:tr>
        <w:trPr>
          <w:trHeight w:val="166"/>
        </w:trPr>
        <w:tc>
          <w:tcPr>
            <w:tcW w:w="660" w:type="dxa"/>
            <w:vAlign w:val="bottom"/>
          </w:tcPr>
          <w:p>
            <w:pPr>
              <w:spacing w:after="0"/>
              <w:rPr>
                <w:sz w:val="14"/>
                <w:szCs w:val="1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4"/>
                <w:szCs w:val="14"/>
                <w:color w:val="auto"/>
              </w:rPr>
              <w:t>Expiring (1)</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Portfolio(2)</w:t>
            </w:r>
          </w:p>
        </w:tc>
        <w:tc>
          <w:tcPr>
            <w:tcW w:w="1280" w:type="dxa"/>
            <w:vAlign w:val="bottom"/>
          </w:tcPr>
          <w:p>
            <w:pPr>
              <w:spacing w:after="0"/>
              <w:rPr>
                <w:sz w:val="20"/>
                <w:szCs w:val="20"/>
                <w:color w:val="auto"/>
              </w:rPr>
            </w:pPr>
            <w:r>
              <w:rPr>
                <w:rFonts w:ascii="Courier New" w:cs="Courier New" w:eastAsia="Courier New" w:hAnsi="Courier New"/>
                <w:sz w:val="14"/>
                <w:szCs w:val="14"/>
                <w:color w:val="auto"/>
              </w:rPr>
              <w:t>Square Foot</w:t>
            </w:r>
          </w:p>
        </w:tc>
      </w:tr>
      <w:tr>
        <w:trPr>
          <w:trHeight w:val="166"/>
        </w:trPr>
        <w:tc>
          <w:tcPr>
            <w:tcW w:w="660" w:type="dxa"/>
            <w:vAlign w:val="bottom"/>
          </w:tcPr>
          <w:p>
            <w:pPr>
              <w:spacing w:after="0"/>
              <w:rPr>
                <w:sz w:val="14"/>
                <w:szCs w:val="14"/>
                <w:color w:val="auto"/>
              </w:rPr>
            </w:pPr>
          </w:p>
        </w:tc>
        <w:tc>
          <w:tcPr>
            <w:tcW w:w="15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331"/>
        </w:trPr>
        <w:tc>
          <w:tcPr>
            <w:tcW w:w="6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424,896</w:t>
            </w:r>
          </w:p>
        </w:tc>
        <w:tc>
          <w:tcPr>
            <w:tcW w:w="15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$15.71</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411,273</w:t>
            </w:r>
          </w:p>
        </w:tc>
        <w:tc>
          <w:tcPr>
            <w:tcW w:w="15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$16.53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720,648</w:t>
            </w:r>
          </w:p>
        </w:tc>
        <w:tc>
          <w:tcPr>
            <w:tcW w:w="15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5%</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$11.98</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431,157</w:t>
            </w:r>
          </w:p>
        </w:tc>
        <w:tc>
          <w:tcPr>
            <w:tcW w:w="15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3%</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$19.33</w:t>
            </w: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540" w:type="dxa"/>
            <w:vAlign w:val="bottom"/>
          </w:tcPr>
          <w:p>
            <w:pPr>
              <w:jc w:val="center"/>
              <w:spacing w:after="0"/>
              <w:rPr>
                <w:sz w:val="20"/>
                <w:szCs w:val="20"/>
                <w:color w:val="auto"/>
              </w:rPr>
            </w:pPr>
            <w:r>
              <w:rPr>
                <w:rFonts w:ascii="Courier New" w:cs="Courier New" w:eastAsia="Courier New" w:hAnsi="Courier New"/>
                <w:sz w:val="14"/>
                <w:szCs w:val="14"/>
                <w:color w:val="auto"/>
              </w:rPr>
              <w:t>470,455</w:t>
            </w:r>
          </w:p>
        </w:tc>
        <w:tc>
          <w:tcPr>
            <w:tcW w:w="15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4%</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$19.14</w:t>
            </w:r>
          </w:p>
        </w:tc>
      </w:tr>
      <w:tr>
        <w:trPr>
          <w:trHeight w:val="663"/>
        </w:trPr>
        <w:tc>
          <w:tcPr>
            <w:tcW w:w="3720" w:type="dxa"/>
            <w:vAlign w:val="bottom"/>
            <w:gridSpan w:val="3"/>
          </w:tcPr>
          <w:p>
            <w:pPr>
              <w:spacing w:after="0"/>
              <w:rPr>
                <w:sz w:val="20"/>
                <w:szCs w:val="20"/>
                <w:color w:val="auto"/>
              </w:rPr>
            </w:pPr>
            <w:r>
              <w:rPr>
                <w:rFonts w:ascii="Courier New" w:cs="Courier New" w:eastAsia="Courier New" w:hAnsi="Courier New"/>
                <w:sz w:val="14"/>
                <w:szCs w:val="14"/>
                <w:color w:val="auto"/>
              </w:rPr>
              <w:t>(1) Excludes lease expirations with options</w:t>
            </w:r>
          </w:p>
        </w:tc>
        <w:tc>
          <w:tcPr>
            <w:tcW w:w="1280" w:type="dxa"/>
            <w:vAlign w:val="bottom"/>
          </w:tcPr>
          <w:p>
            <w:pPr>
              <w:spacing w:after="0"/>
              <w:rPr>
                <w:sz w:val="24"/>
                <w:szCs w:val="24"/>
                <w:color w:val="auto"/>
              </w:rPr>
            </w:pPr>
          </w:p>
        </w:tc>
      </w:tr>
      <w:tr>
        <w:trPr>
          <w:trHeight w:val="166"/>
        </w:trPr>
        <w:tc>
          <w:tcPr>
            <w:tcW w:w="3720" w:type="dxa"/>
            <w:vAlign w:val="bottom"/>
            <w:gridSpan w:val="3"/>
          </w:tcPr>
          <w:p>
            <w:pPr>
              <w:spacing w:after="0"/>
              <w:rPr>
                <w:sz w:val="20"/>
                <w:szCs w:val="20"/>
                <w:color w:val="auto"/>
              </w:rPr>
            </w:pPr>
            <w:r>
              <w:rPr>
                <w:rFonts w:ascii="Courier New" w:cs="Courier New" w:eastAsia="Courier New" w:hAnsi="Courier New"/>
                <w:sz w:val="14"/>
                <w:szCs w:val="14"/>
                <w:color w:val="auto"/>
              </w:rPr>
              <w:t>(2) Total square footage December 31, 1996:</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w w:val="99"/>
              </w:rPr>
              <w:t>13,122,333</w:t>
            </w:r>
          </w:p>
        </w:tc>
      </w:tr>
    </w:tbl>
    <w:p>
      <w:pPr>
        <w:sectPr>
          <w:pgSz w:w="11900" w:h="16838" w:orient="portrait"/>
          <w:cols w:equalWidth="0" w:num="1">
            <w:col w:w="10239"/>
          </w:cols>
          <w:pgMar w:left="220" w:top="782"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 - Anchors and Small Shops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Total</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Percent</w:t>
            </w:r>
          </w:p>
        </w:tc>
        <w:tc>
          <w:tcPr>
            <w:tcW w:w="86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Square Feet</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w w:val="98"/>
              </w:rPr>
              <w:t>of Total</w:t>
            </w:r>
          </w:p>
        </w:tc>
        <w:tc>
          <w:tcPr>
            <w:tcW w:w="860" w:type="dxa"/>
            <w:vAlign w:val="bottom"/>
          </w:tcPr>
          <w:p>
            <w:pPr>
              <w:spacing w:after="0"/>
              <w:rPr>
                <w:sz w:val="14"/>
                <w:szCs w:val="14"/>
                <w:color w:val="auto"/>
              </w:rPr>
            </w:pPr>
          </w:p>
        </w:tc>
      </w:tr>
      <w:tr>
        <w:trPr>
          <w:trHeight w:val="166"/>
        </w:trPr>
        <w:tc>
          <w:tcPr>
            <w:tcW w:w="142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Expiring(1)</w:t>
            </w:r>
          </w:p>
        </w:tc>
        <w:tc>
          <w:tcPr>
            <w:tcW w:w="20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Portfolio(2)</w:t>
            </w:r>
          </w:p>
        </w:tc>
      </w:tr>
      <w:tr>
        <w:trPr>
          <w:trHeight w:val="166"/>
        </w:trPr>
        <w:tc>
          <w:tcPr>
            <w:tcW w:w="1420" w:type="dxa"/>
            <w:vAlign w:val="bottom"/>
          </w:tcPr>
          <w:p>
            <w:pPr>
              <w:spacing w:after="0"/>
              <w:rPr>
                <w:sz w:val="14"/>
                <w:szCs w:val="14"/>
                <w:color w:val="auto"/>
              </w:rPr>
            </w:pPr>
          </w:p>
        </w:tc>
        <w:tc>
          <w:tcPr>
            <w:tcW w:w="15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20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w:t>
            </w:r>
          </w:p>
        </w:tc>
      </w:tr>
      <w:tr>
        <w:trPr>
          <w:trHeight w:val="497"/>
        </w:trPr>
        <w:tc>
          <w:tcPr>
            <w:tcW w:w="142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90,899</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(less than)1%</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Small Shop</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333,997</w:t>
            </w:r>
          </w:p>
        </w:tc>
        <w:tc>
          <w:tcPr>
            <w:tcW w:w="1160" w:type="dxa"/>
            <w:vAlign w:val="bottom"/>
          </w:tcPr>
          <w:p>
            <w:pPr>
              <w:spacing w:after="0"/>
              <w:rPr>
                <w:sz w:val="14"/>
                <w:szCs w:val="1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71,789</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(less than)1%</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Small Shop</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339,484</w:t>
            </w:r>
          </w:p>
        </w:tc>
        <w:tc>
          <w:tcPr>
            <w:tcW w:w="1160" w:type="dxa"/>
            <w:vAlign w:val="bottom"/>
          </w:tcPr>
          <w:p>
            <w:pPr>
              <w:spacing w:after="0"/>
              <w:rPr>
                <w:sz w:val="14"/>
                <w:szCs w:val="1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340,632</w:t>
            </w:r>
          </w:p>
        </w:tc>
        <w:tc>
          <w:tcPr>
            <w:tcW w:w="1160" w:type="dxa"/>
            <w:vAlign w:val="bottom"/>
          </w:tcPr>
          <w:p>
            <w:pPr>
              <w:spacing w:after="0"/>
              <w:rPr>
                <w:sz w:val="14"/>
                <w:szCs w:val="1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Small Shop</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380,016</w:t>
            </w:r>
          </w:p>
        </w:tc>
        <w:tc>
          <w:tcPr>
            <w:tcW w:w="1160" w:type="dxa"/>
            <w:vAlign w:val="bottom"/>
          </w:tcPr>
          <w:p>
            <w:pPr>
              <w:spacing w:after="0"/>
              <w:rPr>
                <w:sz w:val="14"/>
                <w:szCs w:val="1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41,663</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(less than)1%</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Small Shop</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389,494</w:t>
            </w:r>
          </w:p>
        </w:tc>
        <w:tc>
          <w:tcPr>
            <w:tcW w:w="1160" w:type="dxa"/>
            <w:vAlign w:val="bottom"/>
          </w:tcPr>
          <w:p>
            <w:pPr>
              <w:spacing w:after="0"/>
              <w:rPr>
                <w:sz w:val="14"/>
                <w:szCs w:val="1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w:t>
            </w:r>
          </w:p>
        </w:tc>
      </w:tr>
      <w:tr>
        <w:trPr>
          <w:trHeight w:val="331"/>
        </w:trPr>
        <w:tc>
          <w:tcPr>
            <w:tcW w:w="14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30,997</w:t>
            </w:r>
          </w:p>
        </w:tc>
        <w:tc>
          <w:tcPr>
            <w:tcW w:w="202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(less than)1%</w:t>
            </w:r>
          </w:p>
        </w:tc>
      </w:tr>
      <w:tr>
        <w:trPr>
          <w:trHeight w:val="166"/>
        </w:trPr>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Small Shop</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439,448</w:t>
            </w:r>
          </w:p>
        </w:tc>
        <w:tc>
          <w:tcPr>
            <w:tcW w:w="1160" w:type="dxa"/>
            <w:vAlign w:val="bottom"/>
          </w:tcPr>
          <w:p>
            <w:pPr>
              <w:spacing w:after="0"/>
              <w:rPr>
                <w:sz w:val="14"/>
                <w:szCs w:val="14"/>
                <w:color w:val="auto"/>
              </w:rPr>
            </w:pPr>
          </w:p>
        </w:tc>
        <w:tc>
          <w:tcPr>
            <w:tcW w:w="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w:t>
            </w:r>
          </w:p>
        </w:tc>
      </w:tr>
      <w:tr>
        <w:trPr>
          <w:trHeight w:val="663"/>
        </w:trPr>
        <w:tc>
          <w:tcPr>
            <w:tcW w:w="4140" w:type="dxa"/>
            <w:vAlign w:val="bottom"/>
            <w:gridSpan w:val="3"/>
          </w:tcPr>
          <w:p>
            <w:pPr>
              <w:spacing w:after="0"/>
              <w:rPr>
                <w:sz w:val="20"/>
                <w:szCs w:val="20"/>
                <w:color w:val="auto"/>
              </w:rPr>
            </w:pPr>
            <w:r>
              <w:rPr>
                <w:rFonts w:ascii="Courier New" w:cs="Courier New" w:eastAsia="Courier New" w:hAnsi="Courier New"/>
                <w:sz w:val="14"/>
                <w:szCs w:val="14"/>
                <w:color w:val="auto"/>
              </w:rPr>
              <w:t>(1) Excludes lease expirations with options</w:t>
            </w:r>
          </w:p>
        </w:tc>
        <w:tc>
          <w:tcPr>
            <w:tcW w:w="860" w:type="dxa"/>
            <w:vAlign w:val="bottom"/>
          </w:tcPr>
          <w:p>
            <w:pPr>
              <w:spacing w:after="0"/>
              <w:rPr>
                <w:sz w:val="24"/>
                <w:szCs w:val="24"/>
                <w:color w:val="auto"/>
              </w:rPr>
            </w:pPr>
          </w:p>
        </w:tc>
      </w:tr>
      <w:tr>
        <w:trPr>
          <w:trHeight w:val="166"/>
        </w:trPr>
        <w:tc>
          <w:tcPr>
            <w:tcW w:w="4140" w:type="dxa"/>
            <w:vAlign w:val="bottom"/>
            <w:gridSpan w:val="3"/>
          </w:tcPr>
          <w:p>
            <w:pPr>
              <w:spacing w:after="0"/>
              <w:rPr>
                <w:sz w:val="20"/>
                <w:szCs w:val="20"/>
                <w:color w:val="auto"/>
              </w:rPr>
            </w:pPr>
            <w:r>
              <w:rPr>
                <w:rFonts w:ascii="Courier New" w:cs="Courier New" w:eastAsia="Courier New" w:hAnsi="Courier New"/>
                <w:sz w:val="14"/>
                <w:szCs w:val="14"/>
                <w:color w:val="auto"/>
              </w:rPr>
              <w:t>(2) Total square footage December 31, 1996: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13,122,333</w:t>
            </w:r>
          </w:p>
        </w:tc>
      </w:tr>
    </w:tbl>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Sales/Occupancy Costs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Average</w:t>
            </w:r>
          </w:p>
        </w:tc>
        <w:tc>
          <w:tcPr>
            <w:tcW w:w="18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860" w:type="dxa"/>
            <w:vAlign w:val="bottom"/>
          </w:tcPr>
          <w:p>
            <w:pPr>
              <w:spacing w:after="0"/>
              <w:rPr>
                <w:sz w:val="14"/>
                <w:szCs w:val="14"/>
                <w:color w:val="auto"/>
              </w:rPr>
            </w:pPr>
          </w:p>
        </w:tc>
        <w:tc>
          <w:tcPr>
            <w:tcW w:w="1920" w:type="dxa"/>
            <w:vAlign w:val="bottom"/>
          </w:tcPr>
          <w:p>
            <w:pPr>
              <w:ind w:left="860"/>
              <w:spacing w:after="0"/>
              <w:rPr>
                <w:sz w:val="20"/>
                <w:szCs w:val="20"/>
                <w:color w:val="auto"/>
              </w:rPr>
            </w:pPr>
            <w:r>
              <w:rPr>
                <w:rFonts w:ascii="Courier New" w:cs="Courier New" w:eastAsia="Courier New" w:hAnsi="Courier New"/>
                <w:sz w:val="14"/>
                <w:szCs w:val="14"/>
                <w:color w:val="auto"/>
              </w:rPr>
              <w:t>Average</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Occupancy</w:t>
            </w:r>
          </w:p>
        </w:tc>
        <w:tc>
          <w:tcPr>
            <w:tcW w:w="18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Occupancy Costs</w:t>
            </w:r>
          </w:p>
        </w:tc>
      </w:tr>
      <w:tr>
        <w:trPr>
          <w:trHeight w:val="166"/>
        </w:trPr>
        <w:tc>
          <w:tcPr>
            <w:tcW w:w="2860" w:type="dxa"/>
            <w:vAlign w:val="bottom"/>
          </w:tcPr>
          <w:p>
            <w:pPr>
              <w:spacing w:after="0"/>
              <w:rPr>
                <w:sz w:val="14"/>
                <w:szCs w:val="14"/>
                <w:color w:val="auto"/>
              </w:rPr>
            </w:pPr>
          </w:p>
        </w:tc>
        <w:tc>
          <w:tcPr>
            <w:tcW w:w="1920" w:type="dxa"/>
            <w:vAlign w:val="bottom"/>
          </w:tcPr>
          <w:p>
            <w:pPr>
              <w:ind w:left="760"/>
              <w:spacing w:after="0"/>
              <w:rPr>
                <w:sz w:val="20"/>
                <w:szCs w:val="20"/>
                <w:color w:val="auto"/>
              </w:rPr>
            </w:pPr>
            <w:r>
              <w:rPr>
                <w:rFonts w:ascii="Courier New" w:cs="Courier New" w:eastAsia="Courier New" w:hAnsi="Courier New"/>
                <w:sz w:val="14"/>
                <w:szCs w:val="14"/>
                <w:color w:val="auto"/>
              </w:rPr>
              <w:t>Sales Per</w:t>
            </w:r>
          </w:p>
        </w:tc>
        <w:tc>
          <w:tcPr>
            <w:tcW w:w="1860" w:type="dxa"/>
            <w:vAlign w:val="bottom"/>
          </w:tcPr>
          <w:p>
            <w:pPr>
              <w:ind w:left="480"/>
              <w:spacing w:after="0"/>
              <w:rPr>
                <w:sz w:val="20"/>
                <w:szCs w:val="20"/>
                <w:color w:val="auto"/>
              </w:rPr>
            </w:pPr>
            <w:r>
              <w:rPr>
                <w:rFonts w:ascii="Courier New" w:cs="Courier New" w:eastAsia="Courier New" w:hAnsi="Courier New"/>
                <w:sz w:val="14"/>
                <w:szCs w:val="14"/>
                <w:color w:val="auto"/>
              </w:rPr>
              <w:t>Cost Per</w:t>
            </w:r>
          </w:p>
        </w:tc>
        <w:tc>
          <w:tcPr>
            <w:tcW w:w="180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as Percentage</w:t>
            </w:r>
          </w:p>
        </w:tc>
      </w:tr>
      <w:tr>
        <w:trPr>
          <w:trHeight w:val="166"/>
        </w:trPr>
        <w:tc>
          <w:tcPr>
            <w:tcW w:w="2860" w:type="dxa"/>
            <w:vAlign w:val="bottom"/>
          </w:tcPr>
          <w:p>
            <w:pPr>
              <w:spacing w:after="0"/>
              <w:rPr>
                <w:sz w:val="14"/>
                <w:szCs w:val="14"/>
                <w:color w:val="auto"/>
              </w:rPr>
            </w:pPr>
          </w:p>
        </w:tc>
        <w:tc>
          <w:tcPr>
            <w:tcW w:w="1920" w:type="dxa"/>
            <w:vAlign w:val="bottom"/>
          </w:tcPr>
          <w:p>
            <w:pPr>
              <w:ind w:left="680"/>
              <w:spacing w:after="0"/>
              <w:rPr>
                <w:sz w:val="20"/>
                <w:szCs w:val="20"/>
                <w:color w:val="auto"/>
              </w:rPr>
            </w:pPr>
            <w:r>
              <w:rPr>
                <w:rFonts w:ascii="Courier New" w:cs="Courier New" w:eastAsia="Courier New" w:hAnsi="Courier New"/>
                <w:sz w:val="14"/>
                <w:szCs w:val="14"/>
                <w:color w:val="auto"/>
              </w:rPr>
              <w:t>Square Foot</w:t>
            </w:r>
          </w:p>
        </w:tc>
        <w:tc>
          <w:tcPr>
            <w:tcW w:w="18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Square Foot</w:t>
            </w:r>
          </w:p>
        </w:tc>
        <w:tc>
          <w:tcPr>
            <w:tcW w:w="18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of Sales</w:t>
            </w:r>
          </w:p>
        </w:tc>
      </w:tr>
      <w:tr>
        <w:trPr>
          <w:trHeight w:val="166"/>
        </w:trPr>
        <w:tc>
          <w:tcPr>
            <w:tcW w:w="2860" w:type="dxa"/>
            <w:vAlign w:val="bottom"/>
          </w:tcPr>
          <w:p>
            <w:pPr>
              <w:spacing w:after="0"/>
              <w:rPr>
                <w:sz w:val="14"/>
                <w:szCs w:val="14"/>
                <w:color w:val="auto"/>
              </w:rPr>
            </w:pPr>
          </w:p>
        </w:tc>
        <w:tc>
          <w:tcPr>
            <w:tcW w:w="192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80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Reporting Tenants*</w:t>
            </w:r>
          </w:p>
        </w:tc>
        <w:tc>
          <w:tcPr>
            <w:tcW w:w="1920" w:type="dxa"/>
            <w:vAlign w:val="bottom"/>
          </w:tcPr>
          <w:p>
            <w:pPr>
              <w:ind w:left="760"/>
              <w:spacing w:after="0"/>
              <w:rPr>
                <w:sz w:val="20"/>
                <w:szCs w:val="20"/>
                <w:color w:val="auto"/>
              </w:rPr>
            </w:pPr>
            <w:r>
              <w:rPr>
                <w:rFonts w:ascii="Courier New" w:cs="Courier New" w:eastAsia="Courier New" w:hAnsi="Courier New"/>
                <w:sz w:val="14"/>
                <w:szCs w:val="14"/>
                <w:color w:val="auto"/>
              </w:rPr>
              <w:t>$264.21</w:t>
            </w:r>
          </w:p>
        </w:tc>
        <w:tc>
          <w:tcPr>
            <w:tcW w:w="1860" w:type="dxa"/>
            <w:vAlign w:val="bottom"/>
          </w:tcPr>
          <w:p>
            <w:pPr>
              <w:ind w:left="560"/>
              <w:spacing w:after="0"/>
              <w:rPr>
                <w:sz w:val="20"/>
                <w:szCs w:val="20"/>
                <w:color w:val="auto"/>
              </w:rPr>
            </w:pPr>
            <w:r>
              <w:rPr>
                <w:rFonts w:ascii="Courier New" w:cs="Courier New" w:eastAsia="Courier New" w:hAnsi="Courier New"/>
                <w:sz w:val="14"/>
                <w:szCs w:val="14"/>
                <w:color w:val="auto"/>
              </w:rPr>
              <w:t>$14.01</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5.3%</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Reporting Anchor Tenants</w:t>
            </w:r>
          </w:p>
        </w:tc>
        <w:tc>
          <w:tcPr>
            <w:tcW w:w="1920" w:type="dxa"/>
            <w:vAlign w:val="bottom"/>
          </w:tcPr>
          <w:p>
            <w:pPr>
              <w:ind w:left="760"/>
              <w:spacing w:after="0"/>
              <w:rPr>
                <w:sz w:val="20"/>
                <w:szCs w:val="20"/>
                <w:color w:val="auto"/>
              </w:rPr>
            </w:pPr>
            <w:r>
              <w:rPr>
                <w:rFonts w:ascii="Courier New" w:cs="Courier New" w:eastAsia="Courier New" w:hAnsi="Courier New"/>
                <w:sz w:val="14"/>
                <w:szCs w:val="14"/>
                <w:color w:val="auto"/>
              </w:rPr>
              <w:t>$286.88</w:t>
            </w:r>
          </w:p>
        </w:tc>
        <w:tc>
          <w:tcPr>
            <w:tcW w:w="1860" w:type="dxa"/>
            <w:vAlign w:val="bottom"/>
          </w:tcPr>
          <w:p>
            <w:pPr>
              <w:ind w:left="560"/>
              <w:spacing w:after="0"/>
              <w:rPr>
                <w:sz w:val="20"/>
                <w:szCs w:val="20"/>
                <w:color w:val="auto"/>
              </w:rPr>
            </w:pPr>
            <w:r>
              <w:rPr>
                <w:rFonts w:ascii="Courier New" w:cs="Courier New" w:eastAsia="Courier New" w:hAnsi="Courier New"/>
                <w:sz w:val="14"/>
                <w:szCs w:val="14"/>
                <w:color w:val="auto"/>
              </w:rPr>
              <w:t>$9.64</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w:t>
            </w:r>
          </w:p>
        </w:tc>
      </w:tr>
      <w:tr>
        <w:trPr>
          <w:trHeight w:val="331"/>
        </w:trPr>
        <w:tc>
          <w:tcPr>
            <w:tcW w:w="2860" w:type="dxa"/>
            <w:vAlign w:val="bottom"/>
          </w:tcPr>
          <w:p>
            <w:pPr>
              <w:spacing w:after="0"/>
              <w:rPr>
                <w:sz w:val="20"/>
                <w:szCs w:val="20"/>
                <w:color w:val="auto"/>
              </w:rPr>
            </w:pPr>
            <w:r>
              <w:rPr>
                <w:rFonts w:ascii="Courier New" w:cs="Courier New" w:eastAsia="Courier New" w:hAnsi="Courier New"/>
                <w:sz w:val="14"/>
                <w:szCs w:val="14"/>
                <w:color w:val="auto"/>
              </w:rPr>
              <w:t>Reporting Small Shop Tenants</w:t>
            </w:r>
          </w:p>
        </w:tc>
        <w:tc>
          <w:tcPr>
            <w:tcW w:w="1920" w:type="dxa"/>
            <w:vAlign w:val="bottom"/>
          </w:tcPr>
          <w:p>
            <w:pPr>
              <w:ind w:left="760"/>
              <w:spacing w:after="0"/>
              <w:rPr>
                <w:sz w:val="20"/>
                <w:szCs w:val="20"/>
                <w:color w:val="auto"/>
              </w:rPr>
            </w:pPr>
            <w:r>
              <w:rPr>
                <w:rFonts w:ascii="Courier New" w:cs="Courier New" w:eastAsia="Courier New" w:hAnsi="Courier New"/>
                <w:sz w:val="14"/>
                <w:szCs w:val="14"/>
                <w:color w:val="auto"/>
              </w:rPr>
              <w:t>$231.30</w:t>
            </w:r>
          </w:p>
        </w:tc>
        <w:tc>
          <w:tcPr>
            <w:tcW w:w="1860" w:type="dxa"/>
            <w:vAlign w:val="bottom"/>
          </w:tcPr>
          <w:p>
            <w:pPr>
              <w:ind w:left="560"/>
              <w:spacing w:after="0"/>
              <w:rPr>
                <w:sz w:val="20"/>
                <w:szCs w:val="20"/>
                <w:color w:val="auto"/>
              </w:rPr>
            </w:pPr>
            <w:r>
              <w:rPr>
                <w:rFonts w:ascii="Courier New" w:cs="Courier New" w:eastAsia="Courier New" w:hAnsi="Courier New"/>
                <w:sz w:val="14"/>
                <w:szCs w:val="14"/>
                <w:color w:val="auto"/>
              </w:rPr>
              <w:t>$20.26</w:t>
            </w:r>
          </w:p>
        </w:tc>
        <w:tc>
          <w:tcPr>
            <w:tcW w:w="18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8.7%</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Includes only those tenants that have 12 months of reported sales in 1996</w:t>
      </w:r>
    </w:p>
    <w:p>
      <w:pPr>
        <w:sectPr>
          <w:pgSz w:w="11900" w:h="16838" w:orient="portrait"/>
          <w:cols w:equalWidth="0" w:num="1">
            <w:col w:w="10239"/>
          </w:cols>
          <w:pgMar w:left="220" w:top="616" w:right="1440" w:bottom="1440" w:gutter="0" w:footer="0" w:header="0"/>
        </w:sectPr>
      </w:pPr>
    </w:p>
    <w:bookmarkStart w:id="12" w:name="page13"/>
    <w:bookmarkEnd w:id="12"/>
    <w:p>
      <w:pPr>
        <w:jc w:val="center"/>
        <w:ind w:left="1560"/>
        <w:spacing w:after="0"/>
        <w:rPr>
          <w:sz w:val="20"/>
          <w:szCs w:val="20"/>
          <w:color w:val="auto"/>
        </w:rPr>
      </w:pPr>
      <w:r>
        <w:rPr>
          <w:rFonts w:ascii="Courier New" w:cs="Courier New" w:eastAsia="Courier New" w:hAnsi="Courier New"/>
          <w:sz w:val="14"/>
          <w:szCs w:val="14"/>
          <w:color w:val="auto"/>
        </w:rPr>
        <w:t>"Ami pro"</w:t>
      </w:r>
    </w:p>
    <w:p>
      <w:pPr>
        <w:spacing w:after="0" w:line="7" w:lineRule="exact"/>
        <w:rPr>
          <w:sz w:val="20"/>
          <w:szCs w:val="20"/>
          <w:color w:val="auto"/>
        </w:rPr>
      </w:pPr>
    </w:p>
    <w:p>
      <w:pPr>
        <w:jc w:val="center"/>
        <w:ind w:left="1560"/>
        <w:spacing w:after="0"/>
        <w:rPr>
          <w:sz w:val="20"/>
          <w:szCs w:val="20"/>
          <w:color w:val="auto"/>
        </w:rPr>
      </w:pPr>
      <w:r>
        <w:rPr>
          <w:rFonts w:ascii="Courier New" w:cs="Courier New" w:eastAsia="Courier New" w:hAnsi="Courier New"/>
          <w:sz w:val="14"/>
          <w:szCs w:val="14"/>
          <w:color w:val="auto"/>
        </w:rPr>
        <w:t>Release</w:t>
      </w:r>
    </w:p>
    <w:p>
      <w:pPr>
        <w:spacing w:after="0" w:line="173"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[LOGO OF FEDERAL REALTY INVESTMENT TRUST APPEARS HERE]</w:t>
      </w:r>
    </w:p>
    <w:p>
      <w:pPr>
        <w:spacing w:after="0" w:line="338" w:lineRule="exact"/>
        <w:rPr>
          <w:sz w:val="20"/>
          <w:szCs w:val="20"/>
          <w:color w:val="auto"/>
        </w:rPr>
      </w:pPr>
    </w:p>
    <w:p>
      <w:pPr>
        <w:ind w:left="860"/>
        <w:spacing w:after="0"/>
        <w:tabs>
          <w:tab w:leader="none" w:pos="2140" w:val="left"/>
          <w:tab w:leader="none" w:pos="3260" w:val="left"/>
          <w:tab w:leader="none" w:pos="5080" w:val="left"/>
        </w:tabs>
        <w:rPr>
          <w:sz w:val="20"/>
          <w:szCs w:val="20"/>
          <w:color w:val="auto"/>
        </w:rPr>
      </w:pPr>
      <w:r>
        <w:rPr>
          <w:rFonts w:ascii="Courier New" w:cs="Courier New" w:eastAsia="Courier New" w:hAnsi="Courier New"/>
          <w:sz w:val="14"/>
          <w:szCs w:val="14"/>
          <w:color w:val="auto"/>
        </w:rPr>
        <w:t>F E D E R A L</w:t>
        <w:tab/>
        <w:t>R E A L T Y</w:t>
        <w:tab/>
        <w:t>I N V E S T M E N T</w:t>
        <w:tab/>
        <w:t>T R U S T</w:t>
      </w:r>
    </w:p>
    <w:p>
      <w:pPr>
        <w:spacing w:after="0" w:line="338"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Mary Jane Morrow</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Finance &amp; Treasurer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(301) 998-8321</w:t>
      </w:r>
    </w:p>
    <w:p>
      <w:pPr>
        <w:spacing w:after="0" w:line="33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1996 OPERATING RESULTS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12, 1997</w:t>
      </w:r>
    </w:p>
    <w:p>
      <w:pPr>
        <w:spacing w:after="0" w:line="173" w:lineRule="exact"/>
        <w:rPr>
          <w:sz w:val="20"/>
          <w:szCs w:val="20"/>
          <w:color w:val="auto"/>
        </w:rPr>
      </w:pPr>
    </w:p>
    <w:p>
      <w:pPr>
        <w:ind w:right="3419" w:firstLine="689"/>
        <w:spacing w:after="0" w:line="252"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year ended December 31, 1996 increased 14% to $65.3 million from $57.0 million in 1995. On a per share basis, funds from operations rose 8% to $1.94 per share in 1996 from $1.79 in 1995.</w:t>
      </w:r>
    </w:p>
    <w:p>
      <w:pPr>
        <w:spacing w:after="0" w:line="162" w:lineRule="exact"/>
        <w:rPr>
          <w:sz w:val="20"/>
          <w:szCs w:val="20"/>
          <w:color w:val="auto"/>
        </w:rPr>
      </w:pPr>
    </w:p>
    <w:p>
      <w:pPr>
        <w:ind w:right="3419" w:firstLine="689"/>
        <w:spacing w:after="0" w:line="255" w:lineRule="auto"/>
        <w:rPr>
          <w:sz w:val="20"/>
          <w:szCs w:val="20"/>
          <w:color w:val="auto"/>
        </w:rPr>
      </w:pPr>
      <w:r>
        <w:rPr>
          <w:rFonts w:ascii="Courier New" w:cs="Courier New" w:eastAsia="Courier New" w:hAnsi="Courier New"/>
          <w:sz w:val="14"/>
          <w:szCs w:val="14"/>
          <w:color w:val="auto"/>
        </w:rPr>
        <w:t>A comparison of property operations for the year ended 1996 versus 1995 shows the following:</w:t>
      </w:r>
    </w:p>
    <w:p>
      <w:pPr>
        <w:spacing w:after="0" w:line="160" w:lineRule="exact"/>
        <w:rPr>
          <w:sz w:val="20"/>
          <w:szCs w:val="20"/>
          <w:color w:val="auto"/>
        </w:rPr>
      </w:pPr>
    </w:p>
    <w:p>
      <w:pPr>
        <w:ind w:left="700" w:right="3519" w:hanging="606"/>
        <w:spacing w:after="0" w:line="252" w:lineRule="auto"/>
        <w:tabs>
          <w:tab w:leader="none" w:pos="78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15% to $164.9 million in 1996 from $142.8 million in 1995. When adjusted to exclude properties acquired and sold during 1995 and 1996, rental income increased 7% to $146.4 million in 1996 from $137.3 million in 1995.</w:t>
      </w:r>
    </w:p>
    <w:p>
      <w:pPr>
        <w:spacing w:after="0" w:line="162" w:lineRule="exact"/>
        <w:rPr>
          <w:sz w:val="20"/>
          <w:szCs w:val="20"/>
          <w:color w:val="auto"/>
        </w:rPr>
      </w:pPr>
    </w:p>
    <w:p>
      <w:pPr>
        <w:ind w:left="700" w:right="3599" w:hanging="606"/>
        <w:spacing w:after="0" w:line="251" w:lineRule="auto"/>
        <w:tabs>
          <w:tab w:leader="none" w:pos="78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1996, the Trust signed leases for a total 1.6 million square feet of retail space. On a same space basis, the Trust re-leased 1.3 million square feet at an average increase in rent per square foot of 21%. The weighted average rent on these leases was $15.67 per square foot compared to the previous average rent of $12.94 per square foot.</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-More-</w:t>
      </w:r>
    </w:p>
    <w:p>
      <w:pPr>
        <w:spacing w:after="0" w:line="338" w:lineRule="exact"/>
        <w:rPr>
          <w:sz w:val="20"/>
          <w:szCs w:val="20"/>
          <w:color w:val="auto"/>
        </w:rPr>
      </w:pPr>
    </w:p>
    <w:p>
      <w:pPr>
        <w:ind w:left="1220"/>
        <w:spacing w:after="0"/>
        <w:tabs>
          <w:tab w:leader="none" w:pos="1960" w:val="left"/>
          <w:tab w:leader="none" w:pos="2740" w:val="left"/>
          <w:tab w:leader="none" w:pos="4380" w:val="left"/>
        </w:tabs>
        <w:rPr>
          <w:sz w:val="20"/>
          <w:szCs w:val="20"/>
          <w:color w:val="auto"/>
        </w:rPr>
      </w:pPr>
      <w:r>
        <w:rPr>
          <w:rFonts w:ascii="Courier New" w:cs="Courier New" w:eastAsia="Courier New" w:hAnsi="Courier New"/>
          <w:sz w:val="14"/>
          <w:szCs w:val="14"/>
          <w:color w:val="auto"/>
        </w:rPr>
        <w:t>1 6 2 6</w:t>
        <w:tab/>
        <w:t>E A S T</w:t>
        <w:tab/>
        <w:t>J E F F E R S O N</w:t>
        <w:tab/>
        <w:t>S T R E E T,</w:t>
      </w:r>
    </w:p>
    <w:p>
      <w:pPr>
        <w:spacing w:after="0" w:line="7" w:lineRule="exact"/>
        <w:rPr>
          <w:sz w:val="20"/>
          <w:szCs w:val="20"/>
          <w:color w:val="auto"/>
        </w:rPr>
      </w:pPr>
    </w:p>
    <w:p>
      <w:pPr>
        <w:ind w:left="1480"/>
        <w:spacing w:after="0"/>
        <w:tabs>
          <w:tab w:leader="none" w:pos="3180" w:val="left"/>
          <w:tab w:leader="none" w:pos="3600" w:val="left"/>
        </w:tabs>
        <w:rPr>
          <w:sz w:val="20"/>
          <w:szCs w:val="20"/>
          <w:color w:val="auto"/>
        </w:rPr>
      </w:pPr>
      <w:r>
        <w:rPr>
          <w:rFonts w:ascii="Courier New" w:cs="Courier New" w:eastAsia="Courier New" w:hAnsi="Courier New"/>
          <w:sz w:val="14"/>
          <w:szCs w:val="14"/>
          <w:color w:val="auto"/>
        </w:rPr>
        <w:t>R O C K V I L L E,</w:t>
        <w:tab/>
        <w:t>M D</w:t>
        <w:tab/>
        <w:t>2 0 8 5 2 - 4 0 4 1</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3 0 1 - 9 9 8 - 8 1 0 0</w:t>
      </w:r>
    </w:p>
    <w:p>
      <w:pPr>
        <w:sectPr>
          <w:pgSz w:w="11900" w:h="16838" w:orient="portrait"/>
          <w:cols w:equalWidth="0" w:num="1">
            <w:col w:w="10239"/>
          </w:cols>
          <w:pgMar w:left="220" w:top="616" w:right="1440" w:bottom="1440" w:gutter="0" w:footer="0" w:header="0"/>
        </w:sectPr>
      </w:pPr>
    </w:p>
    <w:bookmarkStart w:id="13" w:name="page14"/>
    <w:bookmarkEnd w:id="13"/>
    <w:p>
      <w:pPr>
        <w:ind w:left="440" w:right="3339"/>
        <w:spacing w:after="0" w:line="251" w:lineRule="auto"/>
        <w:rPr>
          <w:sz w:val="20"/>
          <w:szCs w:val="20"/>
          <w:color w:val="auto"/>
        </w:rPr>
      </w:pPr>
      <w:r>
        <w:rPr>
          <w:rFonts w:ascii="Courier New" w:cs="Courier New" w:eastAsia="Courier New" w:hAnsi="Courier New"/>
          <w:sz w:val="14"/>
          <w:szCs w:val="14"/>
          <w:color w:val="auto"/>
        </w:rPr>
        <w:t>During 1995, the Trust leased a total 1.5 million square feet. On a same space basis, 1.3 million square feet was released at an average increase in rent per square foot of 18%. The weighted average rent on these leases was $14.80 per square foot compared to the previous average rent per square foot of $12.53.</w:t>
      </w:r>
    </w:p>
    <w:p>
      <w:pPr>
        <w:spacing w:after="0" w:line="165" w:lineRule="exact"/>
        <w:rPr>
          <w:sz w:val="20"/>
          <w:szCs w:val="20"/>
          <w:color w:val="auto"/>
        </w:rPr>
      </w:pPr>
    </w:p>
    <w:p>
      <w:pPr>
        <w:jc w:val="both"/>
        <w:ind w:left="440" w:right="3419" w:hanging="346"/>
        <w:spacing w:after="0" w:line="252" w:lineRule="auto"/>
        <w:tabs>
          <w:tab w:leader="none" w:pos="52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property occupancy stood at 94% at December 31, 1996 compared to 96% at year end 1995. The Trust's overall portfolio was 94% leased compared to 95% a year ago.</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Commenting on the year, Steven J. Guttman, President and Chief Executive Officer stated, "We are pleased with our strong 1996 results. In addition to the positive contributions from our recent acquisitions, we continue to benefit from the improved performance of our core portfolio. Our redevelopment and remerchandising programs have produced steady rental income growth, which combined with our expense control program, has had a positive impact on the bottom line."</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87 retail properties, principally neighborhood and community shopping centers, located in strategic metropolitan markets across the United States. These markets include Boston, New York/New Jersey, Philadelphia, metropolitan Washington D.C., Chicago and Southern California.</w:t>
      </w:r>
    </w:p>
    <w:p>
      <w:pPr>
        <w:spacing w:after="0" w:line="164"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29 consecutive years. Shares of the Trust are traded on the New York Stock Exchange under the symbol: FRT.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4" w:name="page15"/>
    <w:bookmarkEnd w:id="14"/>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ind w:left="1820"/>
              <w:spacing w:after="0"/>
              <w:rPr>
                <w:sz w:val="20"/>
                <w:szCs w:val="20"/>
                <w:color w:val="auto"/>
              </w:rPr>
            </w:pPr>
            <w:r>
              <w:rPr>
                <w:rFonts w:ascii="Courier New" w:cs="Courier New" w:eastAsia="Courier New" w:hAnsi="Courier New"/>
                <w:sz w:val="14"/>
                <w:szCs w:val="14"/>
                <w:color w:val="auto"/>
              </w:rPr>
              <w:t>(in thousands, except per share data)</w:t>
            </w: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663"/>
        </w:trPr>
        <w:tc>
          <w:tcPr>
            <w:tcW w:w="5040" w:type="dxa"/>
            <w:vAlign w:val="bottom"/>
          </w:tcPr>
          <w:p>
            <w:pPr>
              <w:spacing w:after="0"/>
              <w:rPr>
                <w:sz w:val="24"/>
                <w:szCs w:val="24"/>
                <w:color w:val="auto"/>
              </w:rPr>
            </w:pPr>
          </w:p>
        </w:tc>
        <w:tc>
          <w:tcPr>
            <w:tcW w:w="246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Three Months Ended</w:t>
            </w:r>
          </w:p>
        </w:tc>
        <w:tc>
          <w:tcPr>
            <w:tcW w:w="268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5040" w:type="dxa"/>
            <w:vAlign w:val="bottom"/>
          </w:tcPr>
          <w:p>
            <w:pPr>
              <w:spacing w:after="0"/>
              <w:rPr>
                <w:sz w:val="14"/>
                <w:szCs w:val="14"/>
                <w:color w:val="auto"/>
              </w:rPr>
            </w:pPr>
          </w:p>
        </w:tc>
        <w:tc>
          <w:tcPr>
            <w:tcW w:w="24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December 31,</w:t>
            </w:r>
          </w:p>
        </w:tc>
        <w:tc>
          <w:tcPr>
            <w:tcW w:w="268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OPERATING RESULTS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1996</w:t>
            </w: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1995</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Revenues</w:t>
            </w: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Rental income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$43,332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$38,284</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$164,887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$142,841</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1,204</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1,064</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4,352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4,113</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Other income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2,840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2,152</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9,816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7,435</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47,376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41,500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179,055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154,389</w:t>
            </w:r>
          </w:p>
        </w:tc>
      </w:tr>
      <w:tr>
        <w:trPr>
          <w:trHeight w:val="166"/>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Expenses</w:t>
            </w: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Rental</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10,177</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10,034</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40,687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35,093</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Real estate taxes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4,300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3,767</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16,411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14,471</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Interest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11,996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10,454</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45,555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39,268</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Administrative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3,026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2,822</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9,100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7,305</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Depreciation and amortization</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10,029</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9,086</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38,154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34,901</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39,528</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36,163</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149,907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131,038</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Operating income before investors' share of</w:t>
            </w: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operations and loss on sale of real estate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7,848</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5,337</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29,148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23,351</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Investor's share of operations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Income before loss on sale of real estate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7,708</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5,336</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28,754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23,655</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Loss on sale of real estate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(545)</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$7,696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$5,366</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$28,742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$23,110</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Earnings per share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$0.22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$0.17</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$0.86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$0.72</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1"/>
        </w:trPr>
        <w:tc>
          <w:tcPr>
            <w:tcW w:w="5040" w:type="dxa"/>
            <w:vAlign w:val="bottom"/>
          </w:tcPr>
          <w:p>
            <w:pPr>
              <w:ind w:left="100"/>
              <w:spacing w:after="0"/>
              <w:rPr>
                <w:sz w:val="20"/>
                <w:szCs w:val="20"/>
                <w:color w:val="auto"/>
              </w:rPr>
            </w:pPr>
            <w:r>
              <w:rPr>
                <w:rFonts w:ascii="Courier New" w:cs="Courier New" w:eastAsia="Courier New" w:hAnsi="Courier New"/>
                <w:sz w:val="14"/>
                <w:szCs w:val="14"/>
                <w:color w:val="auto"/>
              </w:rPr>
              <w:t>Funds from Operations</w:t>
            </w:r>
          </w:p>
        </w:tc>
        <w:tc>
          <w:tcPr>
            <w:tcW w:w="10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$7,696</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$5,366</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$28,742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$23,110</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Add: depreciation and amortization</w:t>
            </w: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040" w:type="dxa"/>
            <w:vAlign w:val="bottom"/>
          </w:tcPr>
          <w:p>
            <w:pPr>
              <w:ind w:left="700"/>
              <w:spacing w:after="0"/>
              <w:rPr>
                <w:sz w:val="20"/>
                <w:szCs w:val="20"/>
                <w:color w:val="auto"/>
              </w:rPr>
            </w:pPr>
            <w:r>
              <w:rPr>
                <w:rFonts w:ascii="Courier New" w:cs="Courier New" w:eastAsia="Courier New" w:hAnsi="Courier New"/>
                <w:sz w:val="14"/>
                <w:szCs w:val="14"/>
                <w:color w:val="auto"/>
              </w:rPr>
              <w:t>of real estate assets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8,972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8,096</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34,128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30,986</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Add: amortization of initial direct</w:t>
            </w:r>
          </w:p>
        </w:tc>
        <w:tc>
          <w:tcPr>
            <w:tcW w:w="10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040" w:type="dxa"/>
            <w:vAlign w:val="bottom"/>
          </w:tcPr>
          <w:p>
            <w:pPr>
              <w:ind w:left="700"/>
              <w:spacing w:after="0"/>
              <w:rPr>
                <w:sz w:val="20"/>
                <w:szCs w:val="20"/>
                <w:color w:val="auto"/>
              </w:rPr>
            </w:pPr>
            <w:r>
              <w:rPr>
                <w:rFonts w:ascii="Courier New" w:cs="Courier New" w:eastAsia="Courier New" w:hAnsi="Courier New"/>
                <w:sz w:val="14"/>
                <w:szCs w:val="14"/>
                <w:color w:val="auto"/>
              </w:rPr>
              <w:t>costs of leases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595</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598</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2,372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2,393</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Add: loss on sale and nonrecurring items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545</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Funds from operations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$17,275</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$14,060</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$65,254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$57,034</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Funds from operations per share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$0.44</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w:t>
            </w:r>
          </w:p>
        </w:tc>
      </w:tr>
      <w:tr>
        <w:trPr>
          <w:trHeight w:val="166"/>
        </w:trPr>
        <w:tc>
          <w:tcPr>
            <w:tcW w:w="50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shares outstanding</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34,288</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32,205</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33,573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60" w:type="dxa"/>
            <w:vAlign w:val="bottom"/>
          </w:tcPr>
          <w:p>
            <w:pPr>
              <w:spacing w:after="0"/>
              <w:rPr>
                <w:sz w:val="14"/>
                <w:szCs w:val="14"/>
                <w:color w:val="auto"/>
              </w:rPr>
            </w:pPr>
          </w:p>
        </w:tc>
        <w:tc>
          <w:tcPr>
            <w:tcW w:w="2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6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6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1"/>
        </w:trPr>
        <w:tc>
          <w:tcPr>
            <w:tcW w:w="6260" w:type="dxa"/>
            <w:vAlign w:val="bottom"/>
          </w:tcPr>
          <w:p>
            <w:pPr>
              <w:ind w:left="100"/>
              <w:spacing w:after="0"/>
              <w:rPr>
                <w:sz w:val="20"/>
                <w:szCs w:val="20"/>
                <w:color w:val="auto"/>
              </w:rPr>
            </w:pPr>
            <w:r>
              <w:rPr>
                <w:rFonts w:ascii="Courier New" w:cs="Courier New" w:eastAsia="Courier New" w:hAnsi="Courier New"/>
                <w:sz w:val="14"/>
                <w:szCs w:val="14"/>
                <w:color w:val="auto"/>
              </w:rPr>
              <w:t>Assets</w:t>
            </w:r>
          </w:p>
        </w:tc>
        <w:tc>
          <w:tcPr>
            <w:tcW w:w="26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Real estate, at cost</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$1,147,865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$1,009,682</w:t>
            </w: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2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(223,553)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(190,795)</w:t>
            </w:r>
          </w:p>
        </w:tc>
      </w:tr>
      <w:tr>
        <w:trPr>
          <w:trHeight w:val="166"/>
        </w:trPr>
        <w:tc>
          <w:tcPr>
            <w:tcW w:w="6260" w:type="dxa"/>
            <w:vAlign w:val="bottom"/>
          </w:tcPr>
          <w:p>
            <w:pPr>
              <w:spacing w:after="0"/>
              <w:rPr>
                <w:sz w:val="14"/>
                <w:szCs w:val="14"/>
                <w:color w:val="auto"/>
              </w:rPr>
            </w:pP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14"/>
                <w:szCs w:val="14"/>
                <w:color w:val="auto"/>
              </w:rPr>
            </w:pP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924,312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818,887</w:t>
            </w:r>
          </w:p>
        </w:tc>
      </w:tr>
      <w:tr>
        <w:trPr>
          <w:trHeight w:val="331"/>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Mortgage notes receivable</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27,913</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13,561</w:t>
            </w: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Cash and investments</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11,041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10,521</w:t>
            </w: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Receivables</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17,294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16,102</w:t>
            </w: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Other assets</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54,746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27,083</w:t>
            </w:r>
          </w:p>
        </w:tc>
      </w:tr>
      <w:tr>
        <w:trPr>
          <w:trHeight w:val="166"/>
        </w:trPr>
        <w:tc>
          <w:tcPr>
            <w:tcW w:w="6260" w:type="dxa"/>
            <w:vAlign w:val="bottom"/>
          </w:tcPr>
          <w:p>
            <w:pPr>
              <w:spacing w:after="0"/>
              <w:rPr>
                <w:sz w:val="14"/>
                <w:szCs w:val="14"/>
                <w:color w:val="auto"/>
              </w:rPr>
            </w:pP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100"/>
              <w:spacing w:after="0"/>
              <w:rPr>
                <w:sz w:val="20"/>
                <w:szCs w:val="20"/>
                <w:color w:val="auto"/>
              </w:rPr>
            </w:pPr>
            <w:r>
              <w:rPr>
                <w:rFonts w:ascii="Courier New" w:cs="Courier New" w:eastAsia="Courier New" w:hAnsi="Courier New"/>
                <w:sz w:val="14"/>
                <w:szCs w:val="14"/>
                <w:color w:val="auto"/>
              </w:rPr>
              <w:t>Total assets</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$1,035,306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$886,154</w:t>
            </w:r>
          </w:p>
        </w:tc>
      </w:tr>
      <w:tr>
        <w:trPr>
          <w:trHeight w:val="166"/>
        </w:trPr>
        <w:tc>
          <w:tcPr>
            <w:tcW w:w="6260" w:type="dxa"/>
            <w:vAlign w:val="bottom"/>
          </w:tcPr>
          <w:p>
            <w:pPr>
              <w:spacing w:after="0"/>
              <w:rPr>
                <w:sz w:val="14"/>
                <w:szCs w:val="14"/>
                <w:color w:val="auto"/>
              </w:rPr>
            </w:pP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ind w:left="100"/>
              <w:spacing w:after="0"/>
              <w:rPr>
                <w:sz w:val="20"/>
                <w:szCs w:val="20"/>
                <w:color w:val="auto"/>
              </w:rPr>
            </w:pPr>
            <w:r>
              <w:rPr>
                <w:rFonts w:ascii="Courier New" w:cs="Courier New" w:eastAsia="Courier New" w:hAnsi="Courier New"/>
                <w:sz w:val="14"/>
                <w:szCs w:val="14"/>
                <w:color w:val="auto"/>
              </w:rPr>
              <w:t>Liabilities and Shareholders' Equity</w:t>
            </w:r>
          </w:p>
        </w:tc>
        <w:tc>
          <w:tcPr>
            <w:tcW w:w="2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$229,189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$222,317</w:t>
            </w: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Notes payable</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66,106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49,980</w:t>
            </w: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Senior Notes</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165,000</w:t>
            </w: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5 1/4% Convertible subordinated debentures</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75,289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6260" w:type="dxa"/>
            <w:vAlign w:val="bottom"/>
          </w:tcPr>
          <w:p>
            <w:pPr>
              <w:ind w:left="260"/>
              <w:spacing w:after="0"/>
              <w:rPr>
                <w:sz w:val="20"/>
                <w:szCs w:val="20"/>
                <w:color w:val="auto"/>
              </w:rPr>
            </w:pPr>
            <w:r>
              <w:rPr>
                <w:rFonts w:ascii="Courier New" w:cs="Courier New" w:eastAsia="Courier New" w:hAnsi="Courier New"/>
                <w:sz w:val="14"/>
                <w:szCs w:val="14"/>
                <w:color w:val="auto"/>
              </w:rPr>
              <w:t>Other liabilities</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60,837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46,100</w:t>
            </w:r>
          </w:p>
        </w:tc>
      </w:tr>
      <w:tr>
        <w:trPr>
          <w:trHeight w:val="331"/>
        </w:trPr>
        <w:tc>
          <w:tcPr>
            <w:tcW w:w="6260" w:type="dxa"/>
            <w:vAlign w:val="bottom"/>
          </w:tcPr>
          <w:p>
            <w:pPr>
              <w:ind w:left="100"/>
              <w:spacing w:after="0"/>
              <w:rPr>
                <w:sz w:val="20"/>
                <w:szCs w:val="20"/>
                <w:color w:val="auto"/>
              </w:rPr>
            </w:pPr>
            <w:r>
              <w:rPr>
                <w:rFonts w:ascii="Courier New" w:cs="Courier New" w:eastAsia="Courier New" w:hAnsi="Courier New"/>
                <w:sz w:val="14"/>
                <w:szCs w:val="14"/>
                <w:color w:val="auto"/>
              </w:rPr>
              <w:t>Shareholders' Equity</w:t>
            </w: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388,885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327,468</w:t>
            </w:r>
          </w:p>
        </w:tc>
      </w:tr>
      <w:tr>
        <w:trPr>
          <w:trHeight w:val="166"/>
        </w:trPr>
        <w:tc>
          <w:tcPr>
            <w:tcW w:w="6260" w:type="dxa"/>
            <w:vAlign w:val="bottom"/>
          </w:tcPr>
          <w:p>
            <w:pPr>
              <w:spacing w:after="0"/>
              <w:rPr>
                <w:sz w:val="14"/>
                <w:szCs w:val="14"/>
                <w:color w:val="auto"/>
              </w:rPr>
            </w:pP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260" w:type="dxa"/>
            <w:vAlign w:val="bottom"/>
          </w:tcPr>
          <w:p>
            <w:pPr>
              <w:spacing w:after="0"/>
              <w:rPr>
                <w:sz w:val="14"/>
                <w:szCs w:val="14"/>
                <w:color w:val="auto"/>
              </w:rPr>
            </w:pP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$1,035,306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$886,154</w:t>
            </w:r>
          </w:p>
        </w:tc>
      </w:tr>
      <w:tr>
        <w:trPr>
          <w:trHeight w:val="166"/>
        </w:trPr>
        <w:tc>
          <w:tcPr>
            <w:tcW w:w="6260" w:type="dxa"/>
            <w:vAlign w:val="bottom"/>
          </w:tcPr>
          <w:p>
            <w:pPr>
              <w:spacing w:after="0"/>
              <w:rPr>
                <w:sz w:val="14"/>
                <w:szCs w:val="14"/>
                <w:color w:val="auto"/>
              </w:rPr>
            </w:pPr>
          </w:p>
        </w:tc>
        <w:tc>
          <w:tcPr>
            <w:tcW w:w="2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520"/>
          </w:cols>
          <w:pgMar w:left="220" w:top="616" w:right="1159" w:bottom="1440" w:gutter="0" w:footer="0" w:header="0"/>
        </w:sectPr>
      </w:pPr>
    </w:p>
    <w:bookmarkStart w:id="15" w:name="page16"/>
    <w:bookmarkEnd w:id="15"/>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4"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67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sectPr>
      <w:pgSz w:w="11900" w:h="16838" w:orient="portrait"/>
      <w:cols w:equalWidth="0" w:num="1">
        <w:col w:w="10239"/>
      </w:cols>
      <w:pgMar w:left="220" w:top="7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3"/>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2019-12-13T01:02:45Z</dcterms:created>
  <dcterms:modified xsi:type="dcterms:W3CDTF">2019-12-13T01:02:45Z</dcterms:modified>
</cp:coreProperties>
</file>