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580" w:right="2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THE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2006</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16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58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-10160</wp:posOffset>
            </wp:positionV>
            <wp:extent cx="8172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Declaration of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6420" w:type="dxa"/>
            <w:vAlign w:val="bottom"/>
          </w:tcPr>
          <w:p>
            <w:pPr>
              <w:jc w:val="center"/>
              <w:ind w:right="2782"/>
              <w:spacing w:after="0"/>
              <w:rPr>
                <w:sz w:val="20"/>
                <w:szCs w:val="20"/>
                <w:color w:val="auto"/>
              </w:rPr>
            </w:pPr>
            <w:r>
              <w:rPr>
                <w:rFonts w:ascii="Arial" w:cs="Arial" w:eastAsia="Arial" w:hAnsi="Arial"/>
                <w:sz w:val="18"/>
                <w:szCs w:val="18"/>
                <w:b w:val="1"/>
                <w:bCs w:val="1"/>
                <w:color w:val="auto"/>
                <w:w w:val="96"/>
              </w:rPr>
              <w:t>Maryland</w:t>
            </w:r>
          </w:p>
        </w:tc>
        <w:tc>
          <w:tcPr>
            <w:tcW w:w="2160" w:type="dxa"/>
            <w:vAlign w:val="bottom"/>
          </w:tcPr>
          <w:p>
            <w:pPr>
              <w:jc w:val="right"/>
              <w:ind w:right="482"/>
              <w:spacing w:after="0"/>
              <w:rPr>
                <w:sz w:val="20"/>
                <w:szCs w:val="20"/>
                <w:color w:val="auto"/>
              </w:rPr>
            </w:pPr>
            <w:r>
              <w:rPr>
                <w:rFonts w:ascii="Arial" w:cs="Arial" w:eastAsia="Arial" w:hAnsi="Arial"/>
                <w:sz w:val="18"/>
                <w:szCs w:val="18"/>
                <w:b w:val="1"/>
                <w:bCs w:val="1"/>
                <w:color w:val="auto"/>
              </w:rPr>
              <w:t>52-0782497</w:t>
            </w:r>
          </w:p>
        </w:tc>
      </w:tr>
      <w:tr>
        <w:trPr>
          <w:trHeight w:val="174"/>
        </w:trPr>
        <w:tc>
          <w:tcPr>
            <w:tcW w:w="6420" w:type="dxa"/>
            <w:vAlign w:val="bottom"/>
          </w:tcPr>
          <w:p>
            <w:pPr>
              <w:jc w:val="center"/>
              <w:ind w:right="2782"/>
              <w:spacing w:after="0"/>
              <w:rPr>
                <w:sz w:val="20"/>
                <w:szCs w:val="20"/>
                <w:color w:val="auto"/>
              </w:rPr>
            </w:pPr>
            <w:r>
              <w:rPr>
                <w:rFonts w:ascii="Arial" w:cs="Arial" w:eastAsia="Arial" w:hAnsi="Arial"/>
                <w:sz w:val="14"/>
                <w:szCs w:val="14"/>
                <w:b w:val="1"/>
                <w:bCs w:val="1"/>
                <w:color w:val="auto"/>
                <w:w w:val="87"/>
              </w:rPr>
              <w:t>(State of Organization)</w:t>
            </w:r>
          </w:p>
        </w:tc>
        <w:tc>
          <w:tcPr>
            <w:tcW w:w="2160" w:type="dxa"/>
            <w:vAlign w:val="bottom"/>
          </w:tcPr>
          <w:p>
            <w:pPr>
              <w:jc w:val="center"/>
              <w:ind w:left="12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6"/>
        </w:trPr>
        <w:tc>
          <w:tcPr>
            <w:tcW w:w="6420" w:type="dxa"/>
            <w:vAlign w:val="bottom"/>
          </w:tcPr>
          <w:p>
            <w:pPr>
              <w:jc w:val="center"/>
              <w:ind w:right="2762"/>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2160" w:type="dxa"/>
            <w:vAlign w:val="bottom"/>
          </w:tcPr>
          <w:p>
            <w:pPr>
              <w:jc w:val="right"/>
              <w:ind w:right="682"/>
              <w:spacing w:after="0"/>
              <w:rPr>
                <w:sz w:val="20"/>
                <w:szCs w:val="20"/>
                <w:color w:val="auto"/>
              </w:rPr>
            </w:pPr>
            <w:r>
              <w:rPr>
                <w:rFonts w:ascii="Arial" w:cs="Arial" w:eastAsia="Arial" w:hAnsi="Arial"/>
                <w:sz w:val="18"/>
                <w:szCs w:val="18"/>
                <w:b w:val="1"/>
                <w:bCs w:val="1"/>
                <w:color w:val="auto"/>
              </w:rPr>
              <w:t>20852</w:t>
            </w:r>
          </w:p>
        </w:tc>
      </w:tr>
      <w:tr>
        <w:trPr>
          <w:trHeight w:val="174"/>
        </w:trPr>
        <w:tc>
          <w:tcPr>
            <w:tcW w:w="6420" w:type="dxa"/>
            <w:vAlign w:val="bottom"/>
          </w:tcPr>
          <w:p>
            <w:pPr>
              <w:jc w:val="center"/>
              <w:ind w:right="27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16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420" w:type="dxa"/>
            <w:vAlign w:val="bottom"/>
          </w:tcPr>
          <w:p>
            <w:pPr>
              <w:jc w:val="right"/>
              <w:ind w:right="1162"/>
              <w:spacing w:after="0"/>
              <w:rPr>
                <w:sz w:val="20"/>
                <w:szCs w:val="20"/>
                <w:color w:val="auto"/>
              </w:rPr>
            </w:pPr>
            <w:r>
              <w:rPr>
                <w:rFonts w:ascii="Arial" w:cs="Arial" w:eastAsia="Arial" w:hAnsi="Arial"/>
                <w:sz w:val="18"/>
                <w:szCs w:val="18"/>
                <w:b w:val="1"/>
                <w:bCs w:val="1"/>
                <w:color w:val="auto"/>
              </w:rPr>
              <w:t>(301) 998-8100</w:t>
            </w:r>
          </w:p>
        </w:tc>
        <w:tc>
          <w:tcPr>
            <w:tcW w:w="2160" w:type="dxa"/>
            <w:vAlign w:val="bottom"/>
          </w:tcPr>
          <w:p>
            <w:pPr>
              <w:spacing w:after="0"/>
              <w:rPr>
                <w:sz w:val="24"/>
                <w:szCs w:val="24"/>
                <w:color w:val="auto"/>
              </w:rPr>
            </w:pPr>
          </w:p>
        </w:tc>
      </w:tr>
      <w:tr>
        <w:trPr>
          <w:trHeight w:val="174"/>
        </w:trPr>
        <w:tc>
          <w:tcPr>
            <w:tcW w:w="6420" w:type="dxa"/>
            <w:vAlign w:val="bottom"/>
          </w:tcPr>
          <w:p>
            <w:pPr>
              <w:jc w:val="center"/>
              <w:ind w:left="276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1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spacing w:after="0" w:line="207" w:lineRule="exact"/>
        <w:tabs>
          <w:tab w:leader="none" w:pos="2060" w:val="left"/>
          <w:tab w:leader="none" w:pos="37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tabs>
          <w:tab w:leader="none" w:pos="74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The number of Registrant’s common shares outstanding on July 31, 2006 was 53,075,599.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2006</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sz w:val="20"/>
                <w:szCs w:val="20"/>
                <w:color w:val="auto"/>
              </w:rPr>
            </w:pPr>
            <w:r>
              <w:rPr>
                <w:rFonts w:ascii="Arial" w:cs="Arial" w:eastAsia="Arial" w:hAnsi="Arial"/>
                <w:sz w:val="18"/>
                <w:szCs w:val="18"/>
                <w:color w:val="auto"/>
              </w:rPr>
              <w:t>PART I.</w:t>
            </w:r>
          </w:p>
        </w:tc>
        <w:tc>
          <w:tcPr>
            <w:tcW w:w="220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FINANCIAL INFORMATION</w:t>
              </w:r>
            </w:hyperlink>
          </w:p>
        </w:tc>
        <w:tc>
          <w:tcPr>
            <w:tcW w:w="6720" w:type="dxa"/>
            <w:vAlign w:val="bottom"/>
            <w:gridSpan w:val="12"/>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892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40" w:type="dxa"/>
            <w:vAlign w:val="bottom"/>
            <w:tcBorders>
              <w:bottom w:val="single" w:sz="8" w:color="0000EE"/>
            </w:tcBorders>
            <w:gridSpan w:val="14"/>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Balance Sheets June 30, 2006 (unaudited) and December 31, 2005</w:t>
              </w:r>
            </w:hyperlink>
          </w:p>
        </w:tc>
        <w:tc>
          <w:tcPr>
            <w:tcW w:w="3280" w:type="dxa"/>
            <w:vAlign w:val="bottom"/>
            <w:gridSpan w:val="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92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(unaudited) six months ended June 30, 2006 and 2005</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740" w:type="dxa"/>
            <w:vAlign w:val="bottom"/>
            <w:tcBorders>
              <w:bottom w:val="single" w:sz="8" w:color="0000EE"/>
            </w:tcBorders>
            <w:gridSpan w:val="18"/>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Consolidated Statements of Operations (unaudited) three months ended June 30, 2006 and 2005</w:t>
              </w:r>
            </w:hyperlink>
          </w:p>
        </w:tc>
        <w:tc>
          <w:tcPr>
            <w:tcW w:w="2180" w:type="dxa"/>
            <w:vAlign w:val="bottom"/>
            <w:gridSpan w:val="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920" w:type="dxa"/>
            <w:vAlign w:val="bottom"/>
            <w:gridSpan w:val="20"/>
          </w:tcPr>
          <w:p>
            <w:pPr>
              <w:spacing w:after="0" w:line="19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Consolidated Statements of Common Shareholders’ Equity (unaudited) six months ended June 30, 2006 and 2005</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(unaudited) six months ended June 30, 2006 and 2005</w:t>
              </w:r>
            </w:hyperlink>
          </w:p>
        </w:tc>
        <w:tc>
          <w:tcPr>
            <w:tcW w:w="9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Notes to Consolidated Financial Statements</w:t>
              </w:r>
            </w:hyperlink>
          </w:p>
        </w:tc>
        <w:tc>
          <w:tcPr>
            <w:tcW w:w="3560" w:type="dxa"/>
            <w:vAlign w:val="bottom"/>
            <w:tcBorders>
              <w:top w:val="single" w:sz="8" w:color="0000EE"/>
            </w:tcBorders>
            <w:gridSpan w:val="7"/>
          </w:tcPr>
          <w:p>
            <w:pPr>
              <w:spacing w:after="0"/>
              <w:rPr>
                <w:sz w:val="17"/>
                <w:szCs w:val="17"/>
                <w:color w:val="auto"/>
              </w:rPr>
            </w:pPr>
          </w:p>
        </w:tc>
        <w:tc>
          <w:tcPr>
            <w:tcW w:w="2280" w:type="dxa"/>
            <w:vAlign w:val="bottom"/>
            <w:gridSpan w:val="3"/>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Management’s Discussion and Analysis of Financial Condition and Results of Operations</w:t>
              </w:r>
            </w:hyperlink>
          </w:p>
        </w:tc>
        <w:tc>
          <w:tcPr>
            <w:tcW w:w="2620" w:type="dxa"/>
            <w:vAlign w:val="bottom"/>
            <w:gridSpan w:val="5"/>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8920" w:type="dxa"/>
            <w:vAlign w:val="bottom"/>
            <w:gridSpan w:val="20"/>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4720" w:type="dxa"/>
            <w:vAlign w:val="bottom"/>
            <w:gridSpan w:val="8"/>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04"/>
        </w:trPr>
        <w:tc>
          <w:tcPr>
            <w:tcW w:w="140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43">
              <w:r>
                <w:rPr>
                  <w:rFonts w:ascii="Arial" w:cs="Arial" w:eastAsia="Arial" w:hAnsi="Arial"/>
                  <w:sz w:val="18"/>
                  <w:szCs w:val="18"/>
                  <w:color w:val="0000EE"/>
                  <w:w w:val="93"/>
                </w:rPr>
                <w:t>OTHER INFORMATION</w:t>
              </w:r>
            </w:hyperlink>
          </w:p>
        </w:tc>
        <w:tc>
          <w:tcPr>
            <w:tcW w:w="7080" w:type="dxa"/>
            <w:vAlign w:val="bottom"/>
            <w:gridSpan w:val="13"/>
          </w:tcPr>
          <w:p>
            <w:pPr>
              <w:spacing w:after="0"/>
              <w:rPr>
                <w:sz w:val="24"/>
                <w:szCs w:val="24"/>
                <w:color w:val="auto"/>
              </w:rPr>
            </w:pPr>
          </w:p>
        </w:tc>
        <w:tc>
          <w:tcPr>
            <w:tcW w:w="1100" w:type="dxa"/>
            <w:vAlign w:val="bottom"/>
          </w:tcPr>
          <w:p>
            <w:pPr>
              <w:spacing w:after="0"/>
              <w:rPr>
                <w:sz w:val="24"/>
                <w:szCs w:val="24"/>
                <w:color w:val="auto"/>
              </w:rPr>
            </w:pP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8920" w:type="dxa"/>
            <w:vAlign w:val="bottom"/>
            <w:gridSpan w:val="2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7620" w:type="dxa"/>
            <w:vAlign w:val="bottom"/>
            <w:gridSpan w:val="1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8920" w:type="dxa"/>
            <w:vAlign w:val="bottom"/>
            <w:gridSpan w:val="2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Unregistered Sales of Equity Securities and Use of Proceeds</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2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Defaults Upon Senior Securities</w:t>
              </w:r>
            </w:hyperlink>
          </w:p>
        </w:tc>
        <w:tc>
          <w:tcPr>
            <w:tcW w:w="4680" w:type="dxa"/>
            <w:vAlign w:val="bottom"/>
            <w:gridSpan w:val="7"/>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Submission of Matters to a Vote of Security Holders</w:t>
              </w:r>
            </w:hyperlink>
          </w:p>
        </w:tc>
        <w:tc>
          <w:tcPr>
            <w:tcW w:w="5240" w:type="dxa"/>
            <w:vAlign w:val="bottom"/>
            <w:gridSpan w:val="9"/>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8920" w:type="dxa"/>
            <w:vAlign w:val="bottom"/>
            <w:gridSpan w:val="2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Other Information</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7640" w:type="dxa"/>
            <w:vAlign w:val="bottom"/>
            <w:gridSpan w:val="17"/>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304"/>
        </w:trPr>
        <w:tc>
          <w:tcPr>
            <w:tcW w:w="1400" w:type="dxa"/>
            <w:vAlign w:val="bottom"/>
            <w:gridSpan w:val="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83"/>
        </w:trPr>
        <w:tc>
          <w:tcPr>
            <w:tcW w:w="10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5640" w:type="dxa"/>
            <w:vAlign w:val="bottom"/>
            <w:gridSpan w:val="14"/>
          </w:tcPr>
          <w:p>
            <w:pPr>
              <w:ind w:left="428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following balance sheet as of December 31, 2005, which has been derived from audited financial statements, and the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six and three months ended June 30, 2006 are not necessarily indicative of the results that may be expected for the full year.</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gridSpan w:val="6"/>
          </w:tcPr>
          <w:p>
            <w:pPr>
              <w:jc w:val="right"/>
              <w:ind w:right="400"/>
              <w:spacing w:after="0" w:line="129" w:lineRule="exact"/>
              <w:rPr>
                <w:sz w:val="20"/>
                <w:szCs w:val="20"/>
                <w:color w:val="auto"/>
              </w:rPr>
            </w:pPr>
            <w:r>
              <w:rPr>
                <w:rFonts w:ascii="Arial" w:cs="Arial" w:eastAsia="Arial" w:hAnsi="Arial"/>
                <w:sz w:val="14"/>
                <w:szCs w:val="14"/>
                <w:b w:val="1"/>
                <w:bCs w:val="1"/>
                <w:color w:val="auto"/>
              </w:rPr>
              <w:t>(In thousands, except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6"/>
          </w:tcPr>
          <w:p>
            <w:pPr>
              <w:jc w:val="right"/>
              <w:ind w:right="560"/>
              <w:spacing w:after="0" w:line="149" w:lineRule="exact"/>
              <w:rPr>
                <w:sz w:val="20"/>
                <w:szCs w:val="20"/>
                <w:color w:val="auto"/>
              </w:rPr>
            </w:pPr>
            <w:r>
              <w:rPr>
                <w:rFonts w:ascii="Arial" w:cs="Arial" w:eastAsia="Arial" w:hAnsi="Arial"/>
                <w:sz w:val="14"/>
                <w:szCs w:val="14"/>
                <w:b w:val="1"/>
                <w:bCs w:val="1"/>
                <w:color w:val="auto"/>
              </w:rPr>
              <w:t>per share data)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Real estate, at cost</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2,790,717</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2,731,694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Construction-in-progress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50,593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Discontinued operations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2,852,696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2,829,321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(696,691)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(663,750)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Net real estate</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2,156,005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2,165,571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Accounts and notes receivable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 notes receivable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Investment in real estate partnership</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Debt issuance costs, net of accumulated amortization of $8,642 and $7,592, respectively</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2,348,469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2,350,852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Mortgages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268,978</w:t>
            </w:r>
          </w:p>
        </w:tc>
        <w:tc>
          <w:tcPr>
            <w:tcW w:w="16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270,898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Obligations under capital leases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Notes payable, including revolving credit facility</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363,119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Senior notes and debentures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613,458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79,827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88,089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payable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Security deposits payable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 and deferred credits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1,551,925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1,556,812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Commitments and contingencies (Note E)</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Preferred stock, authorized 15,000,000 shares, $.01 par:</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8.5% Series B Cumulative Redeemable Preferred Shares, (stated at liquidation preference $25 per share), 5,400,000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shares</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w w:val="99"/>
              </w:rPr>
              <w:t>Common shares, $.01 par, 100,000,000 shares authorized, 54,546,427 and 54,371,057 issued, respectively</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1,114,862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1,114,732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Accumulated dividends in excess of net income</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(443,756)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(437,817)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Treasury shares at cost, 1,481,189 and 1,480,360, respectively</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Deferred compensation on unvested shares</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receivable from issuance of common shares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777,329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2,348,469</w:t>
            </w:r>
          </w:p>
        </w:tc>
        <w:tc>
          <w:tcPr>
            <w:tcW w:w="160" w:type="dxa"/>
            <w:vAlign w:val="bottom"/>
          </w:tcPr>
          <w:p>
            <w:pPr>
              <w:spacing w:after="0"/>
              <w:rPr>
                <w:sz w:val="19"/>
                <w:szCs w:val="19"/>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2,350,852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5"/>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 thousands, except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2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210,498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193,545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2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217,125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EXPENSES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42,329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21,076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9,483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w:t>
            </w:r>
          </w:p>
        </w:tc>
        <w:tc>
          <w:tcPr>
            <w:tcW w:w="2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120,966</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114,241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96,159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Other interest income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(49,034)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(43,890)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Income from real estate partnership</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21"/>
        </w:trPr>
        <w:tc>
          <w:tcPr>
            <w:tcW w:w="72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45,659</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w:t>
            </w:r>
          </w:p>
        </w:tc>
        <w:tc>
          <w:tcPr>
            <w:tcW w:w="2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23,771</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Results from discontinued operations</w:t>
            </w:r>
          </w:p>
        </w:tc>
        <w:tc>
          <w:tcPr>
            <w:tcW w:w="2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23,628</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69,287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Dividends on preferred stock</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(5,738)</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2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63,549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40" w:type="dxa"/>
            <w:vAlign w:val="bottom"/>
            <w:gridSpan w:val="2"/>
            <w:vMerge w:val="continue"/>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40" w:type="dxa"/>
            <w:vAlign w:val="bottom"/>
            <w:gridSpan w:val="2"/>
            <w:vMerge w:val="continue"/>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5"/>
          </w:tcPr>
          <w:p>
            <w:pPr>
              <w:jc w:val="right"/>
              <w:ind w:right="260"/>
              <w:spacing w:after="0" w:line="129" w:lineRule="exact"/>
              <w:rPr>
                <w:sz w:val="20"/>
                <w:szCs w:val="20"/>
                <w:color w:val="auto"/>
              </w:rPr>
            </w:pPr>
            <w:r>
              <w:rPr>
                <w:rFonts w:ascii="Arial" w:cs="Arial" w:eastAsia="Arial" w:hAnsi="Arial"/>
                <w:sz w:val="14"/>
                <w:szCs w:val="14"/>
                <w:b w:val="1"/>
                <w:bCs w:val="1"/>
                <w:color w:val="auto"/>
                <w:w w:val="90"/>
              </w:rPr>
              <w:t>(In thousands, except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105,533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95,762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108,744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99,253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20,265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10,525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24,172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22,242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59,943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7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48,801</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43,923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Other interest income</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(24,754)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7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23,244</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22,271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15,034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vMerge w:val="restart"/>
          </w:tcPr>
          <w:p>
            <w:pPr>
              <w:ind w:left="420"/>
              <w:spacing w:after="0"/>
              <w:rPr>
                <w:sz w:val="20"/>
                <w:szCs w:val="20"/>
                <w:color w:val="auto"/>
              </w:rPr>
            </w:pPr>
            <w:r>
              <w:rPr>
                <w:rFonts w:ascii="Arial" w:cs="Arial" w:eastAsia="Arial" w:hAnsi="Arial"/>
                <w:sz w:val="18"/>
                <w:szCs w:val="18"/>
                <w:color w:val="auto"/>
              </w:rPr>
              <w:t>Results from discontinued operations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15,012</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38,256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Dividends on preferred stock</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Common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4"/>
              </w:rPr>
              <w:t>Six Months Ended June 30,</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280" w:type="dxa"/>
            <w:vAlign w:val="bottom"/>
          </w:tcPr>
          <w:p>
            <w:pPr>
              <w:spacing w:after="0"/>
              <w:rPr>
                <w:sz w:val="11"/>
                <w:szCs w:val="11"/>
                <w:color w:val="auto"/>
              </w:rPr>
            </w:pPr>
          </w:p>
        </w:tc>
        <w:tc>
          <w:tcPr>
            <w:tcW w:w="198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Additional</w:t>
            </w:r>
          </w:p>
        </w:tc>
        <w:tc>
          <w:tcPr>
            <w:tcW w:w="280" w:type="dxa"/>
            <w:vAlign w:val="bottom"/>
          </w:tcPr>
          <w:p>
            <w:pPr>
              <w:spacing w:after="0"/>
              <w:rPr>
                <w:sz w:val="11"/>
                <w:szCs w:val="11"/>
                <w:color w:val="auto"/>
              </w:rPr>
            </w:pPr>
          </w:p>
        </w:tc>
        <w:tc>
          <w:tcPr>
            <w:tcW w:w="1980" w:type="dxa"/>
            <w:vAlign w:val="bottom"/>
            <w:gridSpan w:val="5"/>
            <w:vMerge w:val="restart"/>
          </w:tcPr>
          <w:p>
            <w:pPr>
              <w:jc w:val="right"/>
              <w:ind w:right="600"/>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11"/>
                <w:szCs w:val="11"/>
                <w:color w:val="auto"/>
              </w:rPr>
            </w:pPr>
          </w:p>
        </w:tc>
        <w:tc>
          <w:tcPr>
            <w:tcW w:w="800" w:type="dxa"/>
            <w:vAlign w:val="bottom"/>
          </w:tcPr>
          <w:p>
            <w:pPr>
              <w:jc w:val="right"/>
              <w:ind w:right="22"/>
              <w:spacing w:after="0" w:line="129" w:lineRule="exact"/>
              <w:rPr>
                <w:sz w:val="20"/>
                <w:szCs w:val="20"/>
                <w:color w:val="auto"/>
              </w:rPr>
            </w:pPr>
            <w:r>
              <w:rPr>
                <w:rFonts w:ascii="Arial" w:cs="Arial" w:eastAsia="Arial" w:hAnsi="Arial"/>
                <w:sz w:val="14"/>
                <w:szCs w:val="14"/>
                <w:b w:val="1"/>
                <w:bCs w:val="1"/>
                <w:color w:val="auto"/>
                <w:w w:val="99"/>
              </w:rPr>
              <w:t>Additional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5280" w:type="dxa"/>
            <w:vAlign w:val="bottom"/>
          </w:tcPr>
          <w:p>
            <w:pPr>
              <w:spacing w:after="0"/>
              <w:rPr>
                <w:sz w:val="6"/>
                <w:szCs w:val="6"/>
                <w:color w:val="auto"/>
              </w:rPr>
            </w:pPr>
          </w:p>
        </w:tc>
        <w:tc>
          <w:tcPr>
            <w:tcW w:w="198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2"/>
            <w:vMerge w:val="restart"/>
          </w:tcPr>
          <w:p>
            <w:pPr>
              <w:jc w:val="center"/>
              <w:ind w:right="192"/>
              <w:spacing w:after="0" w:line="149" w:lineRule="exact"/>
              <w:rPr>
                <w:sz w:val="20"/>
                <w:szCs w:val="20"/>
                <w:color w:val="auto"/>
              </w:rPr>
            </w:pPr>
            <w:r>
              <w:rPr>
                <w:rFonts w:ascii="Arial" w:cs="Arial" w:eastAsia="Arial" w:hAnsi="Arial"/>
                <w:sz w:val="14"/>
                <w:szCs w:val="14"/>
                <w:b w:val="1"/>
                <w:bCs w:val="1"/>
                <w:color w:val="auto"/>
                <w:w w:val="89"/>
              </w:rPr>
              <w:t>Paid-in</w:t>
            </w:r>
          </w:p>
        </w:tc>
        <w:tc>
          <w:tcPr>
            <w:tcW w:w="198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rPr>
              <w:t>Paid-in</w:t>
            </w:r>
          </w:p>
        </w:tc>
        <w:tc>
          <w:tcPr>
            <w:tcW w:w="0" w:type="dxa"/>
            <w:vAlign w:val="bottom"/>
          </w:tcPr>
          <w:p>
            <w:pPr>
              <w:spacing w:after="0"/>
              <w:rPr>
                <w:sz w:val="1"/>
                <w:szCs w:val="1"/>
                <w:color w:val="auto"/>
              </w:rPr>
            </w:pPr>
          </w:p>
        </w:tc>
      </w:tr>
      <w:tr>
        <w:trPr>
          <w:trHeight w:val="48"/>
        </w:trPr>
        <w:tc>
          <w:tcPr>
            <w:tcW w:w="52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5280" w:type="dxa"/>
            <w:vAlign w:val="bottom"/>
          </w:tcPr>
          <w:p>
            <w:pPr>
              <w:spacing w:after="0"/>
              <w:rPr>
                <w:sz w:val="15"/>
                <w:szCs w:val="15"/>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Par Value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80" w:type="dxa"/>
            <w:vAlign w:val="bottom"/>
          </w:tcPr>
          <w:p>
            <w:pPr>
              <w:spacing w:after="0"/>
              <w:rPr>
                <w:sz w:val="15"/>
                <w:szCs w:val="15"/>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Par Value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(In thousands,</w:t>
            </w: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except share data)</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Balance, beginning of year</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54,371,057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544</w:t>
            </w:r>
          </w:p>
        </w:tc>
        <w:tc>
          <w:tcPr>
            <w:tcW w:w="160" w:type="dxa"/>
            <w:vAlign w:val="bottom"/>
          </w:tcPr>
          <w:p>
            <w:pPr>
              <w:spacing w:after="0"/>
              <w:rPr>
                <w:sz w:val="18"/>
                <w:szCs w:val="18"/>
                <w:color w:val="auto"/>
              </w:rPr>
            </w:pPr>
          </w:p>
        </w:tc>
        <w:tc>
          <w:tcPr>
            <w:tcW w:w="1200" w:type="dxa"/>
            <w:vAlign w:val="bottom"/>
            <w:gridSpan w:val="3"/>
          </w:tcPr>
          <w:p>
            <w:pPr>
              <w:jc w:val="right"/>
              <w:ind w:right="212"/>
              <w:spacing w:after="0"/>
              <w:rPr>
                <w:sz w:val="20"/>
                <w:szCs w:val="20"/>
                <w:color w:val="auto"/>
              </w:rPr>
            </w:pPr>
            <w:r>
              <w:rPr>
                <w:rFonts w:ascii="Arial" w:cs="Arial" w:eastAsia="Arial" w:hAnsi="Arial"/>
                <w:sz w:val="18"/>
                <w:szCs w:val="18"/>
                <w:color w:val="auto"/>
                <w:w w:val="99"/>
              </w:rPr>
              <w:t>$1,114,732</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53,616,827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536</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$1,108,213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Cumulative effect of change in accounting principle</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(6,416)</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Exercise of stock options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57,951</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12"/>
              <w:spacing w:after="0"/>
              <w:rPr>
                <w:sz w:val="20"/>
                <w:szCs w:val="20"/>
                <w:color w:val="auto"/>
              </w:rPr>
            </w:pPr>
            <w:r>
              <w:rPr>
                <w:rFonts w:ascii="Arial" w:cs="Arial" w:eastAsia="Arial" w:hAnsi="Arial"/>
                <w:sz w:val="18"/>
                <w:szCs w:val="18"/>
                <w:color w:val="auto"/>
              </w:rPr>
              <w:t>1,863</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216,175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5,609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under dividend reinvestment plan</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24,969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1,682</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32,570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Conversion and redemption of OP units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12,216</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12"/>
              <w:spacing w:after="0"/>
              <w:rPr>
                <w:sz w:val="20"/>
                <w:szCs w:val="20"/>
                <w:color w:val="auto"/>
              </w:rPr>
            </w:pPr>
            <w:r>
              <w:rPr>
                <w:rFonts w:ascii="Arial" w:cs="Arial" w:eastAsia="Arial" w:hAnsi="Arial"/>
                <w:sz w:val="18"/>
                <w:szCs w:val="18"/>
                <w:color w:val="auto"/>
              </w:rPr>
              <w:t>113</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203,140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(11,561)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Grants of common shares</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80,234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76,807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Share-based compensation expense (SFAS No. 123 (R))</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12"/>
              <w:spacing w:after="0"/>
              <w:rPr>
                <w:sz w:val="20"/>
                <w:szCs w:val="20"/>
                <w:color w:val="auto"/>
              </w:rPr>
            </w:pPr>
            <w:r>
              <w:rPr>
                <w:rFonts w:ascii="Arial" w:cs="Arial" w:eastAsia="Arial" w:hAnsi="Arial"/>
                <w:sz w:val="18"/>
                <w:szCs w:val="18"/>
                <w:color w:val="auto"/>
              </w:rPr>
              <w:t>2,888</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Deferred stock compensation associated with variable accounting</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(APB No. 25)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80" w:type="dxa"/>
            <w:vAlign w:val="bottom"/>
          </w:tcPr>
          <w:p>
            <w:pPr>
              <w:ind w:left="440"/>
              <w:spacing w:after="0"/>
              <w:rPr>
                <w:sz w:val="20"/>
                <w:szCs w:val="20"/>
                <w:color w:val="auto"/>
              </w:rPr>
            </w:pPr>
            <w:r>
              <w:rPr>
                <w:rFonts w:ascii="Arial" w:cs="Arial" w:eastAsia="Arial" w:hAnsi="Arial"/>
                <w:sz w:val="18"/>
                <w:szCs w:val="18"/>
                <w:color w:val="auto"/>
              </w:rPr>
              <w:t>Balance, end of period</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54,546,427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9"/>
                <w:szCs w:val="19"/>
                <w:color w:val="auto"/>
              </w:rPr>
            </w:pPr>
          </w:p>
        </w:tc>
        <w:tc>
          <w:tcPr>
            <w:tcW w:w="1200" w:type="dxa"/>
            <w:vAlign w:val="bottom"/>
            <w:gridSpan w:val="3"/>
          </w:tcPr>
          <w:p>
            <w:pPr>
              <w:jc w:val="right"/>
              <w:ind w:right="212"/>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1,114,862</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54,145,519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541</w:t>
            </w: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1,108,310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Accumulated dividends in excess of net income</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Balance, beginning of year</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(437,817)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(416,026)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Dividends declared to common shareholders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(69,488)</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(55,735)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declared to preferred shareholders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440"/>
              <w:spacing w:after="0"/>
              <w:rPr>
                <w:sz w:val="20"/>
                <w:szCs w:val="20"/>
                <w:color w:val="auto"/>
              </w:rPr>
            </w:pPr>
            <w:r>
              <w:rPr>
                <w:rFonts w:ascii="Arial" w:cs="Arial" w:eastAsia="Arial" w:hAnsi="Arial"/>
                <w:sz w:val="18"/>
                <w:szCs w:val="18"/>
                <w:color w:val="auto"/>
              </w:rPr>
              <w:t>Balance, end of period</w:t>
            </w: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(443,756)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(428,695)</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 at cost</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Balance, beginning of year</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(1,480,360)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(28,794)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(1,480,201)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(28,786)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Unvested shares forfeited</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44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vMerge w:val="continue"/>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(1,481,189)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(28,806)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(1,480,201)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(28,786)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on unvested shares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Balance, beginning of year</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(9,704)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(8,641)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Cumulative effect of change in accounting principle</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Shares issued, net of forfeitures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(3,380)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Vesting of shares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tcPr>
          <w:p>
            <w:pPr>
              <w:ind w:left="440"/>
              <w:spacing w:after="0"/>
              <w:rPr>
                <w:sz w:val="20"/>
                <w:szCs w:val="20"/>
                <w:color w:val="auto"/>
              </w:rPr>
            </w:pPr>
            <w:r>
              <w:rPr>
                <w:rFonts w:ascii="Arial" w:cs="Arial" w:eastAsia="Arial" w:hAnsi="Arial"/>
                <w:sz w:val="18"/>
                <w:szCs w:val="18"/>
                <w:color w:val="auto"/>
              </w:rPr>
              <w:t>Balance, end of period</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(9,766)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from issuance of common shares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Balance, beginning of year</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(2,083)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paid</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tcPr>
          <w:p>
            <w:pPr>
              <w:ind w:left="440"/>
              <w:spacing w:after="0"/>
              <w:rPr>
                <w:sz w:val="20"/>
                <w:szCs w:val="20"/>
                <w:color w:val="auto"/>
              </w:rPr>
            </w:pPr>
            <w:r>
              <w:rPr>
                <w:rFonts w:ascii="Arial" w:cs="Arial" w:eastAsia="Arial" w:hAnsi="Arial"/>
                <w:sz w:val="18"/>
                <w:szCs w:val="18"/>
                <w:color w:val="auto"/>
              </w:rPr>
              <w:t>Balance, end of period</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Balance, beginning of year</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due to recognizing gain on securities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440"/>
              <w:spacing w:after="0"/>
              <w:rPr>
                <w:sz w:val="20"/>
                <w:szCs w:val="20"/>
                <w:color w:val="auto"/>
              </w:rPr>
            </w:pPr>
            <w:r>
              <w:rPr>
                <w:rFonts w:ascii="Arial" w:cs="Arial" w:eastAsia="Arial" w:hAnsi="Arial"/>
                <w:sz w:val="18"/>
                <w:szCs w:val="18"/>
                <w:color w:val="auto"/>
              </w:rPr>
              <w:t>Change in valuation on interest rate swaps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Comprehensive income</w:t>
            </w: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Change due to recognizing gain on securities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valuation on interest rate swaps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tcPr>
          <w:p>
            <w:pPr>
              <w:ind w:left="440"/>
              <w:spacing w:after="0"/>
              <w:rPr>
                <w:sz w:val="20"/>
                <w:szCs w:val="20"/>
                <w:color w:val="auto"/>
              </w:rPr>
            </w:pPr>
            <w:r>
              <w:rPr>
                <w:rFonts w:ascii="Arial" w:cs="Arial" w:eastAsia="Arial" w:hAnsi="Arial"/>
                <w:sz w:val="18"/>
                <w:szCs w:val="18"/>
                <w:color w:val="auto"/>
              </w:rPr>
              <w:t>Total comprehensive income</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16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9780" w:type="dxa"/>
            <w:vAlign w:val="bottom"/>
          </w:tcPr>
          <w:p>
            <w:pPr>
              <w:spacing w:after="0"/>
              <w:rPr>
                <w:sz w:val="14"/>
                <w:szCs w:val="14"/>
                <w:color w:val="auto"/>
              </w:rPr>
            </w:pPr>
          </w:p>
        </w:tc>
        <w:tc>
          <w:tcPr>
            <w:tcW w:w="16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97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780" w:type="dxa"/>
            <w:vAlign w:val="bottom"/>
          </w:tcPr>
          <w:p>
            <w:pPr>
              <w:spacing w:after="0"/>
              <w:rPr>
                <w:sz w:val="12"/>
                <w:szCs w:val="12"/>
                <w:color w:val="auto"/>
              </w:rPr>
            </w:pPr>
          </w:p>
        </w:tc>
        <w:tc>
          <w:tcPr>
            <w:tcW w:w="64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2"/>
          </w:tcPr>
          <w:p>
            <w:pPr>
              <w:jc w:val="right"/>
              <w:ind w:right="293"/>
              <w:spacing w:after="0" w:line="142" w:lineRule="exact"/>
              <w:rPr>
                <w:sz w:val="20"/>
                <w:szCs w:val="20"/>
                <w:color w:val="auto"/>
              </w:rPr>
            </w:pPr>
            <w:r>
              <w:rPr>
                <w:rFonts w:ascii="Arial" w:cs="Arial" w:eastAsia="Arial" w:hAnsi="Arial"/>
                <w:sz w:val="14"/>
                <w:szCs w:val="14"/>
                <w:b w:val="1"/>
                <w:bCs w:val="1"/>
                <w:color w:val="auto"/>
                <w:w w:val="71"/>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$ 69,287</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$ 48,804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880"/>
              <w:spacing w:after="0"/>
              <w:rPr>
                <w:sz w:val="20"/>
                <w:szCs w:val="20"/>
                <w:color w:val="auto"/>
              </w:rPr>
            </w:pPr>
            <w:r>
              <w:rPr>
                <w:rFonts w:ascii="Arial" w:cs="Arial" w:eastAsia="Arial" w:hAnsi="Arial"/>
                <w:sz w:val="18"/>
                <w:szCs w:val="18"/>
                <w:color w:val="auto"/>
              </w:rPr>
              <w:t>Depreciation and amortization, including discontinued operations</w:t>
            </w:r>
          </w:p>
        </w:tc>
        <w:tc>
          <w:tcPr>
            <w:tcW w:w="640" w:type="dxa"/>
            <w:vAlign w:val="bottom"/>
          </w:tcPr>
          <w:p>
            <w:pPr>
              <w:jc w:val="right"/>
              <w:spacing w:after="0"/>
              <w:rPr>
                <w:sz w:val="20"/>
                <w:szCs w:val="20"/>
                <w:color w:val="auto"/>
              </w:rPr>
            </w:pPr>
            <w:r>
              <w:rPr>
                <w:rFonts w:ascii="Arial" w:cs="Arial" w:eastAsia="Arial" w:hAnsi="Arial"/>
                <w:sz w:val="18"/>
                <w:szCs w:val="18"/>
                <w:color w:val="auto"/>
              </w:rPr>
              <w:t>48,339</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45,587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Gain on sale of real estate</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(23,771)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0" w:type="dxa"/>
            <w:vAlign w:val="bottom"/>
          </w:tcPr>
          <w:p>
            <w:pPr>
              <w:spacing w:after="0"/>
              <w:rPr>
                <w:sz w:val="1"/>
                <w:szCs w:val="1"/>
                <w:color w:val="auto"/>
              </w:rPr>
            </w:pPr>
          </w:p>
        </w:tc>
      </w:tr>
      <w:tr>
        <w:trPr>
          <w:trHeight w:val="216"/>
        </w:trPr>
        <w:tc>
          <w:tcPr>
            <w:tcW w:w="9780" w:type="dxa"/>
            <w:vAlign w:val="bottom"/>
          </w:tcPr>
          <w:p>
            <w:pPr>
              <w:ind w:left="880"/>
              <w:spacing w:after="0"/>
              <w:rPr>
                <w:sz w:val="20"/>
                <w:szCs w:val="20"/>
                <w:color w:val="auto"/>
              </w:rPr>
            </w:pPr>
            <w:r>
              <w:rPr>
                <w:rFonts w:ascii="Arial" w:cs="Arial" w:eastAsia="Arial" w:hAnsi="Arial"/>
                <w:sz w:val="18"/>
                <w:szCs w:val="18"/>
                <w:color w:val="auto"/>
              </w:rPr>
              <w:t>Equity in income from real estate partnership</w:t>
            </w: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(338)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Minority interests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880"/>
              <w:spacing w:after="0"/>
              <w:rPr>
                <w:sz w:val="20"/>
                <w:szCs w:val="20"/>
                <w:color w:val="auto"/>
              </w:rPr>
            </w:pPr>
            <w:r>
              <w:rPr>
                <w:rFonts w:ascii="Arial" w:cs="Arial" w:eastAsia="Arial" w:hAnsi="Arial"/>
                <w:sz w:val="18"/>
                <w:szCs w:val="18"/>
                <w:color w:val="auto"/>
              </w:rPr>
              <w:t>Other, net</w:t>
            </w:r>
          </w:p>
        </w:tc>
        <w:tc>
          <w:tcPr>
            <w:tcW w:w="640" w:type="dxa"/>
            <w:vAlign w:val="bottom"/>
          </w:tcPr>
          <w:p>
            <w:pPr>
              <w:jc w:val="right"/>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880"/>
              <w:spacing w:after="0"/>
              <w:rPr>
                <w:sz w:val="20"/>
                <w:szCs w:val="20"/>
                <w:color w:val="auto"/>
              </w:rPr>
            </w:pPr>
            <w:r>
              <w:rPr>
                <w:rFonts w:ascii="Arial" w:cs="Arial" w:eastAsia="Arial" w:hAnsi="Arial"/>
                <w:sz w:val="18"/>
                <w:szCs w:val="18"/>
                <w:color w:val="auto"/>
              </w:rPr>
              <w:t>Decrease (increase) in accounts receivable</w:t>
            </w:r>
          </w:p>
        </w:tc>
        <w:tc>
          <w:tcPr>
            <w:tcW w:w="640" w:type="dxa"/>
            <w:vAlign w:val="bottom"/>
          </w:tcPr>
          <w:p>
            <w:pPr>
              <w:jc w:val="right"/>
              <w:spacing w:after="0"/>
              <w:rPr>
                <w:sz w:val="20"/>
                <w:szCs w:val="20"/>
                <w:color w:val="auto"/>
              </w:rPr>
            </w:pPr>
            <w:r>
              <w:rPr>
                <w:rFonts w:ascii="Arial" w:cs="Arial" w:eastAsia="Arial" w:hAnsi="Arial"/>
                <w:sz w:val="18"/>
                <w:szCs w:val="18"/>
                <w:color w:val="auto"/>
              </w:rPr>
              <w:t>2,547</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(4,407)</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prepaid expenses and other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880"/>
              <w:spacing w:after="0"/>
              <w:rPr>
                <w:sz w:val="20"/>
                <w:szCs w:val="20"/>
                <w:color w:val="auto"/>
              </w:rPr>
            </w:pPr>
            <w:r>
              <w:rPr>
                <w:rFonts w:ascii="Arial" w:cs="Arial" w:eastAsia="Arial" w:hAnsi="Arial"/>
                <w:sz w:val="18"/>
                <w:szCs w:val="18"/>
                <w:color w:val="auto"/>
              </w:rPr>
              <w:t>Decrease in accounts payable, security deposits and prepaid rent</w:t>
            </w: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(1,518)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accrued expenses</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(6,016)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21"/>
        </w:trPr>
        <w:tc>
          <w:tcPr>
            <w:tcW w:w="9780" w:type="dxa"/>
            <w:vAlign w:val="bottom"/>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93,798</w:t>
            </w:r>
          </w:p>
        </w:tc>
        <w:tc>
          <w:tcPr>
            <w:tcW w:w="2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Acquisition of real estate</w:t>
            </w: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(33,291)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(67,403)</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expenditures—development and redevelopment</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(29,318)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(55,761)</w:t>
            </w: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Capital expenditures—other</w:t>
            </w: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(21,731)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sale of real estate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75,748</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Investment in real estate partnership</w:t>
            </w: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(4,930)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Leasing costs</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(3,834)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(Issuance) repayment of mortgage and other notes receivable, net</w:t>
            </w: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(519)</w:t>
            </w:r>
          </w:p>
        </w:tc>
        <w:tc>
          <w:tcPr>
            <w:tcW w:w="660" w:type="dxa"/>
            <w:vAlign w:val="bottom"/>
          </w:tcPr>
          <w:p>
            <w:pPr>
              <w:jc w:val="right"/>
              <w:spacing w:after="0"/>
              <w:rPr>
                <w:sz w:val="20"/>
                <w:szCs w:val="20"/>
                <w:color w:val="auto"/>
              </w:rPr>
            </w:pPr>
            <w:r>
              <w:rPr>
                <w:rFonts w:ascii="Arial" w:cs="Arial" w:eastAsia="Arial" w:hAnsi="Arial"/>
                <w:sz w:val="18"/>
                <w:szCs w:val="18"/>
                <w:color w:val="auto"/>
              </w:rPr>
              <w:t>7,957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(17,875)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(99,439)</w:t>
            </w:r>
          </w:p>
        </w:tc>
        <w:tc>
          <w:tcPr>
            <w:tcW w:w="0" w:type="dxa"/>
            <w:vAlign w:val="bottom"/>
          </w:tcPr>
          <w:p>
            <w:pPr>
              <w:spacing w:after="0"/>
              <w:rPr>
                <w:sz w:val="1"/>
                <w:szCs w:val="1"/>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FINANCING ACTIVITIES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borrowings under revolving credit facility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46,500</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Repayment of senior debentures</w:t>
            </w: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(40,500)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 of mortgages, capital leases and notes payable</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(2,660)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Issuance of common shares</w:t>
            </w:r>
          </w:p>
        </w:tc>
        <w:tc>
          <w:tcPr>
            <w:tcW w:w="640" w:type="dxa"/>
            <w:vAlign w:val="bottom"/>
          </w:tcPr>
          <w:p>
            <w:pPr>
              <w:jc w:val="right"/>
              <w:spacing w:after="0"/>
              <w:rPr>
                <w:sz w:val="20"/>
                <w:szCs w:val="20"/>
                <w:color w:val="auto"/>
              </w:rPr>
            </w:pPr>
            <w:r>
              <w:rPr>
                <w:rFonts w:ascii="Arial" w:cs="Arial" w:eastAsia="Arial" w:hAnsi="Arial"/>
                <w:sz w:val="18"/>
                <w:szCs w:val="18"/>
                <w:color w:val="auto"/>
              </w:rPr>
              <w:t>1,851</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paid to common and preferred shareholders</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(73,449)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(56,956)</w:t>
            </w: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Distributions to minority interests</w:t>
            </w: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(2,262)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7"/>
        </w:trPr>
        <w:tc>
          <w:tcPr>
            <w:tcW w:w="9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financing activities</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(70,520)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0" w:type="dxa"/>
            <w:vAlign w:val="bottom"/>
          </w:tcPr>
          <w:p>
            <w:pPr>
              <w:spacing w:after="0"/>
              <w:rPr>
                <w:sz w:val="1"/>
                <w:szCs w:val="1"/>
                <w:color w:val="auto"/>
              </w:rPr>
            </w:pPr>
          </w:p>
        </w:tc>
      </w:tr>
      <w:tr>
        <w:trPr>
          <w:trHeight w:val="20"/>
        </w:trPr>
        <w:tc>
          <w:tcPr>
            <w:tcW w:w="9780" w:type="dxa"/>
            <w:vAlign w:val="bottom"/>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78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5,403</w:t>
            </w:r>
          </w:p>
        </w:tc>
        <w:tc>
          <w:tcPr>
            <w:tcW w:w="2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(16,850)</w:t>
            </w:r>
          </w:p>
        </w:tc>
        <w:tc>
          <w:tcPr>
            <w:tcW w:w="0" w:type="dxa"/>
            <w:vAlign w:val="bottom"/>
          </w:tcPr>
          <w:p>
            <w:pPr>
              <w:spacing w:after="0"/>
              <w:rPr>
                <w:sz w:val="1"/>
                <w:szCs w:val="1"/>
                <w:color w:val="auto"/>
              </w:rPr>
            </w:pPr>
          </w:p>
        </w:tc>
      </w:tr>
      <w:tr>
        <w:trPr>
          <w:trHeight w:val="218"/>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2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$ 14,042</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$ 13,625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Organization</w:t>
      </w:r>
    </w:p>
    <w:p>
      <w:pPr>
        <w:spacing w:after="0" w:line="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Federal Realty Investment Trust (the “Trust”) is an equity real estate investment trust specializing in the ownership, management, development and redevelopment of retail and mixed-use properties. Our properties are located primarily in densely populated and affluent communities in strategic metropolitan markets in the Mid-Atlantic and Northeast regions of the United States, as well as in California.</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operate in a manner intended to enable us to qualify as a real estate investment trust or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REIT taxable income have been and are generally expected to be immaterial. We are obligated to pay state taxes, generally consisting of franchise or gross receipts taxes in certain states. Such state taxes also have not been material.</w:t>
      </w:r>
    </w:p>
    <w:p>
      <w:pPr>
        <w:spacing w:after="0" w:line="11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have elected to treat certain of our subsidiaries as taxable REIT subsidiaries, each of which we refer to as a TRS. In general, a TRS may engage in any real estate business and certain non-real estate businesses, subject to certain limitations under the Internal Revenue Code of 1986 (the “Code”). A TRS is subject to federal and state income taxes. The sales of condominiums at Santana Row, which began in August 2005, are being conducted through a TRS. Other than the sales of these condominiums, our TRS activities have not been material.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consolidated financial statements include the accounts of the Trust, its subsidiaries, and all entities in which the Trust has a controlling interest or has been determined to be the primary beneficiary of a variable interest entity. The equity interests of other investors are reflected as minority interests. All significant intercompany transactions and balances are eliminated in consolidation. We account for our interests in joint ventures, which we do not control, using the equity method of accounting.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Cumulative Effect of Change in Accounting Principle</w:t>
      </w:r>
    </w:p>
    <w:p>
      <w:pPr>
        <w:spacing w:after="0" w:line="9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Prior to January 1, 2006, we accounted for stock based compensation under the recognition and measurement provisions of Accounting Principle Board Opinion (“APB”) No. 25, “Accounting for Stock Issued to Employees,” and related interpretations, as permitted by Financial Accounting Standard (“SFAS”) No. 123, “Accounting for Stock-Based Compensation.” Under APB No. 25, no stock based compensation costs were recognized in the Statement of Operations for stock options as our options granted had an exercise price equal to the market value of our common shares on the date of grant. Effective January 1, 2006, we adopted the fair value recognition provisions of SFAS No. 123(R), “Share-Based Payment,” using the modified-prospective-transition method. Under this transition method, compensation cost recognized beginning January 1, 2006 includes: (a) compensation costs for all share-based payments granted prior to, but not vested as of January 1, 2006, based on the grant date fair value estimated in accordance with the original provisions of SFAS No. 123, and (b) compensation cost for all share-based payments granted subsequent to January 1, 2006, based on the grant date fair value estimated in accordance with the provisions of SFAS No. 123(R). Prior to January 1, 2006, we used the Black-Scholes model to value stock options and we intend to continue to use this model to value stock options issued subsequent to January 1, 2006.</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On January 1, 2006, we recorded the cumulative effect of adopting SFAS No. 123(R). This cumulative effect resulted in decreasing accrued liabilities by $3.3 million and increasing shareholder equity by $3.3 million. These balance sheet changes related to deferred compensation on unvested shares. Under SFAS No. 123(R), deferred compensation is no longer recorded at the time unvested shares are issued. Share-based compensation is now recorded over the requisite service period with an offsetting credit to equity (generally additional paid-in capital).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Subsequent to the Adoption of SFAS No. 123(R)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for the six and three months ended June 30, 2006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75"/>
        </w:trPr>
        <w:tc>
          <w:tcPr>
            <w:tcW w:w="8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June 30, 2006</w:t>
            </w:r>
          </w:p>
        </w:tc>
        <w:tc>
          <w:tcPr>
            <w:tcW w:w="8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0"/>
              </w:rPr>
              <w:t>(In thousands)</w:t>
            </w:r>
          </w:p>
        </w:tc>
        <w:tc>
          <w:tcPr>
            <w:tcW w:w="160" w:type="dxa"/>
            <w:vAlign w:val="bottom"/>
          </w:tcPr>
          <w:p>
            <w:pPr>
              <w:spacing w:after="0"/>
              <w:rPr>
                <w:sz w:val="15"/>
                <w:szCs w:val="15"/>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June 30, 2006</w:t>
            </w:r>
          </w:p>
        </w:tc>
        <w:tc>
          <w:tcPr>
            <w:tcW w:w="0" w:type="dxa"/>
            <w:vAlign w:val="bottom"/>
          </w:tcPr>
          <w:p>
            <w:pPr>
              <w:spacing w:after="0"/>
              <w:rPr>
                <w:sz w:val="1"/>
                <w:szCs w:val="1"/>
                <w:color w:val="auto"/>
              </w:rPr>
            </w:pPr>
          </w:p>
        </w:tc>
      </w:tr>
      <w:tr>
        <w:trPr>
          <w:trHeight w:val="142"/>
        </w:trPr>
        <w:tc>
          <w:tcPr>
            <w:tcW w:w="8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incurred</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Grants of common share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2,381</w:t>
            </w:r>
          </w:p>
        </w:tc>
        <w:tc>
          <w:tcPr>
            <w:tcW w:w="80" w:type="dxa"/>
            <w:vAlign w:val="bottom"/>
          </w:tcPr>
          <w:p>
            <w:pPr>
              <w:spacing w:after="0"/>
              <w:rPr>
                <w:sz w:val="18"/>
                <w:szCs w:val="18"/>
                <w:color w:val="auto"/>
              </w:rPr>
            </w:pP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Grants of options</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2,889</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Capitalized share-based compensation</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2"/>
        </w:trPr>
        <w:tc>
          <w:tcPr>
            <w:tcW w:w="8120" w:type="dxa"/>
            <w:vAlign w:val="bottom"/>
          </w:tcPr>
          <w:p>
            <w:pPr>
              <w:spacing w:after="0"/>
              <w:rPr>
                <w:sz w:val="20"/>
                <w:szCs w:val="20"/>
                <w:color w:val="auto"/>
              </w:rPr>
            </w:pPr>
            <w:r>
              <w:rPr>
                <w:rFonts w:ascii="Arial" w:cs="Arial" w:eastAsia="Arial" w:hAnsi="Arial"/>
                <w:sz w:val="18"/>
                <w:szCs w:val="18"/>
                <w:color w:val="auto"/>
              </w:rPr>
              <w:t>Share-based compensation expensed</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we had not adopted SFAS No. 123(R), our net income for the six and three months ended June 30, 2006 would have excluded share-based compensation related to options of $0.5 million and $0.3 million, respectively, and included variable stock compensation related to our performance shares of $0.6 million and $0.3 million, respectively. Under SFAS No. 123(R), the compensation associated with our unvested performance shares is now fixed at their grant-date fair value. Accordingly, if we had not adopted SFAS No. 123(R), our income from continuing operations, net income, basic earnings per share and dilutive earnings per share for the six and three months ended June 30, 2006 would not have been significantly different. While there are certain differences between SFAS No. 123 and 123(R), we believe the pro forma disclosures under SFAS No. 123 presented below approximate the effect of SFAS No. 123(R) for the six and three months ended June 30, 2005.</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Information for Period Prior to Adoption of SFAS No. 123(R)</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following table illustrates the effect on net income and earnings per share if we had applied the fair value recognition provisions of SFAS No. 123 to our stock based compensation for the six and three months ended June 30, 2005.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2"/>
              </w:rPr>
              <w:t>Three Months Ended</w:t>
            </w:r>
          </w:p>
        </w:tc>
      </w:tr>
      <w:tr>
        <w:trPr>
          <w:trHeight w:val="161"/>
        </w:trPr>
        <w:tc>
          <w:tcPr>
            <w:tcW w:w="8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7"/>
              </w:rPr>
              <w:t>June 30, 2005</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2"/>
              </w:rPr>
              <w:t>June 30, 2005</w:t>
            </w:r>
          </w:p>
        </w:tc>
        <w:tc>
          <w:tcPr>
            <w:tcW w:w="60" w:type="dxa"/>
            <w:vAlign w:val="bottom"/>
          </w:tcPr>
          <w:p>
            <w:pPr>
              <w:spacing w:after="0"/>
              <w:rPr>
                <w:sz w:val="14"/>
                <w:szCs w:val="14"/>
                <w:color w:val="auto"/>
              </w:rPr>
            </w:pPr>
          </w:p>
        </w:tc>
      </w:tr>
      <w:tr>
        <w:trPr>
          <w:trHeight w:val="142"/>
        </w:trPr>
        <w:tc>
          <w:tcPr>
            <w:tcW w:w="8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00" w:type="dxa"/>
            <w:vAlign w:val="bottom"/>
            <w:gridSpan w:val="6"/>
          </w:tcPr>
          <w:p>
            <w:pPr>
              <w:jc w:val="right"/>
              <w:ind w:right="580"/>
              <w:spacing w:after="0" w:line="142" w:lineRule="exact"/>
              <w:rPr>
                <w:sz w:val="20"/>
                <w:szCs w:val="20"/>
                <w:color w:val="auto"/>
              </w:rPr>
            </w:pPr>
            <w:r>
              <w:rPr>
                <w:rFonts w:ascii="Arial" w:cs="Arial" w:eastAsia="Arial" w:hAnsi="Arial"/>
                <w:sz w:val="14"/>
                <w:szCs w:val="14"/>
                <w:b w:val="1"/>
                <w:bCs w:val="1"/>
                <w:color w:val="auto"/>
              </w:rPr>
              <w:t>(In thousands, except per share data)</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48,804</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24,807</w:t>
            </w:r>
          </w:p>
        </w:tc>
        <w:tc>
          <w:tcPr>
            <w:tcW w:w="6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Add: stock-based employee compensation cost included in net income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1,939</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1,071</w:t>
            </w:r>
          </w:p>
        </w:tc>
        <w:tc>
          <w:tcPr>
            <w:tcW w:w="6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Deduct: stock-based employee compensation cost under the fair value method for all rewards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(1,999)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(1,121)</w:t>
            </w:r>
          </w:p>
        </w:tc>
      </w:tr>
      <w:tr>
        <w:trPr>
          <w:trHeight w:val="222"/>
        </w:trPr>
        <w:tc>
          <w:tcPr>
            <w:tcW w:w="8200" w:type="dxa"/>
            <w:vAlign w:val="bottom"/>
          </w:tcPr>
          <w:p>
            <w:pPr>
              <w:spacing w:after="0"/>
              <w:rPr>
                <w:sz w:val="20"/>
                <w:szCs w:val="20"/>
                <w:color w:val="auto"/>
              </w:rPr>
            </w:pPr>
            <w:r>
              <w:rPr>
                <w:rFonts w:ascii="Arial" w:cs="Arial" w:eastAsia="Arial" w:hAnsi="Arial"/>
                <w:sz w:val="18"/>
                <w:szCs w:val="18"/>
                <w:color w:val="auto"/>
              </w:rPr>
              <w:t>Pro forma net income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48,744</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24,754</w:t>
            </w:r>
          </w:p>
        </w:tc>
        <w:tc>
          <w:tcPr>
            <w:tcW w:w="6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200" w:type="dxa"/>
            <w:vAlign w:val="bottom"/>
          </w:tcPr>
          <w:p>
            <w:pPr>
              <w:ind w:left="440"/>
              <w:spacing w:after="0"/>
              <w:rPr>
                <w:sz w:val="20"/>
                <w:szCs w:val="20"/>
                <w:color w:val="auto"/>
              </w:rPr>
            </w:pPr>
            <w:r>
              <w:rPr>
                <w:rFonts w:ascii="Arial" w:cs="Arial" w:eastAsia="Arial" w:hAnsi="Arial"/>
                <w:sz w:val="18"/>
                <w:szCs w:val="18"/>
                <w:color w:val="auto"/>
              </w:rPr>
              <w:t>Basic, as reported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0.82</w:t>
            </w:r>
          </w:p>
        </w:tc>
        <w:tc>
          <w:tcPr>
            <w:tcW w:w="440" w:type="dxa"/>
            <w:vAlign w:val="bottom"/>
          </w:tcPr>
          <w:p>
            <w:pPr>
              <w:spacing w:after="0"/>
              <w:rPr>
                <w:sz w:val="18"/>
                <w:szCs w:val="18"/>
                <w:color w:val="auto"/>
              </w:rPr>
            </w:pP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0.42</w:t>
            </w:r>
          </w:p>
        </w:tc>
        <w:tc>
          <w:tcPr>
            <w:tcW w:w="60" w:type="dxa"/>
            <w:vAlign w:val="bottom"/>
          </w:tcPr>
          <w:p>
            <w:pPr>
              <w:spacing w:after="0"/>
              <w:rPr>
                <w:sz w:val="18"/>
                <w:szCs w:val="18"/>
                <w:color w:val="auto"/>
              </w:rPr>
            </w:pPr>
          </w:p>
        </w:tc>
      </w:tr>
      <w:tr>
        <w:trPr>
          <w:trHeight w:val="216"/>
        </w:trPr>
        <w:tc>
          <w:tcPr>
            <w:tcW w:w="8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pro forma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 w:type="dxa"/>
            <w:vAlign w:val="bottom"/>
            <w:shd w:val="clear" w:color="auto" w:fill="CCEEFF"/>
          </w:tcPr>
          <w:p>
            <w:pPr>
              <w:spacing w:after="0"/>
              <w:rPr>
                <w:sz w:val="18"/>
                <w:szCs w:val="18"/>
                <w:color w:val="auto"/>
              </w:rPr>
            </w:pPr>
          </w:p>
        </w:tc>
      </w:tr>
      <w:tr>
        <w:trPr>
          <w:trHeight w:val="323"/>
        </w:trPr>
        <w:tc>
          <w:tcPr>
            <w:tcW w:w="8200" w:type="dxa"/>
            <w:vAlign w:val="bottom"/>
          </w:tcPr>
          <w:p>
            <w:pPr>
              <w:ind w:left="440"/>
              <w:spacing w:after="0"/>
              <w:rPr>
                <w:sz w:val="20"/>
                <w:szCs w:val="20"/>
                <w:color w:val="auto"/>
              </w:rPr>
            </w:pPr>
            <w:r>
              <w:rPr>
                <w:rFonts w:ascii="Arial" w:cs="Arial" w:eastAsia="Arial" w:hAnsi="Arial"/>
                <w:sz w:val="18"/>
                <w:szCs w:val="18"/>
                <w:color w:val="auto"/>
              </w:rPr>
              <w:t>Diluted, as reported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0.81</w:t>
            </w:r>
          </w:p>
        </w:tc>
        <w:tc>
          <w:tcPr>
            <w:tcW w:w="440" w:type="dxa"/>
            <w:vAlign w:val="bottom"/>
          </w:tcPr>
          <w:p>
            <w:pPr>
              <w:spacing w:after="0"/>
              <w:rPr>
                <w:sz w:val="24"/>
                <w:szCs w:val="24"/>
                <w:color w:val="auto"/>
              </w:rPr>
            </w:pP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0.41</w:t>
            </w:r>
          </w:p>
        </w:tc>
        <w:tc>
          <w:tcPr>
            <w:tcW w:w="60" w:type="dxa"/>
            <w:vAlign w:val="bottom"/>
          </w:tcPr>
          <w:p>
            <w:pPr>
              <w:spacing w:after="0"/>
              <w:rPr>
                <w:sz w:val="24"/>
                <w:szCs w:val="24"/>
                <w:color w:val="auto"/>
              </w:rPr>
            </w:pPr>
          </w:p>
        </w:tc>
      </w:tr>
      <w:tr>
        <w:trPr>
          <w:trHeight w:val="217"/>
        </w:trPr>
        <w:tc>
          <w:tcPr>
            <w:tcW w:w="8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pro forma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r>
      <w:tr>
        <w:trPr>
          <w:trHeight w:val="363"/>
        </w:trPr>
        <w:tc>
          <w:tcPr>
            <w:tcW w:w="8200" w:type="dxa"/>
            <w:vAlign w:val="bottom"/>
          </w:tcPr>
          <w:p>
            <w:pPr>
              <w:ind w:left="56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provides a reconciliation between basic and diluted earnings per share: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4"/>
                <w:szCs w:val="14"/>
                <w:color w:val="auto"/>
              </w:rPr>
            </w:pPr>
          </w:p>
        </w:tc>
        <w:tc>
          <w:tcPr>
            <w:tcW w:w="142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61"/>
        </w:trPr>
        <w:tc>
          <w:tcPr>
            <w:tcW w:w="96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2005</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10"/>
          </w:tcPr>
          <w:p>
            <w:pPr>
              <w:jc w:val="right"/>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45,659</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41,236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23,244</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(5,738)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(5,738)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(2,869)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(2,869)</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39,921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35,498</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20,375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19,402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Results from 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23,628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7,568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15,012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Net income available for common shareholders, basic and dilutive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63,549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43,066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35,387</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21,938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 basic</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52,789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52,333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52,842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52,454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ind w:left="440"/>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Unvested stock</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8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 dilutive (1)</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53,287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52,876</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53,315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52,986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0.75</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0.39</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0.67</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0.75</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0.38</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0.66</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60" w:type="dxa"/>
            <w:vAlign w:val="bottom"/>
            <w:tcBorders>
              <w:bottom w:val="single" w:sz="8" w:color="auto"/>
            </w:tcBorders>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8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conversion of operating partnership units is anti-dilutive for the periods presented. Accordingly, operating partnership units have been excluded from the weighted average common shares used to compute diluted EPS.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Supplemental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6"/>
              </w:rPr>
              <w:t>June 30,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interest costs incurred</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w w:val="87"/>
              </w:rPr>
              <w:t>50,357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Interest capitalized</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32"/>
              <w:spacing w:after="0"/>
              <w:rPr>
                <w:sz w:val="20"/>
                <w:szCs w:val="20"/>
                <w:color w:val="auto"/>
              </w:rPr>
            </w:pPr>
            <w:r>
              <w:rPr>
                <w:rFonts w:ascii="Arial" w:cs="Arial" w:eastAsia="Arial" w:hAnsi="Arial"/>
                <w:sz w:val="18"/>
                <w:szCs w:val="18"/>
                <w:color w:val="auto"/>
                <w:w w:val="94"/>
              </w:rPr>
              <w:t>(1,323)</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(2,538)</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w w:val="87"/>
              </w:rPr>
              <w:t>49,034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Cash paid for interest</w:t>
            </w:r>
          </w:p>
        </w:tc>
        <w:tc>
          <w:tcPr>
            <w:tcW w:w="2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4820" w:type="dxa"/>
            <w:vAlign w:val="bottom"/>
            <w:gridSpan w:val="2"/>
            <w:vMerge w:val="continue"/>
          </w:tcPr>
          <w:p>
            <w:pPr>
              <w:spacing w:after="0"/>
              <w:rPr>
                <w:sz w:val="18"/>
                <w:szCs w:val="18"/>
                <w:color w:val="auto"/>
              </w:rPr>
            </w:pPr>
          </w:p>
        </w:tc>
        <w:tc>
          <w:tcPr>
            <w:tcW w:w="2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tcPr>
          <w:p>
            <w:pPr>
              <w:jc w:val="right"/>
              <w:ind w:right="592"/>
              <w:spacing w:after="0"/>
              <w:rPr>
                <w:sz w:val="20"/>
                <w:szCs w:val="20"/>
                <w:color w:val="auto"/>
              </w:rPr>
            </w:pPr>
            <w:r>
              <w:rPr>
                <w:rFonts w:ascii="Arial" w:cs="Arial" w:eastAsia="Arial" w:hAnsi="Arial"/>
                <w:sz w:val="18"/>
                <w:szCs w:val="18"/>
                <w:color w:val="auto"/>
                <w:w w:val="87"/>
              </w:rPr>
              <w:t>49,161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44,869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3,030(1)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2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paid for income taxes for the six months ended June 30, 2006 includes $2.8 million related to the sales of condominiums at Santana Row which are being conducted through a TRS.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REAL ESTATE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significant acquisitions made by us and our consolidated affiliates during the six months ended June 30, 2006: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78"/>
              </w:rPr>
              <w:t>Gross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2"/>
              </w:rPr>
              <w:t>Purchase</w:t>
            </w:r>
          </w:p>
        </w:tc>
      </w:tr>
      <w:tr>
        <w:trPr>
          <w:trHeight w:val="168"/>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80" w:type="dxa"/>
            <w:vAlign w:val="bottom"/>
          </w:tcPr>
          <w:p>
            <w:pPr>
              <w:ind w:left="640"/>
              <w:spacing w:after="0"/>
              <w:rPr>
                <w:sz w:val="20"/>
                <w:szCs w:val="20"/>
                <w:color w:val="auto"/>
              </w:rPr>
            </w:pPr>
            <w:r>
              <w:rPr>
                <w:rFonts w:ascii="Arial" w:cs="Arial" w:eastAsia="Arial" w:hAnsi="Arial"/>
                <w:sz w:val="14"/>
                <w:szCs w:val="14"/>
                <w:b w:val="1"/>
                <w:bCs w:val="1"/>
                <w:color w:val="auto"/>
              </w:rPr>
              <w:t>Property</w:t>
            </w:r>
          </w:p>
        </w:tc>
        <w:tc>
          <w:tcPr>
            <w:tcW w:w="400" w:type="dxa"/>
            <w:vAlign w:val="bottom"/>
          </w:tcPr>
          <w:p>
            <w:pPr>
              <w:spacing w:after="0"/>
              <w:rPr>
                <w:sz w:val="14"/>
                <w:szCs w:val="14"/>
                <w:color w:val="auto"/>
              </w:rPr>
            </w:pPr>
          </w:p>
        </w:tc>
        <w:tc>
          <w:tcPr>
            <w:tcW w:w="2040" w:type="dxa"/>
            <w:vAlign w:val="bottom"/>
          </w:tcPr>
          <w:p>
            <w:pPr>
              <w:ind w:left="720"/>
              <w:spacing w:after="0"/>
              <w:rPr>
                <w:sz w:val="20"/>
                <w:szCs w:val="20"/>
                <w:color w:val="auto"/>
              </w:rPr>
            </w:pPr>
            <w:r>
              <w:rPr>
                <w:rFonts w:ascii="Arial" w:cs="Arial" w:eastAsia="Arial" w:hAnsi="Arial"/>
                <w:sz w:val="14"/>
                <w:szCs w:val="14"/>
                <w:b w:val="1"/>
                <w:bCs w:val="1"/>
                <w:color w:val="auto"/>
              </w:rPr>
              <w:t>City, State</w:t>
            </w:r>
          </w:p>
        </w:tc>
        <w:tc>
          <w:tcPr>
            <w:tcW w:w="4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8"/>
              </w:rPr>
              <w:t>Leasable Area</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Price</w:t>
            </w:r>
          </w:p>
        </w:tc>
      </w:tr>
      <w:tr>
        <w:trPr>
          <w:trHeight w:val="149"/>
        </w:trPr>
        <w:tc>
          <w:tcPr>
            <w:tcW w:w="96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0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square feet)</w:t>
            </w:r>
          </w:p>
        </w:tc>
        <w:tc>
          <w:tcPr>
            <w:tcW w:w="400" w:type="dxa"/>
            <w:vAlign w:val="bottom"/>
          </w:tcPr>
          <w:p>
            <w:pPr>
              <w:spacing w:after="0"/>
              <w:rPr>
                <w:sz w:val="12"/>
                <w:szCs w:val="12"/>
                <w:color w:val="auto"/>
              </w:rPr>
            </w:pPr>
          </w:p>
        </w:tc>
        <w:tc>
          <w:tcPr>
            <w:tcW w:w="720" w:type="dxa"/>
            <w:vAlign w:val="bottom"/>
            <w:tcBorders>
              <w:top w:val="single" w:sz="8" w:color="auto"/>
            </w:tcBorders>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(In millions)</w:t>
            </w:r>
          </w:p>
        </w:tc>
        <w:tc>
          <w:tcPr>
            <w:tcW w:w="220" w:type="dxa"/>
            <w:vAlign w:val="bottom"/>
          </w:tcPr>
          <w:p>
            <w:pPr>
              <w:spacing w:after="0"/>
              <w:rPr>
                <w:sz w:val="12"/>
                <w:szCs w:val="12"/>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 2006</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9"/>
              </w:rPr>
              <w:t>4900</w:t>
            </w:r>
          </w:p>
        </w:tc>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Hampden Lane</w:t>
            </w:r>
          </w:p>
        </w:tc>
        <w:tc>
          <w:tcPr>
            <w:tcW w:w="4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Bethesda, MD</w:t>
            </w:r>
          </w:p>
        </w:tc>
        <w:tc>
          <w:tcPr>
            <w:tcW w:w="214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7"/>
              </w:rPr>
              <w:t>35,000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12.0(1)</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January 27, 2006</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w w:val="89"/>
              </w:rPr>
              <w:t>7770</w:t>
            </w:r>
          </w:p>
        </w:tc>
        <w:tc>
          <w:tcPr>
            <w:tcW w:w="2180" w:type="dxa"/>
            <w:vAlign w:val="bottom"/>
          </w:tcPr>
          <w:p>
            <w:pPr>
              <w:ind w:left="20"/>
              <w:spacing w:after="0"/>
              <w:rPr>
                <w:sz w:val="20"/>
                <w:szCs w:val="20"/>
                <w:color w:val="auto"/>
              </w:rPr>
            </w:pPr>
            <w:r>
              <w:rPr>
                <w:rFonts w:ascii="Arial" w:cs="Arial" w:eastAsia="Arial" w:hAnsi="Arial"/>
                <w:sz w:val="18"/>
                <w:szCs w:val="18"/>
                <w:color w:val="auto"/>
              </w:rPr>
              <w:t>Richmond Hwy</w:t>
            </w:r>
          </w:p>
        </w:tc>
        <w:tc>
          <w:tcPr>
            <w:tcW w:w="40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Alexandria, VA</w:t>
            </w:r>
          </w:p>
        </w:tc>
        <w:tc>
          <w:tcPr>
            <w:tcW w:w="2140" w:type="dxa"/>
            <w:vAlign w:val="bottom"/>
            <w:gridSpan w:val="2"/>
          </w:tcPr>
          <w:p>
            <w:pPr>
              <w:jc w:val="center"/>
              <w:ind w:left="332"/>
              <w:spacing w:after="0"/>
              <w:rPr>
                <w:sz w:val="20"/>
                <w:szCs w:val="20"/>
                <w:color w:val="auto"/>
              </w:rPr>
            </w:pPr>
            <w:r>
              <w:rPr>
                <w:rFonts w:ascii="Arial" w:cs="Arial" w:eastAsia="Arial" w:hAnsi="Arial"/>
                <w:sz w:val="18"/>
                <w:szCs w:val="18"/>
                <w:color w:val="auto"/>
                <w:w w:val="87"/>
              </w:rPr>
              <w:t>60,000</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9.9(2)</w:t>
            </w: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29, 2006</w:t>
            </w:r>
          </w:p>
        </w:tc>
        <w:tc>
          <w:tcPr>
            <w:tcW w:w="29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Town Center of New Britain</w:t>
            </w:r>
          </w:p>
        </w:tc>
        <w:tc>
          <w:tcPr>
            <w:tcW w:w="4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New Britain, PA</w:t>
            </w:r>
          </w:p>
        </w:tc>
        <w:tc>
          <w:tcPr>
            <w:tcW w:w="214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6"/>
              </w:rPr>
              <w:t>126,000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12.8(3)</w:t>
            </w:r>
          </w:p>
        </w:tc>
      </w:tr>
      <w:tr>
        <w:trPr>
          <w:trHeight w:val="108"/>
        </w:trPr>
        <w:tc>
          <w:tcPr>
            <w:tcW w:w="96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100" w:lineRule="exact"/>
        <w:rPr>
          <w:sz w:val="20"/>
          <w:szCs w:val="20"/>
          <w:color w:val="auto"/>
        </w:rPr>
      </w:pPr>
    </w:p>
    <w:p>
      <w:pPr>
        <w:ind w:left="460" w:right="24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$0.1 million and $0.3 million of the net assets acquired were allocated to other assets for “above market leases” and liabilities for “below market leases”, respectively.</w:t>
      </w:r>
    </w:p>
    <w:p>
      <w:pPr>
        <w:ind w:left="460" w:right="24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$0.2 million and $0.2 million of the net assets acquired were allocated to other assets for “above market leases” and liabilities for “below market leases”, respectively.</w:t>
      </w:r>
    </w:p>
    <w:p>
      <w:pPr>
        <w:ind w:left="460" w:right="24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$0.5 million and $0.8 million of the net assets acquired were allocated to other assets for “above market leases” and liabilities for “below market leases”,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significant dispositions made by us and our consolidated affiliates during the six months ended June 30, 2006: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78"/>
              </w:rPr>
              <w:t>Gross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8"/>
        </w:trPr>
        <w:tc>
          <w:tcPr>
            <w:tcW w:w="162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660" w:type="dxa"/>
            <w:vAlign w:val="bottom"/>
          </w:tcPr>
          <w:p>
            <w:pPr>
              <w:spacing w:after="0"/>
              <w:rPr>
                <w:sz w:val="14"/>
                <w:szCs w:val="14"/>
                <w:color w:val="auto"/>
              </w:rPr>
            </w:pPr>
          </w:p>
        </w:tc>
        <w:tc>
          <w:tcPr>
            <w:tcW w:w="3200" w:type="dxa"/>
            <w:vAlign w:val="bottom"/>
          </w:tcPr>
          <w:p>
            <w:pPr>
              <w:ind w:left="1340"/>
              <w:spacing w:after="0"/>
              <w:rPr>
                <w:sz w:val="20"/>
                <w:szCs w:val="20"/>
                <w:color w:val="auto"/>
              </w:rPr>
            </w:pPr>
            <w:r>
              <w:rPr>
                <w:rFonts w:ascii="Arial" w:cs="Arial" w:eastAsia="Arial" w:hAnsi="Arial"/>
                <w:sz w:val="14"/>
                <w:szCs w:val="14"/>
                <w:b w:val="1"/>
                <w:bCs w:val="1"/>
                <w:color w:val="auto"/>
              </w:rPr>
              <w:t>Property</w:t>
            </w:r>
          </w:p>
        </w:tc>
        <w:tc>
          <w:tcPr>
            <w:tcW w:w="640" w:type="dxa"/>
            <w:vAlign w:val="bottom"/>
          </w:tcPr>
          <w:p>
            <w:pPr>
              <w:spacing w:after="0"/>
              <w:rPr>
                <w:sz w:val="14"/>
                <w:szCs w:val="14"/>
                <w:color w:val="auto"/>
              </w:rPr>
            </w:pPr>
          </w:p>
        </w:tc>
        <w:tc>
          <w:tcPr>
            <w:tcW w:w="1160" w:type="dxa"/>
            <w:vAlign w:val="bottom"/>
          </w:tcPr>
          <w:p>
            <w:pPr>
              <w:ind w:left="280"/>
              <w:spacing w:after="0"/>
              <w:rPr>
                <w:sz w:val="20"/>
                <w:szCs w:val="20"/>
                <w:color w:val="auto"/>
              </w:rPr>
            </w:pPr>
            <w:r>
              <w:rPr>
                <w:rFonts w:ascii="Arial" w:cs="Arial" w:eastAsia="Arial" w:hAnsi="Arial"/>
                <w:sz w:val="14"/>
                <w:szCs w:val="14"/>
                <w:b w:val="1"/>
                <w:bCs w:val="1"/>
                <w:color w:val="auto"/>
              </w:rPr>
              <w:t>City, State</w:t>
            </w:r>
          </w:p>
        </w:tc>
        <w:tc>
          <w:tcPr>
            <w:tcW w:w="6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Leasable Area</w:t>
            </w:r>
          </w:p>
        </w:tc>
        <w:tc>
          <w:tcPr>
            <w:tcW w:w="660" w:type="dxa"/>
            <w:vAlign w:val="bottom"/>
          </w:tcPr>
          <w:p>
            <w:pPr>
              <w:spacing w:after="0"/>
              <w:rPr>
                <w:sz w:val="14"/>
                <w:szCs w:val="14"/>
                <w:color w:val="auto"/>
              </w:rPr>
            </w:pPr>
          </w:p>
        </w:tc>
        <w:tc>
          <w:tcPr>
            <w:tcW w:w="1320" w:type="dxa"/>
            <w:vAlign w:val="bottom"/>
            <w:gridSpan w:val="3"/>
          </w:tcPr>
          <w:p>
            <w:pPr>
              <w:jc w:val="right"/>
              <w:ind w:right="612"/>
              <w:spacing w:after="0"/>
              <w:rPr>
                <w:sz w:val="20"/>
                <w:szCs w:val="20"/>
                <w:color w:val="auto"/>
              </w:rPr>
            </w:pPr>
            <w:r>
              <w:rPr>
                <w:rFonts w:ascii="Arial" w:cs="Arial" w:eastAsia="Arial" w:hAnsi="Arial"/>
                <w:sz w:val="14"/>
                <w:szCs w:val="14"/>
                <w:b w:val="1"/>
                <w:bCs w:val="1"/>
                <w:color w:val="auto"/>
                <w:w w:val="82"/>
              </w:rPr>
              <w:t>Sales Price</w:t>
            </w:r>
          </w:p>
        </w:tc>
        <w:tc>
          <w:tcPr>
            <w:tcW w:w="6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Gain</w:t>
            </w:r>
          </w:p>
        </w:tc>
      </w:tr>
      <w:tr>
        <w:trPr>
          <w:trHeight w:val="149"/>
        </w:trPr>
        <w:tc>
          <w:tcPr>
            <w:tcW w:w="16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square feet)</w:t>
            </w:r>
          </w:p>
        </w:tc>
        <w:tc>
          <w:tcPr>
            <w:tcW w:w="6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(In</w:t>
            </w: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millions)</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Various</w:t>
            </w:r>
          </w:p>
        </w:tc>
        <w:tc>
          <w:tcPr>
            <w:tcW w:w="6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88"/>
              </w:rPr>
              <w:t>Condominiums at Santana Row (81 units) (1)</w:t>
            </w: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San Jose, CA</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8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16.4(2)</w:t>
            </w:r>
          </w:p>
        </w:tc>
      </w:tr>
      <w:tr>
        <w:trPr>
          <w:trHeight w:val="222"/>
        </w:trPr>
        <w:tc>
          <w:tcPr>
            <w:tcW w:w="1620" w:type="dxa"/>
            <w:vAlign w:val="bottom"/>
          </w:tcPr>
          <w:p>
            <w:pPr>
              <w:spacing w:after="0"/>
              <w:rPr>
                <w:sz w:val="20"/>
                <w:szCs w:val="20"/>
                <w:color w:val="auto"/>
              </w:rPr>
            </w:pPr>
            <w:r>
              <w:rPr>
                <w:rFonts w:ascii="Arial" w:cs="Arial" w:eastAsia="Arial" w:hAnsi="Arial"/>
                <w:sz w:val="18"/>
                <w:szCs w:val="18"/>
                <w:color w:val="auto"/>
              </w:rPr>
              <w:t>June 5, 2006</w:t>
            </w:r>
          </w:p>
        </w:tc>
        <w:tc>
          <w:tcPr>
            <w:tcW w:w="66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Greenlawn Plaza</w:t>
            </w:r>
          </w:p>
        </w:tc>
        <w:tc>
          <w:tcPr>
            <w:tcW w:w="6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8"/>
                <w:szCs w:val="18"/>
                <w:color w:val="auto"/>
                <w:w w:val="93"/>
              </w:rPr>
              <w:t>Huntington, NY</w:t>
            </w:r>
          </w:p>
        </w:tc>
        <w:tc>
          <w:tcPr>
            <w:tcW w:w="1540" w:type="dxa"/>
            <w:vAlign w:val="bottom"/>
            <w:gridSpan w:val="2"/>
          </w:tcPr>
          <w:p>
            <w:pPr>
              <w:jc w:val="center"/>
              <w:ind w:left="572"/>
              <w:spacing w:after="0"/>
              <w:rPr>
                <w:sz w:val="20"/>
                <w:szCs w:val="20"/>
                <w:color w:val="auto"/>
              </w:rPr>
            </w:pPr>
            <w:r>
              <w:rPr>
                <w:rFonts w:ascii="Arial" w:cs="Arial" w:eastAsia="Arial" w:hAnsi="Arial"/>
                <w:sz w:val="18"/>
                <w:szCs w:val="18"/>
                <w:color w:val="auto"/>
                <w:w w:val="86"/>
              </w:rPr>
              <w:t>102,000</w:t>
            </w:r>
          </w:p>
        </w:tc>
        <w:tc>
          <w:tcPr>
            <w:tcW w:w="8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20.4</w:t>
            </w:r>
          </w:p>
        </w:tc>
        <w:tc>
          <w:tcPr>
            <w:tcW w:w="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June 30, 2006, we had sold 211 of the 219 condominium units we intend to sell at Santana Row.</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 of $16.4 million is net of $2.2 million in taxes.</w:t>
      </w:r>
    </w:p>
    <w:p>
      <w:pPr>
        <w:spacing w:after="0" w:line="9" w:lineRule="exact"/>
        <w:rPr>
          <w:rFonts w:ascii="Arial" w:cs="Arial" w:eastAsia="Arial" w:hAnsi="Arial"/>
          <w:sz w:val="18"/>
          <w:szCs w:val="18"/>
          <w:color w:val="auto"/>
        </w:rPr>
      </w:pPr>
    </w:p>
    <w:p>
      <w:pPr>
        <w:ind w:left="460" w:right="10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property was sold to our real estate partnership in which we own a 30% interest. Accordingly, we only recognized a partial gain on this sale related to the 70% equity interest sold.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REAL ESTATE PARTNERSHIP</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July 2004, we entered into a joint venture arrangement (“the Partnership”) by forming a limited partnership with affiliates of Clarion Lion Properties Fund (“Clarion”), a discretionary fund created and advised by ING Clarion Partners. We own 30% of the equity in the Partnership, and Clarion owns 70%. We and Clarion both hold a 0.1% general partner interest in the Partnership, and our remaining interests in the Partnership are held in the form of limited partner interests. The Partnership plans to acquire up to $350.0 million of stabilized, supermarket-anchored shopping centers in the Trust’s East and West regions. Federal Realty and Clarion have committed to contribute to the Partnership up to $37.0 million and $86.0 million, respectively, of equity capital to acquire properties. No assurances can be made that we will identify properties that meet the acquisition requirements of the Partnership. We are the manager of the Partnership and its properties, earning fees for acquisitions, dispositions, management, leasing, and financing. We also have the opportunity to receive performance-based earnings through our Partnership interest. As of June 30, 2006, we have made total cumulative contributions of $14.4 million and received total distributions of $1.3 million. We account for our interest in the Partnership using the equity method.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20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Six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right"/>
              <w:ind w:right="277"/>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1"/>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2006</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2006</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(In</w:t>
            </w:r>
          </w:p>
        </w:tc>
        <w:tc>
          <w:tcPr>
            <w:tcW w:w="720" w:type="dxa"/>
            <w:vAlign w:val="bottom"/>
            <w:gridSpan w:val="3"/>
          </w:tcPr>
          <w:p>
            <w:pPr>
              <w:jc w:val="center"/>
              <w:ind w:right="98"/>
              <w:spacing w:after="0" w:line="142" w:lineRule="exact"/>
              <w:rPr>
                <w:sz w:val="20"/>
                <w:szCs w:val="20"/>
                <w:color w:val="auto"/>
              </w:rPr>
            </w:pPr>
            <w:r>
              <w:rPr>
                <w:rFonts w:ascii="Arial" w:cs="Arial" w:eastAsia="Arial" w:hAnsi="Arial"/>
                <w:sz w:val="14"/>
                <w:szCs w:val="14"/>
                <w:b w:val="1"/>
                <w:bCs w:val="1"/>
                <w:color w:val="auto"/>
                <w:w w:val="71"/>
              </w:rPr>
              <w:t>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4,350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4,189</w:t>
            </w:r>
          </w:p>
        </w:tc>
        <w:tc>
          <w:tcPr>
            <w:tcW w:w="320" w:type="dxa"/>
            <w:vAlign w:val="bottom"/>
            <w:gridSpan w:val="2"/>
          </w:tcPr>
          <w:p>
            <w:pPr>
              <w:jc w:val="center"/>
              <w:ind w:left="139"/>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2,342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operating expenses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1,867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739</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746</w:t>
            </w:r>
          </w:p>
        </w:tc>
        <w:tc>
          <w:tcPr>
            <w:tcW w:w="22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475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Our share of net income from real estate partnership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2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72"/>
              <w:spacing w:after="0"/>
              <w:rPr>
                <w:sz w:val="20"/>
                <w:szCs w:val="20"/>
                <w:color w:val="auto"/>
              </w:rPr>
            </w:pPr>
            <w:r>
              <w:rPr>
                <w:rFonts w:ascii="Arial" w:cs="Arial" w:eastAsia="Arial" w:hAnsi="Arial"/>
                <w:sz w:val="14"/>
                <w:szCs w:val="14"/>
                <w:b w:val="1"/>
                <w:bCs w:val="1"/>
                <w:color w:val="auto"/>
                <w:w w:val="85"/>
              </w:rPr>
              <w:t>June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5"/>
        </w:trPr>
        <w:tc>
          <w:tcPr>
            <w:tcW w:w="430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00"/>
              <w:spacing w:after="0" w:line="143" w:lineRule="exact"/>
              <w:rPr>
                <w:sz w:val="20"/>
                <w:szCs w:val="20"/>
                <w:color w:val="auto"/>
              </w:rPr>
            </w:pPr>
            <w:r>
              <w:rPr>
                <w:rFonts w:ascii="Arial" w:cs="Arial" w:eastAsia="Arial" w:hAnsi="Arial"/>
                <w:sz w:val="14"/>
                <w:szCs w:val="14"/>
                <w:b w:val="1"/>
                <w:bCs w:val="1"/>
                <w:color w:val="auto"/>
                <w:w w:val="93"/>
              </w:rPr>
              <w:t>(In</w:t>
            </w:r>
          </w:p>
        </w:tc>
        <w:tc>
          <w:tcPr>
            <w:tcW w:w="1140" w:type="dxa"/>
            <w:vAlign w:val="bottom"/>
            <w:gridSpan w:val="3"/>
          </w:tcPr>
          <w:p>
            <w:pPr>
              <w:jc w:val="right"/>
              <w:ind w:right="394"/>
              <w:spacing w:after="0" w:line="143" w:lineRule="exact"/>
              <w:rPr>
                <w:sz w:val="20"/>
                <w:szCs w:val="20"/>
                <w:color w:val="auto"/>
              </w:rPr>
            </w:pPr>
            <w:r>
              <w:rPr>
                <w:rFonts w:ascii="Arial" w:cs="Arial" w:eastAsia="Arial" w:hAnsi="Arial"/>
                <w:sz w:val="14"/>
                <w:szCs w:val="14"/>
                <w:b w:val="1"/>
                <w:bCs w:val="1"/>
                <w:color w:val="auto"/>
                <w:w w:val="84"/>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5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Real estate, net</w:t>
            </w:r>
          </w:p>
        </w:tc>
        <w:tc>
          <w:tcPr>
            <w:tcW w:w="5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w w:val="86"/>
              </w:rPr>
              <w:t>125,179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79,050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1,856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 assets</w:t>
            </w:r>
          </w:p>
        </w:tc>
        <w:tc>
          <w:tcPr>
            <w:tcW w:w="5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4,204</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5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6"/>
              </w:rPr>
              <w:t>131,239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Mortgages payable</w:t>
            </w:r>
          </w:p>
        </w:tc>
        <w:tc>
          <w:tcPr>
            <w:tcW w:w="5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00" w:type="dxa"/>
            <w:vAlign w:val="bottom"/>
            <w:vMerge w:val="continue"/>
          </w:tcPr>
          <w:p>
            <w:pPr>
              <w:spacing w:after="0"/>
              <w:rPr>
                <w:sz w:val="18"/>
                <w:szCs w:val="18"/>
                <w:color w:val="auto"/>
              </w:rPr>
            </w:pPr>
          </w:p>
        </w:tc>
        <w:tc>
          <w:tcPr>
            <w:tcW w:w="5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77,425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47,225</w:t>
            </w:r>
          </w:p>
        </w:tc>
        <w:tc>
          <w:tcPr>
            <w:tcW w:w="0" w:type="dxa"/>
            <w:vAlign w:val="bottom"/>
          </w:tcPr>
          <w:p>
            <w:pPr>
              <w:spacing w:after="0"/>
              <w:rPr>
                <w:sz w:val="1"/>
                <w:szCs w:val="1"/>
                <w:color w:val="auto"/>
              </w:rPr>
            </w:pPr>
          </w:p>
        </w:tc>
      </w:tr>
      <w:tr>
        <w:trPr>
          <w:trHeight w:val="218"/>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7,029</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Partners’ capital</w:t>
            </w:r>
          </w:p>
        </w:tc>
        <w:tc>
          <w:tcPr>
            <w:tcW w:w="5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46,785</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partners’ capital</w:t>
            </w:r>
          </w:p>
        </w:tc>
        <w:tc>
          <w:tcPr>
            <w:tcW w:w="5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6"/>
              </w:rPr>
              <w:t>131,239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Our share of unconsolidated debt</w:t>
            </w:r>
          </w:p>
        </w:tc>
        <w:tc>
          <w:tcPr>
            <w:tcW w:w="5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00" w:type="dxa"/>
            <w:vAlign w:val="bottom"/>
            <w:vMerge w:val="continue"/>
          </w:tcPr>
          <w:p>
            <w:pPr>
              <w:spacing w:after="0"/>
              <w:rPr>
                <w:sz w:val="18"/>
                <w:szCs w:val="18"/>
                <w:color w:val="auto"/>
              </w:rPr>
            </w:pPr>
          </w:p>
        </w:tc>
        <w:tc>
          <w:tcPr>
            <w:tcW w:w="5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23,228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14,168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Our investment in real estate partnership</w:t>
            </w:r>
          </w:p>
        </w:tc>
        <w:tc>
          <w:tcPr>
            <w:tcW w:w="5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10,641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320" w:type="dxa"/>
            <w:vAlign w:val="bottom"/>
            <w:vMerge w:val="restart"/>
          </w:tcPr>
          <w:p>
            <w:pPr>
              <w:jc w:val="right"/>
              <w:ind w:right="3732"/>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0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mortgage notes totaling $36.7 million at June 30, 2006 that are secured by three properties owned by subsidiaries of the Partnership, we are the guarantor for the obligations of the joint venture which are commonly referred to as “non-recourse carve-outs.” We are not guaranteeing repayment of the debt itself. The Partnership indemnifies us for any loss we incur under these guarantees.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significant acquisitions made by the Partnership, which is an unconsolidated subsidiary, during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Purchase</w:t>
            </w:r>
          </w:p>
        </w:tc>
      </w:tr>
      <w:tr>
        <w:trPr>
          <w:trHeight w:val="168"/>
        </w:trPr>
        <w:tc>
          <w:tcPr>
            <w:tcW w:w="250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1160" w:type="dxa"/>
            <w:vAlign w:val="bottom"/>
          </w:tcPr>
          <w:p>
            <w:pPr>
              <w:spacing w:after="0"/>
              <w:rPr>
                <w:sz w:val="14"/>
                <w:szCs w:val="14"/>
                <w:color w:val="auto"/>
              </w:rPr>
            </w:pPr>
          </w:p>
        </w:tc>
        <w:tc>
          <w:tcPr>
            <w:tcW w:w="1440" w:type="dxa"/>
            <w:vAlign w:val="bottom"/>
          </w:tcPr>
          <w:p>
            <w:pPr>
              <w:ind w:left="460"/>
              <w:spacing w:after="0"/>
              <w:rPr>
                <w:sz w:val="20"/>
                <w:szCs w:val="20"/>
                <w:color w:val="auto"/>
              </w:rPr>
            </w:pPr>
            <w:r>
              <w:rPr>
                <w:rFonts w:ascii="Arial" w:cs="Arial" w:eastAsia="Arial" w:hAnsi="Arial"/>
                <w:sz w:val="14"/>
                <w:szCs w:val="14"/>
                <w:b w:val="1"/>
                <w:bCs w:val="1"/>
                <w:color w:val="auto"/>
              </w:rPr>
              <w:t>Property</w:t>
            </w:r>
          </w:p>
        </w:tc>
        <w:tc>
          <w:tcPr>
            <w:tcW w:w="1160" w:type="dxa"/>
            <w:vAlign w:val="bottom"/>
          </w:tcPr>
          <w:p>
            <w:pPr>
              <w:spacing w:after="0"/>
              <w:rPr>
                <w:sz w:val="14"/>
                <w:szCs w:val="14"/>
                <w:color w:val="auto"/>
              </w:rPr>
            </w:pPr>
          </w:p>
        </w:tc>
        <w:tc>
          <w:tcPr>
            <w:tcW w:w="1220" w:type="dxa"/>
            <w:vAlign w:val="bottom"/>
          </w:tcPr>
          <w:p>
            <w:pPr>
              <w:ind w:left="320"/>
              <w:spacing w:after="0"/>
              <w:rPr>
                <w:sz w:val="20"/>
                <w:szCs w:val="20"/>
                <w:color w:val="auto"/>
              </w:rPr>
            </w:pPr>
            <w:r>
              <w:rPr>
                <w:rFonts w:ascii="Arial" w:cs="Arial" w:eastAsia="Arial" w:hAnsi="Arial"/>
                <w:sz w:val="14"/>
                <w:szCs w:val="14"/>
                <w:b w:val="1"/>
                <w:bCs w:val="1"/>
                <w:color w:val="auto"/>
              </w:rPr>
              <w:t>City, State</w:t>
            </w:r>
          </w:p>
        </w:tc>
        <w:tc>
          <w:tcPr>
            <w:tcW w:w="1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Leasable Area</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Price</w:t>
            </w:r>
          </w:p>
        </w:tc>
      </w:tr>
      <w:tr>
        <w:trPr>
          <w:trHeight w:val="149"/>
        </w:trPr>
        <w:tc>
          <w:tcPr>
            <w:tcW w:w="2500" w:type="dxa"/>
            <w:vAlign w:val="bottom"/>
            <w:tcBorders>
              <w:top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square feet)</w:t>
            </w:r>
          </w:p>
        </w:tc>
        <w:tc>
          <w:tcPr>
            <w:tcW w:w="116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89"/>
              </w:rPr>
              <w:t>(In millions)</w:t>
            </w:r>
          </w:p>
        </w:tc>
        <w:tc>
          <w:tcPr>
            <w:tcW w:w="20" w:type="dxa"/>
            <w:vAlign w:val="bottom"/>
          </w:tcPr>
          <w:p>
            <w:pPr>
              <w:spacing w:after="0"/>
              <w:rPr>
                <w:sz w:val="12"/>
                <w:szCs w:val="12"/>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June 5, 2006</w:t>
            </w:r>
          </w:p>
        </w:tc>
        <w:tc>
          <w:tcPr>
            <w:tcW w:w="26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86"/>
              </w:rPr>
              <w:t>Greenlawn Plaza (1)</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8"/>
              </w:rPr>
              <w:t>Huntington, NY</w:t>
            </w:r>
          </w:p>
        </w:tc>
        <w:tc>
          <w:tcPr>
            <w:tcW w:w="20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102,000</w:t>
            </w:r>
          </w:p>
        </w:tc>
        <w:tc>
          <w:tcPr>
            <w:tcW w:w="12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r>
      <w:tr>
        <w:trPr>
          <w:trHeight w:val="222"/>
        </w:trPr>
        <w:tc>
          <w:tcPr>
            <w:tcW w:w="2500" w:type="dxa"/>
            <w:vAlign w:val="bottom"/>
          </w:tcPr>
          <w:p>
            <w:pPr>
              <w:spacing w:after="0"/>
              <w:rPr>
                <w:sz w:val="20"/>
                <w:szCs w:val="20"/>
                <w:color w:val="auto"/>
              </w:rPr>
            </w:pPr>
            <w:r>
              <w:rPr>
                <w:rFonts w:ascii="Arial" w:cs="Arial" w:eastAsia="Arial" w:hAnsi="Arial"/>
                <w:sz w:val="18"/>
                <w:szCs w:val="18"/>
                <w:color w:val="auto"/>
              </w:rPr>
              <w:t>June 8, 2006</w:t>
            </w:r>
          </w:p>
        </w:tc>
        <w:tc>
          <w:tcPr>
            <w:tcW w:w="2600" w:type="dxa"/>
            <w:vAlign w:val="bottom"/>
            <w:gridSpan w:val="2"/>
          </w:tcPr>
          <w:p>
            <w:pPr>
              <w:ind w:left="1160"/>
              <w:spacing w:after="0"/>
              <w:rPr>
                <w:sz w:val="20"/>
                <w:szCs w:val="20"/>
                <w:color w:val="auto"/>
              </w:rPr>
            </w:pPr>
            <w:r>
              <w:rPr>
                <w:rFonts w:ascii="Arial" w:cs="Arial" w:eastAsia="Arial" w:hAnsi="Arial"/>
                <w:sz w:val="18"/>
                <w:szCs w:val="18"/>
                <w:color w:val="auto"/>
              </w:rPr>
              <w:t>Barcroft Plaza</w:t>
            </w:r>
          </w:p>
        </w:tc>
        <w:tc>
          <w:tcPr>
            <w:tcW w:w="116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88"/>
              </w:rPr>
              <w:t>Falls Church, VA</w:t>
            </w:r>
          </w:p>
        </w:tc>
        <w:tc>
          <w:tcPr>
            <w:tcW w:w="2060" w:type="dxa"/>
            <w:vAlign w:val="bottom"/>
            <w:gridSpan w:val="2"/>
          </w:tcPr>
          <w:p>
            <w:pPr>
              <w:jc w:val="right"/>
              <w:ind w:right="132"/>
              <w:spacing w:after="0"/>
              <w:rPr>
                <w:sz w:val="20"/>
                <w:szCs w:val="20"/>
                <w:color w:val="auto"/>
              </w:rPr>
            </w:pPr>
            <w:r>
              <w:rPr>
                <w:rFonts w:ascii="Arial" w:cs="Arial" w:eastAsia="Arial" w:hAnsi="Arial"/>
                <w:sz w:val="18"/>
                <w:szCs w:val="18"/>
                <w:color w:val="auto"/>
              </w:rPr>
              <w:t>90,000</w:t>
            </w:r>
          </w:p>
        </w:tc>
        <w:tc>
          <w:tcPr>
            <w:tcW w:w="1260" w:type="dxa"/>
            <w:vAlign w:val="bottom"/>
            <w:gridSpan w:val="2"/>
          </w:tcPr>
          <w:p>
            <w:pPr>
              <w:ind w:left="11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property was acquired from the Trust.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DEBT</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On March 10, 2006, we repaid our 6.99% medium term notes with a principal amount of $40.5 million. These notes were repaid with funds borrowed on our revolving credit facility.</w:t>
      </w:r>
    </w:p>
    <w:p>
      <w:pPr>
        <w:spacing w:after="0" w:line="1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June 30, 2006, we had a $550.0 million unsecured credit facility consisting of a $150.0 million five-year term loan, a $100.0 million three-year term loan and a $300.0 million revolving credit facility. During the six and three months ended June 30, 2006, the maximum amount of borrowings outstanding under our revolving credit facility was $194.0 million, and the average amount of borrowings outstanding was $96.6 million and $116.3 million, respectively. Our revolving credit facility had a weighted average interest rate, before amortization of debt fees, of 5.3% and 5.4% for the six and three months ended June 30, 2006, respectively. As of June 30, 2006, the three and five-year term loans bore interest at LIBOR plus 85 basis points and the revolving credit facility bore interest at LIBOR plus 65 basis points.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On July 17, 2006 we issued $120.0 million of fixed rate notes, which mature on July 15, 2012 and bear interest at 6.0%, and $130.0 million of fixed rate notes,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which mature on January 15, 2017 and bear interest at 6.2%. Our net proceeds from these note offerings after issuance discounts and underwriting fees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$247.9 million. These proceeds, along with $2.4 million borrowed on our revolving credit facility, were used to repay all the principal of our $150.0 million five-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 term loan and $100.0 million three-year term loan and $0.3 million of related accrued interest on July 17, 2006.</w:t>
      </w:r>
    </w:p>
    <w:p>
      <w:pPr>
        <w:spacing w:after="0" w:line="16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order to hedge our exposure to interest rate fluctuations on the $150.0 million five-year term loan, we entered into an interest rate swap in January 2006, which fixed the LIBOR portion of the interest rate on this term loan at 2.401% through October 8, 2006. The full notional amount of this swap qualified as a cash flow hedge until we repaid this term loan on July 17, 2006. On July 17, 2006, we did not redesignate this swap and the related $1.3 million included in accumulated other comprehensive income was recognized into earnings.</w:t>
      </w:r>
    </w:p>
    <w:p>
      <w:pPr>
        <w:spacing w:after="0" w:line="143"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On July 28, 2006, we replaced our existing revolving credit facility with a new $300.0 million unsecured revolving credit facility. This new revolving credit facility matures on July 28, 2010, subject to a one-year extension at our option, and initially bears interest at LIBOR plus 42.5 basis points. The spread over LIBOR is subject to adjustment based on our credit rating.</w:t>
      </w:r>
    </w:p>
    <w:p>
      <w:pPr>
        <w:spacing w:after="0" w:line="14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Our credit facility and certain notes require us to comply with various financial covenants, including the maintenance of minimum shareholder’s equity and debt coverage ratios and a maximum ratio of debt to net worth. At June 30, 2006, we were in compliance with all loan covenants.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COMMITMENTS AND CONTINGENCIES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currently a party to various legal proceedings.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16"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We have one matter expected to go to trial in 2006. Based on the facts of this matter and advice from our legal counsel, we believe that we will prevail. If, however, we are unsuccessful in our defense of this matter, there is a possibility that there will be a material adverse impact on our net income.</w:t>
      </w:r>
    </w:p>
    <w:p>
      <w:pPr>
        <w:spacing w:after="0" w:line="8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also have one litigation matter filed against us in May 2003 which alleges that a one page document entitled “Final Proposal,” which included language that it was subject to approval of formal documentation, constituted a ground lease of a parcel of property located adjacent to our Santana Row property and gave the plaintiff the option to require that we acquire the property at a price determined in accordance with a formula included in the “Final Proposal.” The plaintiff is seeking an unspecified amount of monetary damages. A trial as to liability only was held and on June 27, 2006, a jury rendered a verdict against us. We have filed a motion for judgment as a matter of law or, in the alternative, for a new trial. We are also requesting that the court certify the case for immediate appeal in the event the motion for judgment as a matter of law and motion for a new trial are denied. All of these motions are scheduled to be heard in August 2006. If our motions are denied and we are not successful in having the jury verdict reversed by an immediate appeal, the case will proceed to a trial on the issue of damages which will not occur for at least nine months. The complaint did not specify the amount of damages claimed and we cannot make a reasonable estimate of potential damages until experts are retained and additional discovery is completed on the damages issue. If we are not successful in overturning the jury verdict, there likely will be a material adverse impact on our net income in the period in which we would pay the damages awarded.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SHAREHOLDERS’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Six Months Ended June 30,</w:t>
            </w: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00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8000" w:type="dxa"/>
            <w:vAlign w:val="bottom"/>
          </w:tcPr>
          <w:p>
            <w:pPr>
              <w:spacing w:after="0"/>
              <w:rPr>
                <w:sz w:val="12"/>
                <w:szCs w:val="12"/>
                <w:color w:val="auto"/>
              </w:rPr>
            </w:pP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Declared</w:t>
            </w:r>
          </w:p>
        </w:tc>
        <w:tc>
          <w:tcPr>
            <w:tcW w:w="140" w:type="dxa"/>
            <w:vAlign w:val="bottom"/>
          </w:tcPr>
          <w:p>
            <w:pPr>
              <w:spacing w:after="0"/>
              <w:rPr>
                <w:sz w:val="12"/>
                <w:szCs w:val="12"/>
                <w:color w:val="auto"/>
              </w:rPr>
            </w:pPr>
          </w:p>
        </w:tc>
        <w:tc>
          <w:tcPr>
            <w:tcW w:w="50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Paid</w:t>
            </w:r>
          </w:p>
        </w:tc>
        <w:tc>
          <w:tcPr>
            <w:tcW w:w="52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Declared</w:t>
            </w:r>
          </w:p>
        </w:tc>
        <w:tc>
          <w:tcPr>
            <w:tcW w:w="32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Paid</w:t>
            </w:r>
          </w:p>
        </w:tc>
        <w:tc>
          <w:tcPr>
            <w:tcW w:w="20" w:type="dxa"/>
            <w:vAlign w:val="bottom"/>
          </w:tcPr>
          <w:p>
            <w:pPr>
              <w:spacing w:after="0"/>
              <w:rPr>
                <w:sz w:val="12"/>
                <w:szCs w:val="12"/>
                <w:color w:val="auto"/>
              </w:rPr>
            </w:pPr>
          </w:p>
        </w:tc>
      </w:tr>
      <w:tr>
        <w:trPr>
          <w:trHeight w:val="142"/>
        </w:trPr>
        <w:tc>
          <w:tcPr>
            <w:tcW w:w="80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(In</w:t>
            </w:r>
          </w:p>
        </w:tc>
        <w:tc>
          <w:tcPr>
            <w:tcW w:w="520" w:type="dxa"/>
            <w:vAlign w:val="bottom"/>
          </w:tcPr>
          <w:p>
            <w:pPr>
              <w:spacing w:after="0"/>
              <w:rPr>
                <w:sz w:val="20"/>
                <w:szCs w:val="20"/>
                <w:color w:val="auto"/>
              </w:rPr>
            </w:pPr>
            <w:r>
              <w:rPr>
                <w:rFonts w:ascii="Arial" w:cs="Arial" w:eastAsia="Arial" w:hAnsi="Arial"/>
                <w:sz w:val="12"/>
                <w:szCs w:val="12"/>
                <w:b w:val="1"/>
                <w:bCs w:val="1"/>
                <w:color w:val="auto"/>
                <w:w w:val="77"/>
              </w:rPr>
              <w:t>thousands)</w:t>
            </w:r>
          </w:p>
        </w:tc>
        <w:tc>
          <w:tcPr>
            <w:tcW w:w="5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$ 1.310(1)</w:t>
            </w:r>
          </w:p>
        </w:tc>
        <w:tc>
          <w:tcPr>
            <w:tcW w:w="11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$1.310(1)</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83"/>
              </w:rPr>
              <w:t>$ 1.060</w:t>
            </w:r>
          </w:p>
        </w:tc>
        <w:tc>
          <w:tcPr>
            <w:tcW w:w="820" w:type="dxa"/>
            <w:vAlign w:val="bottom"/>
            <w:gridSpan w:val="2"/>
            <w:shd w:val="clear" w:color="auto" w:fill="CCEEFF"/>
          </w:tcPr>
          <w:p>
            <w:pPr>
              <w:jc w:val="center"/>
              <w:ind w:left="239"/>
              <w:spacing w:after="0"/>
              <w:rPr>
                <w:sz w:val="20"/>
                <w:szCs w:val="20"/>
                <w:color w:val="auto"/>
              </w:rPr>
            </w:pPr>
            <w:r>
              <w:rPr>
                <w:rFonts w:ascii="Arial" w:cs="Arial" w:eastAsia="Arial" w:hAnsi="Arial"/>
                <w:sz w:val="18"/>
                <w:szCs w:val="18"/>
                <w:color w:val="auto"/>
                <w:w w:val="90"/>
              </w:rPr>
              <w:t>$1.010</w:t>
            </w:r>
          </w:p>
        </w:tc>
        <w:tc>
          <w:tcPr>
            <w:tcW w:w="20" w:type="dxa"/>
            <w:vAlign w:val="bottom"/>
          </w:tcPr>
          <w:p>
            <w:pPr>
              <w:spacing w:after="0"/>
              <w:rPr>
                <w:sz w:val="18"/>
                <w:szCs w:val="18"/>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8.5% Series B Cumulative Preferred</w:t>
            </w:r>
          </w:p>
        </w:tc>
        <w:tc>
          <w:tcPr>
            <w:tcW w:w="520" w:type="dxa"/>
            <w:vAlign w:val="bottom"/>
          </w:tcPr>
          <w:p>
            <w:pPr>
              <w:spacing w:after="0"/>
              <w:rPr>
                <w:sz w:val="20"/>
                <w:szCs w:val="20"/>
                <w:color w:val="auto"/>
              </w:rPr>
            </w:pPr>
            <w:r>
              <w:rPr>
                <w:rFonts w:ascii="Arial" w:cs="Arial" w:eastAsia="Arial" w:hAnsi="Arial"/>
                <w:sz w:val="18"/>
                <w:szCs w:val="18"/>
                <w:color w:val="auto"/>
                <w:w w:val="83"/>
              </w:rPr>
              <w:t>$ 1.063</w:t>
            </w:r>
          </w:p>
        </w:tc>
        <w:tc>
          <w:tcPr>
            <w:tcW w:w="400" w:type="dxa"/>
            <w:vAlign w:val="bottom"/>
          </w:tcPr>
          <w:p>
            <w:pPr>
              <w:spacing w:after="0"/>
              <w:rPr>
                <w:sz w:val="19"/>
                <w:szCs w:val="19"/>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w w:val="87"/>
              </w:rPr>
              <w:t>$1.063</w:t>
            </w:r>
          </w:p>
        </w:tc>
        <w:tc>
          <w:tcPr>
            <w:tcW w:w="5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83"/>
              </w:rPr>
              <w:t>$ 1.063</w:t>
            </w:r>
          </w:p>
        </w:tc>
        <w:tc>
          <w:tcPr>
            <w:tcW w:w="820" w:type="dxa"/>
            <w:vAlign w:val="bottom"/>
            <w:gridSpan w:val="2"/>
          </w:tcPr>
          <w:p>
            <w:pPr>
              <w:jc w:val="center"/>
              <w:ind w:left="239"/>
              <w:spacing w:after="0"/>
              <w:rPr>
                <w:sz w:val="20"/>
                <w:szCs w:val="20"/>
                <w:color w:val="auto"/>
              </w:rPr>
            </w:pPr>
            <w:r>
              <w:rPr>
                <w:rFonts w:ascii="Arial" w:cs="Arial" w:eastAsia="Arial" w:hAnsi="Arial"/>
                <w:sz w:val="18"/>
                <w:szCs w:val="18"/>
                <w:color w:val="auto"/>
                <w:w w:val="90"/>
              </w:rPr>
              <w:t>$1.063</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5620" w:right="2200" w:hanging="5612"/>
        <w:spacing w:after="0" w:line="440" w:lineRule="auto"/>
        <w:tabs>
          <w:tab w:leader="none" w:pos="448"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regular dividend of $1.11 and special dividend of $0.200 resulting from the sales of condominiums at Santana Row. 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COMPONENTS OF RENTAL INCOME</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principal components of rental income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0" w:type="dxa"/>
            <w:vAlign w:val="bottom"/>
            <w:gridSpan w:val="3"/>
          </w:tcPr>
          <w:p>
            <w:pPr>
              <w:jc w:val="right"/>
              <w:ind w:right="206"/>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50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0" w:type="dxa"/>
            <w:vAlign w:val="bottom"/>
            <w:gridSpan w:val="3"/>
          </w:tcPr>
          <w:p>
            <w:pPr>
              <w:jc w:val="right"/>
              <w:ind w:right="486"/>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50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r>
      <w:tr>
        <w:trPr>
          <w:trHeight w:val="142"/>
        </w:trPr>
        <w:tc>
          <w:tcPr>
            <w:tcW w:w="50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106"/>
              <w:spacing w:after="0" w:line="142" w:lineRule="exact"/>
              <w:rPr>
                <w:sz w:val="20"/>
                <w:szCs w:val="20"/>
                <w:color w:val="auto"/>
              </w:rPr>
            </w:pPr>
            <w:r>
              <w:rPr>
                <w:rFonts w:ascii="Arial" w:cs="Arial" w:eastAsia="Arial" w:hAnsi="Arial"/>
                <w:sz w:val="14"/>
                <w:szCs w:val="14"/>
                <w:b w:val="1"/>
                <w:bCs w:val="1"/>
                <w:color w:val="auto"/>
              </w:rPr>
              <w:t>(In</w:t>
            </w:r>
          </w:p>
        </w:tc>
        <w:tc>
          <w:tcPr>
            <w:tcW w:w="900" w:type="dxa"/>
            <w:vAlign w:val="bottom"/>
            <w:gridSpan w:val="3"/>
          </w:tcPr>
          <w:p>
            <w:pPr>
              <w:jc w:val="center"/>
              <w:ind w:right="339"/>
              <w:spacing w:after="0"/>
              <w:rPr>
                <w:sz w:val="20"/>
                <w:szCs w:val="20"/>
                <w:color w:val="auto"/>
              </w:rPr>
            </w:pPr>
            <w:r>
              <w:rPr>
                <w:rFonts w:ascii="Arial" w:cs="Arial" w:eastAsia="Arial" w:hAnsi="Arial"/>
                <w:sz w:val="12"/>
                <w:szCs w:val="12"/>
                <w:b w:val="1"/>
                <w:bCs w:val="1"/>
                <w:color w:val="auto"/>
                <w:w w:val="74"/>
              </w:rPr>
              <w:t>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Minimum rents</w:t>
            </w:r>
          </w:p>
        </w:tc>
        <w:tc>
          <w:tcPr>
            <w:tcW w:w="3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Retail and commercial</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$ 159,273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$ 146,609</w:t>
            </w:r>
          </w:p>
        </w:tc>
        <w:tc>
          <w:tcPr>
            <w:tcW w:w="320" w:type="dxa"/>
            <w:vAlign w:val="bottom"/>
            <w:gridSpan w:val="2"/>
          </w:tcPr>
          <w:p>
            <w:pPr>
              <w:jc w:val="center"/>
              <w:ind w:left="101"/>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80,285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$ 73,562</w:t>
            </w:r>
          </w:p>
        </w:tc>
        <w:tc>
          <w:tcPr>
            <w:tcW w:w="20" w:type="dxa"/>
            <w:vAlign w:val="bottom"/>
          </w:tcPr>
          <w:p>
            <w:pPr>
              <w:spacing w:after="0"/>
              <w:rPr>
                <w:sz w:val="18"/>
                <w:szCs w:val="18"/>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2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Cost reimbursement</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39,712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37,718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19,402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17,915</w:t>
            </w:r>
          </w:p>
        </w:tc>
        <w:tc>
          <w:tcPr>
            <w:tcW w:w="2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0" w:type="dxa"/>
            <w:vAlign w:val="bottom"/>
          </w:tcPr>
          <w:p>
            <w:pPr>
              <w:spacing w:after="0"/>
              <w:rPr>
                <w:sz w:val="18"/>
                <w:szCs w:val="18"/>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Other</w:t>
            </w:r>
          </w:p>
        </w:tc>
        <w:tc>
          <w:tcPr>
            <w:tcW w:w="30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20" w:type="dxa"/>
            <w:vAlign w:val="bottom"/>
          </w:tcPr>
          <w:p>
            <w:pPr>
              <w:spacing w:after="0"/>
              <w:rPr>
                <w:sz w:val="19"/>
                <w:szCs w:val="19"/>
                <w:color w:val="auto"/>
              </w:rPr>
            </w:pPr>
          </w:p>
        </w:tc>
      </w:tr>
      <w:tr>
        <w:trPr>
          <w:trHeight w:val="216"/>
        </w:trPr>
        <w:tc>
          <w:tcPr>
            <w:tcW w:w="506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$ 210,498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$ 193,545</w:t>
            </w:r>
          </w:p>
        </w:tc>
        <w:tc>
          <w:tcPr>
            <w:tcW w:w="320" w:type="dxa"/>
            <w:vAlign w:val="bottom"/>
            <w:gridSpan w:val="2"/>
            <w:shd w:val="clear" w:color="auto" w:fill="CCEEFF"/>
          </w:tcPr>
          <w:p>
            <w:pPr>
              <w:jc w:val="center"/>
              <w:ind w:left="101"/>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105,533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$ 95,762</w:t>
            </w:r>
          </w:p>
        </w:tc>
        <w:tc>
          <w:tcPr>
            <w:tcW w:w="2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Minimum rents include $3.1 million and $3.2 million for the six months ended June 30, 2006 and 2005, respectively, and $1.7 million and $1.4 million for the three months ended June 30, 2006 and 2005, respectively, to recognize minimum rents on a straight-line basis. In addition, minimum rents include $1.0 million and $0.8 million for the six months ended June 30, 2006 and 2005, respectively, and $0.5 million and $0.4 million for the three months ended June 30, 2006 and 2005, respectively, to recognize income from the amortization of in-place leases in accordance with SFAS No. 141. Residential minimum rents consist of the entire rental amounts at Rollingwood Apartments, the Crest at Congressional Plaza Apartments and residential units at Santana Row not sold or held for sale at June 30, 2006.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SHARE-BASED COMPENSATION PLANS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June 30, 2006, we have grants outstanding under two share-based compensation plans. Our 1993 Long Term Incentive Plan (‘the 1993 Plan”) authorized the grant of share options, common shares and other share-based awards for up to 5.5 million shares of common stock. The 1993 Plan expired in May 2003. In May 2001, our shareholders approved our 2001 Long Term Incentive Plan (“the 2001 Plan”) which authorized the grant of an additional 1,750,000 shares for share options, common shares and other share-based awards.</w:t>
      </w:r>
    </w:p>
    <w:p>
      <w:pPr>
        <w:spacing w:after="0" w:line="143"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Option awards under the 2001 Plan and the 1993 Plan are required to have an exercise price at least equal to the closing trading price of our common shares on the date of grant. Options and share awards under these plans generally vest over 3 to 5 years and option awards typically have a 10-year contractual term. We pay dividends on unvested shares. Certain options and share awards provide for accelerated vesting if there is a change in control. Additionally, the vesting on certain option and share awards can accelerate in part or in full upon retirement based on the age of the retiree.</w:t>
      </w:r>
    </w:p>
    <w:p>
      <w:pPr>
        <w:spacing w:after="0" w:line="113"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fair value of each option award is estimated on the date of grant using the Black-Scholes model. Expected volatilities, term, dividend yields, employee exercises and employee terminations are primarily based on historical data. The risk-free interest rate is based on the U.S. Treasury yield curve in effect at the time of grant. The fair value of each share award is determined based on the closing trading price of our common shares on the grant date.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weighted-average assumption used to value options: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2"/>
              </w:rPr>
              <w:t>Six Months Ended</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34"/>
              <w:spacing w:after="0"/>
              <w:rPr>
                <w:sz w:val="20"/>
                <w:szCs w:val="20"/>
                <w:color w:val="auto"/>
              </w:rPr>
            </w:pPr>
            <w:r>
              <w:rPr>
                <w:rFonts w:ascii="Arial" w:cs="Arial" w:eastAsia="Arial" w:hAnsi="Arial"/>
                <w:sz w:val="14"/>
                <w:szCs w:val="14"/>
                <w:b w:val="1"/>
                <w:bCs w:val="1"/>
                <w:color w:val="auto"/>
                <w:w w:val="85"/>
              </w:rPr>
              <w:t>June 30, 2006</w:t>
            </w:r>
          </w:p>
        </w:tc>
        <w:tc>
          <w:tcPr>
            <w:tcW w:w="16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7120" w:type="dxa"/>
            <w:vAlign w:val="bottom"/>
            <w:gridSpan w:val="3"/>
          </w:tcPr>
          <w:p>
            <w:pPr>
              <w:spacing w:after="0"/>
              <w:rPr>
                <w:sz w:val="20"/>
                <w:szCs w:val="20"/>
                <w:color w:val="auto"/>
              </w:rPr>
            </w:pPr>
            <w:r>
              <w:rPr>
                <w:rFonts w:ascii="Arial" w:cs="Arial" w:eastAsia="Arial" w:hAnsi="Arial"/>
                <w:sz w:val="18"/>
                <w:szCs w:val="18"/>
                <w:color w:val="auto"/>
                <w:w w:val="91"/>
              </w:rPr>
              <w:t>The following table provides a summary of option activity for the six months ended June 30, 2006:</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2"/>
                <w:szCs w:val="12"/>
                <w:color w:val="auto"/>
              </w:rPr>
            </w:pPr>
          </w:p>
        </w:tc>
        <w:tc>
          <w:tcPr>
            <w:tcW w:w="7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Average</w:t>
            </w:r>
          </w:p>
        </w:tc>
        <w:tc>
          <w:tcPr>
            <w:tcW w:w="3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Remaining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Under</w:t>
            </w:r>
          </w:p>
        </w:tc>
        <w:tc>
          <w:tcPr>
            <w:tcW w:w="400" w:type="dxa"/>
            <w:vAlign w:val="bottom"/>
          </w:tcPr>
          <w:p>
            <w:pPr>
              <w:spacing w:after="0"/>
              <w:rPr>
                <w:sz w:val="12"/>
                <w:szCs w:val="12"/>
                <w:color w:val="auto"/>
              </w:rPr>
            </w:pPr>
          </w:p>
        </w:tc>
        <w:tc>
          <w:tcPr>
            <w:tcW w:w="7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Exercise</w:t>
            </w:r>
          </w:p>
        </w:tc>
        <w:tc>
          <w:tcPr>
            <w:tcW w:w="3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Price</w:t>
            </w:r>
          </w:p>
        </w:tc>
        <w:tc>
          <w:tcPr>
            <w:tcW w:w="3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Term</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9"/>
              </w:rPr>
              <w:t>(In years)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w w:val="87"/>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958,455</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320,814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67.73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(57,931)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(128,670)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34.08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June 30, 2006</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1,092,668</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3"/>
            <w:vMerge w:val="restart"/>
          </w:tcPr>
          <w:p>
            <w:pPr>
              <w:spacing w:after="0"/>
              <w:rPr>
                <w:sz w:val="20"/>
                <w:szCs w:val="20"/>
                <w:color w:val="auto"/>
              </w:rPr>
            </w:pPr>
            <w:r>
              <w:rPr>
                <w:rFonts w:ascii="Arial" w:cs="Arial" w:eastAsia="Arial" w:hAnsi="Arial"/>
                <w:sz w:val="18"/>
                <w:szCs w:val="18"/>
                <w:color w:val="auto"/>
              </w:rPr>
              <w:t>Exercisable at June 30, 2006</w:t>
            </w: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gridSpan w:val="3"/>
            <w:vMerge w:val="continue"/>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547,527</w:t>
            </w:r>
          </w:p>
        </w:tc>
        <w:tc>
          <w:tcPr>
            <w:tcW w:w="60" w:type="dxa"/>
            <w:vAlign w:val="bottom"/>
          </w:tcPr>
          <w:p>
            <w:pPr>
              <w:spacing w:after="0"/>
              <w:rPr>
                <w:sz w:val="18"/>
                <w:szCs w:val="18"/>
                <w:color w:val="auto"/>
              </w:rPr>
            </w:pP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25,032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weighted-average grant-date fair value of options granted during the six months ended June 30, 2006 was $7.86. The total intrinsic value of options exercised during the six months ended June 30, 2006 was $2.2 million. The total cash received from options exercised during the six months ended June 30, 2006 was $1.9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share activity for the six months ended June 30, 2006:</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7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7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Grant-Date</w:t>
            </w:r>
          </w:p>
        </w:tc>
      </w:tr>
      <w:tr>
        <w:trPr>
          <w:trHeight w:val="175"/>
        </w:trPr>
        <w:tc>
          <w:tcPr>
            <w:tcW w:w="7800" w:type="dxa"/>
            <w:vAlign w:val="bottom"/>
          </w:tcPr>
          <w:p>
            <w:pPr>
              <w:spacing w:after="0"/>
              <w:rPr>
                <w:sz w:val="15"/>
                <w:szCs w:val="15"/>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8"/>
              </w:rPr>
              <w:t>Shares</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2005</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227,407</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rPr>
              <w:t>80,234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67.73</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(92,539)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59.61</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Unvested at June 30, 2006</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214,711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w:t>
            </w:r>
          </w:p>
        </w:tc>
      </w:tr>
      <w:tr>
        <w:trPr>
          <w:trHeight w:val="20"/>
        </w:trPr>
        <w:tc>
          <w:tcPr>
            <w:tcW w:w="7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total vesting-date fair value of shares vested during the six months ended June 30, 2006 was $6.2 million.</w:t>
      </w:r>
    </w:p>
    <w:p>
      <w:pPr>
        <w:spacing w:after="0" w:line="171"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As of June 30, 2006, there was $11.5 million of total unrecognized compensation cost related to unvested share-based compensation arrangements (i.e. options and unvested shares) granted under our plans. This cost is expected to be recognized over the next 4.6 years with a weighted-average period of 1.2 years.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SEGMENT INFORMATION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operate our portfolio of properties in two geographic operating regions: East and West, which constitute our segments under Statement of Financial Accounting Standard No. 131, “Disclosures about Segments of an Enterprise and Related Information.”</w:t>
      </w:r>
    </w:p>
    <w:p>
      <w:pPr>
        <w:spacing w:after="0" w:line="1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620"/>
          </w:cols>
          <w:pgMar w:left="240" w:top="45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our operations by geographic region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88"/>
              </w:rPr>
              <w:t>Six Months Ended June 30, 2006</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East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313"/>
              <w:spacing w:after="0"/>
              <w:rPr>
                <w:sz w:val="20"/>
                <w:szCs w:val="20"/>
                <w:color w:val="auto"/>
              </w:rPr>
            </w:pPr>
            <w:r>
              <w:rPr>
                <w:rFonts w:ascii="Arial" w:cs="Arial" w:eastAsia="Arial" w:hAnsi="Arial"/>
                <w:sz w:val="12"/>
                <w:szCs w:val="12"/>
                <w:b w:val="1"/>
                <w:bCs w:val="1"/>
                <w:color w:val="auto"/>
                <w:w w:val="80"/>
              </w:rPr>
              <w:t>thousands)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162,669</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w w:val="98"/>
              </w:rPr>
              <w:t>47,829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18"/>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Rental expenses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(29,412)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58"/>
              <w:spacing w:after="0"/>
              <w:rPr>
                <w:sz w:val="20"/>
                <w:szCs w:val="20"/>
                <w:color w:val="auto"/>
              </w:rPr>
            </w:pPr>
            <w:r>
              <w:rPr>
                <w:rFonts w:ascii="Arial" w:cs="Arial" w:eastAsia="Arial" w:hAnsi="Arial"/>
                <w:sz w:val="18"/>
                <w:szCs w:val="18"/>
                <w:color w:val="auto"/>
                <w:w w:val="89"/>
              </w:rPr>
              <w:t>(12,917)</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(42,329)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(4,219)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(21,076)</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40"/>
              <w:spacing w:after="0"/>
              <w:rPr>
                <w:sz w:val="20"/>
                <w:szCs w:val="20"/>
                <w:color w:val="auto"/>
              </w:rPr>
            </w:pPr>
            <w:r>
              <w:rPr>
                <w:rFonts w:ascii="Arial" w:cs="Arial" w:eastAsia="Arial" w:hAnsi="Arial"/>
                <w:sz w:val="18"/>
                <w:szCs w:val="18"/>
                <w:color w:val="auto"/>
              </w:rPr>
              <w:t>Property operating income</w:t>
            </w: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120,160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18"/>
              <w:spacing w:after="0"/>
              <w:rPr>
                <w:sz w:val="20"/>
                <w:szCs w:val="20"/>
                <w:color w:val="auto"/>
              </w:rPr>
            </w:pPr>
            <w:r>
              <w:rPr>
                <w:rFonts w:ascii="Arial" w:cs="Arial" w:eastAsia="Arial" w:hAnsi="Arial"/>
                <w:sz w:val="18"/>
                <w:szCs w:val="18"/>
                <w:color w:val="auto"/>
                <w:w w:val="98"/>
              </w:rPr>
              <w:t>33,560</w:t>
            </w:r>
          </w:p>
        </w:tc>
        <w:tc>
          <w:tcPr>
            <w:tcW w:w="10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153,720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(9,483)</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(32,753)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58"/>
              <w:spacing w:after="0"/>
              <w:rPr>
                <w:sz w:val="20"/>
                <w:szCs w:val="20"/>
                <w:color w:val="auto"/>
              </w:rPr>
            </w:pPr>
            <w:r>
              <w:rPr>
                <w:rFonts w:ascii="Arial" w:cs="Arial" w:eastAsia="Arial" w:hAnsi="Arial"/>
                <w:sz w:val="18"/>
                <w:szCs w:val="18"/>
                <w:color w:val="auto"/>
                <w:w w:val="89"/>
              </w:rPr>
              <w:t>(14,335)</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(48,078)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(49,034)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(49,034)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rPr>
              <w:t>Income from continuing operations and minority interests</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87,938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18"/>
              <w:spacing w:after="0"/>
              <w:rPr>
                <w:sz w:val="20"/>
                <w:szCs w:val="20"/>
                <w:color w:val="auto"/>
              </w:rPr>
            </w:pPr>
            <w:r>
              <w:rPr>
                <w:rFonts w:ascii="Arial" w:cs="Arial" w:eastAsia="Arial" w:hAnsi="Arial"/>
                <w:sz w:val="18"/>
                <w:szCs w:val="18"/>
                <w:color w:val="auto"/>
                <w:w w:val="98"/>
              </w:rPr>
              <w:t>19,287</w:t>
            </w: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(59,169)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(Loss) income from discontinued operations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23,771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87,938</w:t>
            </w: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18"/>
              <w:spacing w:after="0"/>
              <w:rPr>
                <w:sz w:val="20"/>
                <w:szCs w:val="20"/>
                <w:color w:val="auto"/>
              </w:rPr>
            </w:pPr>
            <w:r>
              <w:rPr>
                <w:rFonts w:ascii="Arial" w:cs="Arial" w:eastAsia="Arial" w:hAnsi="Arial"/>
                <w:sz w:val="18"/>
                <w:szCs w:val="18"/>
                <w:color w:val="auto"/>
                <w:w w:val="98"/>
              </w:rPr>
              <w:t>19,287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(37,938)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69,287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end of period</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1,393,298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877,499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77,672</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2,348,469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88"/>
              </w:rPr>
              <w:t>Six Months Ended June 30, 2005</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East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313"/>
              <w:spacing w:after="0"/>
              <w:rPr>
                <w:sz w:val="20"/>
                <w:szCs w:val="20"/>
                <w:color w:val="auto"/>
              </w:rPr>
            </w:pPr>
            <w:r>
              <w:rPr>
                <w:rFonts w:ascii="Arial" w:cs="Arial" w:eastAsia="Arial" w:hAnsi="Arial"/>
                <w:sz w:val="12"/>
                <w:szCs w:val="12"/>
                <w:b w:val="1"/>
                <w:bCs w:val="1"/>
                <w:color w:val="auto"/>
                <w:w w:val="80"/>
              </w:rPr>
              <w:t>thousands)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152,944</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w w:val="98"/>
              </w:rPr>
              <w:t>40,601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18"/>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Rental expenses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(29,416)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58"/>
              <w:spacing w:after="0"/>
              <w:rPr>
                <w:sz w:val="20"/>
                <w:szCs w:val="20"/>
                <w:color w:val="auto"/>
              </w:rPr>
            </w:pPr>
            <w:r>
              <w:rPr>
                <w:rFonts w:ascii="Arial" w:cs="Arial" w:eastAsia="Arial" w:hAnsi="Arial"/>
                <w:sz w:val="18"/>
                <w:szCs w:val="18"/>
                <w:color w:val="auto"/>
                <w:w w:val="89"/>
              </w:rPr>
              <w:t>(13,030)</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(42,446)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(2,358)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(18,273)</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40"/>
              <w:spacing w:after="0"/>
              <w:rPr>
                <w:sz w:val="20"/>
                <w:szCs w:val="20"/>
                <w:color w:val="auto"/>
              </w:rPr>
            </w:pPr>
            <w:r>
              <w:rPr>
                <w:rFonts w:ascii="Arial" w:cs="Arial" w:eastAsia="Arial" w:hAnsi="Arial"/>
                <w:sz w:val="18"/>
                <w:szCs w:val="18"/>
                <w:color w:val="auto"/>
              </w:rPr>
              <w:t>Property operating income</w:t>
            </w: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110,795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18"/>
              <w:spacing w:after="0"/>
              <w:rPr>
                <w:sz w:val="20"/>
                <w:szCs w:val="20"/>
                <w:color w:val="auto"/>
              </w:rPr>
            </w:pPr>
            <w:r>
              <w:rPr>
                <w:rFonts w:ascii="Arial" w:cs="Arial" w:eastAsia="Arial" w:hAnsi="Arial"/>
                <w:sz w:val="18"/>
                <w:szCs w:val="18"/>
                <w:color w:val="auto"/>
                <w:w w:val="98"/>
              </w:rPr>
              <w:t>28,731</w:t>
            </w:r>
          </w:p>
        </w:tc>
        <w:tc>
          <w:tcPr>
            <w:tcW w:w="10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139,526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(30,845)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58"/>
              <w:spacing w:after="0"/>
              <w:rPr>
                <w:sz w:val="20"/>
                <w:szCs w:val="20"/>
                <w:color w:val="auto"/>
              </w:rPr>
            </w:pPr>
            <w:r>
              <w:rPr>
                <w:rFonts w:ascii="Arial" w:cs="Arial" w:eastAsia="Arial" w:hAnsi="Arial"/>
                <w:sz w:val="18"/>
                <w:szCs w:val="18"/>
                <w:color w:val="auto"/>
                <w:w w:val="89"/>
              </w:rPr>
              <w:t>(11,844)</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(1,349)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(44,038)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(43,890)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(43,890)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w w:val="99"/>
              </w:rPr>
              <w:t>Income from continuing operations before minority interests</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81,608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18"/>
              <w:spacing w:after="0"/>
              <w:rPr>
                <w:sz w:val="20"/>
                <w:szCs w:val="20"/>
                <w:color w:val="auto"/>
              </w:rPr>
            </w:pPr>
            <w:r>
              <w:rPr>
                <w:rFonts w:ascii="Arial" w:cs="Arial" w:eastAsia="Arial" w:hAnsi="Arial"/>
                <w:sz w:val="18"/>
                <w:szCs w:val="18"/>
                <w:color w:val="auto"/>
                <w:w w:val="98"/>
              </w:rPr>
              <w:t>16,922</w:t>
            </w: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(54,499)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44,031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(Loss) income from discontinued operations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81,608</w:t>
            </w: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18"/>
              <w:spacing w:after="0"/>
              <w:rPr>
                <w:sz w:val="20"/>
                <w:szCs w:val="20"/>
                <w:color w:val="auto"/>
              </w:rPr>
            </w:pPr>
            <w:r>
              <w:rPr>
                <w:rFonts w:ascii="Arial" w:cs="Arial" w:eastAsia="Arial" w:hAnsi="Arial"/>
                <w:sz w:val="18"/>
                <w:szCs w:val="18"/>
                <w:color w:val="auto"/>
                <w:w w:val="98"/>
              </w:rPr>
              <w:t>16,922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(49,726)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48,804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end of period</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1,328,329</w:t>
            </w:r>
          </w:p>
        </w:tc>
        <w:tc>
          <w:tcPr>
            <w:tcW w:w="1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1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900,704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67,989</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2,297,022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20" w:type="dxa"/>
            <w:vAlign w:val="bottom"/>
            <w:vMerge w:val="restart"/>
          </w:tcPr>
          <w:p>
            <w:pPr>
              <w:jc w:val="right"/>
              <w:ind w:right="1692"/>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w w:val="87"/>
              </w:rPr>
              <w:t>Three Months Ended June 30, 2006</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East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5"/>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313"/>
              <w:spacing w:after="0"/>
              <w:rPr>
                <w:sz w:val="20"/>
                <w:szCs w:val="20"/>
                <w:color w:val="auto"/>
              </w:rPr>
            </w:pPr>
            <w:r>
              <w:rPr>
                <w:rFonts w:ascii="Arial" w:cs="Arial" w:eastAsia="Arial" w:hAnsi="Arial"/>
                <w:sz w:val="12"/>
                <w:szCs w:val="12"/>
                <w:b w:val="1"/>
                <w:bCs w:val="1"/>
                <w:color w:val="auto"/>
                <w:w w:val="80"/>
              </w:rPr>
              <w:t>thousands)</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81,785</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w w:val="94"/>
              </w:rPr>
              <w:t>23,748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18"/>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Rental expenses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(13,980)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58"/>
              <w:spacing w:after="0"/>
              <w:rPr>
                <w:sz w:val="20"/>
                <w:szCs w:val="20"/>
                <w:color w:val="auto"/>
              </w:rPr>
            </w:pPr>
            <w:r>
              <w:rPr>
                <w:rFonts w:ascii="Arial" w:cs="Arial" w:eastAsia="Arial" w:hAnsi="Arial"/>
                <w:sz w:val="18"/>
                <w:szCs w:val="18"/>
                <w:color w:val="auto"/>
              </w:rPr>
              <w:t>(6,285)</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(20,265)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(10,525)</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440"/>
              <w:spacing w:after="0"/>
              <w:rPr>
                <w:sz w:val="20"/>
                <w:szCs w:val="20"/>
                <w:color w:val="auto"/>
              </w:rPr>
            </w:pPr>
            <w:r>
              <w:rPr>
                <w:rFonts w:ascii="Arial" w:cs="Arial" w:eastAsia="Arial" w:hAnsi="Arial"/>
                <w:sz w:val="18"/>
                <w:szCs w:val="18"/>
                <w:color w:val="auto"/>
              </w:rPr>
              <w:t>Property operating income</w:t>
            </w: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60" w:type="dxa"/>
            <w:vAlign w:val="bottom"/>
            <w:vMerge w:val="continue"/>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61,188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18"/>
              <w:spacing w:after="0"/>
              <w:rPr>
                <w:sz w:val="20"/>
                <w:szCs w:val="20"/>
                <w:color w:val="auto"/>
              </w:rPr>
            </w:pPr>
            <w:r>
              <w:rPr>
                <w:rFonts w:ascii="Arial" w:cs="Arial" w:eastAsia="Arial" w:hAnsi="Arial"/>
                <w:sz w:val="18"/>
                <w:szCs w:val="18"/>
                <w:color w:val="auto"/>
                <w:w w:val="94"/>
              </w:rPr>
              <w:t>16,766</w:t>
            </w:r>
          </w:p>
        </w:tc>
        <w:tc>
          <w:tcPr>
            <w:tcW w:w="10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77,954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(16,430)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58"/>
              <w:spacing w:after="0"/>
              <w:rPr>
                <w:sz w:val="20"/>
                <w:szCs w:val="20"/>
                <w:color w:val="auto"/>
              </w:rPr>
            </w:pPr>
            <w:r>
              <w:rPr>
                <w:rFonts w:ascii="Arial" w:cs="Arial" w:eastAsia="Arial" w:hAnsi="Arial"/>
                <w:sz w:val="18"/>
                <w:szCs w:val="18"/>
                <w:color w:val="auto"/>
              </w:rPr>
              <w:t>(7,107)</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(24,172)</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Interest expense</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(24,754)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(24,754)</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60" w:type="dxa"/>
            <w:vAlign w:val="bottom"/>
          </w:tcPr>
          <w:p>
            <w:pPr>
              <w:ind w:left="440"/>
              <w:spacing w:after="0"/>
              <w:rPr>
                <w:sz w:val="20"/>
                <w:szCs w:val="20"/>
                <w:color w:val="auto"/>
              </w:rPr>
            </w:pPr>
            <w:r>
              <w:rPr>
                <w:rFonts w:ascii="Arial" w:cs="Arial" w:eastAsia="Arial" w:hAnsi="Arial"/>
                <w:sz w:val="18"/>
                <w:szCs w:val="18"/>
                <w:color w:val="auto"/>
              </w:rPr>
              <w:t>Income from continuing operations and minority interests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45,052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18"/>
              <w:spacing w:after="0"/>
              <w:rPr>
                <w:sz w:val="20"/>
                <w:szCs w:val="20"/>
                <w:color w:val="auto"/>
              </w:rPr>
            </w:pPr>
            <w:r>
              <w:rPr>
                <w:rFonts w:ascii="Arial" w:cs="Arial" w:eastAsia="Arial" w:hAnsi="Arial"/>
                <w:sz w:val="18"/>
                <w:szCs w:val="18"/>
                <w:color w:val="auto"/>
              </w:rPr>
              <w:t>9,696</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(30,180)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(Loss) income from discontinued operations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2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15,034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45,052</w:t>
            </w:r>
          </w:p>
        </w:tc>
        <w:tc>
          <w:tcPr>
            <w:tcW w:w="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18"/>
              <w:spacing w:after="0"/>
              <w:rPr>
                <w:sz w:val="20"/>
                <w:szCs w:val="20"/>
                <w:color w:val="auto"/>
              </w:rPr>
            </w:pPr>
            <w:r>
              <w:rPr>
                <w:rFonts w:ascii="Arial" w:cs="Arial" w:eastAsia="Arial" w:hAnsi="Arial"/>
                <w:sz w:val="18"/>
                <w:szCs w:val="18"/>
                <w:color w:val="auto"/>
              </w:rPr>
              <w:t>9,696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(16,492)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38,256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end of period</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1,393,298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877,499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77,672</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2,348,469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w w:val="87"/>
              </w:rPr>
              <w:t>Three Months Ended June 30, 2005</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East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5"/>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313"/>
              <w:spacing w:after="0"/>
              <w:rPr>
                <w:sz w:val="20"/>
                <w:szCs w:val="20"/>
                <w:color w:val="auto"/>
              </w:rPr>
            </w:pPr>
            <w:r>
              <w:rPr>
                <w:rFonts w:ascii="Arial" w:cs="Arial" w:eastAsia="Arial" w:hAnsi="Arial"/>
                <w:sz w:val="12"/>
                <w:szCs w:val="12"/>
                <w:b w:val="1"/>
                <w:bCs w:val="1"/>
                <w:color w:val="auto"/>
                <w:w w:val="80"/>
              </w:rPr>
              <w:t>thousands)</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75,561</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w w:val="94"/>
              </w:rPr>
              <w:t>20,201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18"/>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Rental expenses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(12,935)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58"/>
              <w:spacing w:after="0"/>
              <w:rPr>
                <w:sz w:val="20"/>
                <w:szCs w:val="20"/>
                <w:color w:val="auto"/>
              </w:rPr>
            </w:pPr>
            <w:r>
              <w:rPr>
                <w:rFonts w:ascii="Arial" w:cs="Arial" w:eastAsia="Arial" w:hAnsi="Arial"/>
                <w:sz w:val="18"/>
                <w:szCs w:val="18"/>
                <w:color w:val="auto"/>
              </w:rPr>
              <w:t>(6,466)</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(19,401)</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440"/>
              <w:spacing w:after="0"/>
              <w:rPr>
                <w:sz w:val="20"/>
                <w:szCs w:val="20"/>
                <w:color w:val="auto"/>
              </w:rPr>
            </w:pPr>
            <w:r>
              <w:rPr>
                <w:rFonts w:ascii="Arial" w:cs="Arial" w:eastAsia="Arial" w:hAnsi="Arial"/>
                <w:sz w:val="18"/>
                <w:szCs w:val="18"/>
                <w:color w:val="auto"/>
              </w:rPr>
              <w:t>Property operating income</w:t>
            </w: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60" w:type="dxa"/>
            <w:vAlign w:val="bottom"/>
            <w:vMerge w:val="continue"/>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56,260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18"/>
              <w:spacing w:after="0"/>
              <w:rPr>
                <w:sz w:val="20"/>
                <w:szCs w:val="20"/>
                <w:color w:val="auto"/>
              </w:rPr>
            </w:pPr>
            <w:r>
              <w:rPr>
                <w:rFonts w:ascii="Arial" w:cs="Arial" w:eastAsia="Arial" w:hAnsi="Arial"/>
                <w:sz w:val="18"/>
                <w:szCs w:val="18"/>
                <w:color w:val="auto"/>
                <w:w w:val="94"/>
              </w:rPr>
              <w:t>14,887</w:t>
            </w:r>
          </w:p>
        </w:tc>
        <w:tc>
          <w:tcPr>
            <w:tcW w:w="10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71,147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(4,982)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(15,369)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58"/>
              <w:spacing w:after="0"/>
              <w:rPr>
                <w:sz w:val="20"/>
                <w:szCs w:val="20"/>
                <w:color w:val="auto"/>
              </w:rPr>
            </w:pPr>
            <w:r>
              <w:rPr>
                <w:rFonts w:ascii="Arial" w:cs="Arial" w:eastAsia="Arial" w:hAnsi="Arial"/>
                <w:sz w:val="18"/>
                <w:szCs w:val="18"/>
                <w:color w:val="auto"/>
              </w:rPr>
              <w:t>(6,133)</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(740)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(22,242)</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Interest expense</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(21,827)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(21,827)</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60" w:type="dxa"/>
            <w:vAlign w:val="bottom"/>
          </w:tcPr>
          <w:p>
            <w:pPr>
              <w:ind w:left="440"/>
              <w:spacing w:after="0"/>
              <w:rPr>
                <w:sz w:val="20"/>
                <w:szCs w:val="20"/>
                <w:color w:val="auto"/>
              </w:rPr>
            </w:pPr>
            <w:r>
              <w:rPr>
                <w:rFonts w:ascii="Arial" w:cs="Arial" w:eastAsia="Arial" w:hAnsi="Arial"/>
                <w:sz w:val="18"/>
                <w:szCs w:val="18"/>
                <w:color w:val="auto"/>
              </w:rPr>
              <w:t>Income from continuing operations and minority interests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42,178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18"/>
              <w:spacing w:after="0"/>
              <w:rPr>
                <w:sz w:val="20"/>
                <w:szCs w:val="20"/>
                <w:color w:val="auto"/>
              </w:rPr>
            </w:pPr>
            <w:r>
              <w:rPr>
                <w:rFonts w:ascii="Arial" w:cs="Arial" w:eastAsia="Arial" w:hAnsi="Arial"/>
                <w:sz w:val="18"/>
                <w:szCs w:val="18"/>
                <w:color w:val="auto"/>
              </w:rPr>
              <w:t>8,768</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(27,396)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(Loss) income from discontinued operations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(1,066)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2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42,178</w:t>
            </w:r>
          </w:p>
        </w:tc>
        <w:tc>
          <w:tcPr>
            <w:tcW w:w="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18"/>
              <w:spacing w:after="0"/>
              <w:rPr>
                <w:sz w:val="20"/>
                <w:szCs w:val="20"/>
                <w:color w:val="auto"/>
              </w:rPr>
            </w:pPr>
            <w:r>
              <w:rPr>
                <w:rFonts w:ascii="Arial" w:cs="Arial" w:eastAsia="Arial" w:hAnsi="Arial"/>
                <w:sz w:val="18"/>
                <w:szCs w:val="18"/>
                <w:color w:val="auto"/>
              </w:rPr>
              <w:t>8,768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(26,139)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24,807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end of period</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1,328,329</w:t>
            </w:r>
          </w:p>
        </w:tc>
        <w:tc>
          <w:tcPr>
            <w:tcW w:w="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1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900,704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67,989</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2,297,022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520" w:type="dxa"/>
            <w:vAlign w:val="bottom"/>
            <w:vMerge w:val="restart"/>
          </w:tcPr>
          <w:p>
            <w:pPr>
              <w:jc w:val="right"/>
              <w:ind w:right="1692"/>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06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4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2005 filed with the Securities and Exchange Commission on March 3, 2006 and amended on March 10, 2006.</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1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2005, as amended, before making any investments in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are an equity real estate investment trust (“REIT”) specializing in the ownership, management, development and redevelopment of high quality retail and mixed-use properties. As of June 30, 2006, we owned or had a majority interest in 104 community and neighborhood shopping centers and mixed-use properties comprising approximately 17.7 million square feet, located primarily in densely populated and affluent communities throughout the Northeast and Mid-Atlantic United States, as well as in California, and one apartment complex in Maryland. In total, the 104 commercial properties were 96.7% leased at June 30, 2006. A joint venture in which we own a 30% interest owned six neighborhood shopping centers totaling approximately 0.7 million square feet as of June 30, 2006. In total, the joint venture properties in which we own an interest were 98.5% leased at June 30, 2006. We have paid quarterly dividends to our shareholders continuously since our founding in 1962 and have increased our dividends per common share for 38 consecutive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Property Acquisitions and Dispositions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significant acquisitions made by us and our consolidated affiliates during the six months ended June 30, 2006: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2"/>
              </w:rPr>
              <w:t>Purchase</w:t>
            </w:r>
          </w:p>
        </w:tc>
      </w:tr>
      <w:tr>
        <w:trPr>
          <w:trHeight w:val="168"/>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ind w:left="380"/>
              <w:spacing w:after="0"/>
              <w:rPr>
                <w:sz w:val="20"/>
                <w:szCs w:val="20"/>
                <w:color w:val="auto"/>
              </w:rPr>
            </w:pPr>
            <w:r>
              <w:rPr>
                <w:rFonts w:ascii="Arial" w:cs="Arial" w:eastAsia="Arial" w:hAnsi="Arial"/>
                <w:sz w:val="14"/>
                <w:szCs w:val="14"/>
                <w:b w:val="1"/>
                <w:bCs w:val="1"/>
                <w:color w:val="auto"/>
              </w:rPr>
              <w:t>Property</w:t>
            </w:r>
          </w:p>
        </w:tc>
        <w:tc>
          <w:tcPr>
            <w:tcW w:w="980" w:type="dxa"/>
            <w:vAlign w:val="bottom"/>
          </w:tcPr>
          <w:p>
            <w:pPr>
              <w:spacing w:after="0"/>
              <w:rPr>
                <w:sz w:val="14"/>
                <w:szCs w:val="14"/>
                <w:color w:val="auto"/>
              </w:rPr>
            </w:pPr>
          </w:p>
        </w:tc>
        <w:tc>
          <w:tcPr>
            <w:tcW w:w="1160" w:type="dxa"/>
            <w:vAlign w:val="bottom"/>
          </w:tcPr>
          <w:p>
            <w:pPr>
              <w:ind w:left="280"/>
              <w:spacing w:after="0"/>
              <w:rPr>
                <w:sz w:val="20"/>
                <w:szCs w:val="20"/>
                <w:color w:val="auto"/>
              </w:rPr>
            </w:pPr>
            <w:r>
              <w:rPr>
                <w:rFonts w:ascii="Arial" w:cs="Arial" w:eastAsia="Arial" w:hAnsi="Arial"/>
                <w:sz w:val="14"/>
                <w:szCs w:val="14"/>
                <w:b w:val="1"/>
                <w:bCs w:val="1"/>
                <w:color w:val="auto"/>
              </w:rPr>
              <w:t>City, State</w:t>
            </w:r>
          </w:p>
        </w:tc>
        <w:tc>
          <w:tcPr>
            <w:tcW w:w="9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Leasable Area</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Price</w:t>
            </w:r>
          </w:p>
        </w:tc>
      </w:tr>
      <w:tr>
        <w:trPr>
          <w:trHeight w:val="149"/>
        </w:trPr>
        <w:tc>
          <w:tcPr>
            <w:tcW w:w="96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(In square feet)</w:t>
            </w:r>
          </w:p>
        </w:tc>
        <w:tc>
          <w:tcPr>
            <w:tcW w:w="960" w:type="dxa"/>
            <w:vAlign w:val="bottom"/>
          </w:tcPr>
          <w:p>
            <w:pPr>
              <w:spacing w:after="0"/>
              <w:rPr>
                <w:sz w:val="12"/>
                <w:szCs w:val="12"/>
                <w:color w:val="auto"/>
              </w:rPr>
            </w:pPr>
          </w:p>
        </w:tc>
        <w:tc>
          <w:tcPr>
            <w:tcW w:w="720" w:type="dxa"/>
            <w:vAlign w:val="bottom"/>
            <w:tcBorders>
              <w:top w:val="single" w:sz="8" w:color="auto"/>
            </w:tcBorders>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(In millions)</w:t>
            </w:r>
          </w:p>
        </w:tc>
        <w:tc>
          <w:tcPr>
            <w:tcW w:w="220" w:type="dxa"/>
            <w:vAlign w:val="bottom"/>
          </w:tcPr>
          <w:p>
            <w:pPr>
              <w:spacing w:after="0"/>
              <w:rPr>
                <w:sz w:val="12"/>
                <w:szCs w:val="12"/>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 2006</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89"/>
              </w:rPr>
              <w:t>4900</w:t>
            </w:r>
          </w:p>
        </w:tc>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Hampden Lane</w:t>
            </w:r>
          </w:p>
        </w:tc>
        <w:tc>
          <w:tcPr>
            <w:tcW w:w="9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99"/>
              </w:rPr>
              <w:t>Bethesda, MD</w:t>
            </w:r>
          </w:p>
        </w:tc>
        <w:tc>
          <w:tcPr>
            <w:tcW w:w="1860" w:type="dxa"/>
            <w:vAlign w:val="bottom"/>
            <w:gridSpan w:val="2"/>
            <w:shd w:val="clear" w:color="auto" w:fill="CCEEFF"/>
          </w:tcPr>
          <w:p>
            <w:pPr>
              <w:jc w:val="center"/>
              <w:ind w:left="872"/>
              <w:spacing w:after="0"/>
              <w:rPr>
                <w:sz w:val="20"/>
                <w:szCs w:val="20"/>
                <w:color w:val="auto"/>
              </w:rPr>
            </w:pPr>
            <w:r>
              <w:rPr>
                <w:rFonts w:ascii="Arial" w:cs="Arial" w:eastAsia="Arial" w:hAnsi="Arial"/>
                <w:sz w:val="18"/>
                <w:szCs w:val="18"/>
                <w:color w:val="auto"/>
                <w:w w:val="90"/>
              </w:rPr>
              <w:t>35,000</w:t>
            </w:r>
          </w:p>
        </w:tc>
        <w:tc>
          <w:tcPr>
            <w:tcW w:w="10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12.0(1)</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January 27, 2006</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w w:val="89"/>
              </w:rPr>
              <w:t>7770</w:t>
            </w:r>
          </w:p>
        </w:tc>
        <w:tc>
          <w:tcPr>
            <w:tcW w:w="1640" w:type="dxa"/>
            <w:vAlign w:val="bottom"/>
          </w:tcPr>
          <w:p>
            <w:pPr>
              <w:ind w:left="20"/>
              <w:spacing w:after="0"/>
              <w:rPr>
                <w:sz w:val="20"/>
                <w:szCs w:val="20"/>
                <w:color w:val="auto"/>
              </w:rPr>
            </w:pPr>
            <w:r>
              <w:rPr>
                <w:rFonts w:ascii="Arial" w:cs="Arial" w:eastAsia="Arial" w:hAnsi="Arial"/>
                <w:sz w:val="18"/>
                <w:szCs w:val="18"/>
                <w:color w:val="auto"/>
              </w:rPr>
              <w:t>Richmond Hwy</w:t>
            </w:r>
          </w:p>
        </w:tc>
        <w:tc>
          <w:tcPr>
            <w:tcW w:w="98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w w:val="95"/>
              </w:rPr>
              <w:t>Alexandria, VA</w:t>
            </w:r>
          </w:p>
        </w:tc>
        <w:tc>
          <w:tcPr>
            <w:tcW w:w="1860" w:type="dxa"/>
            <w:vAlign w:val="bottom"/>
            <w:gridSpan w:val="2"/>
          </w:tcPr>
          <w:p>
            <w:pPr>
              <w:jc w:val="center"/>
              <w:ind w:left="872"/>
              <w:spacing w:after="0"/>
              <w:rPr>
                <w:sz w:val="20"/>
                <w:szCs w:val="20"/>
                <w:color w:val="auto"/>
              </w:rPr>
            </w:pPr>
            <w:r>
              <w:rPr>
                <w:rFonts w:ascii="Arial" w:cs="Arial" w:eastAsia="Arial" w:hAnsi="Arial"/>
                <w:sz w:val="18"/>
                <w:szCs w:val="18"/>
                <w:color w:val="auto"/>
                <w:w w:val="90"/>
              </w:rPr>
              <w:t>60,000</w:t>
            </w:r>
          </w:p>
        </w:tc>
        <w:tc>
          <w:tcPr>
            <w:tcW w:w="1060" w:type="dxa"/>
            <w:vAlign w:val="bottom"/>
            <w:gridSpan w:val="2"/>
          </w:tcPr>
          <w:p>
            <w:pPr>
              <w:ind w:left="9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9.9(2)</w:t>
            </w: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29, 2006</w:t>
            </w:r>
          </w:p>
        </w:tc>
        <w:tc>
          <w:tcPr>
            <w:tcW w:w="298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w w:val="90"/>
              </w:rPr>
              <w:t>Town Center of New Britain</w:t>
            </w:r>
          </w:p>
        </w:tc>
        <w:tc>
          <w:tcPr>
            <w:tcW w:w="9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90"/>
              </w:rPr>
              <w:t>New Britain, PA</w:t>
            </w:r>
          </w:p>
        </w:tc>
        <w:tc>
          <w:tcPr>
            <w:tcW w:w="1860" w:type="dxa"/>
            <w:vAlign w:val="bottom"/>
            <w:gridSpan w:val="2"/>
            <w:shd w:val="clear" w:color="auto" w:fill="CCEEFF"/>
          </w:tcPr>
          <w:p>
            <w:pPr>
              <w:jc w:val="center"/>
              <w:ind w:left="872"/>
              <w:spacing w:after="0"/>
              <w:rPr>
                <w:sz w:val="20"/>
                <w:szCs w:val="20"/>
                <w:color w:val="auto"/>
              </w:rPr>
            </w:pPr>
            <w:r>
              <w:rPr>
                <w:rFonts w:ascii="Arial" w:cs="Arial" w:eastAsia="Arial" w:hAnsi="Arial"/>
                <w:sz w:val="18"/>
                <w:szCs w:val="18"/>
                <w:color w:val="auto"/>
                <w:w w:val="89"/>
              </w:rPr>
              <w:t>126,000</w:t>
            </w:r>
          </w:p>
        </w:tc>
        <w:tc>
          <w:tcPr>
            <w:tcW w:w="10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12.8(3)</w:t>
            </w:r>
          </w:p>
        </w:tc>
      </w:tr>
      <w:tr>
        <w:trPr>
          <w:trHeight w:val="108"/>
        </w:trPr>
        <w:tc>
          <w:tcPr>
            <w:tcW w:w="96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100" w:lineRule="exact"/>
        <w:rPr>
          <w:sz w:val="20"/>
          <w:szCs w:val="20"/>
          <w:color w:val="auto"/>
        </w:rPr>
      </w:pPr>
    </w:p>
    <w:p>
      <w:pPr>
        <w:ind w:left="460" w:right="24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$0.1 million and $0.3 million of the net assets acquired were allocated to other assets for “above market leases” and liabilities for “below market leases”, respectively.</w:t>
      </w:r>
    </w:p>
    <w:p>
      <w:pPr>
        <w:ind w:left="460" w:right="24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$0.2 million and $0.2 million of the net assets acquired were allocated to other assets for “above market leases” and liabilities for “below market leases”, respectively.</w:t>
      </w:r>
    </w:p>
    <w:p>
      <w:pPr>
        <w:ind w:left="460" w:right="24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$0.5 million and $0.8 million of the net assets acquired were allocated to other assets for “above market leases” and liabilities for “below market leases”,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following table provides a summary of significant acquisitions made by our unconsolidated real estate partnership during the six months ended June 30, 2006: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Purchase</w:t>
            </w:r>
          </w:p>
        </w:tc>
      </w:tr>
      <w:tr>
        <w:trPr>
          <w:trHeight w:val="168"/>
        </w:trPr>
        <w:tc>
          <w:tcPr>
            <w:tcW w:w="250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1160" w:type="dxa"/>
            <w:vAlign w:val="bottom"/>
          </w:tcPr>
          <w:p>
            <w:pPr>
              <w:spacing w:after="0"/>
              <w:rPr>
                <w:sz w:val="14"/>
                <w:szCs w:val="14"/>
                <w:color w:val="auto"/>
              </w:rPr>
            </w:pPr>
          </w:p>
        </w:tc>
        <w:tc>
          <w:tcPr>
            <w:tcW w:w="1440" w:type="dxa"/>
            <w:vAlign w:val="bottom"/>
          </w:tcPr>
          <w:p>
            <w:pPr>
              <w:ind w:left="460"/>
              <w:spacing w:after="0"/>
              <w:rPr>
                <w:sz w:val="20"/>
                <w:szCs w:val="20"/>
                <w:color w:val="auto"/>
              </w:rPr>
            </w:pPr>
            <w:r>
              <w:rPr>
                <w:rFonts w:ascii="Arial" w:cs="Arial" w:eastAsia="Arial" w:hAnsi="Arial"/>
                <w:sz w:val="14"/>
                <w:szCs w:val="14"/>
                <w:b w:val="1"/>
                <w:bCs w:val="1"/>
                <w:color w:val="auto"/>
              </w:rPr>
              <w:t>Property</w:t>
            </w:r>
          </w:p>
        </w:tc>
        <w:tc>
          <w:tcPr>
            <w:tcW w:w="1160" w:type="dxa"/>
            <w:vAlign w:val="bottom"/>
          </w:tcPr>
          <w:p>
            <w:pPr>
              <w:spacing w:after="0"/>
              <w:rPr>
                <w:sz w:val="14"/>
                <w:szCs w:val="14"/>
                <w:color w:val="auto"/>
              </w:rPr>
            </w:pPr>
          </w:p>
        </w:tc>
        <w:tc>
          <w:tcPr>
            <w:tcW w:w="1220" w:type="dxa"/>
            <w:vAlign w:val="bottom"/>
          </w:tcPr>
          <w:p>
            <w:pPr>
              <w:ind w:left="320"/>
              <w:spacing w:after="0"/>
              <w:rPr>
                <w:sz w:val="20"/>
                <w:szCs w:val="20"/>
                <w:color w:val="auto"/>
              </w:rPr>
            </w:pPr>
            <w:r>
              <w:rPr>
                <w:rFonts w:ascii="Arial" w:cs="Arial" w:eastAsia="Arial" w:hAnsi="Arial"/>
                <w:sz w:val="14"/>
                <w:szCs w:val="14"/>
                <w:b w:val="1"/>
                <w:bCs w:val="1"/>
                <w:color w:val="auto"/>
              </w:rPr>
              <w:t>City, State</w:t>
            </w:r>
          </w:p>
        </w:tc>
        <w:tc>
          <w:tcPr>
            <w:tcW w:w="1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Leasable Area</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Price</w:t>
            </w:r>
          </w:p>
        </w:tc>
      </w:tr>
      <w:tr>
        <w:trPr>
          <w:trHeight w:val="149"/>
        </w:trPr>
        <w:tc>
          <w:tcPr>
            <w:tcW w:w="2500" w:type="dxa"/>
            <w:vAlign w:val="bottom"/>
            <w:tcBorders>
              <w:top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square feet)</w:t>
            </w:r>
          </w:p>
        </w:tc>
        <w:tc>
          <w:tcPr>
            <w:tcW w:w="116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89"/>
              </w:rPr>
              <w:t>(In millions)</w:t>
            </w:r>
          </w:p>
        </w:tc>
        <w:tc>
          <w:tcPr>
            <w:tcW w:w="20" w:type="dxa"/>
            <w:vAlign w:val="bottom"/>
          </w:tcPr>
          <w:p>
            <w:pPr>
              <w:spacing w:after="0"/>
              <w:rPr>
                <w:sz w:val="12"/>
                <w:szCs w:val="12"/>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June 5, 2006</w:t>
            </w:r>
          </w:p>
        </w:tc>
        <w:tc>
          <w:tcPr>
            <w:tcW w:w="26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86"/>
              </w:rPr>
              <w:t>Greenlawn Plaza (1)</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8"/>
              </w:rPr>
              <w:t>Huntington, NY</w:t>
            </w:r>
          </w:p>
        </w:tc>
        <w:tc>
          <w:tcPr>
            <w:tcW w:w="20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102,000</w:t>
            </w:r>
          </w:p>
        </w:tc>
        <w:tc>
          <w:tcPr>
            <w:tcW w:w="12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r>
      <w:tr>
        <w:trPr>
          <w:trHeight w:val="222"/>
        </w:trPr>
        <w:tc>
          <w:tcPr>
            <w:tcW w:w="2500" w:type="dxa"/>
            <w:vAlign w:val="bottom"/>
          </w:tcPr>
          <w:p>
            <w:pPr>
              <w:spacing w:after="0"/>
              <w:rPr>
                <w:sz w:val="20"/>
                <w:szCs w:val="20"/>
                <w:color w:val="auto"/>
              </w:rPr>
            </w:pPr>
            <w:r>
              <w:rPr>
                <w:rFonts w:ascii="Arial" w:cs="Arial" w:eastAsia="Arial" w:hAnsi="Arial"/>
                <w:sz w:val="18"/>
                <w:szCs w:val="18"/>
                <w:color w:val="auto"/>
              </w:rPr>
              <w:t>June 8, 2006</w:t>
            </w:r>
          </w:p>
        </w:tc>
        <w:tc>
          <w:tcPr>
            <w:tcW w:w="2600" w:type="dxa"/>
            <w:vAlign w:val="bottom"/>
            <w:gridSpan w:val="2"/>
          </w:tcPr>
          <w:p>
            <w:pPr>
              <w:ind w:left="1160"/>
              <w:spacing w:after="0"/>
              <w:rPr>
                <w:sz w:val="20"/>
                <w:szCs w:val="20"/>
                <w:color w:val="auto"/>
              </w:rPr>
            </w:pPr>
            <w:r>
              <w:rPr>
                <w:rFonts w:ascii="Arial" w:cs="Arial" w:eastAsia="Arial" w:hAnsi="Arial"/>
                <w:sz w:val="18"/>
                <w:szCs w:val="18"/>
                <w:color w:val="auto"/>
              </w:rPr>
              <w:t>Barcroft Plaza</w:t>
            </w:r>
          </w:p>
        </w:tc>
        <w:tc>
          <w:tcPr>
            <w:tcW w:w="116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88"/>
              </w:rPr>
              <w:t>Falls Church, VA</w:t>
            </w:r>
          </w:p>
        </w:tc>
        <w:tc>
          <w:tcPr>
            <w:tcW w:w="2060" w:type="dxa"/>
            <w:vAlign w:val="bottom"/>
            <w:gridSpan w:val="2"/>
          </w:tcPr>
          <w:p>
            <w:pPr>
              <w:jc w:val="right"/>
              <w:ind w:right="132"/>
              <w:spacing w:after="0"/>
              <w:rPr>
                <w:sz w:val="20"/>
                <w:szCs w:val="20"/>
                <w:color w:val="auto"/>
              </w:rPr>
            </w:pPr>
            <w:r>
              <w:rPr>
                <w:rFonts w:ascii="Arial" w:cs="Arial" w:eastAsia="Arial" w:hAnsi="Arial"/>
                <w:sz w:val="18"/>
                <w:szCs w:val="18"/>
                <w:color w:val="auto"/>
              </w:rPr>
              <w:t>90,000</w:t>
            </w:r>
          </w:p>
        </w:tc>
        <w:tc>
          <w:tcPr>
            <w:tcW w:w="1260" w:type="dxa"/>
            <w:vAlign w:val="bottom"/>
            <w:gridSpan w:val="2"/>
          </w:tcPr>
          <w:p>
            <w:pPr>
              <w:ind w:left="11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property was acquired from the Trust.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significant dispositions made by us and our consolidated affiliates during the six months ended June 30, 2006: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78"/>
              </w:rPr>
              <w:t>Gross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8"/>
        </w:trPr>
        <w:tc>
          <w:tcPr>
            <w:tcW w:w="162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660" w:type="dxa"/>
            <w:vAlign w:val="bottom"/>
          </w:tcPr>
          <w:p>
            <w:pPr>
              <w:spacing w:after="0"/>
              <w:rPr>
                <w:sz w:val="14"/>
                <w:szCs w:val="14"/>
                <w:color w:val="auto"/>
              </w:rPr>
            </w:pPr>
          </w:p>
        </w:tc>
        <w:tc>
          <w:tcPr>
            <w:tcW w:w="3200" w:type="dxa"/>
            <w:vAlign w:val="bottom"/>
          </w:tcPr>
          <w:p>
            <w:pPr>
              <w:ind w:left="1340"/>
              <w:spacing w:after="0"/>
              <w:rPr>
                <w:sz w:val="20"/>
                <w:szCs w:val="20"/>
                <w:color w:val="auto"/>
              </w:rPr>
            </w:pPr>
            <w:r>
              <w:rPr>
                <w:rFonts w:ascii="Arial" w:cs="Arial" w:eastAsia="Arial" w:hAnsi="Arial"/>
                <w:sz w:val="14"/>
                <w:szCs w:val="14"/>
                <w:b w:val="1"/>
                <w:bCs w:val="1"/>
                <w:color w:val="auto"/>
              </w:rPr>
              <w:t>Property</w:t>
            </w:r>
          </w:p>
        </w:tc>
        <w:tc>
          <w:tcPr>
            <w:tcW w:w="640" w:type="dxa"/>
            <w:vAlign w:val="bottom"/>
          </w:tcPr>
          <w:p>
            <w:pPr>
              <w:spacing w:after="0"/>
              <w:rPr>
                <w:sz w:val="14"/>
                <w:szCs w:val="14"/>
                <w:color w:val="auto"/>
              </w:rPr>
            </w:pPr>
          </w:p>
        </w:tc>
        <w:tc>
          <w:tcPr>
            <w:tcW w:w="1160" w:type="dxa"/>
            <w:vAlign w:val="bottom"/>
          </w:tcPr>
          <w:p>
            <w:pPr>
              <w:ind w:left="280"/>
              <w:spacing w:after="0"/>
              <w:rPr>
                <w:sz w:val="20"/>
                <w:szCs w:val="20"/>
                <w:color w:val="auto"/>
              </w:rPr>
            </w:pPr>
            <w:r>
              <w:rPr>
                <w:rFonts w:ascii="Arial" w:cs="Arial" w:eastAsia="Arial" w:hAnsi="Arial"/>
                <w:sz w:val="14"/>
                <w:szCs w:val="14"/>
                <w:b w:val="1"/>
                <w:bCs w:val="1"/>
                <w:color w:val="auto"/>
              </w:rPr>
              <w:t>City, State</w:t>
            </w:r>
          </w:p>
        </w:tc>
        <w:tc>
          <w:tcPr>
            <w:tcW w:w="6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Leasable Area</w:t>
            </w:r>
          </w:p>
        </w:tc>
        <w:tc>
          <w:tcPr>
            <w:tcW w:w="660" w:type="dxa"/>
            <w:vAlign w:val="bottom"/>
          </w:tcPr>
          <w:p>
            <w:pPr>
              <w:spacing w:after="0"/>
              <w:rPr>
                <w:sz w:val="14"/>
                <w:szCs w:val="14"/>
                <w:color w:val="auto"/>
              </w:rPr>
            </w:pPr>
          </w:p>
        </w:tc>
        <w:tc>
          <w:tcPr>
            <w:tcW w:w="1320" w:type="dxa"/>
            <w:vAlign w:val="bottom"/>
            <w:gridSpan w:val="3"/>
          </w:tcPr>
          <w:p>
            <w:pPr>
              <w:jc w:val="right"/>
              <w:ind w:right="612"/>
              <w:spacing w:after="0"/>
              <w:rPr>
                <w:sz w:val="20"/>
                <w:szCs w:val="20"/>
                <w:color w:val="auto"/>
              </w:rPr>
            </w:pPr>
            <w:r>
              <w:rPr>
                <w:rFonts w:ascii="Arial" w:cs="Arial" w:eastAsia="Arial" w:hAnsi="Arial"/>
                <w:sz w:val="14"/>
                <w:szCs w:val="14"/>
                <w:b w:val="1"/>
                <w:bCs w:val="1"/>
                <w:color w:val="auto"/>
                <w:w w:val="82"/>
              </w:rPr>
              <w:t>Sales Price</w:t>
            </w:r>
          </w:p>
        </w:tc>
        <w:tc>
          <w:tcPr>
            <w:tcW w:w="6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Gain</w:t>
            </w:r>
          </w:p>
        </w:tc>
      </w:tr>
      <w:tr>
        <w:trPr>
          <w:trHeight w:val="149"/>
        </w:trPr>
        <w:tc>
          <w:tcPr>
            <w:tcW w:w="16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square feet)</w:t>
            </w:r>
          </w:p>
        </w:tc>
        <w:tc>
          <w:tcPr>
            <w:tcW w:w="6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(In</w:t>
            </w: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millions)</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Various</w:t>
            </w:r>
          </w:p>
        </w:tc>
        <w:tc>
          <w:tcPr>
            <w:tcW w:w="6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88"/>
              </w:rPr>
              <w:t>Condominiums at Santana Row (81 units) (1)</w:t>
            </w: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San Jose, CA</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8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16.4(2)</w:t>
            </w:r>
          </w:p>
        </w:tc>
      </w:tr>
      <w:tr>
        <w:trPr>
          <w:trHeight w:val="222"/>
        </w:trPr>
        <w:tc>
          <w:tcPr>
            <w:tcW w:w="1620" w:type="dxa"/>
            <w:vAlign w:val="bottom"/>
          </w:tcPr>
          <w:p>
            <w:pPr>
              <w:spacing w:after="0"/>
              <w:rPr>
                <w:sz w:val="20"/>
                <w:szCs w:val="20"/>
                <w:color w:val="auto"/>
              </w:rPr>
            </w:pPr>
            <w:r>
              <w:rPr>
                <w:rFonts w:ascii="Arial" w:cs="Arial" w:eastAsia="Arial" w:hAnsi="Arial"/>
                <w:sz w:val="18"/>
                <w:szCs w:val="18"/>
                <w:color w:val="auto"/>
              </w:rPr>
              <w:t>June 5, 2006</w:t>
            </w:r>
          </w:p>
        </w:tc>
        <w:tc>
          <w:tcPr>
            <w:tcW w:w="66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Greenlawn Plaza</w:t>
            </w:r>
          </w:p>
        </w:tc>
        <w:tc>
          <w:tcPr>
            <w:tcW w:w="6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8"/>
                <w:szCs w:val="18"/>
                <w:color w:val="auto"/>
                <w:w w:val="93"/>
              </w:rPr>
              <w:t>Huntington, NY</w:t>
            </w:r>
          </w:p>
        </w:tc>
        <w:tc>
          <w:tcPr>
            <w:tcW w:w="1540" w:type="dxa"/>
            <w:vAlign w:val="bottom"/>
            <w:gridSpan w:val="2"/>
          </w:tcPr>
          <w:p>
            <w:pPr>
              <w:jc w:val="center"/>
              <w:ind w:left="572"/>
              <w:spacing w:after="0"/>
              <w:rPr>
                <w:sz w:val="20"/>
                <w:szCs w:val="20"/>
                <w:color w:val="auto"/>
              </w:rPr>
            </w:pPr>
            <w:r>
              <w:rPr>
                <w:rFonts w:ascii="Arial" w:cs="Arial" w:eastAsia="Arial" w:hAnsi="Arial"/>
                <w:sz w:val="18"/>
                <w:szCs w:val="18"/>
                <w:color w:val="auto"/>
                <w:w w:val="86"/>
              </w:rPr>
              <w:t>102,000</w:t>
            </w:r>
          </w:p>
        </w:tc>
        <w:tc>
          <w:tcPr>
            <w:tcW w:w="8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20.4</w:t>
            </w:r>
          </w:p>
        </w:tc>
        <w:tc>
          <w:tcPr>
            <w:tcW w:w="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June 30, 2006, we had sold 211 of the 219 condominium units we intend to sell at Santana Row.</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Gain of $16.4 million is net of $2.2 million in taxes.</w:t>
      </w:r>
    </w:p>
    <w:p>
      <w:pPr>
        <w:spacing w:after="0" w:line="9" w:lineRule="exact"/>
        <w:rPr>
          <w:rFonts w:ascii="Arial" w:cs="Arial" w:eastAsia="Arial" w:hAnsi="Arial"/>
          <w:sz w:val="18"/>
          <w:szCs w:val="18"/>
          <w:color w:val="auto"/>
        </w:rPr>
      </w:pPr>
    </w:p>
    <w:p>
      <w:pPr>
        <w:ind w:left="460" w:right="10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property was sold to our real estate partnership in which we own a 30% interest. Accordingly, we only recognized a partial gain on this sale related to the 70% equity interest sold.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Debt Transactions</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On March 10, 2006, we repaid our 6.99% medium term notes with a principal amount of $40.5 million. These notes were repaid with funds borrowed on our revolving credit facility.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On July 17, 2006 we issued $120.0 million of fixed rate notes, which mature on July 15, 2012 and bear interest at 6.0%, and $130.0 million of fixed rate notes,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which mature on January 15, 2017 and bear interest at 6.2%. Our net proceeds from these note offerings after issuance discounts and underwriting fees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$247.9 million. These proceeds, along with $2.4 million borrowed on our revolving credit facility, were used to repay all the principal of our $150.0 million five-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 term loan and $100.0 million three-year term loan and $0.3 million of related accrued interest on July 17, 2006.</w:t>
      </w:r>
    </w:p>
    <w:p>
      <w:pPr>
        <w:spacing w:after="0" w:line="16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order to hedge our exposure to interest rate fluctuations on the $150.0 million five-year term loan, we entered into an interest rate swap in January 2004, which fixed the LIBOR portion of the interest rate on this term loan at 2.401% through October 8, 2006. The full notional amount of this swap qualified as a cash flow hedge until we repaid this term loan on July 17, 2006. On July 17, 2006, we did not redesignate this swap and the related $1.3 million included in accumulated other comprehensive income was recognized into earnings.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On July 28, 2006, we replaced our existing revolving credit facility with a new $300.0 million unsecured revolving credit facility. The new revolving credit facility matures on July 28, 2010, subject to a one-year extension at our option, and initially bears interest at LIBOR plus 42.5 basis points. The spread over LIBOR is subject to adjustment based on our credit rating.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anticipate our 2006 income from continuing operations to grow in comparison to our 2005 income from continuing operations. We expect this income growth primarily to be generated by a combination of the following:</w:t>
      </w:r>
    </w:p>
    <w:p>
      <w:pPr>
        <w:spacing w:after="0" w:line="51"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earnings in our same-center portfolio and from properties under redevelopment;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earnings as we expand our portfolio through property acquisitions.</w:t>
      </w:r>
    </w:p>
    <w:p>
      <w:pPr>
        <w:spacing w:after="0" w:line="17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We continue to see a positive impact on our income as a result of the redevelopment of our shopping centers and higher rental rates on existing spaces as leases on these spaces expire. In 2006 and 2007, we anticipate that tenants with leases for over 700,000 square feet of retail space that has been under redevelopment will begin paying rent. As redevelopment properties are completed, spaces that were out of service begin generating revenue; in addition, spaces that were not out of service and that have expiring leases may generate higher revenue because we generally receive higher rent on new leases. For example, many of the leases with rents commencing in 2006 were signed in 2005 or earlier, and leases signed in 2004 and 2005 on spaces for which there was a previous tenant have on average been renewed at double digit base rent increases. On spaces where the tenant leases are expiring in 2006, our analysis of current market rents as compared to rents on the existing leases leads us to expect that the base rents in new leases will have double-digit weighted average increases over the base rents currently in place.</w:t>
      </w:r>
    </w:p>
    <w:p>
      <w:pPr>
        <w:spacing w:after="0" w:line="10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At June 30, 2006 the leasable square feet in our shopping centers was 94.7% occupied and 96.7% leased. The leased rate is higher than the occupied rate due to spaces that are being redeveloped or improved or that are awaiting permits and, therefore, are not yet ready to be occupied. We believe that our occupancy rate will improve slightly in 2006 over 2005 as tenants take possession of leased spaces, particularly in centers being redeveloped, but that our occupancy rate will always be below our leased rate as leased spaces are prepared for occupancy. Our occupancy and leased rates are subject to variability over time due to acquisitions and the timing of the start and stabilization of our redevelopment projects.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Santana Row</w:t>
      </w:r>
    </w:p>
    <w:p>
      <w:pPr>
        <w:spacing w:after="0" w:line="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Santana Row, located in San Jose, California, includes approximately 563,000 square feet of retail space, 295 residential rental units, and a ground lease to a 213-room hotel. The 295 residential units include 259 residential units delivered in 2005 and 2006 plus 36 pre-existing residential units. The 295 residential rental units do not include 219 units that have been sold as condominiums or are currently classified as held for sale. Our total investment in Santana Row, excluding future phases, is anticipated to be $432 million (which includes the 563,000 square feet of retail space, the 295 residential rental units, the related common areas and infrastructure and $11 million invested in restaurant ventures) net of insurance proceeds received related to the 2002 fire and proceeds from the sale of the 219 residential units.</w:t>
      </w:r>
    </w:p>
    <w:p>
      <w:pPr>
        <w:spacing w:after="0" w:line="144"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We are developing a master plan for the remaining parcels at Santana Row which comprise approximately 13.4 acres of land. Our remaining entitlements consist of approximately 120,000 square feet of retail space, 687 residential units and a 191-room hotel. We are evaluating the feasibility of utilizing these entitlements in future development at Santana Row but there is no guaranty that we will ultimately pursue or complete any part of the development of the remaining parcels.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90"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We anticipate growth in earnings in 2006 from acquisitions of neighborhood and community shopping centers in our primary markets in the East and West regions, as well as a reduction in earnings from selective dispositions. Any growth in earnings from acquisitions is contingent, however, on our ability to find properties that meet our qualitative standards at prices that meet our financial hurdles. Changes in interest rates may also affect our success in achieving growth through acquisitions by affecting both the price that must be paid to acquire a property, as well as our ability to economically finance the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 SIX MONTHS ENDED JUNE 30, 2006 AND 2005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3"/>
                <w:szCs w:val="13"/>
                <w:color w:val="auto"/>
              </w:rPr>
            </w:pPr>
          </w:p>
        </w:tc>
        <w:tc>
          <w:tcPr>
            <w:tcW w:w="640" w:type="dxa"/>
            <w:vAlign w:val="bottom"/>
            <w:tcBorders>
              <w:bottom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Dollars</w:t>
            </w:r>
          </w:p>
        </w:tc>
        <w:tc>
          <w:tcPr>
            <w:tcW w:w="280" w:type="dxa"/>
            <w:vAlign w:val="bottom"/>
          </w:tcPr>
          <w:p>
            <w:pPr>
              <w:spacing w:after="0"/>
              <w:rPr>
                <w:sz w:val="13"/>
                <w:szCs w:val="13"/>
                <w:color w:val="auto"/>
              </w:rPr>
            </w:pPr>
          </w:p>
        </w:tc>
        <w:tc>
          <w:tcPr>
            <w:tcW w:w="42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gridSpan w:val="7"/>
          </w:tcPr>
          <w:p>
            <w:pPr>
              <w:jc w:val="right"/>
              <w:ind w:right="720"/>
              <w:spacing w:after="0" w:line="142" w:lineRule="exact"/>
              <w:rPr>
                <w:sz w:val="20"/>
                <w:szCs w:val="20"/>
                <w:color w:val="auto"/>
              </w:rPr>
            </w:pPr>
            <w:r>
              <w:rPr>
                <w:rFonts w:ascii="Arial" w:cs="Arial" w:eastAsia="Arial" w:hAnsi="Arial"/>
                <w:sz w:val="14"/>
                <w:szCs w:val="14"/>
                <w:b w:val="1"/>
                <w:bCs w:val="1"/>
                <w:color w:val="auto"/>
              </w:rPr>
              <w:t>(Dollar amounts in thousands)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210,498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193,545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$ 16,953</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Other property income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3,956</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3,970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1"/>
        </w:trPr>
        <w:tc>
          <w:tcPr>
            <w:tcW w:w="6320" w:type="dxa"/>
            <w:vAlign w:val="bottom"/>
          </w:tcPr>
          <w:p>
            <w:pPr>
              <w:ind w:left="440"/>
              <w:spacing w:after="0"/>
              <w:rPr>
                <w:sz w:val="20"/>
                <w:szCs w:val="20"/>
                <w:color w:val="auto"/>
              </w:rPr>
            </w:pPr>
            <w:r>
              <w:rPr>
                <w:rFonts w:ascii="Arial" w:cs="Arial" w:eastAsia="Arial" w:hAnsi="Arial"/>
                <w:sz w:val="18"/>
                <w:szCs w:val="18"/>
                <w:color w:val="auto"/>
              </w:rPr>
              <w:t>Total property revenue</w:t>
            </w:r>
          </w:p>
        </w:tc>
        <w:tc>
          <w:tcPr>
            <w:tcW w:w="1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217,125</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200,245</w:t>
            </w: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16,880</w:t>
            </w:r>
          </w:p>
        </w:tc>
        <w:tc>
          <w:tcPr>
            <w:tcW w:w="2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8"/>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42,329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42,446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Real estate taxes</w:t>
            </w: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21,076</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18,273</w:t>
            </w: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w:t>
            </w:r>
          </w:p>
        </w:tc>
        <w:tc>
          <w:tcPr>
            <w:tcW w:w="2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expenses</w:t>
            </w:r>
          </w:p>
        </w:tc>
        <w:tc>
          <w:tcPr>
            <w:tcW w:w="1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60,719</w:t>
            </w:r>
          </w:p>
        </w:tc>
        <w:tc>
          <w:tcPr>
            <w:tcW w:w="2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1"/>
        </w:trPr>
        <w:tc>
          <w:tcPr>
            <w:tcW w:w="6320" w:type="dxa"/>
            <w:vAlign w:val="bottom"/>
          </w:tcPr>
          <w:p>
            <w:pPr>
              <w:ind w:left="880"/>
              <w:spacing w:after="0"/>
              <w:rPr>
                <w:sz w:val="20"/>
                <w:szCs w:val="20"/>
                <w:color w:val="auto"/>
              </w:rPr>
            </w:pPr>
            <w:r>
              <w:rPr>
                <w:rFonts w:ascii="Arial" w:cs="Arial" w:eastAsia="Arial" w:hAnsi="Arial"/>
                <w:sz w:val="18"/>
                <w:szCs w:val="18"/>
                <w:color w:val="auto"/>
              </w:rPr>
              <w:t>Property operating income</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153,720</w:t>
            </w: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139,526</w:t>
            </w:r>
          </w:p>
        </w:tc>
        <w:tc>
          <w:tcPr>
            <w:tcW w:w="640" w:type="dxa"/>
            <w:vAlign w:val="bottom"/>
          </w:tcPr>
          <w:p>
            <w:pPr>
              <w:jc w:val="right"/>
              <w:spacing w:after="0"/>
              <w:rPr>
                <w:sz w:val="20"/>
                <w:szCs w:val="20"/>
                <w:color w:val="auto"/>
              </w:rPr>
            </w:pPr>
            <w:r>
              <w:rPr>
                <w:rFonts w:ascii="Arial" w:cs="Arial" w:eastAsia="Arial" w:hAnsi="Arial"/>
                <w:sz w:val="18"/>
                <w:szCs w:val="18"/>
                <w:color w:val="auto"/>
              </w:rPr>
              <w:t>14,194</w:t>
            </w:r>
          </w:p>
        </w:tc>
        <w:tc>
          <w:tcPr>
            <w:tcW w:w="2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8"/>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-65.0%</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224</w:t>
            </w:r>
          </w:p>
        </w:tc>
        <w:tc>
          <w:tcPr>
            <w:tcW w:w="64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(49,034)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(43,890)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(9,483)</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(9,484)</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(48,078)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(44,038)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Total other, net</w:t>
            </w:r>
          </w:p>
        </w:tc>
        <w:tc>
          <w:tcPr>
            <w:tcW w:w="1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line="20" w:lineRule="exact"/>
              <w:rPr>
                <w:sz w:val="1"/>
                <w:szCs w:val="1"/>
                <w:color w:val="auto"/>
              </w:rPr>
            </w:pPr>
          </w:p>
        </w:tc>
      </w:tr>
      <w:tr>
        <w:trPr>
          <w:trHeight w:val="230"/>
        </w:trPr>
        <w:tc>
          <w:tcPr>
            <w:tcW w:w="6320" w:type="dxa"/>
            <w:vAlign w:val="bottom"/>
            <w:vMerge w:val="continue"/>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(105,664)</w:t>
            </w:r>
          </w:p>
        </w:tc>
        <w:tc>
          <w:tcPr>
            <w:tcW w:w="1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(95,495)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(10,169)</w:t>
            </w:r>
          </w:p>
        </w:tc>
        <w:tc>
          <w:tcPr>
            <w:tcW w:w="5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 before minority interests</w:t>
            </w:r>
          </w:p>
        </w:tc>
        <w:tc>
          <w:tcPr>
            <w:tcW w:w="1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48,056</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44,031</w:t>
            </w: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Minority interests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(2,795)</w:t>
            </w:r>
          </w:p>
        </w:tc>
        <w:tc>
          <w:tcPr>
            <w:tcW w:w="640" w:type="dxa"/>
            <w:vAlign w:val="bottom"/>
          </w:tcPr>
          <w:p>
            <w:pPr>
              <w:jc w:val="right"/>
              <w:spacing w:after="0"/>
              <w:rPr>
                <w:sz w:val="20"/>
                <w:szCs w:val="20"/>
                <w:color w:val="auto"/>
              </w:rPr>
            </w:pPr>
            <w:r>
              <w:rPr>
                <w:rFonts w:ascii="Arial" w:cs="Arial" w:eastAsia="Arial" w:hAnsi="Arial"/>
                <w:sz w:val="18"/>
                <w:szCs w:val="18"/>
                <w:color w:val="auto"/>
              </w:rPr>
              <w:t>398</w:t>
            </w: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-14.2%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-54.7%</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w:t>
            </w: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15,887</w:t>
            </w:r>
          </w:p>
        </w:tc>
        <w:tc>
          <w:tcPr>
            <w:tcW w:w="2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8"/>
              </w:rPr>
              <w:t>201.5%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69,287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48,804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$ 20,483</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development, redevelopment or expansion occurred during either of the periods being compared and properties classified as discontinued operations. Santana Row is considered under development in both 2006 and 2005 and as such is excluded from same-center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Total property revenue increased $16.9 million, or 8.4%, to $217.1 million in the six months ended June 30, 2006 compared to $200.2 million in the six months ended June 30, 2005. The percentage leased at our shopping centers increased to 96.7% at June 30, 2006 compared to 95.0% at June 30, 2005 due primarily to new leases signed at existing properties. Changes in the components of property revenue are discussed below.</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Rental income consists primarily of minimum rent, cost recoveries from tenants, and percentage rent. Rental income increased $17.0 million, or 8.8%, to $210.5 million in the six months ended June 30, 2006 compared to $193.5 million in the six months ended June 30, 2005, due primarily to the following:</w:t>
      </w:r>
    </w:p>
    <w:p>
      <w:pPr>
        <w:spacing w:after="0" w:line="4"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$6.2 million attributable to properties acquired in 2006 and 2005,</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$4.2 million at same-center properties due to increased rental rates on new leases and increased occupancy,</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$3.9 million at Santana Row due primarily to leasing newly constructed residential rental units and increased rental rates on new retail leases,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$2.4 million at redevelopment properties due to increased occupancy and increased rental rates on new leases.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Other property income was consistent at $4.0 million in the six months ended June 30, 2006 and 2005. Included in other property income are items which, although recurring, tend to fluctuate more than rental income from period to period, such as lease termination fees. During the six months ended June 30, 2006, there was a decrease of $0.6 million in lease termination fees offset by an increase in other items.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Total property operating expenses increased $2.7 million, or 4.4%, to $63.4 million in the six months ended June 30, 2006 compared to $60.7 million in the six months ended June 30, 2005.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decreased $0.1 million, or 0.3%, to $42.3 million in the six months ended June 30, 2006 compared to $42.4 million in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2005. This decrease is due primarily to the following:</w:t>
      </w:r>
    </w:p>
    <w:p>
      <w:pPr>
        <w:spacing w:after="0" w:line="84"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of $1.0 million due to lower bad debt expense and lower insurance expense,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 of $1.8 million due to lower snow removal costs,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780" w:right="44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$1.4 million at Santana Row due primarily to higher repair, maintenance and other common area costs associated with the newly constructed residential rental units placed into service,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$1.3 million, attributable to properties acquired in 2006 and 2005.</w:t>
      </w:r>
    </w:p>
    <w:p>
      <w:pPr>
        <w:spacing w:after="0" w:line="171"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As a result of the changes in rental income, rental expenses and other property income described above, rental expenses as a percentage of rental income plus other property income decreased to 19.7% in the six months ended June 30, 2006 from 21.5% in the six months ended June 30, 2005.</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80"/>
          </w:cols>
          <w:pgMar w:left="240" w:top="459" w:right="3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Real estate tax expense increased $2.8 million, or 15.3%, to $21.1 million in the six months ended June 30, 2006 compared to $18.3 million in the six months ended June 30, 2005. This increase is due primarily to increased taxes of $2.2 million related to Santana Row and properties acquired. The increase at Santana Row is due primarily to a change in estimated real estate taxes recorded in June 2005. This change in estimate resulted from receiving final real estate tax assessments that decreased our real estate taxes for retail real estate and increased our real estate taxes for residential units at Santana Row by $1.1 million in 2005. The related residential units impacted by this change in estimate are being sold as condominiums and therefore, the increase in residential real estate taxes is included in discontinued operations as discussed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Property operating income increased $14.2 million, or 10.2%, to $153.7 million in the six months ended June 30, 2006 compared to $139.5 million in the six months ended June 30, 2005. This increase is due primarily to the following:</w:t>
      </w:r>
    </w:p>
    <w:p>
      <w:pPr>
        <w:spacing w:after="0" w:line="51"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growth in same-center earnings,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earnings attributable to properties acquired in 2005 and 2006,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growth in earnings at redevelopment properties and Santana Row.</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Same-center property operating income increased 5.3%, or approximately $6.0 million, in the six months ended June 30, 2006 compared to the six months ended June 30, 2005. This increase is primarily due to increased rental income associated with new leases, higher real estate tax recoveries and lower property operating expenses. When redevelopment and expansion properties are included with same-center results, property operating income increased by 6.1% in the six months ended June 30, 2006 compared to the six months ended June 30, 2005.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Interest expense increased $5.1 million, or 11.7%, to $49.0 million in the six months ended June 30, 2006 compared to $43.9 million in the six months ended June 30, 2005. This increase is primarily due to higher borrowings to finance our acquisitions, an increase in interest rates on our variable rate debt and a decrease in capitalized interest. Gross interest costs were $50.4 million and $46.4 million in the six months ended June 30, 2006 and 2005, respectively. Capitalized interest amounted to $1.3 million and $2.5 million in the six months ended June 30, 2006 and June 30, 2005, respectively. Capitalized interest decreased due primarily to placing the newly constructed residential rental units at Santana Row and retail development at Assembly Square into service.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General and administrative expense was consistent at $9.5 million in the six months ended June 30, 2006 and 2005. This is primarily due to an increase in gross wages and benefits being offset by an increase in wages and benefits capitalized as a result of increased leasing, development, and redevelopment activities.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Depreciation and amortization expense increased $4.0 million, or 9.2%, to $48.1 million in the six months ended June 30, 2006 from $44.0 million in the six months ended June 30, 2005. This increase is due primarily to depreciation on acquired properties, improvements at same-center properties, and placing the newly constructed residential rental units at Santana Row and retail development at Assembly Square into service.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Income to minority partners decreased $0.4 million, or 14.2% to $2.4 million in the six months ended June 30, 2006 from $2.8 million in the six months ended June 30, 2005. This decrease is due primarily to a decrease in the interest held by minority partners partially offset by an increase in earnings at properties held in non-wholly owned partnerships.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Discontinued Operations</w:t>
      </w:r>
    </w:p>
    <w:p>
      <w:pPr>
        <w:spacing w:after="0" w:line="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Loss from discontinued operations represents the operating loss of properties that have been disposed, which is required to be reported separately from results of ongoing operations. The reported operating loss of $0.1 million and $0.3 million in the six months ended June 30, 2006 and 2005, respectively, represent the operating loss for the period during which we owned properties sold in 2006 and 2005. The loss for 2005 includes an unfavorable change in estimated real estate taxes recorded in June 2005. This change in estimate resulted from receiving final real estate tax assessments for the condominiums sold at Santana Row that were greater than our estimated accrual.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gain on sale of real estate in 2006 increased $15.9 million to $23.8 million in the six months ended June 30, 2006 compared to $7.9 million in the six months ended June 30, 2005. All of the properties sold in the six months ended June 30, 2006 (Greenlawn Plaza and condominiums at Santana Row) and the six months ended June 30, 2005 (properties in Tempe, Arizona and Winter Park, Florida) resulted in gains.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operate our business on an asset management model, where property management teams are responsible for a portfolio of assets. We manage our portfolio as two operating regions: East and West. Property management teams consist of regional directors, leasing agents, development staff and financial personnel, each of whom has responsibility for a distinct portfolio.</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following table provides selected key segment data for the six months ended June 30, 2006 and 2005. The results of properties classified as discontinued operations have been excluded from the table.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9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r>
      <w:tr>
        <w:trPr>
          <w:trHeight w:val="142"/>
        </w:trPr>
        <w:tc>
          <w:tcPr>
            <w:tcW w:w="9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ind w:left="520"/>
              <w:spacing w:after="0" w:line="142" w:lineRule="exact"/>
              <w:rPr>
                <w:sz w:val="20"/>
                <w:szCs w:val="20"/>
                <w:color w:val="auto"/>
              </w:rPr>
            </w:pPr>
            <w:r>
              <w:rPr>
                <w:rFonts w:ascii="Arial" w:cs="Arial" w:eastAsia="Arial" w:hAnsi="Arial"/>
                <w:sz w:val="14"/>
                <w:szCs w:val="14"/>
                <w:b w:val="1"/>
                <w:bCs w:val="1"/>
                <w:color w:val="auto"/>
                <w:w w:val="93"/>
              </w:rPr>
              <w:t>(In</w:t>
            </w:r>
          </w:p>
        </w:tc>
        <w:tc>
          <w:tcPr>
            <w:tcW w:w="1280" w:type="dxa"/>
            <w:vAlign w:val="bottom"/>
            <w:gridSpan w:val="3"/>
          </w:tcPr>
          <w:p>
            <w:pPr>
              <w:jc w:val="right"/>
              <w:ind w:right="534"/>
              <w:spacing w:after="0" w:line="142" w:lineRule="exact"/>
              <w:rPr>
                <w:sz w:val="20"/>
                <w:szCs w:val="20"/>
                <w:color w:val="auto"/>
              </w:rPr>
            </w:pPr>
            <w:r>
              <w:rPr>
                <w:rFonts w:ascii="Arial" w:cs="Arial" w:eastAsia="Arial" w:hAnsi="Arial"/>
                <w:sz w:val="14"/>
                <w:szCs w:val="14"/>
                <w:b w:val="1"/>
                <w:bCs w:val="1"/>
                <w:color w:val="auto"/>
                <w:w w:val="84"/>
              </w:rPr>
              <w:t>thousands)</w:t>
            </w:r>
          </w:p>
        </w:tc>
        <w:tc>
          <w:tcPr>
            <w:tcW w:w="140" w:type="dxa"/>
            <w:vAlign w:val="bottom"/>
          </w:tcPr>
          <w:p>
            <w:pPr>
              <w:spacing w:after="0"/>
              <w:rPr>
                <w:sz w:val="12"/>
                <w:szCs w:val="12"/>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East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12"/>
              <w:spacing w:after="0"/>
              <w:rPr>
                <w:sz w:val="20"/>
                <w:szCs w:val="20"/>
                <w:color w:val="auto"/>
              </w:rPr>
            </w:pPr>
            <w:r>
              <w:rPr>
                <w:rFonts w:ascii="Arial" w:cs="Arial" w:eastAsia="Arial" w:hAnsi="Arial"/>
                <w:sz w:val="18"/>
                <w:szCs w:val="18"/>
                <w:color w:val="auto"/>
              </w:rPr>
              <w:t>162,669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152,944</w:t>
            </w: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166,429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156,126</w:t>
            </w: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Property operating income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12"/>
              <w:spacing w:after="0"/>
              <w:rPr>
                <w:sz w:val="20"/>
                <w:szCs w:val="20"/>
                <w:color w:val="auto"/>
              </w:rPr>
            </w:pPr>
            <w:r>
              <w:rPr>
                <w:rFonts w:ascii="Arial" w:cs="Arial" w:eastAsia="Arial" w:hAnsi="Arial"/>
                <w:sz w:val="18"/>
                <w:szCs w:val="18"/>
                <w:color w:val="auto"/>
              </w:rPr>
              <w:t>120,160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110,795</w:t>
            </w: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72.2%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12"/>
              <w:spacing w:after="0"/>
              <w:rPr>
                <w:sz w:val="20"/>
                <w:szCs w:val="20"/>
                <w:color w:val="auto"/>
              </w:rPr>
            </w:pPr>
            <w:r>
              <w:rPr>
                <w:rFonts w:ascii="Arial" w:cs="Arial" w:eastAsia="Arial" w:hAnsi="Arial"/>
                <w:sz w:val="18"/>
                <w:szCs w:val="18"/>
                <w:color w:val="auto"/>
                <w:w w:val="84"/>
              </w:rPr>
              <w:t>1,393,298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1,328,329</w:t>
            </w: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leasable area (square feet)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15,074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14,999</w:t>
            </w:r>
          </w:p>
        </w:tc>
      </w:tr>
      <w:tr>
        <w:trPr>
          <w:trHeight w:val="323"/>
        </w:trPr>
        <w:tc>
          <w:tcPr>
            <w:tcW w:w="9200" w:type="dxa"/>
            <w:vAlign w:val="bottom"/>
          </w:tcPr>
          <w:p>
            <w:pPr>
              <w:spacing w:after="0"/>
              <w:rPr>
                <w:sz w:val="20"/>
                <w:szCs w:val="20"/>
                <w:color w:val="auto"/>
              </w:rPr>
            </w:pPr>
            <w:r>
              <w:rPr>
                <w:rFonts w:ascii="Arial" w:cs="Arial" w:eastAsia="Arial" w:hAnsi="Arial"/>
                <w:sz w:val="18"/>
                <w:szCs w:val="18"/>
                <w:color w:val="auto"/>
              </w:rPr>
              <w:t>West</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47,829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40,601</w:t>
            </w: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12"/>
              <w:spacing w:after="0"/>
              <w:rPr>
                <w:sz w:val="20"/>
                <w:szCs w:val="20"/>
                <w:color w:val="auto"/>
              </w:rPr>
            </w:pPr>
            <w:r>
              <w:rPr>
                <w:rFonts w:ascii="Arial" w:cs="Arial" w:eastAsia="Arial" w:hAnsi="Arial"/>
                <w:sz w:val="18"/>
                <w:szCs w:val="18"/>
                <w:color w:val="auto"/>
              </w:rPr>
              <w:t>50,696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44,119</w:t>
            </w: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33,560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28,731</w:t>
            </w: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100" w:type="dxa"/>
            <w:vAlign w:val="bottom"/>
          </w:tcPr>
          <w:p>
            <w:pPr>
              <w:spacing w:after="0"/>
              <w:rPr>
                <w:sz w:val="18"/>
                <w:szCs w:val="18"/>
                <w:color w:val="auto"/>
              </w:rPr>
            </w:pPr>
          </w:p>
        </w:tc>
        <w:tc>
          <w:tcPr>
            <w:tcW w:w="1180" w:type="dxa"/>
            <w:vAlign w:val="bottom"/>
            <w:gridSpan w:val="2"/>
          </w:tcPr>
          <w:p>
            <w:pPr>
              <w:jc w:val="right"/>
              <w:ind w:right="272"/>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65.1%</w:t>
            </w: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877,499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900,704</w:t>
            </w:r>
          </w:p>
        </w:tc>
      </w:tr>
      <w:tr>
        <w:trPr>
          <w:trHeight w:val="222"/>
        </w:trPr>
        <w:tc>
          <w:tcPr>
            <w:tcW w:w="9200" w:type="dxa"/>
            <w:vAlign w:val="bottom"/>
          </w:tcPr>
          <w:p>
            <w:pPr>
              <w:ind w:left="440"/>
              <w:spacing w:after="0"/>
              <w:rPr>
                <w:sz w:val="20"/>
                <w:szCs w:val="20"/>
                <w:color w:val="auto"/>
              </w:rPr>
            </w:pPr>
            <w:r>
              <w:rPr>
                <w:rFonts w:ascii="Arial" w:cs="Arial" w:eastAsia="Arial" w:hAnsi="Arial"/>
                <w:sz w:val="18"/>
                <w:szCs w:val="18"/>
                <w:color w:val="auto"/>
              </w:rPr>
              <w:t>Gross leasable area (square feet)</w:t>
            </w:r>
          </w:p>
        </w:tc>
        <w:tc>
          <w:tcPr>
            <w:tcW w:w="100" w:type="dxa"/>
            <w:vAlign w:val="bottom"/>
          </w:tcPr>
          <w:p>
            <w:pPr>
              <w:spacing w:after="0"/>
              <w:rPr>
                <w:sz w:val="19"/>
                <w:szCs w:val="19"/>
                <w:color w:val="auto"/>
              </w:rPr>
            </w:pPr>
          </w:p>
        </w:tc>
        <w:tc>
          <w:tcPr>
            <w:tcW w:w="1180" w:type="dxa"/>
            <w:vAlign w:val="bottom"/>
            <w:gridSpan w:val="2"/>
          </w:tcPr>
          <w:p>
            <w:pPr>
              <w:jc w:val="right"/>
              <w:ind w:right="412"/>
              <w:spacing w:after="0"/>
              <w:rPr>
                <w:sz w:val="20"/>
                <w:szCs w:val="20"/>
                <w:color w:val="auto"/>
              </w:rPr>
            </w:pPr>
            <w:r>
              <w:rPr>
                <w:rFonts w:ascii="Arial" w:cs="Arial" w:eastAsia="Arial" w:hAnsi="Arial"/>
                <w:sz w:val="18"/>
                <w:szCs w:val="18"/>
                <w:color w:val="auto"/>
              </w:rPr>
              <w:t>2,608</w:t>
            </w: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20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This measure is used internally to evaluate the performance of our regional operations, and we consider it to be a significant measure.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w:t>
      </w:r>
    </w:p>
    <w:p>
      <w:pPr>
        <w:spacing w:after="0" w:line="9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East region extends roughly from New England south through metropolitan Washington, D.C. and further south through Virginia and North Carolina. This region also includes several properties in Illinois and Michigan. As of June 30, 2006, the East region consisted of 71 properties and was 97.1% leased.</w:t>
      </w:r>
    </w:p>
    <w:p>
      <w:pPr>
        <w:spacing w:after="0" w:line="8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Rental income for the East region increased $9.7 million to $162.7 million in the six months ended June 30, 2006 compared to $152.9 million in the six months ended June 30, 2005 due primarily to the following:</w:t>
      </w:r>
    </w:p>
    <w:p>
      <w:pPr>
        <w:spacing w:after="0" w:line="51"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$3.7 million attributable to properties acquired in 2005 and 2006,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increase of $3.3 million at same-center properties due primarily to increased rental rates on new leases and increased occupancy.</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Property operating income for the East region increased $9.4 million due primarily to the increase in rental income discussed above partially offset by a $0.9 million increase in real estate tax expense. As a result of these changes, the ratio of property operating income to total revenue for the East region improved to 72.2% in the six months ended June 30, 2006 from 71.0% in the six months ended June 30,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West region extends from Texas to the West Coast. As of June 30, 2006, the West region consisted of 34 properties, including Santana Row, and was 94.1% leased.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Rental income for the West region increased $7.2 million to $47.8 million in the six months ended June 30, 2006 from $40.6 million in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2005 due primarily to the following:</w:t>
      </w:r>
    </w:p>
    <w:p>
      <w:pPr>
        <w:spacing w:after="0" w:line="84" w:lineRule="exact"/>
        <w:rPr>
          <w:sz w:val="20"/>
          <w:szCs w:val="20"/>
          <w:color w:val="auto"/>
        </w:rPr>
      </w:pPr>
    </w:p>
    <w:p>
      <w:pPr>
        <w:ind w:left="78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$3.9 million at Santana Row due primarily to leasing newly constructed residential units and increased rental rates on new retail leases,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$2.5 million attributable to the acquisition of Crow Canyon in December 2005.</w:t>
      </w:r>
    </w:p>
    <w:p>
      <w:pPr>
        <w:spacing w:after="0" w:line="171"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Property operating income for the West region increased $4.8 million due primarily to the increase in rental income discussed above partially offset by a $1.9 million increase in real estate taxes. As previously discussed, the increase in real estate taxes is due primarily to a favorable change in estimate for retail real estate taxes at Santana Row recorded in June 2005. As a result of these changes, the ratio of property operating income to total revenue for the West region improved to 66.2% in the six months ended June 30, 2006 from 65.1% in the six months ended June 30, 2005.</w:t>
      </w:r>
    </w:p>
    <w:p>
      <w:pPr>
        <w:spacing w:after="0" w:line="11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overall return on investment in our West region is significantly less than the overall return on investment in our East region. This is due primarily to the following factors:</w:t>
      </w:r>
    </w:p>
    <w:p>
      <w:pPr>
        <w:spacing w:after="0" w:line="51"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generally lower bases in our East properties,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current occupancy rates at Houston Street in San Antonio, Texas are below our portfolio average,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phasing into service of Santana Row.</w:t>
      </w:r>
    </w:p>
    <w:p>
      <w:pPr>
        <w:spacing w:after="0" w:line="17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We expect that returns on investment in our West region will continue to rise as Santana Row and Houston Street come into service, but that they will not necessarily rise to the same level of overall returns that are generated in our East region.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MONTHS ENDED JUNE 30, 2006 AND 2005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3"/>
                <w:szCs w:val="13"/>
                <w:color w:val="auto"/>
              </w:rPr>
            </w:pPr>
          </w:p>
        </w:tc>
        <w:tc>
          <w:tcPr>
            <w:tcW w:w="5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Dollars</w:t>
            </w:r>
          </w:p>
        </w:tc>
        <w:tc>
          <w:tcPr>
            <w:tcW w:w="280" w:type="dxa"/>
            <w:vAlign w:val="bottom"/>
          </w:tcPr>
          <w:p>
            <w:pPr>
              <w:spacing w:after="0"/>
              <w:rPr>
                <w:sz w:val="13"/>
                <w:szCs w:val="13"/>
                <w:color w:val="auto"/>
              </w:rPr>
            </w:pPr>
          </w:p>
        </w:tc>
        <w:tc>
          <w:tcPr>
            <w:tcW w:w="42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w:t>
            </w:r>
          </w:p>
        </w:tc>
        <w:tc>
          <w:tcPr>
            <w:tcW w:w="940" w:type="dxa"/>
            <w:vAlign w:val="bottom"/>
            <w:gridSpan w:val="3"/>
          </w:tcPr>
          <w:p>
            <w:pPr>
              <w:jc w:val="right"/>
              <w:ind w:right="75"/>
              <w:spacing w:after="0" w:line="142" w:lineRule="exact"/>
              <w:rPr>
                <w:sz w:val="20"/>
                <w:szCs w:val="20"/>
                <w:color w:val="auto"/>
              </w:rPr>
            </w:pPr>
            <w:r>
              <w:rPr>
                <w:rFonts w:ascii="Arial" w:cs="Arial" w:eastAsia="Arial" w:hAnsi="Arial"/>
                <w:sz w:val="14"/>
                <w:szCs w:val="14"/>
                <w:b w:val="1"/>
                <w:bCs w:val="1"/>
                <w:color w:val="auto"/>
              </w:rPr>
              <w:t>amounts in</w:t>
            </w:r>
          </w:p>
        </w:tc>
        <w:tc>
          <w:tcPr>
            <w:tcW w:w="1140" w:type="dxa"/>
            <w:vAlign w:val="bottom"/>
            <w:gridSpan w:val="4"/>
          </w:tcPr>
          <w:p>
            <w:pPr>
              <w:jc w:val="right"/>
              <w:ind w:right="640"/>
              <w:spacing w:after="0"/>
              <w:rPr>
                <w:sz w:val="20"/>
                <w:szCs w:val="20"/>
                <w:color w:val="auto"/>
              </w:rPr>
            </w:pPr>
            <w:r>
              <w:rPr>
                <w:rFonts w:ascii="Arial" w:cs="Arial" w:eastAsia="Arial" w:hAnsi="Arial"/>
                <w:sz w:val="12"/>
                <w:szCs w:val="12"/>
                <w:b w:val="1"/>
                <w:bCs w:val="1"/>
                <w:color w:val="auto"/>
                <w:w w:val="74"/>
              </w:rPr>
              <w:t>thousands)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105,533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$ 95,762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9,771</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Other property income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1,862</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2,042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1"/>
        </w:trPr>
        <w:tc>
          <w:tcPr>
            <w:tcW w:w="8120" w:type="dxa"/>
            <w:vAlign w:val="bottom"/>
          </w:tcPr>
          <w:p>
            <w:pPr>
              <w:ind w:left="440"/>
              <w:spacing w:after="0"/>
              <w:rPr>
                <w:sz w:val="20"/>
                <w:szCs w:val="20"/>
                <w:color w:val="auto"/>
              </w:rPr>
            </w:pPr>
            <w:r>
              <w:rPr>
                <w:rFonts w:ascii="Arial" w:cs="Arial" w:eastAsia="Arial" w:hAnsi="Arial"/>
                <w:sz w:val="18"/>
                <w:szCs w:val="18"/>
                <w:color w:val="auto"/>
              </w:rPr>
              <w:t>Total property revenue</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108,744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99,253</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9,491</w:t>
            </w:r>
          </w:p>
        </w:tc>
        <w:tc>
          <w:tcPr>
            <w:tcW w:w="2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8"/>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8120" w:type="dxa"/>
            <w:vAlign w:val="bottom"/>
          </w:tcPr>
          <w:p>
            <w:pPr>
              <w:spacing w:after="0"/>
              <w:rPr>
                <w:sz w:val="20"/>
                <w:szCs w:val="20"/>
                <w:color w:val="auto"/>
              </w:rPr>
            </w:pPr>
            <w:r>
              <w:rPr>
                <w:rFonts w:ascii="Arial" w:cs="Arial" w:eastAsia="Arial" w:hAnsi="Arial"/>
                <w:sz w:val="18"/>
                <w:szCs w:val="18"/>
                <w:color w:val="auto"/>
              </w:rPr>
              <w:t>Real estate taxes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w:t>
            </w:r>
          </w:p>
        </w:tc>
        <w:tc>
          <w:tcPr>
            <w:tcW w:w="2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expenses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28,106</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1"/>
        </w:trPr>
        <w:tc>
          <w:tcPr>
            <w:tcW w:w="8120" w:type="dxa"/>
            <w:vAlign w:val="bottom"/>
          </w:tcPr>
          <w:p>
            <w:pPr>
              <w:ind w:left="880"/>
              <w:spacing w:after="0"/>
              <w:rPr>
                <w:sz w:val="20"/>
                <w:szCs w:val="20"/>
                <w:color w:val="auto"/>
              </w:rPr>
            </w:pPr>
            <w:r>
              <w:rPr>
                <w:rFonts w:ascii="Arial" w:cs="Arial" w:eastAsia="Arial" w:hAnsi="Arial"/>
                <w:sz w:val="18"/>
                <w:szCs w:val="18"/>
                <w:color w:val="auto"/>
              </w:rPr>
              <w:t>Property operating income</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77,954</w:t>
            </w:r>
          </w:p>
        </w:tc>
        <w:tc>
          <w:tcPr>
            <w:tcW w:w="1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71,147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6,807</w:t>
            </w:r>
          </w:p>
        </w:tc>
        <w:tc>
          <w:tcPr>
            <w:tcW w:w="2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8"/>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-74.6%</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2"/>
              </w:rPr>
              <w:t>(24,754)</w:t>
            </w:r>
          </w:p>
        </w:tc>
        <w:tc>
          <w:tcPr>
            <w:tcW w:w="1040" w:type="dxa"/>
            <w:vAlign w:val="bottom"/>
            <w:gridSpan w:val="3"/>
            <w:shd w:val="clear" w:color="auto" w:fill="CCEEFF"/>
          </w:tcPr>
          <w:p>
            <w:pPr>
              <w:jc w:val="right"/>
              <w:ind w:right="158"/>
              <w:spacing w:after="0"/>
              <w:rPr>
                <w:sz w:val="20"/>
                <w:szCs w:val="20"/>
                <w:color w:val="auto"/>
              </w:rPr>
            </w:pPr>
            <w:r>
              <w:rPr>
                <w:rFonts w:ascii="Arial" w:cs="Arial" w:eastAsia="Arial" w:hAnsi="Arial"/>
                <w:sz w:val="18"/>
                <w:szCs w:val="18"/>
                <w:color w:val="auto"/>
              </w:rPr>
              <w:t>(21,827)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(2,927)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80" w:type="dxa"/>
            <w:vAlign w:val="bottom"/>
          </w:tcPr>
          <w:p>
            <w:pPr>
              <w:spacing w:after="0"/>
              <w:rPr>
                <w:sz w:val="18"/>
                <w:szCs w:val="18"/>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(4,981)</w:t>
            </w:r>
          </w:p>
        </w:tc>
        <w:tc>
          <w:tcPr>
            <w:tcW w:w="1040" w:type="dxa"/>
            <w:vAlign w:val="bottom"/>
            <w:gridSpan w:val="3"/>
          </w:tcPr>
          <w:p>
            <w:pPr>
              <w:jc w:val="right"/>
              <w:ind w:right="158"/>
              <w:spacing w:after="0"/>
              <w:rPr>
                <w:sz w:val="20"/>
                <w:szCs w:val="20"/>
                <w:color w:val="auto"/>
              </w:rPr>
            </w:pPr>
            <w:r>
              <w:rPr>
                <w:rFonts w:ascii="Arial" w:cs="Arial" w:eastAsia="Arial" w:hAnsi="Arial"/>
                <w:sz w:val="18"/>
                <w:szCs w:val="18"/>
                <w:color w:val="auto"/>
              </w:rPr>
              <w:t>(4,982)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2"/>
              </w:rPr>
              <w:t>(24,172)</w:t>
            </w:r>
          </w:p>
        </w:tc>
        <w:tc>
          <w:tcPr>
            <w:tcW w:w="1040" w:type="dxa"/>
            <w:vAlign w:val="bottom"/>
            <w:gridSpan w:val="3"/>
            <w:shd w:val="clear" w:color="auto" w:fill="CCEEFF"/>
          </w:tcPr>
          <w:p>
            <w:pPr>
              <w:jc w:val="right"/>
              <w:ind w:right="158"/>
              <w:spacing w:after="0"/>
              <w:rPr>
                <w:sz w:val="20"/>
                <w:szCs w:val="20"/>
                <w:color w:val="auto"/>
              </w:rPr>
            </w:pPr>
            <w:r>
              <w:rPr>
                <w:rFonts w:ascii="Arial" w:cs="Arial" w:eastAsia="Arial" w:hAnsi="Arial"/>
                <w:sz w:val="18"/>
                <w:szCs w:val="18"/>
                <w:color w:val="auto"/>
              </w:rPr>
              <w:t>(22,242)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(1,930)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Total other, net</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w w:val="92"/>
              </w:rPr>
              <w:t>(53,386)</w:t>
            </w:r>
          </w:p>
        </w:tc>
        <w:tc>
          <w:tcPr>
            <w:tcW w:w="1040" w:type="dxa"/>
            <w:vAlign w:val="bottom"/>
            <w:gridSpan w:val="3"/>
          </w:tcPr>
          <w:p>
            <w:pPr>
              <w:jc w:val="right"/>
              <w:ind w:right="158"/>
              <w:spacing w:after="0"/>
              <w:rPr>
                <w:sz w:val="20"/>
                <w:szCs w:val="20"/>
                <w:color w:val="auto"/>
              </w:rPr>
            </w:pPr>
            <w:r>
              <w:rPr>
                <w:rFonts w:ascii="Arial" w:cs="Arial" w:eastAsia="Arial" w:hAnsi="Arial"/>
                <w:sz w:val="18"/>
                <w:szCs w:val="18"/>
                <w:color w:val="auto"/>
              </w:rPr>
              <w:t>(47,597)</w:t>
            </w: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(5,789)</w:t>
            </w:r>
          </w:p>
        </w:tc>
        <w:tc>
          <w:tcPr>
            <w:tcW w:w="5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 before minority interests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23,550</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Minority interests</w:t>
            </w:r>
          </w:p>
        </w:tc>
        <w:tc>
          <w:tcPr>
            <w:tcW w:w="80" w:type="dxa"/>
            <w:vAlign w:val="bottom"/>
          </w:tcPr>
          <w:p>
            <w:pPr>
              <w:spacing w:after="0"/>
              <w:rPr>
                <w:sz w:val="18"/>
                <w:szCs w:val="18"/>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(1,324)</w:t>
            </w:r>
          </w:p>
        </w:tc>
        <w:tc>
          <w:tcPr>
            <w:tcW w:w="1040" w:type="dxa"/>
            <w:vAlign w:val="bottom"/>
            <w:gridSpan w:val="3"/>
          </w:tcPr>
          <w:p>
            <w:pPr>
              <w:jc w:val="right"/>
              <w:ind w:right="158"/>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(22)</w:t>
            </w:r>
          </w:p>
        </w:tc>
        <w:tc>
          <w:tcPr>
            <w:tcW w:w="1040" w:type="dxa"/>
            <w:vAlign w:val="bottom"/>
            <w:gridSpan w:val="3"/>
            <w:shd w:val="clear" w:color="auto" w:fill="CCEEFF"/>
          </w:tcPr>
          <w:p>
            <w:pPr>
              <w:jc w:val="right"/>
              <w:ind w:right="158"/>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-97.9%</w:t>
            </w:r>
          </w:p>
        </w:tc>
        <w:tc>
          <w:tcPr>
            <w:tcW w:w="0" w:type="dxa"/>
            <w:vAlign w:val="bottom"/>
          </w:tcPr>
          <w:p>
            <w:pPr>
              <w:spacing w:after="0"/>
              <w:rPr>
                <w:sz w:val="1"/>
                <w:szCs w:val="1"/>
                <w:color w:val="auto"/>
              </w:rPr>
            </w:pPr>
          </w:p>
        </w:tc>
      </w:tr>
      <w:tr>
        <w:trPr>
          <w:trHeight w:val="223"/>
        </w:trPr>
        <w:tc>
          <w:tcPr>
            <w:tcW w:w="812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11,432</w:t>
            </w:r>
          </w:p>
        </w:tc>
        <w:tc>
          <w:tcPr>
            <w:tcW w:w="2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8"/>
              </w:rPr>
              <w:t>317.4%</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$ 24,807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13,449</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Total property revenue increased $9.5 million, or 9.6%, to $108.7 million in the three months ended June 30, 2006 compared to $99.3 million in the three months ended June 30, 2005. The percentage leased at our shopping centers increased to 96.7% at June 30, 2006 compared to 95.0% at June 30, 2005 due primarily to new leases signed at existing properties. Changes in the components of property revenue are discussed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Rental income consists primarily of minimum rent, cost recoveries from tenants, and percentage rent. Rental income increased $9.8 million, or 10.2%, to $105.5 million in the three months ended June 30, 2006 compared to $95.8 million in the three months ended June 30, 2005 due primarily to the following:</w:t>
      </w:r>
    </w:p>
    <w:p>
      <w:pPr>
        <w:spacing w:after="0" w:line="4"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$3.3 million at same-center properties due to increased rental rates on new leases and increased occupancy,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$3.3 million attributable to properties acquired in 2006 and 2005,</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$1.6 million at Santana Row due primarily to leasing newly constructed residential rental units,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$1.5 million at redevelopment properties due to increased occupancy and increased rental rates on new leases.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Other property income decreased $0.2 million, or 8.8%, to $1.9 million in the three months ended June 30, 2006 compared to $2.0 million in the three months ended June 30, 2005. Included in other property income are items which, although recurring, tend to fluctuate more than rental income from period to period, such as lease termination fees. This decrease is due primarily to a decrease in lease termination fees.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Total property expenses increased $2.7 million, or 9.5%, to $30.8 million in the three months ended June 30, 2006 compared to $28.1 million in the three months ended June 30, 2005.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increased $0.9 million, or 4.5%, to $20.3 million in the three months ended June 30, 2006 compared to $19.4 million in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2005. This increase is due primarily to the following:</w:t>
      </w:r>
    </w:p>
    <w:p>
      <w:pPr>
        <w:spacing w:after="0" w:line="84"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$0.7 million, attributable to properties acquired in 2005 and 2006,</w:t>
      </w:r>
    </w:p>
    <w:p>
      <w:pPr>
        <w:spacing w:after="0" w:line="90"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$0.5 million at Santana Row due primarily to higher repair, maintenance and other common area costs associated with the newly constructed residential rental units placed into service,</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of $0.7 million due to lower legal costs.</w:t>
      </w:r>
    </w:p>
    <w:p>
      <w:pPr>
        <w:spacing w:after="0" w:line="17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As a result of the changes in rental income, rental expenses and other property income described above, rental expenses as a percentage of rental income plus other property income decreased to 18.9% in the three months ended June 30, 2006 from 19.8% in the three months ended June 30,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Real estate tax expense increased $1.8 million, or 20.9%, to $10.5 million in the three months ended June 30, 2006 compared to $8.7 million in the three months ended June 30, 2005. This increase is due primarily to increased taxes of $1.6 million related to properties acquired and Santana Row. The increase at Santana Row is due primarily to a change in estimated real estate taxes recorded in June 2005. This change in estimate resulted from receiving final real estate tax assessments that decreased our real estate taxes for retail real estate and increased our real estate taxes for residential units at Santana Row by $1.1 million in 2005. The related residential units impacted by this change in estimate are being sold as condominiums and therefore, the increase in residential real estate taxes is included in discontinued operations as discussed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Property operating income increased $6.8 million, or 9.6%, to $78.0 million in the three months ended June 30, 2006 compared to $71.1 million in the three months ended June 30, 2005. This increase is due primarily to the following:</w:t>
      </w:r>
    </w:p>
    <w:p>
      <w:pPr>
        <w:spacing w:after="0" w:line="51"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growth in same-center earnings,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earnings attributable to properties acquired in 2005 and 2006,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growth in earnings at redevelopment properties.</w:t>
      </w:r>
    </w:p>
    <w:p>
      <w:pPr>
        <w:spacing w:after="0" w:line="17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Same-center property operating income increased 5.6%, or approximately $3.2 million, in the three months ended June 30, 2006 compared to the three months ended June 30, 2005. This increase is primarily due to increased rental income associated with new leases, higher real estate tax recoveries, and increased occupancy. When redevelopment and expansion properties are included with same-center results, property operating income increased by 5.9% in the three months ended June 30, 2006 compared to the three months ended June 30, 2005.</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Interest expense increased $2.9 million, or 13.4%, to $24.8 million in the three months ended June 30, 2006 compared to $21.8 million in the three months ended June 30, 2005. This increase is primarily due to an increase in interest rates on our variable rate debt, higher borrowings to finance our acquisitions and a decrease in capitalized interest. Gross interest costs were $25.4 million and $23.4 million in the three months ended June 30, 2006 and 2005, respectively. Capitalized interest amounted to $0.6 million and $1.6 million in the three months ended June 30, 2006 and June 30, 2005, respectively. Capitalized interest decreased due primarily to placing the newly constructed residential rental units at Santana Row and retail development at Assembly Square into service.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General and administrative expense was consistent at $5.0 million in the three months ended June 30, 2006 and 2005. This is primarily due to an increase in gross wages and benefits being offset by an increase in wages and benefits capitalized as a result of increased leasing, development, and redevelopment activities.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Depreciation and amortization expense increased $1.9 million, or 8.7%, to $24.2 million in the three months ended June 30, 2006 from $22.2 million in the three months ended June 30, 2005. This increase is due primarily to depreciation on improvements at same-center properties, acquired properties and placing the newly constructed residential rental units at Santana Row and retail development at Assembly Square into service.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Interests</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Income to minority partners was consistent at $1.3 million in the three months ended June 30, 2006 and 2005. This is due to a decrease in the interest held by minority partners offset by an increase in earnings at properties held in non-wholly owned partnerships.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Discontinued Operations</w:t>
      </w:r>
    </w:p>
    <w:p>
      <w:pPr>
        <w:spacing w:after="0" w:line="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Loss from discontinued operations represents the operating loss of properties that have been disposed, which is required to be reported separately from results of ongoing operations. The reported operating loss of less than $0.1 million and $1.1 million in the three months ended June 30, 2006 and 2005, respectively, represent the operating loss for the period during which we owned properties sold in 2006 and 2005. The loss for 2005 includes an unfavorable change in estimated real estate taxes recorded in June 2005. This change in estimate resulted from receiving final real estate tax assessments for the condominiums sold at Santana Row that were greater than our estimated accrual.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gain on sale of real estate in 2006 increased $11.4 million to $15.0 million in the three months ended June 30, 2006 compared to $3.6 million in the three months ended June 30, 2005. All of the properties sold in the three months ended June 30, 2006 (Greenlawn Plaza and condominiums at Santana Row) and the three months ended June 30, 2005 (two properties in Winter Park, Florida) resulted in gains.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operate our business on an asset management model, where property management teams are responsible for a portfolio of assets. We manage our portfolio as two operating regions: East and West. Property management teams consist of regional directors, leasing agents, development staff and financial personnel, each of whom has responsibility for a distinct portfolio.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table provides selected key segment data for the three months ended June 30, 2006 and 2005. The results of properties classified as discontinued operations have been excluded from the table.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3"/>
              </w:rPr>
              <w:t>Three Months Ended June 30,</w:t>
            </w:r>
          </w:p>
        </w:tc>
      </w:tr>
      <w:tr>
        <w:trPr>
          <w:trHeight w:val="142"/>
        </w:trPr>
        <w:tc>
          <w:tcPr>
            <w:tcW w:w="6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r>
      <w:tr>
        <w:trPr>
          <w:trHeight w:val="142"/>
        </w:trPr>
        <w:tc>
          <w:tcPr>
            <w:tcW w:w="6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6"/>
          </w:tcPr>
          <w:p>
            <w:pPr>
              <w:jc w:val="right"/>
              <w:ind w:right="840"/>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East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81,785</w:t>
            </w:r>
          </w:p>
        </w:tc>
        <w:tc>
          <w:tcPr>
            <w:tcW w:w="4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75,561</w:t>
            </w:r>
          </w:p>
        </w:tc>
        <w:tc>
          <w:tcPr>
            <w:tcW w:w="14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83,590</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77,118</w:t>
            </w:r>
          </w:p>
        </w:tc>
        <w:tc>
          <w:tcPr>
            <w:tcW w:w="140" w:type="dxa"/>
            <w:vAlign w:val="bottom"/>
            <w:shd w:val="clear" w:color="auto" w:fill="CCEEFF"/>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Property operating income (1)</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61,188</w:t>
            </w:r>
          </w:p>
        </w:tc>
        <w:tc>
          <w:tcPr>
            <w:tcW w:w="4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56,260</w:t>
            </w:r>
          </w:p>
        </w:tc>
        <w:tc>
          <w:tcPr>
            <w:tcW w:w="14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1,393,298</w:t>
            </w:r>
          </w:p>
        </w:tc>
        <w:tc>
          <w:tcPr>
            <w:tcW w:w="4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1,328,329</w:t>
            </w:r>
          </w:p>
        </w:tc>
        <w:tc>
          <w:tcPr>
            <w:tcW w:w="14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leasable area (square feet)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15,074</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14,999</w:t>
            </w:r>
          </w:p>
        </w:tc>
        <w:tc>
          <w:tcPr>
            <w:tcW w:w="140" w:type="dxa"/>
            <w:vAlign w:val="bottom"/>
            <w:shd w:val="clear" w:color="auto" w:fill="CCEEFF"/>
          </w:tcPr>
          <w:p>
            <w:pPr>
              <w:spacing w:after="0"/>
              <w:rPr>
                <w:sz w:val="18"/>
                <w:szCs w:val="18"/>
                <w:color w:val="auto"/>
              </w:rPr>
            </w:pPr>
          </w:p>
        </w:tc>
      </w:tr>
      <w:tr>
        <w:trPr>
          <w:trHeight w:val="323"/>
        </w:trPr>
        <w:tc>
          <w:tcPr>
            <w:tcW w:w="6220" w:type="dxa"/>
            <w:vAlign w:val="bottom"/>
          </w:tcPr>
          <w:p>
            <w:pPr>
              <w:spacing w:after="0"/>
              <w:rPr>
                <w:sz w:val="20"/>
                <w:szCs w:val="20"/>
                <w:color w:val="auto"/>
              </w:rPr>
            </w:pPr>
            <w:r>
              <w:rPr>
                <w:rFonts w:ascii="Arial" w:cs="Arial" w:eastAsia="Arial" w:hAnsi="Arial"/>
                <w:sz w:val="18"/>
                <w:szCs w:val="18"/>
                <w:color w:val="auto"/>
              </w:rPr>
              <w:t>West</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 income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23,748</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20,201</w:t>
            </w:r>
          </w:p>
        </w:tc>
        <w:tc>
          <w:tcPr>
            <w:tcW w:w="140" w:type="dxa"/>
            <w:vAlign w:val="bottom"/>
            <w:shd w:val="clear" w:color="auto" w:fill="CCEEFF"/>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25,154</w:t>
            </w:r>
          </w:p>
        </w:tc>
        <w:tc>
          <w:tcPr>
            <w:tcW w:w="4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22,135</w:t>
            </w:r>
          </w:p>
        </w:tc>
        <w:tc>
          <w:tcPr>
            <w:tcW w:w="14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(1)</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16,766</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14,887</w:t>
            </w:r>
          </w:p>
        </w:tc>
        <w:tc>
          <w:tcPr>
            <w:tcW w:w="140" w:type="dxa"/>
            <w:vAlign w:val="bottom"/>
            <w:shd w:val="clear" w:color="auto" w:fill="CCEEFF"/>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66.7%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67.3%</w:t>
            </w: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877,499</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900,704</w:t>
            </w:r>
          </w:p>
        </w:tc>
        <w:tc>
          <w:tcPr>
            <w:tcW w:w="140" w:type="dxa"/>
            <w:vAlign w:val="bottom"/>
            <w:shd w:val="clear" w:color="auto" w:fill="CCEEFF"/>
          </w:tcPr>
          <w:p>
            <w:pPr>
              <w:spacing w:after="0"/>
              <w:rPr>
                <w:sz w:val="18"/>
                <w:szCs w:val="18"/>
                <w:color w:val="auto"/>
              </w:rPr>
            </w:pPr>
          </w:p>
        </w:tc>
      </w:tr>
      <w:tr>
        <w:trPr>
          <w:trHeight w:val="222"/>
        </w:trPr>
        <w:tc>
          <w:tcPr>
            <w:tcW w:w="6220" w:type="dxa"/>
            <w:vAlign w:val="bottom"/>
          </w:tcPr>
          <w:p>
            <w:pPr>
              <w:ind w:left="440"/>
              <w:spacing w:after="0"/>
              <w:rPr>
                <w:sz w:val="20"/>
                <w:szCs w:val="20"/>
                <w:color w:val="auto"/>
              </w:rPr>
            </w:pPr>
            <w:r>
              <w:rPr>
                <w:rFonts w:ascii="Arial" w:cs="Arial" w:eastAsia="Arial" w:hAnsi="Arial"/>
                <w:sz w:val="18"/>
                <w:szCs w:val="18"/>
                <w:color w:val="auto"/>
              </w:rPr>
              <w:t>Gross leasable area (square feet)</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2,608</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2,368</w:t>
            </w: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14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This measure is used internally to evaluate the performance of our regional operations, and we consider it to be a significant measure.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Rental income for the East region increased $6.2 million to $81.8 million in the three months ended June 30, 2006 compared to $75.6 million in the three months ended June 30, 2005 due primarily to the following:</w:t>
      </w:r>
    </w:p>
    <w:p>
      <w:pPr>
        <w:spacing w:after="0" w:line="51"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of $2.4 million at same-center properties due to increased rental rates on new leases and increased occupancy,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of $1.8 million at redevelopment properties due to increased rental rates on new leases and increased occupancy.</w:t>
      </w:r>
    </w:p>
    <w:p>
      <w:pPr>
        <w:spacing w:after="0" w:line="171"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Property operating income for the East region increased $4.9 million due primarily to the increase in rental income discussed above partially offset by a $1.0 million increase in rental expenses due primarily to increased occupancy at redevelopment properties. As a result of these changes, the ratio of property operating income to total revenue for the East region improved to 73.2% in the three months ended June 30, 2006 from 73.0% in the three months ended June 30, 2005.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income for the West region increased $3.5 million to $23.7 million in the three months ended June 30, 2006 from $20.2 million in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2005 due primarily to the following:</w:t>
      </w:r>
    </w:p>
    <w:p>
      <w:pPr>
        <w:spacing w:after="0" w:line="84" w:lineRule="exact"/>
        <w:rPr>
          <w:sz w:val="20"/>
          <w:szCs w:val="20"/>
          <w:color w:val="auto"/>
        </w:rPr>
      </w:pPr>
    </w:p>
    <w:p>
      <w:pPr>
        <w:ind w:left="780" w:right="6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of $1.6 million at Santana Row due primarily to leasing newly constructed residential units and increased rental rates on new retail leases,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of $1.3 million attributable to the acquisition of Crow Canyon in December 2005.</w:t>
      </w:r>
    </w:p>
    <w:p>
      <w:pPr>
        <w:spacing w:after="0" w:line="171"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Property operating income for the West region increased $1.9 million due primarily to the increase in rental income discussed above partially offset by a $1.3 million increase in real estate taxes. As previously discussed, the increase in real estate taxes is due primarily to a favorable change in estimate for retail real estate taxes at Santana Row recorded in June 2005. As a result of these changes, the ratio of property operating income to total revenue for the West region decreased to 66.7% in the three months ended June 30, 2006 from 67.3% in the three months ended June 30, 2005.</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Due to the nature of our business and strategy, we generally generate significant amounts of cash from operations. The cash generated from operations is primarily paid to our shareholders in the form of dividends. Our status as a REIT requires that we distribute at least 90% of our REIT taxable income (including net capital gain) each year, as defined in the Code.</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short-term liquidity requirements consist primarily of obligations under our capital and operating leases, normal recurring operating expenses, regular debt service requirements (including debt service relating to additional or replacement debt, as well as scheduled debt maturities), recurring trust expenditures, non-recurring trust expenditures (such as tenant improvements and redevelopments) and dividends to common and preferred shareholders. Overall capital requirements in 2006 will depend upon acquisition opportunities, the level of improvements and redevelopments on existing properties and the timing and cost of development of future phases of existing properties.</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Our long-term capital requirements consist primarily of maturities under our long-term debt, development and redevelopment costs and potential acquisitions. We expect to fund these through a combination of sources which we believe will be available to us, including additional and replacement secured and unsecured borrowings, issuance of additional equity, joint venture relationships relating to existing properties or new acquisitions, and property dispositions.</w:t>
      </w:r>
    </w:p>
    <w:p>
      <w:pPr>
        <w:spacing w:after="0" w:line="10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cash needed to execute our strategy and invest in new properties, as well as to pay our debt at maturity, must come from one or more of the following sources:</w:t>
      </w:r>
    </w:p>
    <w:p>
      <w:pPr>
        <w:spacing w:after="0" w:line="51"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provided by operations that is not distributed to shareholders,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proceeds from the issuance of new debt or equity securities,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proceeds from property dispositions.</w:t>
      </w:r>
    </w:p>
    <w:p>
      <w:pPr>
        <w:spacing w:after="0" w:line="17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It is management’s intention that we continually have access to the capital resources necessary to expand and develop our business. As a result, we intend to operate with and maintain a conservative capital structure that will allow us to maintain strong debt service coverage and fixed-charge coverage ratios as part of our commitment to investment-grade debt ratings. We may, from time to time, seek to obtain funds by the following means:</w:t>
      </w:r>
    </w:p>
    <w:p>
      <w:pPr>
        <w:spacing w:after="0" w:line="26"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equity offerings,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unsecured debt financing and/or mortgage financings, and</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debt and equity alternatives, including formation of joint ventures, in a manner consistent with our intention to operate with a conservative debt structure.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could affect our ability to meet our liquidity requirements:</w:t>
      </w:r>
    </w:p>
    <w:p>
      <w:pPr>
        <w:spacing w:after="0" w:line="90" w:lineRule="exact"/>
        <w:rPr>
          <w:sz w:val="20"/>
          <w:szCs w:val="20"/>
          <w:color w:val="auto"/>
        </w:rPr>
      </w:pPr>
    </w:p>
    <w:p>
      <w:pPr>
        <w:ind w:left="780" w:right="8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obtain debt or equity financing on favorable terms, or at all, as a result of our financial condition or market conditions at the time we seek additional financing;</w:t>
      </w:r>
    </w:p>
    <w:p>
      <w:pPr>
        <w:spacing w:after="0" w:line="5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stock equity may prohibit us from incurring debt or issuing equity under certain circumstances, or on acceptable terms under then-prevailing market conditions;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were $14.0 million at June 30, 2006. Cash and cash equivalents are not a good indicator of our liquidity. On June 30, 2006 we had a</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$300 million revolving credit facility that was scheduled to mature in October 2006. On July 28, 2006 we replaced this revolving credit facility with a new $300.0 million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unsecured credit facility that matures July 28, 2010, subject to a one-year extension at our option. We intend to utilize our revolving credit facility to finance the initially acquisition of properties and meet other short-term working capital requirements.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8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4"/>
          </w:tcPr>
          <w:p>
            <w:pPr>
              <w:jc w:val="right"/>
              <w:ind w:right="395"/>
              <w:spacing w:after="0" w:line="142" w:lineRule="exact"/>
              <w:rPr>
                <w:sz w:val="20"/>
                <w:szCs w:val="20"/>
                <w:color w:val="auto"/>
              </w:rPr>
            </w:pPr>
            <w:r>
              <w:rPr>
                <w:rFonts w:ascii="Arial" w:cs="Arial" w:eastAsia="Arial" w:hAnsi="Arial"/>
                <w:sz w:val="14"/>
                <w:szCs w:val="14"/>
                <w:b w:val="1"/>
                <w:bCs w:val="1"/>
                <w:color w:val="auto"/>
                <w:w w:val="82"/>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93,798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89,145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w w:val="89"/>
              </w:rPr>
              <w:t>(17,875)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(99,439)</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9"/>
              </w:rPr>
              <w:t>(70,520)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5,403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(16,850)</w:t>
            </w:r>
          </w:p>
        </w:tc>
        <w:tc>
          <w:tcPr>
            <w:tcW w:w="0" w:type="dxa"/>
            <w:vAlign w:val="bottom"/>
          </w:tcPr>
          <w:p>
            <w:pPr>
              <w:spacing w:after="0"/>
              <w:rPr>
                <w:sz w:val="1"/>
                <w:szCs w:val="1"/>
                <w:color w:val="auto"/>
              </w:rPr>
            </w:pPr>
          </w:p>
        </w:tc>
      </w:tr>
      <w:tr>
        <w:trPr>
          <w:trHeight w:val="218"/>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14,042</w:t>
            </w:r>
          </w:p>
        </w:tc>
        <w:tc>
          <w:tcPr>
            <w:tcW w:w="2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13,625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Net cash provided by operating activities increased by $4.7 million to $93.8 million during the six months ended June 30, 2006 from $89.1 million during the six months ended June 30, 2005. The increase was primarily attributable to:</w:t>
      </w:r>
    </w:p>
    <w:p>
      <w:pPr>
        <w:spacing w:after="0" w:line="51"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$2.4 million decrease in cash used for working capital due primarily to lower accounts receivable partially offset by higher prepaid expenses,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$2.3 million higher net income before gain on sale of real estate, depreciation and amortization, minority interest, and other non-cash expenses.</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cash used in investing activities decreased approximately $81.6 million to $17.9 million during the six months ended June 30, 2006 from $99.4 million during the six months ended June 30, 2005. The decrease was primarily attributable to:</w:t>
      </w:r>
    </w:p>
    <w:p>
      <w:pPr>
        <w:spacing w:after="0" w:line="51"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$51.0 million increase in proceeds from the sale of real estate,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$34.1 million decrease in acquisitions of real estate,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$10.3 million decrease in capital expenditures due primarily to lower development and redevelopment expenditures,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$8.5 million net proceeds from mortgage and other notes receivable due primarily to a $7.5 million early repayment received in 2005,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$4.9 million increase in net contributions to real estate partnership due primarily to additional acquisitions by the real estate partnership.</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Net cash used in financing activities increased approximately $64.0 million to $70.5 million during the six months ended June 30, 2006 from $6.6 million during the six months ended June 30, 2005. The increase was primarily attributable to:</w:t>
      </w:r>
    </w:p>
    <w:p>
      <w:pPr>
        <w:spacing w:after="0" w:line="51"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$40.5 million repayment of senior note,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$16.5 million increase in dividends paid to shareholders,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$4.1 million decrease in proceeds from the issuance of common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Other than the joint venture funding commitments described in the next paragraph and items disclosed in the Contractual Commitments Table below, we have no off-balance sheet arrangements as of June 30, 2006 that are reasonably likely to have a current or future material effect on our financial condition, changes in our financial condition, revenues or expenses, results of operations, liquidity, capital expenditures or capital resources.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July 2004, we entered into a joint venture arrangement (“the Partnership”) by forming a limited partnership with affiliates of Clarion Lion Properties Fund (“Clarion”), a discretionary fund created and advised by ING Clarion Partners. We own 30% of the equity in the Partnership, and Clarion owns 70%. The Partnership plans to acquire up to $350 million of stabilized, supermarket-anchored, shopping centers in the Trust’s East and West regions. Federal Realty and Clarion have committed to contribute to the Partnership up to $37 million and $86 million, respectively, of equity capital to acquire properties. No assurances can be made that we will identify properties that meet the acquisition requirements of the Partnership. We are the manager of the Partnership and its properties, earning fees for acquisitions, management, leasing, and financing. We also have the opportunity to receive performance-based earnings through our Partnership interest. We account for our interest in the Partnership using the equity method. In total, at June 30, 2006, the Partnership had $77.4 million of mortgage notes outstanding.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Commitments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provides a summary of our fixed, noncancelable obligations as of June 30,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412"/>
              <w:spacing w:after="0"/>
              <w:rPr>
                <w:sz w:val="20"/>
                <w:szCs w:val="20"/>
                <w:color w:val="auto"/>
              </w:rPr>
            </w:pPr>
            <w:r>
              <w:rPr>
                <w:rFonts w:ascii="Arial" w:cs="Arial" w:eastAsia="Arial" w:hAnsi="Arial"/>
                <w:sz w:val="14"/>
                <w:szCs w:val="14"/>
                <w:b w:val="1"/>
                <w:bCs w:val="1"/>
                <w:color w:val="auto"/>
                <w:w w:val="99"/>
              </w:rPr>
              <w:t>Commitments Due by Period</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7"/>
              </w:rPr>
              <w:t>Remainder of</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940" w:type="dxa"/>
            <w:vAlign w:val="bottom"/>
          </w:tcPr>
          <w:p>
            <w:pPr>
              <w:spacing w:after="0"/>
              <w:rPr>
                <w:sz w:val="14"/>
                <w:szCs w:val="14"/>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2007-2008</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2009-2010</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1"/>
              </w:rPr>
              <w:t>After 2010</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thousands)</w:t>
            </w: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Current and long-term debt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$1,247,097</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203,823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$318,647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$189,401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$535,226</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Capital lease obligations, principal only</w:t>
            </w:r>
          </w:p>
        </w:tc>
        <w:tc>
          <w:tcPr>
            <w:tcW w:w="800" w:type="dxa"/>
            <w:vAlign w:val="bottom"/>
          </w:tcPr>
          <w:p>
            <w:pPr>
              <w:jc w:val="right"/>
              <w:spacing w:after="0"/>
              <w:rPr>
                <w:sz w:val="20"/>
                <w:szCs w:val="20"/>
                <w:color w:val="auto"/>
              </w:rPr>
            </w:pPr>
            <w:r>
              <w:rPr>
                <w:rFonts w:ascii="Arial" w:cs="Arial" w:eastAsia="Arial" w:hAnsi="Arial"/>
                <w:sz w:val="18"/>
                <w:szCs w:val="18"/>
                <w:color w:val="auto"/>
              </w:rPr>
              <w:t>148,211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626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2,792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3,449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141,344</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262,645</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Real estate commitments</w:t>
            </w:r>
          </w:p>
        </w:tc>
        <w:tc>
          <w:tcPr>
            <w:tcW w:w="800" w:type="dxa"/>
            <w:vAlign w:val="bottom"/>
          </w:tcPr>
          <w:p>
            <w:pPr>
              <w:jc w:val="right"/>
              <w:spacing w:after="0"/>
              <w:rPr>
                <w:sz w:val="20"/>
                <w:szCs w:val="20"/>
                <w:color w:val="auto"/>
              </w:rPr>
            </w:pPr>
            <w:r>
              <w:rPr>
                <w:rFonts w:ascii="Arial" w:cs="Arial" w:eastAsia="Arial" w:hAnsi="Arial"/>
                <w:sz w:val="18"/>
                <w:szCs w:val="18"/>
                <w:color w:val="auto"/>
              </w:rPr>
              <w:t>134,096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68,090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6,006</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Development and redevelopment obligations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54,914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42,606</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Restaurant joint ventures</w:t>
            </w: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68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Contractual operating obligations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Total contractual cash obligations</w:t>
            </w: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1,917,037</w:t>
            </w:r>
          </w:p>
        </w:tc>
        <w:tc>
          <w:tcPr>
            <w:tcW w:w="2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334,074</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381,689</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202,059</w:t>
            </w: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999,215</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amounts set forth in the table above, the following potential commitments exist:</w:t>
      </w:r>
    </w:p>
    <w:p>
      <w:pPr>
        <w:spacing w:after="0" w:line="90" w:lineRule="exact"/>
        <w:rPr>
          <w:sz w:val="20"/>
          <w:szCs w:val="20"/>
          <w:color w:val="auto"/>
        </w:rPr>
      </w:pPr>
    </w:p>
    <w:p>
      <w:pPr>
        <w:ind w:left="460" w:right="40" w:hanging="452"/>
        <w:spacing w:after="0" w:line="256"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Under the terms of the Congressional Plaza partnership agreement, from and after January 1, 1986, an unaffiliated third party has the right to require us and the two other minority partners to purchase between one-half to all of its 29.47% interest in Congressional Plaza at the interest’s then-current fair market value. Based on management’s current estimate of fair market value as of June 30, 2006, our estimated maximum liability upon exercise of the put option would range from approximately $40 million to $45 million.</w:t>
      </w:r>
    </w:p>
    <w:p>
      <w:pPr>
        <w:spacing w:after="0" w:line="62" w:lineRule="exact"/>
        <w:rPr>
          <w:rFonts w:ascii="Arial" w:cs="Arial" w:eastAsia="Arial" w:hAnsi="Arial"/>
          <w:sz w:val="18"/>
          <w:szCs w:val="18"/>
          <w:color w:val="auto"/>
        </w:rPr>
      </w:pPr>
    </w:p>
    <w:p>
      <w:pPr>
        <w:ind w:left="460" w:right="20" w:hanging="452"/>
        <w:spacing w:after="0" w:line="294"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Under the terms of two other partnerships which own properties in southern California with a cost of approximately $29.0 million, if certain leasing and revenue levels are obtained for the properties owned by the partnerships, the other partners may require us to purchase their partnership interests at a formula price based upon property operating income. The purchase price for one of the partnerships will be paid in cash and the purchase price for the other partnership will be paid using our common shares or, subject to certain conditions, cash. In those partnerships, if the other partners do not redeem their interests, we may choose to purchase the limited partnership interests upon the same terms.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6"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Street Retail San Antonio LP, a wholly owned subsidiary of the Trust, entered into a Development Agreement (the “Agreement”) in 2000 with the City of San Antonio, Texas (the “City”) related to the redevelopment of land and buildings that we own along Houston Street. Under the Agreement, we are required to issue an annual letter of credit, commencing on October 1, 2002 and ending on September 30, 2014, that covers our designated portion of the debt service should the incremental tax revenue generated in the Zone not cover the debt service. We posted a letter of credit with the City on September 25, 2002 for $0.8 million, and the letter of credit remains outstanding. We estimate our total obligation under the Agreement to be in the range of $1.6 million to $3.0 million. As of June 30, 2006, we have funded approximately $1.1 million related to this obligation. In anticipation of further shortfalls of incremental tax revenues to the City, we have accrued approximately $0.4 million as of June 30, 2006 to cover additional payments we may be obligated to make as part of the project costs. Prior to the expiration of the Agreement on September 30, 2014, we could be required to provide funding beyond the $0.4 million currently accrued. However, we do not anticipate that our obligation would exceed $0.6 million in any year or $3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46" w:lineRule="exact"/>
        <w:rPr>
          <w:rFonts w:ascii="Arial" w:cs="Arial" w:eastAsia="Arial" w:hAnsi="Arial"/>
          <w:sz w:val="16"/>
          <w:szCs w:val="16"/>
          <w:color w:val="auto"/>
        </w:rPr>
      </w:pPr>
    </w:p>
    <w:p>
      <w:pPr>
        <w:ind w:left="460" w:right="480" w:hanging="452"/>
        <w:spacing w:after="0" w:line="332"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Under the terms of various other partnership agreements for entities, the partners have the right to exchange their operating units for cash or the same number of our common shares, at our option. As of June 30, 2006, a total of 402,210 operating units are outstanding.</w:t>
      </w:r>
    </w:p>
    <w:p>
      <w:pPr>
        <w:spacing w:after="0" w:line="4" w:lineRule="exact"/>
        <w:rPr>
          <w:rFonts w:ascii="Arial" w:cs="Arial" w:eastAsia="Arial" w:hAnsi="Arial"/>
          <w:sz w:val="16"/>
          <w:szCs w:val="16"/>
          <w:color w:val="auto"/>
        </w:rPr>
      </w:pPr>
    </w:p>
    <w:p>
      <w:pPr>
        <w:ind w:left="460" w:right="100" w:hanging="452"/>
        <w:spacing w:after="0" w:line="291"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addition to our contractual obligations, we have other short-term liquidity requirements consisting primarily of normal recurring operating expenses, regular debt service requirements (including debt service relating to additional and replacement debt), recurring corporate expenditures including compensation agreements, non-recurring corporate expenditures (such as tenant improvements and redevelopments) and dividends to common and preferred shareholders. In addition, future rental commitments are not reflected as commitments until the underlying leased space has been delivered for use. Overall capital requirements will depend upon acquisition opportunities, the level of improvements and redevelopments on existing properties and the timing and cost of future phases of Santana Row and Assembly Square.</w:t>
      </w:r>
    </w:p>
    <w:p>
      <w:pPr>
        <w:spacing w:after="0" w:line="39" w:lineRule="exact"/>
        <w:rPr>
          <w:rFonts w:ascii="Arial" w:cs="Arial" w:eastAsia="Arial" w:hAnsi="Arial"/>
          <w:sz w:val="16"/>
          <w:szCs w:val="16"/>
          <w:color w:val="auto"/>
        </w:rPr>
      </w:pPr>
    </w:p>
    <w:p>
      <w:pPr>
        <w:ind w:left="460" w:right="260" w:hanging="452"/>
        <w:spacing w:after="0" w:line="306"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are the guarantor for the “non-recourse carve outs” under mortgage notes totaling $36.7 million that are secured by three properties owned by subsidiaries of our unconsolidated joint venture with affiliates of Clarion Lion Properties Fund, a discretionary fund created and advised by ING Clarion Partners. We are not guaranteeing the debt itself. The joint venture indemnifies us for any loss we incur under these guarantees.</w:t>
      </w:r>
    </w:p>
    <w:p>
      <w:pPr>
        <w:spacing w:after="0" w:line="25" w:lineRule="exact"/>
        <w:rPr>
          <w:rFonts w:ascii="Arial" w:cs="Arial" w:eastAsia="Arial" w:hAnsi="Arial"/>
          <w:sz w:val="16"/>
          <w:szCs w:val="16"/>
          <w:color w:val="auto"/>
        </w:rPr>
      </w:pPr>
    </w:p>
    <w:p>
      <w:pPr>
        <w:ind w:left="460" w:right="60" w:hanging="452"/>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completion on or around September 2006, we expect to take possession of approximately 37,000 square feet of retail space under a capital lease. The term of the capital lease is 99 years from the date of possession and requires annual cash payments of approximately $374,000 and will be adjusted every 20 years based on the Consumer Price Index and other factors.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summary of our total debt outstanding as of June 30,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Original</w:t>
            </w:r>
          </w:p>
        </w:tc>
        <w:tc>
          <w:tcPr>
            <w:tcW w:w="1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Principal Balance</w:t>
            </w: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Interest Rate</w:t>
            </w:r>
          </w:p>
        </w:tc>
        <w:tc>
          <w:tcPr>
            <w:tcW w:w="15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Debt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as of</w:t>
            </w:r>
          </w:p>
        </w:tc>
        <w:tc>
          <w:tcPr>
            <w:tcW w:w="15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79"/>
              </w:rPr>
              <w:t>as of</w:t>
            </w:r>
          </w:p>
        </w:tc>
        <w:tc>
          <w:tcPr>
            <w:tcW w:w="1520" w:type="dxa"/>
            <w:vAlign w:val="bottom"/>
          </w:tcPr>
          <w:p>
            <w:pPr>
              <w:spacing w:after="0"/>
              <w:rPr>
                <w:sz w:val="12"/>
                <w:szCs w:val="12"/>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Description of Debt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Issued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June 30, 2006</w:t>
            </w: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June 30, 2006</w:t>
            </w:r>
          </w:p>
        </w:tc>
        <w:tc>
          <w:tcPr>
            <w:tcW w:w="1520" w:type="dxa"/>
            <w:vAlign w:val="bottom"/>
          </w:tcPr>
          <w:p>
            <w:pPr>
              <w:jc w:val="right"/>
              <w:ind w:right="253"/>
              <w:spacing w:after="0"/>
              <w:rPr>
                <w:sz w:val="20"/>
                <w:szCs w:val="20"/>
                <w:color w:val="auto"/>
              </w:rPr>
            </w:pPr>
            <w:r>
              <w:rPr>
                <w:rFonts w:ascii="Arial" w:cs="Arial" w:eastAsia="Arial" w:hAnsi="Arial"/>
                <w:sz w:val="14"/>
                <w:szCs w:val="14"/>
                <w:b w:val="1"/>
                <w:bCs w:val="1"/>
                <w:color w:val="auto"/>
              </w:rPr>
              <w:t>Maturity Date</w:t>
            </w:r>
          </w:p>
        </w:tc>
      </w:tr>
      <w:tr>
        <w:trPr>
          <w:trHeight w:val="27"/>
        </w:trPr>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gridSpan w:val="2"/>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6"/>
          </w:tcPr>
          <w:p>
            <w:pPr>
              <w:jc w:val="right"/>
              <w:ind w:right="800"/>
              <w:spacing w:after="0" w:line="149" w:lineRule="exact"/>
              <w:rPr>
                <w:sz w:val="20"/>
                <w:szCs w:val="20"/>
                <w:color w:val="auto"/>
              </w:rPr>
            </w:pPr>
            <w:r>
              <w:rPr>
                <w:rFonts w:ascii="Arial" w:cs="Arial" w:eastAsia="Arial" w:hAnsi="Arial"/>
                <w:sz w:val="14"/>
                <w:szCs w:val="14"/>
                <w:b w:val="1"/>
                <w:bCs w:val="1"/>
                <w:color w:val="auto"/>
              </w:rPr>
              <w:t>(Dollars in thousands)</w:t>
            </w: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Mortgage Loans (1)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Leesburg Plaza</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6.510%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 2008</w:t>
            </w:r>
          </w:p>
        </w:tc>
      </w:tr>
      <w:tr>
        <w:trPr>
          <w:trHeight w:val="216"/>
        </w:trPr>
        <w:tc>
          <w:tcPr>
            <w:tcW w:w="20" w:type="dxa"/>
            <w:vAlign w:val="bottom"/>
          </w:tcPr>
          <w:p>
            <w:pPr>
              <w:spacing w:after="0"/>
              <w:rPr>
                <w:sz w:val="18"/>
                <w:szCs w:val="18"/>
                <w:color w:val="auto"/>
              </w:rPr>
            </w:pPr>
          </w:p>
        </w:tc>
        <w:tc>
          <w:tcPr>
            <w:tcW w:w="5560" w:type="dxa"/>
            <w:vAlign w:val="bottom"/>
            <w:gridSpan w:val="2"/>
          </w:tcPr>
          <w:p>
            <w:pPr>
              <w:ind w:left="860"/>
              <w:spacing w:after="0"/>
              <w:rPr>
                <w:sz w:val="20"/>
                <w:szCs w:val="20"/>
                <w:color w:val="auto"/>
              </w:rPr>
            </w:pPr>
            <w:r>
              <w:rPr>
                <w:rFonts w:ascii="Arial" w:cs="Arial" w:eastAsia="Arial" w:hAnsi="Arial"/>
                <w:sz w:val="18"/>
                <w:szCs w:val="18"/>
                <w:color w:val="auto"/>
              </w:rPr>
              <w:t>164 E. Houston Street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w:t>
            </w:r>
          </w:p>
        </w:tc>
        <w:tc>
          <w:tcPr>
            <w:tcW w:w="38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7.500%</w:t>
            </w:r>
          </w:p>
        </w:tc>
        <w:tc>
          <w:tcPr>
            <w:tcW w:w="1520" w:type="dxa"/>
            <w:vAlign w:val="bottom"/>
          </w:tcPr>
          <w:p>
            <w:pPr>
              <w:jc w:val="right"/>
              <w:spacing w:after="0"/>
              <w:rPr>
                <w:sz w:val="20"/>
                <w:szCs w:val="20"/>
                <w:color w:val="auto"/>
              </w:rPr>
            </w:pPr>
            <w:r>
              <w:rPr>
                <w:rFonts w:ascii="Arial" w:cs="Arial" w:eastAsia="Arial" w:hAnsi="Arial"/>
                <w:sz w:val="18"/>
                <w:szCs w:val="18"/>
                <w:color w:val="auto"/>
              </w:rPr>
              <w:t>October 6, 2008</w:t>
            </w: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Mercer Mall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Acquired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8.375%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2009</w:t>
            </w:r>
          </w:p>
        </w:tc>
      </w:tr>
      <w:tr>
        <w:trPr>
          <w:trHeight w:val="216"/>
        </w:trPr>
        <w:tc>
          <w:tcPr>
            <w:tcW w:w="20" w:type="dxa"/>
            <w:vAlign w:val="bottom"/>
          </w:tcPr>
          <w:p>
            <w:pPr>
              <w:spacing w:after="0"/>
              <w:rPr>
                <w:sz w:val="18"/>
                <w:szCs w:val="18"/>
                <w:color w:val="auto"/>
              </w:rPr>
            </w:pPr>
          </w:p>
        </w:tc>
        <w:tc>
          <w:tcPr>
            <w:tcW w:w="5560" w:type="dxa"/>
            <w:vAlign w:val="bottom"/>
            <w:gridSpan w:val="2"/>
          </w:tcPr>
          <w:p>
            <w:pPr>
              <w:ind w:left="860"/>
              <w:spacing w:after="0"/>
              <w:rPr>
                <w:sz w:val="20"/>
                <w:szCs w:val="20"/>
                <w:color w:val="auto"/>
              </w:rPr>
            </w:pPr>
            <w:r>
              <w:rPr>
                <w:rFonts w:ascii="Arial" w:cs="Arial" w:eastAsia="Arial" w:hAnsi="Arial"/>
                <w:sz w:val="18"/>
                <w:szCs w:val="18"/>
                <w:color w:val="auto"/>
              </w:rPr>
              <w:t>Federal Plaza</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36,500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34,428</w:t>
            </w:r>
          </w:p>
        </w:tc>
        <w:tc>
          <w:tcPr>
            <w:tcW w:w="38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6.750%</w:t>
            </w:r>
          </w:p>
        </w:tc>
        <w:tc>
          <w:tcPr>
            <w:tcW w:w="1520" w:type="dxa"/>
            <w:vAlign w:val="bottom"/>
          </w:tcPr>
          <w:p>
            <w:pPr>
              <w:jc w:val="right"/>
              <w:spacing w:after="0"/>
              <w:rPr>
                <w:sz w:val="20"/>
                <w:szCs w:val="20"/>
                <w:color w:val="auto"/>
              </w:rPr>
            </w:pPr>
            <w:r>
              <w:rPr>
                <w:rFonts w:ascii="Arial" w:cs="Arial" w:eastAsia="Arial" w:hAnsi="Arial"/>
                <w:sz w:val="18"/>
                <w:szCs w:val="18"/>
                <w:color w:val="auto"/>
              </w:rPr>
              <w:t>June 1, 2011</w:t>
            </w: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Tysons Station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September 1, 2011</w:t>
            </w:r>
          </w:p>
        </w:tc>
      </w:tr>
      <w:tr>
        <w:trPr>
          <w:trHeight w:val="216"/>
        </w:trPr>
        <w:tc>
          <w:tcPr>
            <w:tcW w:w="20" w:type="dxa"/>
            <w:vAlign w:val="bottom"/>
          </w:tcPr>
          <w:p>
            <w:pPr>
              <w:spacing w:after="0"/>
              <w:rPr>
                <w:sz w:val="18"/>
                <w:szCs w:val="18"/>
                <w:color w:val="auto"/>
              </w:rPr>
            </w:pPr>
          </w:p>
        </w:tc>
        <w:tc>
          <w:tcPr>
            <w:tcW w:w="5560" w:type="dxa"/>
            <w:vAlign w:val="bottom"/>
            <w:gridSpan w:val="2"/>
          </w:tcPr>
          <w:p>
            <w:pPr>
              <w:ind w:left="860"/>
              <w:spacing w:after="0"/>
              <w:rPr>
                <w:sz w:val="20"/>
                <w:szCs w:val="20"/>
                <w:color w:val="auto"/>
              </w:rPr>
            </w:pPr>
            <w:r>
              <w:rPr>
                <w:rFonts w:ascii="Arial" w:cs="Arial" w:eastAsia="Arial" w:hAnsi="Arial"/>
                <w:sz w:val="18"/>
                <w:szCs w:val="18"/>
                <w:color w:val="auto"/>
              </w:rPr>
              <w:t>Crow Canyon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Acquired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22,115</w:t>
            </w:r>
          </w:p>
        </w:tc>
        <w:tc>
          <w:tcPr>
            <w:tcW w:w="38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5.400%</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11, 2013</w:t>
            </w: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Barracks Road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42,909</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560" w:type="dxa"/>
            <w:vAlign w:val="bottom"/>
            <w:gridSpan w:val="2"/>
          </w:tcPr>
          <w:p>
            <w:pPr>
              <w:ind w:left="860"/>
              <w:spacing w:after="0"/>
              <w:rPr>
                <w:sz w:val="20"/>
                <w:szCs w:val="20"/>
                <w:color w:val="auto"/>
              </w:rPr>
            </w:pPr>
            <w:r>
              <w:rPr>
                <w:rFonts w:ascii="Arial" w:cs="Arial" w:eastAsia="Arial" w:hAnsi="Arial"/>
                <w:sz w:val="18"/>
                <w:szCs w:val="18"/>
                <w:color w:val="auto"/>
              </w:rPr>
              <w:t>Hauppauge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16,700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16,176</w:t>
            </w:r>
          </w:p>
        </w:tc>
        <w:tc>
          <w:tcPr>
            <w:tcW w:w="38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Lawrence Park</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30,414</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560" w:type="dxa"/>
            <w:vAlign w:val="bottom"/>
            <w:gridSpan w:val="2"/>
          </w:tcPr>
          <w:p>
            <w:pPr>
              <w:ind w:left="860"/>
              <w:spacing w:after="0"/>
              <w:rPr>
                <w:sz w:val="20"/>
                <w:szCs w:val="20"/>
                <w:color w:val="auto"/>
              </w:rPr>
            </w:pPr>
            <w:r>
              <w:rPr>
                <w:rFonts w:ascii="Arial" w:cs="Arial" w:eastAsia="Arial" w:hAnsi="Arial"/>
                <w:sz w:val="18"/>
                <w:szCs w:val="18"/>
                <w:color w:val="auto"/>
              </w:rPr>
              <w:t>Wildwood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27,600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26,734</w:t>
            </w:r>
          </w:p>
        </w:tc>
        <w:tc>
          <w:tcPr>
            <w:tcW w:w="38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Wynnewood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30,995</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560" w:type="dxa"/>
            <w:vAlign w:val="bottom"/>
            <w:gridSpan w:val="2"/>
          </w:tcPr>
          <w:p>
            <w:pPr>
              <w:ind w:left="860"/>
              <w:spacing w:after="0"/>
              <w:rPr>
                <w:sz w:val="20"/>
                <w:szCs w:val="20"/>
                <w:color w:val="auto"/>
              </w:rPr>
            </w:pPr>
            <w:r>
              <w:rPr>
                <w:rFonts w:ascii="Arial" w:cs="Arial" w:eastAsia="Arial" w:hAnsi="Arial"/>
                <w:sz w:val="18"/>
                <w:szCs w:val="18"/>
                <w:color w:val="auto"/>
              </w:rPr>
              <w:t>Brick Plaza</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33,000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31,869</w:t>
            </w:r>
          </w:p>
        </w:tc>
        <w:tc>
          <w:tcPr>
            <w:tcW w:w="38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7.415%</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Mount Vernon (2)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13,250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12,414</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5.660%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15, 2028</w:t>
            </w:r>
          </w:p>
        </w:tc>
      </w:tr>
      <w:tr>
        <w:trPr>
          <w:trHeight w:val="221"/>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Total Mortgage Loans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268,978</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Perring Plaza Renovation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2013</w:t>
            </w:r>
          </w:p>
        </w:tc>
      </w:tr>
      <w:tr>
        <w:trPr>
          <w:trHeight w:val="216"/>
        </w:trPr>
        <w:tc>
          <w:tcPr>
            <w:tcW w:w="20" w:type="dxa"/>
            <w:vAlign w:val="bottom"/>
          </w:tcPr>
          <w:p>
            <w:pPr>
              <w:spacing w:after="0"/>
              <w:rPr>
                <w:sz w:val="18"/>
                <w:szCs w:val="18"/>
                <w:color w:val="auto"/>
              </w:rPr>
            </w:pPr>
          </w:p>
        </w:tc>
        <w:tc>
          <w:tcPr>
            <w:tcW w:w="556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Revolving credit facilities (3)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102,000</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LIBOR + 0.65%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7, 2006</w:t>
            </w:r>
          </w:p>
        </w:tc>
      </w:tr>
      <w:tr>
        <w:trPr>
          <w:trHeight w:val="216"/>
        </w:trPr>
        <w:tc>
          <w:tcPr>
            <w:tcW w:w="20" w:type="dxa"/>
            <w:vAlign w:val="bottom"/>
          </w:tcPr>
          <w:p>
            <w:pPr>
              <w:spacing w:after="0"/>
              <w:rPr>
                <w:sz w:val="18"/>
                <w:szCs w:val="18"/>
                <w:color w:val="auto"/>
              </w:rPr>
            </w:pPr>
          </w:p>
        </w:tc>
        <w:tc>
          <w:tcPr>
            <w:tcW w:w="5560" w:type="dxa"/>
            <w:vAlign w:val="bottom"/>
            <w:gridSpan w:val="2"/>
          </w:tcPr>
          <w:p>
            <w:pPr>
              <w:ind w:left="860"/>
              <w:spacing w:after="0"/>
              <w:rPr>
                <w:sz w:val="20"/>
                <w:szCs w:val="20"/>
                <w:color w:val="auto"/>
              </w:rPr>
            </w:pPr>
            <w:r>
              <w:rPr>
                <w:rFonts w:ascii="Arial" w:cs="Arial" w:eastAsia="Arial" w:hAnsi="Arial"/>
                <w:sz w:val="18"/>
                <w:szCs w:val="18"/>
                <w:color w:val="auto"/>
              </w:rPr>
              <w:t>Term note with banks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LIBOR + 0.85%</w:t>
            </w:r>
          </w:p>
        </w:tc>
        <w:tc>
          <w:tcPr>
            <w:tcW w:w="1520" w:type="dxa"/>
            <w:vAlign w:val="bottom"/>
          </w:tcPr>
          <w:p>
            <w:pPr>
              <w:jc w:val="right"/>
              <w:spacing w:after="0"/>
              <w:rPr>
                <w:sz w:val="20"/>
                <w:szCs w:val="20"/>
                <w:color w:val="auto"/>
              </w:rPr>
            </w:pPr>
            <w:r>
              <w:rPr>
                <w:rFonts w:ascii="Arial" w:cs="Arial" w:eastAsia="Arial" w:hAnsi="Arial"/>
                <w:sz w:val="18"/>
                <w:szCs w:val="18"/>
                <w:color w:val="auto"/>
              </w:rPr>
              <w:t>October 7, 2006</w:t>
            </w: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Term note with banks (4)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LIBOR + 0.85%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7, 2008</w:t>
            </w:r>
          </w:p>
        </w:tc>
      </w:tr>
      <w:tr>
        <w:trPr>
          <w:trHeight w:val="223"/>
        </w:trPr>
        <w:tc>
          <w:tcPr>
            <w:tcW w:w="20" w:type="dxa"/>
            <w:vAlign w:val="bottom"/>
          </w:tcPr>
          <w:p>
            <w:pPr>
              <w:spacing w:after="0"/>
              <w:rPr>
                <w:sz w:val="19"/>
                <w:szCs w:val="19"/>
                <w:color w:val="auto"/>
              </w:rPr>
            </w:pPr>
          </w:p>
        </w:tc>
        <w:tc>
          <w:tcPr>
            <w:tcW w:w="5560" w:type="dxa"/>
            <w:vAlign w:val="bottom"/>
            <w:gridSpan w:val="2"/>
          </w:tcPr>
          <w:p>
            <w:pPr>
              <w:ind w:left="860"/>
              <w:spacing w:after="0"/>
              <w:rPr>
                <w:sz w:val="20"/>
                <w:szCs w:val="20"/>
                <w:color w:val="auto"/>
              </w:rPr>
            </w:pPr>
            <w:r>
              <w:rPr>
                <w:rFonts w:ascii="Arial" w:cs="Arial" w:eastAsia="Arial" w:hAnsi="Arial"/>
                <w:sz w:val="18"/>
                <w:szCs w:val="18"/>
                <w:color w:val="auto"/>
              </w:rPr>
              <w:t>Escondido (Municipal Bonds) (5)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9,400</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38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3.551%</w:t>
            </w:r>
          </w:p>
        </w:tc>
        <w:tc>
          <w:tcPr>
            <w:tcW w:w="1520" w:type="dxa"/>
            <w:vAlign w:val="bottom"/>
          </w:tcPr>
          <w:p>
            <w:pPr>
              <w:jc w:val="right"/>
              <w:spacing w:after="0"/>
              <w:rPr>
                <w:sz w:val="20"/>
                <w:szCs w:val="20"/>
                <w:color w:val="auto"/>
              </w:rPr>
            </w:pPr>
            <w:r>
              <w:rPr>
                <w:rFonts w:ascii="Arial" w:cs="Arial" w:eastAsia="Arial" w:hAnsi="Arial"/>
                <w:sz w:val="18"/>
                <w:szCs w:val="18"/>
                <w:color w:val="auto"/>
              </w:rPr>
              <w:t>October 1, 2016</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Notes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363,119</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Senior Notes and Debentures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860"/>
              <w:spacing w:after="0"/>
              <w:rPr>
                <w:sz w:val="20"/>
                <w:szCs w:val="20"/>
                <w:color w:val="auto"/>
              </w:rPr>
            </w:pPr>
            <w:r>
              <w:rPr>
                <w:rFonts w:ascii="Arial" w:cs="Arial" w:eastAsia="Arial" w:hAnsi="Arial"/>
                <w:sz w:val="18"/>
                <w:szCs w:val="18"/>
                <w:color w:val="auto"/>
              </w:rPr>
              <w:t>6.125% Notes (6)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150,000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150,000</w:t>
            </w:r>
          </w:p>
        </w:tc>
        <w:tc>
          <w:tcPr>
            <w:tcW w:w="38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6.325%</w:t>
            </w:r>
          </w:p>
        </w:tc>
        <w:tc>
          <w:tcPr>
            <w:tcW w:w="1520" w:type="dxa"/>
            <w:vAlign w:val="bottom"/>
          </w:tcPr>
          <w:p>
            <w:pPr>
              <w:jc w:val="right"/>
              <w:spacing w:after="0"/>
              <w:rPr>
                <w:sz w:val="20"/>
                <w:szCs w:val="20"/>
                <w:color w:val="auto"/>
              </w:rPr>
            </w:pPr>
            <w:r>
              <w:rPr>
                <w:rFonts w:ascii="Arial" w:cs="Arial" w:eastAsia="Arial" w:hAnsi="Arial"/>
                <w:sz w:val="18"/>
                <w:szCs w:val="18"/>
                <w:color w:val="auto"/>
                <w:w w:val="94"/>
              </w:rPr>
              <w:t>November 15, 2007</w:t>
            </w: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8.75% Notes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175,000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 2009</w:t>
            </w:r>
          </w:p>
        </w:tc>
      </w:tr>
      <w:tr>
        <w:trPr>
          <w:trHeight w:val="216"/>
        </w:trPr>
        <w:tc>
          <w:tcPr>
            <w:tcW w:w="20" w:type="dxa"/>
            <w:vAlign w:val="bottom"/>
          </w:tcPr>
          <w:p>
            <w:pPr>
              <w:spacing w:after="0"/>
              <w:rPr>
                <w:sz w:val="18"/>
                <w:szCs w:val="18"/>
                <w:color w:val="auto"/>
              </w:rPr>
            </w:pPr>
          </w:p>
        </w:tc>
        <w:tc>
          <w:tcPr>
            <w:tcW w:w="5560" w:type="dxa"/>
            <w:vAlign w:val="bottom"/>
            <w:gridSpan w:val="2"/>
          </w:tcPr>
          <w:p>
            <w:pPr>
              <w:ind w:left="860"/>
              <w:spacing w:after="0"/>
              <w:rPr>
                <w:sz w:val="20"/>
                <w:szCs w:val="20"/>
                <w:color w:val="auto"/>
              </w:rPr>
            </w:pPr>
            <w:r>
              <w:rPr>
                <w:rFonts w:ascii="Arial" w:cs="Arial" w:eastAsia="Arial" w:hAnsi="Arial"/>
                <w:sz w:val="18"/>
                <w:szCs w:val="18"/>
                <w:color w:val="auto"/>
              </w:rPr>
              <w:t>4.50% Notes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75,000</w:t>
            </w:r>
          </w:p>
        </w:tc>
        <w:tc>
          <w:tcPr>
            <w:tcW w:w="38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4.500%</w:t>
            </w:r>
          </w:p>
        </w:tc>
        <w:tc>
          <w:tcPr>
            <w:tcW w:w="1520" w:type="dxa"/>
            <w:vAlign w:val="bottom"/>
          </w:tcPr>
          <w:p>
            <w:pPr>
              <w:jc w:val="right"/>
              <w:spacing w:after="0"/>
              <w:rPr>
                <w:sz w:val="20"/>
                <w:szCs w:val="20"/>
                <w:color w:val="auto"/>
              </w:rPr>
            </w:pPr>
            <w:r>
              <w:rPr>
                <w:rFonts w:ascii="Arial" w:cs="Arial" w:eastAsia="Arial" w:hAnsi="Arial"/>
                <w:sz w:val="18"/>
                <w:szCs w:val="18"/>
                <w:color w:val="auto"/>
              </w:rPr>
              <w:t>February 15, 2011</w:t>
            </w: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5.65% Notes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2016</w:t>
            </w:r>
          </w:p>
        </w:tc>
      </w:tr>
      <w:tr>
        <w:trPr>
          <w:trHeight w:val="216"/>
        </w:trPr>
        <w:tc>
          <w:tcPr>
            <w:tcW w:w="20" w:type="dxa"/>
            <w:vAlign w:val="bottom"/>
          </w:tcPr>
          <w:p>
            <w:pPr>
              <w:spacing w:after="0"/>
              <w:rPr>
                <w:sz w:val="18"/>
                <w:szCs w:val="18"/>
                <w:color w:val="auto"/>
              </w:rPr>
            </w:pPr>
          </w:p>
        </w:tc>
        <w:tc>
          <w:tcPr>
            <w:tcW w:w="5560" w:type="dxa"/>
            <w:vAlign w:val="bottom"/>
            <w:gridSpan w:val="2"/>
          </w:tcPr>
          <w:p>
            <w:pPr>
              <w:ind w:left="860"/>
              <w:spacing w:after="0"/>
              <w:rPr>
                <w:sz w:val="20"/>
                <w:szCs w:val="20"/>
                <w:color w:val="auto"/>
              </w:rPr>
            </w:pPr>
            <w:r>
              <w:rPr>
                <w:rFonts w:ascii="Arial" w:cs="Arial" w:eastAsia="Arial" w:hAnsi="Arial"/>
                <w:sz w:val="18"/>
                <w:szCs w:val="18"/>
                <w:color w:val="auto"/>
              </w:rPr>
              <w:t>7.48% Debentures (7)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7.480%</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15, 2026</w:t>
            </w: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6.82% Medium Term Notes (8)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 2027</w:t>
            </w: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Subtotal</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615,000</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Unamortized Discount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(1,542)</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Total Senior Notes and Debentures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613,458</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Lease Obligations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60" w:type="dxa"/>
            <w:vAlign w:val="bottom"/>
            <w:gridSpan w:val="2"/>
          </w:tcPr>
          <w:p>
            <w:pPr>
              <w:ind w:left="860"/>
              <w:spacing w:after="0"/>
              <w:rPr>
                <w:sz w:val="20"/>
                <w:szCs w:val="20"/>
                <w:color w:val="auto"/>
              </w:rPr>
            </w:pPr>
            <w:r>
              <w:rPr>
                <w:rFonts w:ascii="Arial" w:cs="Arial" w:eastAsia="Arial" w:hAnsi="Arial"/>
                <w:sz w:val="18"/>
                <w:szCs w:val="18"/>
                <w:color w:val="auto"/>
              </w:rPr>
              <w:t>Various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148,211</w:t>
            </w:r>
          </w:p>
        </w:tc>
        <w:tc>
          <w:tcPr>
            <w:tcW w:w="380" w:type="dxa"/>
            <w:vAlign w:val="bottom"/>
          </w:tcPr>
          <w:p>
            <w:pPr>
              <w:spacing w:after="0"/>
              <w:rPr>
                <w:sz w:val="19"/>
                <w:szCs w:val="19"/>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Various</w:t>
            </w:r>
          </w:p>
        </w:tc>
        <w:tc>
          <w:tcPr>
            <w:tcW w:w="1520" w:type="dxa"/>
            <w:vAlign w:val="bottom"/>
          </w:tcPr>
          <w:p>
            <w:pPr>
              <w:jc w:val="right"/>
              <w:spacing w:after="0"/>
              <w:rPr>
                <w:sz w:val="20"/>
                <w:szCs w:val="20"/>
                <w:color w:val="auto"/>
              </w:rPr>
            </w:pPr>
            <w:r>
              <w:rPr>
                <w:rFonts w:ascii="Arial" w:cs="Arial" w:eastAsia="Arial" w:hAnsi="Arial"/>
                <w:sz w:val="18"/>
                <w:szCs w:val="18"/>
                <w:color w:val="auto"/>
                <w:w w:val="87"/>
              </w:rPr>
              <w:t>Various through 2077</w:t>
            </w: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 and Capital Lease Obligations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1,393,766</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520" w:type="dxa"/>
            <w:vAlign w:val="bottom"/>
          </w:tcPr>
          <w:p>
            <w:pPr>
              <w:spacing w:after="0"/>
              <w:rPr>
                <w:sz w:val="8"/>
                <w:szCs w:val="8"/>
                <w:color w:val="auto"/>
              </w:rPr>
            </w:pPr>
          </w:p>
        </w:tc>
      </w:tr>
    </w:tbl>
    <w:p>
      <w:pPr>
        <w:spacing w:after="0" w:line="10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Mortgage loans do not include our 30% share ($23.2 million) of the $77.4 million debt of the partnership with Clarion Lion Properties Fund.</w:t>
      </w:r>
    </w:p>
    <w:p>
      <w:pPr>
        <w:spacing w:after="0" w:line="38"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The lender has the option to call the loan on April 15, 2013 or any time thereafter.</w:t>
      </w:r>
    </w:p>
    <w:p>
      <w:pPr>
        <w:ind w:left="460" w:right="20" w:hanging="452"/>
        <w:spacing w:after="0" w:line="281"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maximum amount drawn under the facility during the six months ended June 30, 2006 was $194.0 million. The weighted average effective interest rate on borrowings under the facility, before amortization of debt fees, was 5.3% and 5.4% for the six and three months ended June 30, 2006, respectively. On July 28, 2006 this revolving credit facility was replaced with a new $300.0 million unsecured revolving facility that matures on July 28, 2010, subject to a one-year extension at our option, and initially bears interest at LIBOR plus 42.5 basis points.</w:t>
      </w:r>
    </w:p>
    <w:p>
      <w:pPr>
        <w:spacing w:after="0" w:line="2"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These term notes were repaid on July 17, 2006 from the proceeds of our issuance of a $120.0 million of fixed rate notes, which mature on July 15, 2012 and bear interest at 6.0%, and $130.0 million of fixed rate notes, which mature on January 15, 2017 and bear interest at 6.2%.</w:t>
      </w:r>
    </w:p>
    <w:p>
      <w:pPr>
        <w:spacing w:after="0" w:line="1" w:lineRule="exact"/>
        <w:rPr>
          <w:rFonts w:ascii="Arial" w:cs="Arial" w:eastAsia="Arial" w:hAnsi="Arial"/>
          <w:sz w:val="16"/>
          <w:szCs w:val="16"/>
          <w:color w:val="auto"/>
        </w:rPr>
      </w:pPr>
    </w:p>
    <w:p>
      <w:pPr>
        <w:ind w:left="460" w:right="14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ind w:left="46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purchased an interest rate lock to hedge a planned note offering. A hedge loss of $1.5 million associated with this hedge is being amortized into the note offering, thereby increasing the effective interest rate on these notes to 6.325%.</w:t>
      </w: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Beginning on August 15, 2008, the debentures are redeemable by the holders thereof at the original purchase price of $1,000 per debenture.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Beginning on August 1, 2007, the notes are redeemable by the holders thereof at the original purchase price of $1,000 per note.</w:t>
      </w:r>
    </w:p>
    <w:p>
      <w:pPr>
        <w:sectPr>
          <w:pgSz w:w="11900" w:h="16838" w:orient="portrait"/>
          <w:cols w:equalWidth="0" w:num="1">
            <w:col w:w="11420"/>
          </w:cols>
          <w:pgMar w:left="240" w:top="459"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credit facility and other debt agreements include financial and other covenants that may limit our operating activities in the future. As of June 30, 2006, we were in compliance with all of the financial and other covenants. If we were to breach any of our debt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enter into interest rate swaps and treasury rate locks that qualify as cash flow hedges under SFAS No. 133, “Accounting for Derivative Instruments and Hedging Activities.” We generally enter into interest rate swaps to manage our exposure to variable interest rate risk and treasury locks to manage the risk of interest rates rising prior to the issuance of debt. We do not purchase derivatives for speculation. Our cash flow hedges are recorded at fair value. The effective portion of changes in fair value of our cash flow hedges is recorded in other comprehensive income and reclassified to earnings when the hedged item affects earnings. The ineffective portion of changes in fair value of our cash flow hedges is recognized in earnings in the period affected. We assess effectiveness of our cash flow hedges both at inception and on an ongoing basis. Hedge ineffectiveness did not have a significant impact on earnings in the six months ended June 30, 2006 and 2005, and we do not anticipate it will have a significant effect in the future.</w:t>
      </w:r>
    </w:p>
    <w:p>
      <w:pPr>
        <w:spacing w:after="0" w:line="11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 January 2004, we entered into an interest rate swap to fix the LIBOR portion of our $150 million term loan issued in October of 2003. This swap fixed the LIBOR portion at 2.401% through October 2006. The full notional amount of this swap qualified as a cash flow hedge until we repaid this loan on July 17,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90% of our REIT taxable income (including net capital gain) to our shareholders.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62" w:lineRule="exact"/>
        <w:rPr>
          <w:sz w:val="20"/>
          <w:szCs w:val="20"/>
          <w:color w:val="auto"/>
        </w:rPr>
      </w:pPr>
    </w:p>
    <w:p>
      <w:pPr>
        <w:ind w:left="780" w:right="20" w:hanging="326"/>
        <w:spacing w:after="0" w:line="26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4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90% of our REIT taxable income (including net capital gain) to remain qualified as a REIT. Therefore, a significant increase in FFO will generally require an increase in distributions to shareholders although not necessarily on a proportionate basis.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funds from operations available for common shareholders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860" w:type="dxa"/>
            <w:vAlign w:val="bottom"/>
            <w:gridSpan w:val="7"/>
          </w:tcPr>
          <w:p>
            <w:pPr>
              <w:jc w:val="right"/>
              <w:ind w:right="192"/>
              <w:spacing w:after="0"/>
              <w:rPr>
                <w:sz w:val="20"/>
                <w:szCs w:val="20"/>
                <w:color w:val="auto"/>
              </w:rPr>
            </w:pPr>
            <w:r>
              <w:rPr>
                <w:rFonts w:ascii="Arial" w:cs="Arial" w:eastAsia="Arial" w:hAnsi="Arial"/>
                <w:sz w:val="14"/>
                <w:szCs w:val="14"/>
                <w:b w:val="1"/>
                <w:bCs w:val="1"/>
                <w:color w:val="auto"/>
                <w:w w:val="91"/>
              </w:rPr>
              <w:t>For the Six Months Ended</w:t>
            </w:r>
          </w:p>
        </w:tc>
        <w:tc>
          <w:tcPr>
            <w:tcW w:w="100" w:type="dxa"/>
            <w:vAlign w:val="bottom"/>
          </w:tcPr>
          <w:p>
            <w:pPr>
              <w:spacing w:after="0"/>
              <w:rPr>
                <w:sz w:val="14"/>
                <w:szCs w:val="14"/>
                <w:color w:val="auto"/>
              </w:rPr>
            </w:pPr>
          </w:p>
        </w:tc>
        <w:tc>
          <w:tcPr>
            <w:tcW w:w="192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1"/>
              </w:rPr>
              <w:t>For the Three Months Ended</w:t>
            </w:r>
          </w:p>
        </w:tc>
        <w:tc>
          <w:tcPr>
            <w:tcW w:w="0" w:type="dxa"/>
            <w:vAlign w:val="bottom"/>
          </w:tcPr>
          <w:p>
            <w:pPr>
              <w:spacing w:after="0"/>
              <w:rPr>
                <w:sz w:val="1"/>
                <w:szCs w:val="1"/>
                <w:color w:val="auto"/>
              </w:rPr>
            </w:pPr>
          </w:p>
        </w:tc>
      </w:tr>
      <w:tr>
        <w:trPr>
          <w:trHeight w:val="161"/>
        </w:trPr>
        <w:tc>
          <w:tcPr>
            <w:tcW w:w="9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1"/>
              </w:rPr>
              <w:t>(In</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2005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thousands,</w:t>
            </w:r>
          </w:p>
        </w:tc>
        <w:tc>
          <w:tcPr>
            <w:tcW w:w="1360" w:type="dxa"/>
            <w:vAlign w:val="bottom"/>
            <w:gridSpan w:val="5"/>
          </w:tcPr>
          <w:p>
            <w:pPr>
              <w:jc w:val="right"/>
              <w:ind w:right="80"/>
              <w:spacing w:after="0" w:line="142" w:lineRule="exact"/>
              <w:rPr>
                <w:sz w:val="20"/>
                <w:szCs w:val="20"/>
                <w:color w:val="auto"/>
              </w:rPr>
            </w:pPr>
            <w:r>
              <w:rPr>
                <w:rFonts w:ascii="Arial" w:cs="Arial" w:eastAsia="Arial" w:hAnsi="Arial"/>
                <w:sz w:val="14"/>
                <w:szCs w:val="14"/>
                <w:b w:val="1"/>
                <w:bCs w:val="1"/>
                <w:color w:val="auto"/>
                <w:w w:val="84"/>
              </w:rPr>
              <w:t>except per share data)</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69,287</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4"/>
              </w:rPr>
              <w:t>48,804</w:t>
            </w:r>
          </w:p>
        </w:tc>
        <w:tc>
          <w:tcPr>
            <w:tcW w:w="2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38,256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(23,771)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(7,884)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(15,034)</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4"/>
              </w:rPr>
              <w:t>41,253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22,010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Amortization of initial direct costs of leases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1,825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joint venture real estate assets</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40" w:type="dxa"/>
            <w:vAlign w:val="bottom"/>
            <w:gridSpan w:val="2"/>
          </w:tcPr>
          <w:p>
            <w:pPr>
              <w:ind w:left="440"/>
              <w:spacing w:after="0"/>
              <w:rPr>
                <w:sz w:val="20"/>
                <w:szCs w:val="20"/>
                <w:color w:val="auto"/>
              </w:rPr>
            </w:pPr>
            <w:r>
              <w:rPr>
                <w:rFonts w:ascii="Arial" w:cs="Arial" w:eastAsia="Arial" w:hAnsi="Arial"/>
                <w:sz w:val="18"/>
                <w:szCs w:val="18"/>
                <w:color w:val="auto"/>
              </w:rPr>
              <w:t>Funds from operations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93,279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w w:val="94"/>
              </w:rPr>
              <w:t>85,915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47,208</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43,899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(5,738)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(2,869)</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color w:val="auto"/>
              </w:rPr>
              <w:t>Income attributable to operating partnership units</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from operations available for common shareholders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80,529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44,584</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diluted (1)</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53,688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w w:val="94"/>
              </w:rPr>
              <w:t>53,305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53,710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53,408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1.51</w:t>
            </w:r>
          </w:p>
        </w:tc>
        <w:tc>
          <w:tcPr>
            <w:tcW w:w="2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6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left="460" w:right="28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in the computation of diluted EPS for the periods presented.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also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We are exposed to credit loss in the event of non-performance by the counter party to our interest rate swap used to fix the LIBOR on a notional amount of $150.0 million. The counterparty of this swap has a long-term debt rating of “A” by Standard and Poor’s Rating Service and “A1” by Moody’s Investor Service as of June 30, 2006.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risk amounts were determined by considering the impact of hypothetical interest rates on our debt.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jc w:val="both"/>
        <w:ind w:right="100"/>
        <w:spacing w:after="0" w:line="294" w:lineRule="auto"/>
        <w:rPr>
          <w:sz w:val="20"/>
          <w:szCs w:val="20"/>
          <w:color w:val="auto"/>
        </w:rPr>
      </w:pPr>
      <w:r>
        <w:rPr>
          <w:rFonts w:ascii="Arial" w:cs="Arial" w:eastAsia="Arial" w:hAnsi="Arial"/>
          <w:sz w:val="16"/>
          <w:szCs w:val="16"/>
          <w:color w:val="auto"/>
        </w:rPr>
        <w:t>The majority of our outstanding debt obligations (maturing at various times through 2028 or through 2077 including capital lease obligations) have fixed interest rates which limit the risk of fluctuating interest rates. However, interest rate fluctuations may affect the fair value of our fixed rate debt instruments. At June 30, 2006 we had $1.2 billion of fixed-rate debt outstanding. If interest rates on our fixed-rate debt instruments at June 30, 2006 had been 1.0% higher, the fair value of those debt instruments on that date would have decreased by approximately $37.1 million. If interest rates on our fixed-rate debt instruments at June 30, 2006 had been 1.0% lower, the fair value of those debt instruments on that date would have increased by approximately $46.5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believe that our primary interest rate risk is due to fluctuations in interest rates on our variable rate debt. At June 30, 2006, we had $211.4 million of variable rate debt outstanding. Based upon this amount of variable rate debt, if interest rates increased 1.0%, our annual interest expense would increase by approximately $2.1 million, and our net income and cash flows for the year would decrease by approximately $2.1 million. Conversely, if interest rates decreased 1.0%, our annual interest expense would decrease by approximately $2.1 million, and our net income and cash flows for the year would increase by approximately $2.1 million.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June 30, 2006. Based on this evaluation, our management, including our Chief Executive Officer and Chief Financial Officer, concluded that our disclosure controls and procedures were effective as of June 30, 2006 to provide reasonable assurance that information required to be disclosed in our reports filed or submitted under the Securities Exchange Act of 1934 is recorded, processed, summarized and reported within the time periods specified in the rules and forms of the Securities and Exchange Commission.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the quarterly period covered by this report that has materially affected, or is reasonably likely to materially affect, our internal control over financial reporting.</w:t>
      </w:r>
    </w:p>
    <w:p>
      <w:pPr>
        <w:spacing w:after="0" w:line="11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240" w:top="459" w:right="5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May 2003, First National Mortgage Company filed a complaint against us in the United States District Court for the Northern District of California. The complaint alleged that a one page document entitled “Final Proposal,” which included language that it was subject to approval of formal documentation, constituted a ground lease of a parcel of property located adjacent to our Santana Row property and gave First National Mortgage Company the option to require that we acquire the property at a price determined in accordance with a formula included in the “Final Proposal.” The plaintiff is seeking an unspecified amount of monetary damages. A trial as to liability only was held and on June 27, 2006, a jury rendered a verdict against us. We have filed a motion for judgment as a matter of law or, in the alternative, for a new trial. We are also requesting that the court certify the case for immediate appeal in the event the motion for judgment as a matter of law and motion for a new trial are denied. All of these motions are scheduled to be heard in August 2006. If our motions are denied and we are not successful in having the jury verdict reversed by an immediate appeal, the case will proceed to a trial on the issue of damages which will not occur for at least nine months. The complaint did not specify the amount of damages claimed and we cannot make a reasonable estimate of potential damages until experts are retained and additional discovery is completed on the damages issue.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There have been no material changes to the risk factors previously disclosed in our Annual Report for the year ended December 31, 2005 filed with the Securities and Exchange Commission on March 3, 2006 and amended on March 10, 2006. These factors include, but are not limited to, the following:</w:t>
      </w:r>
    </w:p>
    <w:p>
      <w:pPr>
        <w:spacing w:after="0" w:line="4"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5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260" w:right="100" w:hanging="455"/>
        <w:spacing w:after="0" w:line="268" w:lineRule="auto"/>
        <w:tabs>
          <w:tab w:leader="none" w:pos="12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completion of anticipated or ongoing property redevelopments or renovations may cost more, take more time to complete, or fail to perform as expected,</w:t>
      </w:r>
    </w:p>
    <w:p>
      <w:pPr>
        <w:spacing w:after="0" w:line="50" w:lineRule="exact"/>
        <w:rPr>
          <w:rFonts w:ascii="Arial" w:cs="Arial" w:eastAsia="Arial" w:hAnsi="Arial"/>
          <w:sz w:val="18"/>
          <w:szCs w:val="18"/>
          <w:color w:val="auto"/>
        </w:rPr>
      </w:pPr>
    </w:p>
    <w:p>
      <w:pPr>
        <w:ind w:left="1260" w:hanging="455"/>
        <w:spacing w:after="0"/>
        <w:tabs>
          <w:tab w:leader="none" w:pos="12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780" w:right="220" w:hanging="326"/>
        <w:spacing w:after="0" w:line="259"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780" w:right="200" w:hanging="326"/>
        <w:spacing w:after="0" w:line="259"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Under the terms of various operating partnership agreements of certain of our affiliated limited partnerships, the interests of limited partners in those limited partnerships may be redeemed, subject to certain conditions, for cash or an equivalent number of our common shares, at our option. On May 5, 2006, we issued 12,216 common shares to redeem 12,216 operating partnership units. These shares were issued in reliance on an exemption from the registration requirements of the Securities Act of 1933.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fiscal quarter ended June 30, 2006, we submitted certain matters to a vote of our shareholders through the notice of annual meeting of shareholders and the solicitation of proxies related thereto. The proxy materials related to our annual meeting of shareholders were distributed beginning March 24, 2006, and the annual meeting of shareholders was held on May 3, 2006 in Rockville, Maryland. As of the record date prior to such meeting, 53,029,303 of our common shares were outstanding. At the annual shareholders meeting on May 3, 2006, 41,450,298 shares of our common stock were presented in person or by proxy, representing 78% of our outstanding common shares. The following table sets forth the matters presented for a vote by the shareholders and the votes cast for and against such matters: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 w:type="dxa"/>
            <w:vAlign w:val="bottom"/>
            <w:vMerge w:val="restart"/>
          </w:tcPr>
          <w:p>
            <w:pPr>
              <w:jc w:val="right"/>
              <w:ind w:right="132"/>
              <w:spacing w:after="0"/>
              <w:rPr>
                <w:sz w:val="20"/>
                <w:szCs w:val="20"/>
                <w:color w:val="auto"/>
              </w:rPr>
            </w:pPr>
            <w:r>
              <w:rPr>
                <w:rFonts w:ascii="Arial" w:cs="Arial" w:eastAsia="Arial" w:hAnsi="Arial"/>
                <w:sz w:val="18"/>
                <w:szCs w:val="18"/>
                <w:color w:val="auto"/>
                <w:w w:val="90"/>
              </w:rPr>
              <w:t>(1)</w:t>
            </w:r>
          </w:p>
        </w:tc>
        <w:tc>
          <w:tcPr>
            <w:tcW w:w="7980" w:type="dxa"/>
            <w:vAlign w:val="bottom"/>
          </w:tcPr>
          <w:p>
            <w:pPr>
              <w:spacing w:after="0"/>
              <w:rPr>
                <w:sz w:val="20"/>
                <w:szCs w:val="20"/>
                <w:color w:val="auto"/>
              </w:rPr>
            </w:pPr>
            <w:r>
              <w:rPr>
                <w:rFonts w:ascii="Arial" w:cs="Arial" w:eastAsia="Arial" w:hAnsi="Arial"/>
                <w:sz w:val="14"/>
                <w:szCs w:val="14"/>
                <w:b w:val="1"/>
                <w:bCs w:val="1"/>
                <w:color w:val="auto"/>
              </w:rPr>
              <w:t>Matter</w:t>
            </w:r>
          </w:p>
        </w:tc>
        <w:tc>
          <w:tcPr>
            <w:tcW w:w="2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2"/>
              </w:rPr>
              <w:t>Votes for</w:t>
            </w:r>
          </w:p>
        </w:tc>
        <w:tc>
          <w:tcPr>
            <w:tcW w:w="22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Votes against</w:t>
            </w: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84"/>
              </w:rPr>
              <w:t>Abstentions</w:t>
            </w:r>
          </w:p>
        </w:tc>
        <w:tc>
          <w:tcPr>
            <w:tcW w:w="0" w:type="dxa"/>
            <w:vAlign w:val="bottom"/>
          </w:tcPr>
          <w:p>
            <w:pPr>
              <w:spacing w:after="0"/>
              <w:rPr>
                <w:sz w:val="1"/>
                <w:szCs w:val="1"/>
                <w:color w:val="auto"/>
              </w:rPr>
            </w:pPr>
          </w:p>
        </w:tc>
      </w:tr>
      <w:tr>
        <w:trPr>
          <w:trHeight w:val="201"/>
        </w:trPr>
        <w:tc>
          <w:tcPr>
            <w:tcW w:w="440" w:type="dxa"/>
            <w:vAlign w:val="bottom"/>
            <w:vMerge w:val="continue"/>
          </w:tcPr>
          <w:p>
            <w:pPr>
              <w:spacing w:after="0"/>
              <w:rPr>
                <w:sz w:val="17"/>
                <w:szCs w:val="17"/>
                <w:color w:val="auto"/>
              </w:rPr>
            </w:pPr>
          </w:p>
        </w:tc>
        <w:tc>
          <w:tcPr>
            <w:tcW w:w="7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Election of Mr. Walter F. Loeb as a Class I Trustee with a term serving until the 2009 Annual Meeting</w:t>
            </w:r>
          </w:p>
        </w:tc>
        <w:tc>
          <w:tcPr>
            <w:tcW w:w="220" w:type="dxa"/>
            <w:vAlign w:val="bottom"/>
          </w:tcPr>
          <w:p>
            <w:pPr>
              <w:spacing w:after="0"/>
              <w:rPr>
                <w:sz w:val="17"/>
                <w:szCs w:val="17"/>
                <w:color w:val="auto"/>
              </w:rPr>
            </w:pPr>
          </w:p>
        </w:tc>
        <w:tc>
          <w:tcPr>
            <w:tcW w:w="8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6"/>
              </w:rPr>
              <w:t>39,695,724</w:t>
            </w:r>
          </w:p>
        </w:tc>
        <w:tc>
          <w:tcPr>
            <w:tcW w:w="22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7"/>
              </w:rPr>
              <w:t>1,754,574</w:t>
            </w:r>
          </w:p>
        </w:tc>
        <w:tc>
          <w:tcPr>
            <w:tcW w:w="220" w:type="dxa"/>
            <w:vAlign w:val="bottom"/>
          </w:tcPr>
          <w:p>
            <w:pPr>
              <w:spacing w:after="0"/>
              <w:rPr>
                <w:sz w:val="17"/>
                <w:szCs w:val="17"/>
                <w:color w:val="auto"/>
              </w:rPr>
            </w:pPr>
          </w:p>
        </w:tc>
        <w:tc>
          <w:tcPr>
            <w:tcW w:w="720" w:type="dxa"/>
            <w:vAlign w:val="bottom"/>
            <w:tcBorders>
              <w:top w:val="single" w:sz="8" w:color="auto"/>
            </w:tcBorders>
          </w:tcPr>
          <w:p>
            <w:pPr>
              <w:ind w:left="4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40" w:type="dxa"/>
            <w:vAlign w:val="bottom"/>
          </w:tcPr>
          <w:p>
            <w:pPr>
              <w:jc w:val="right"/>
              <w:ind w:right="132"/>
              <w:spacing w:after="0"/>
              <w:rPr>
                <w:sz w:val="20"/>
                <w:szCs w:val="20"/>
                <w:color w:val="auto"/>
              </w:rPr>
            </w:pPr>
            <w:r>
              <w:rPr>
                <w:rFonts w:ascii="Arial" w:cs="Arial" w:eastAsia="Arial" w:hAnsi="Arial"/>
                <w:sz w:val="18"/>
                <w:szCs w:val="18"/>
                <w:color w:val="auto"/>
                <w:w w:val="90"/>
              </w:rPr>
              <w:t>(2)</w:t>
            </w:r>
          </w:p>
        </w:tc>
        <w:tc>
          <w:tcPr>
            <w:tcW w:w="7980" w:type="dxa"/>
            <w:vAlign w:val="bottom"/>
          </w:tcPr>
          <w:p>
            <w:pPr>
              <w:spacing w:after="0"/>
              <w:rPr>
                <w:sz w:val="20"/>
                <w:szCs w:val="20"/>
                <w:color w:val="auto"/>
              </w:rPr>
            </w:pPr>
            <w:r>
              <w:rPr>
                <w:rFonts w:ascii="Arial" w:cs="Arial" w:eastAsia="Arial" w:hAnsi="Arial"/>
                <w:sz w:val="18"/>
                <w:szCs w:val="18"/>
                <w:color w:val="auto"/>
                <w:w w:val="91"/>
              </w:rPr>
              <w:t>Election of Mr. Joseph S. Vassalluzzo as a Class I Trustee with a term serving until the 2009 Annual Meeting</w:t>
            </w:r>
          </w:p>
        </w:tc>
        <w:tc>
          <w:tcPr>
            <w:tcW w:w="1040" w:type="dxa"/>
            <w:vAlign w:val="bottom"/>
            <w:gridSpan w:val="2"/>
          </w:tcPr>
          <w:p>
            <w:pPr>
              <w:jc w:val="center"/>
              <w:ind w:left="172"/>
              <w:spacing w:after="0"/>
              <w:rPr>
                <w:sz w:val="20"/>
                <w:szCs w:val="20"/>
                <w:color w:val="auto"/>
              </w:rPr>
            </w:pPr>
            <w:r>
              <w:rPr>
                <w:rFonts w:ascii="Arial" w:cs="Arial" w:eastAsia="Arial" w:hAnsi="Arial"/>
                <w:sz w:val="18"/>
                <w:szCs w:val="18"/>
                <w:color w:val="auto"/>
                <w:w w:val="86"/>
              </w:rPr>
              <w:t>40,387,463</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1,062,835</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ind w:left="440" w:hanging="432"/>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ratification of the appointment of Grant Thornton LLP as the Trust’s independent registered public</w:t>
      </w:r>
    </w:p>
    <w:p>
      <w:pPr>
        <w:spacing w:after="0" w:line="9"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accounting firm for the year ending December 31, 2006</w:t>
            </w:r>
          </w:p>
        </w:tc>
        <w:tc>
          <w:tcPr>
            <w:tcW w:w="3100" w:type="dxa"/>
            <w:vAlign w:val="bottom"/>
          </w:tcPr>
          <w:p>
            <w:pPr>
              <w:jc w:val="right"/>
              <w:ind w:right="72"/>
              <w:spacing w:after="0"/>
              <w:rPr>
                <w:sz w:val="20"/>
                <w:szCs w:val="20"/>
                <w:color w:val="auto"/>
              </w:rPr>
            </w:pPr>
            <w:r>
              <w:rPr>
                <w:rFonts w:ascii="Arial" w:cs="Arial" w:eastAsia="Arial" w:hAnsi="Arial"/>
                <w:sz w:val="18"/>
                <w:szCs w:val="18"/>
                <w:color w:val="auto"/>
              </w:rPr>
              <w:t>40,245,386</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1,112,543</w:t>
            </w:r>
          </w:p>
        </w:tc>
        <w:tc>
          <w:tcPr>
            <w:tcW w:w="720" w:type="dxa"/>
            <w:vAlign w:val="bottom"/>
          </w:tcPr>
          <w:p>
            <w:pPr>
              <w:jc w:val="right"/>
              <w:spacing w:after="0"/>
              <w:rPr>
                <w:sz w:val="20"/>
                <w:szCs w:val="20"/>
                <w:color w:val="auto"/>
              </w:rPr>
            </w:pPr>
            <w:r>
              <w:rPr>
                <w:rFonts w:ascii="Arial" w:cs="Arial" w:eastAsia="Arial" w:hAnsi="Arial"/>
                <w:sz w:val="18"/>
                <w:szCs w:val="18"/>
                <w:color w:val="auto"/>
              </w:rPr>
              <w:t>83,908</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terms of office of the following Trustees continued after the meeting: Jon E. Bortz, David W. Faeder, Kristin Gamble, Mark S. Ordan and Donald C. Wood.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FEDERAL REALTY INVESTMENT TRUST</w:t>
            </w:r>
          </w:p>
        </w:tc>
      </w:tr>
      <w:tr>
        <w:trPr>
          <w:trHeight w:val="451"/>
        </w:trPr>
        <w:tc>
          <w:tcPr>
            <w:tcW w:w="3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 Donald C. Wood</w:t>
            </w:r>
          </w:p>
        </w:tc>
        <w:tc>
          <w:tcPr>
            <w:tcW w:w="2320" w:type="dxa"/>
            <w:vAlign w:val="bottom"/>
            <w:tcBorders>
              <w:bottom w:val="single" w:sz="8" w:color="auto"/>
            </w:tcBorders>
          </w:tcPr>
          <w:p>
            <w:pPr>
              <w:spacing w:after="0"/>
              <w:rPr>
                <w:sz w:val="24"/>
                <w:szCs w:val="24"/>
                <w:color w:val="auto"/>
              </w:rPr>
            </w:pPr>
          </w:p>
        </w:tc>
      </w:tr>
      <w:tr>
        <w:trPr>
          <w:trHeight w:val="217"/>
        </w:trPr>
        <w:tc>
          <w:tcPr>
            <w:tcW w:w="3360" w:type="dxa"/>
            <w:vAlign w:val="bottom"/>
          </w:tcPr>
          <w:p>
            <w:pPr>
              <w:spacing w:after="0"/>
              <w:rPr>
                <w:sz w:val="20"/>
                <w:szCs w:val="20"/>
                <w:color w:val="auto"/>
              </w:rPr>
            </w:pPr>
            <w:r>
              <w:rPr>
                <w:rFonts w:ascii="Arial" w:cs="Arial" w:eastAsia="Arial" w:hAnsi="Arial"/>
                <w:sz w:val="18"/>
                <w:szCs w:val="18"/>
                <w:color w:val="auto"/>
              </w:rPr>
              <w:t>August 2, 2006</w:t>
            </w:r>
          </w:p>
        </w:tc>
        <w:tc>
          <w:tcPr>
            <w:tcW w:w="246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Donald C. Wood, President, Chief Executive Officer and</w:t>
            </w:r>
          </w:p>
        </w:tc>
      </w:tr>
      <w:tr>
        <w:trPr>
          <w:trHeight w:val="222"/>
        </w:trPr>
        <w:tc>
          <w:tcPr>
            <w:tcW w:w="33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Trustee (Principal Executive Officer)</w:t>
            </w:r>
          </w:p>
        </w:tc>
      </w:tr>
      <w:tr>
        <w:trPr>
          <w:trHeight w:val="432"/>
        </w:trPr>
        <w:tc>
          <w:tcPr>
            <w:tcW w:w="3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Larry E. Finger</w:t>
            </w:r>
          </w:p>
        </w:tc>
      </w:tr>
      <w:tr>
        <w:trPr>
          <w:trHeight w:val="217"/>
        </w:trPr>
        <w:tc>
          <w:tcPr>
            <w:tcW w:w="3360" w:type="dxa"/>
            <w:vAlign w:val="bottom"/>
          </w:tcPr>
          <w:p>
            <w:pPr>
              <w:spacing w:after="0"/>
              <w:rPr>
                <w:sz w:val="20"/>
                <w:szCs w:val="20"/>
                <w:color w:val="auto"/>
              </w:rPr>
            </w:pPr>
            <w:r>
              <w:rPr>
                <w:rFonts w:ascii="Arial" w:cs="Arial" w:eastAsia="Arial" w:hAnsi="Arial"/>
                <w:sz w:val="18"/>
                <w:szCs w:val="18"/>
                <w:color w:val="auto"/>
              </w:rPr>
              <w:t>August 2, 2006</w:t>
            </w:r>
          </w:p>
        </w:tc>
        <w:tc>
          <w:tcPr>
            <w:tcW w:w="246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Larry E. Finger, Executive Vice President and Chief</w:t>
            </w:r>
          </w:p>
        </w:tc>
      </w:tr>
      <w:tr>
        <w:trPr>
          <w:trHeight w:val="222"/>
        </w:trPr>
        <w:tc>
          <w:tcPr>
            <w:tcW w:w="33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Financial Officer (Principal Accounting Officer)</w:t>
            </w:r>
          </w:p>
        </w:tc>
      </w:tr>
      <w:tr>
        <w:trPr>
          <w:trHeight w:val="365"/>
        </w:trPr>
        <w:tc>
          <w:tcPr>
            <w:tcW w:w="336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45</w:t>
            </w:r>
          </w:p>
        </w:tc>
        <w:tc>
          <w:tcPr>
            <w:tcW w:w="328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500" w:type="dxa"/>
            <w:vAlign w:val="bottom"/>
          </w:tcPr>
          <w:p>
            <w:pPr>
              <w:jc w:val="center"/>
              <w:ind w:right="813"/>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220" w:type="dxa"/>
            <w:vAlign w:val="bottom"/>
          </w:tcPr>
          <w:p>
            <w:pPr>
              <w:spacing w:after="0"/>
              <w:rPr>
                <w:sz w:val="24"/>
                <w:szCs w:val="24"/>
                <w:color w:val="auto"/>
              </w:rPr>
            </w:pPr>
          </w:p>
        </w:tc>
        <w:tc>
          <w:tcPr>
            <w:tcW w:w="10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5"/>
        </w:trPr>
        <w:tc>
          <w:tcPr>
            <w:tcW w:w="7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 Trust of</w:t>
            </w:r>
          </w:p>
        </w:tc>
      </w:tr>
      <w:tr>
        <w:trPr>
          <w:trHeight w:val="216"/>
        </w:trPr>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Federal Realty Investment Trust dated May 6, 2004, as corrected by the Certificate of Correction of Articles of Amendment of Declaration of Trust</w:t>
            </w:r>
          </w:p>
        </w:tc>
      </w:tr>
      <w:tr>
        <w:trPr>
          <w:trHeight w:val="216"/>
        </w:trPr>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of Federal Realty Investment Trust dated June 17, 2004 (previously filed as Exhibit 3.1 to the Trust’s Quarterly Report on Form 10-Q for the quarter</w:t>
            </w:r>
          </w:p>
        </w:tc>
      </w:tr>
      <w:tr>
        <w:trPr>
          <w:trHeight w:val="222"/>
        </w:trPr>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ended June 30, 2005 (File No. 1-07533) (the “2005 2Q Form 10-Q”) and incorporated herein by reference)</w:t>
            </w:r>
          </w:p>
        </w:tc>
      </w:tr>
      <w:tr>
        <w:trPr>
          <w:trHeight w:val="318"/>
        </w:trPr>
        <w:tc>
          <w:tcPr>
            <w:tcW w:w="7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Amended and Restated Bylaws of Federal Realty Investment Trust dated February 12, 2003, as amended October 29, 2003, May 5, 2004 and</w:t>
            </w:r>
          </w:p>
        </w:tc>
      </w:tr>
      <w:tr>
        <w:trPr>
          <w:trHeight w:val="216"/>
        </w:trPr>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February 17, 2006 (previously filed as Exhibit 3.2 to the Trust’s Annual Report on Form 10-K for the year ended December 31, 2005 (File No. 1-</w:t>
            </w:r>
          </w:p>
        </w:tc>
      </w:tr>
      <w:tr>
        <w:trPr>
          <w:trHeight w:val="222"/>
        </w:trPr>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07533) (the “2005 Form 10-K”) and incorporated herein by reference)</w:t>
            </w:r>
          </w:p>
        </w:tc>
      </w:tr>
      <w:tr>
        <w:trPr>
          <w:trHeight w:val="318"/>
        </w:trPr>
        <w:tc>
          <w:tcPr>
            <w:tcW w:w="7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Specimen Common Share certificate (previously filed as Exhibit 4(i) to the Trust’s Annual Report on Form 10-K for the year ended December 31,</w:t>
            </w:r>
          </w:p>
        </w:tc>
      </w:tr>
      <w:tr>
        <w:trPr>
          <w:trHeight w:val="222"/>
        </w:trPr>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1999 (File No. 1-07533) (the “1999 Form 10-K”) and incorporated herein by reference)</w:t>
            </w:r>
          </w:p>
        </w:tc>
      </w:tr>
      <w:tr>
        <w:trPr>
          <w:trHeight w:val="318"/>
        </w:trPr>
        <w:tc>
          <w:tcPr>
            <w:tcW w:w="7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 xml:space="preserve">Articles Supplementary relating to the 8 </w:t>
            </w:r>
            <w:r>
              <w:rPr>
                <w:rFonts w:ascii="Arial" w:cs="Arial" w:eastAsia="Arial" w:hAnsi="Arial"/>
                <w:sz w:val="22"/>
                <w:szCs w:val="22"/>
                <w:color w:val="auto"/>
                <w:w w:val="93"/>
                <w:vertAlign w:val="superscript"/>
              </w:rPr>
              <w:t>1</w:t>
            </w:r>
            <w:r>
              <w:rPr>
                <w:rFonts w:ascii="Arial" w:cs="Arial" w:eastAsia="Arial" w:hAnsi="Arial"/>
                <w:sz w:val="18"/>
                <w:szCs w:val="18"/>
                <w:color w:val="auto"/>
                <w:w w:val="93"/>
              </w:rPr>
              <w:t>/</w:t>
            </w:r>
            <w:r>
              <w:rPr>
                <w:rFonts w:ascii="Arial" w:cs="Arial" w:eastAsia="Arial" w:hAnsi="Arial"/>
                <w:sz w:val="13"/>
                <w:szCs w:val="13"/>
                <w:color w:val="auto"/>
                <w:w w:val="93"/>
              </w:rPr>
              <w:t>2</w:t>
            </w:r>
            <w:r>
              <w:rPr>
                <w:rFonts w:ascii="Arial" w:cs="Arial" w:eastAsia="Arial" w:hAnsi="Arial"/>
                <w:sz w:val="18"/>
                <w:szCs w:val="18"/>
                <w:color w:val="auto"/>
                <w:w w:val="93"/>
              </w:rPr>
              <w:t>% Series B Cumulative Redeemable Preferred Shares (previously filed as Exhibit 4.1 to the Trust’s</w:t>
            </w:r>
          </w:p>
        </w:tc>
      </w:tr>
      <w:tr>
        <w:trPr>
          <w:trHeight w:val="222"/>
        </w:trPr>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Registration Statement on Form 8-A filed on November 26, 2001 (File No. 1-07533) (the “2001 Form 8-A”) and incorporated herein by reference)</w:t>
            </w:r>
          </w:p>
        </w:tc>
      </w:tr>
      <w:tr>
        <w:trPr>
          <w:trHeight w:val="318"/>
        </w:trPr>
        <w:tc>
          <w:tcPr>
            <w:tcW w:w="7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 xml:space="preserve">Specimen 8 </w:t>
            </w:r>
            <w:r>
              <w:rPr>
                <w:rFonts w:ascii="Arial" w:cs="Arial" w:eastAsia="Arial" w:hAnsi="Arial"/>
                <w:sz w:val="22"/>
                <w:szCs w:val="22"/>
                <w:color w:val="auto"/>
                <w:w w:val="88"/>
                <w:vertAlign w:val="superscript"/>
              </w:rPr>
              <w:t>1</w:t>
            </w:r>
            <w:r>
              <w:rPr>
                <w:rFonts w:ascii="Arial" w:cs="Arial" w:eastAsia="Arial" w:hAnsi="Arial"/>
                <w:sz w:val="18"/>
                <w:szCs w:val="18"/>
                <w:color w:val="auto"/>
                <w:w w:val="88"/>
              </w:rPr>
              <w:t>/</w:t>
            </w:r>
            <w:r>
              <w:rPr>
                <w:rFonts w:ascii="Arial" w:cs="Arial" w:eastAsia="Arial" w:hAnsi="Arial"/>
                <w:sz w:val="13"/>
                <w:szCs w:val="13"/>
                <w:color w:val="auto"/>
                <w:w w:val="88"/>
              </w:rPr>
              <w:t>2</w:t>
            </w:r>
            <w:r>
              <w:rPr>
                <w:rFonts w:ascii="Arial" w:cs="Arial" w:eastAsia="Arial" w:hAnsi="Arial"/>
                <w:sz w:val="18"/>
                <w:szCs w:val="18"/>
                <w:color w:val="auto"/>
                <w:w w:val="88"/>
              </w:rPr>
              <w:t>% Series B Cumulative Redeemable Preferred Share certificate (previously filed as Exhibit 4.2 to the 2001 Form 8-A and incorporated</w:t>
            </w:r>
          </w:p>
        </w:tc>
      </w:tr>
      <w:tr>
        <w:trPr>
          <w:trHeight w:val="222"/>
        </w:trPr>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herein by reference)</w:t>
            </w:r>
          </w:p>
        </w:tc>
      </w:tr>
      <w:tr>
        <w:trPr>
          <w:trHeight w:val="318"/>
        </w:trPr>
        <w:tc>
          <w:tcPr>
            <w:tcW w:w="7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Amended and Restated Rights Agreement, dated March 11, 1999, between the Trust and American Stock Transfer &amp; Trust Company (previously</w:t>
            </w:r>
          </w:p>
        </w:tc>
      </w:tr>
      <w:tr>
        <w:trPr>
          <w:trHeight w:val="216"/>
        </w:trPr>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4"/>
              </w:rPr>
              <w:t>filed as Exhibit 1 to the Trust’s Registration Statement on Form 8-A/A filed on March 11, 1999 (File No. 1-07533) and incorporated herein by</w:t>
            </w:r>
          </w:p>
        </w:tc>
      </w:tr>
      <w:tr>
        <w:trPr>
          <w:trHeight w:val="222"/>
        </w:trPr>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7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First Amendment to Amended and Restated Rights Agreement, dated as of November   , 2003, between the Trust and American Stock Transfer &amp;</w:t>
            </w:r>
          </w:p>
        </w:tc>
      </w:tr>
      <w:tr>
        <w:trPr>
          <w:trHeight w:val="216"/>
        </w:trPr>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Trust Company (previously filed as Exhibit 4.5 to the Trust’s Annual Report on Form 10-K for the year ended December 31, 2003 (File No. 1-</w:t>
            </w:r>
          </w:p>
        </w:tc>
      </w:tr>
      <w:tr>
        <w:trPr>
          <w:trHeight w:val="222"/>
        </w:trPr>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07533) and incorporated herein by reference)</w:t>
            </w:r>
          </w:p>
        </w:tc>
      </w:tr>
      <w:tr>
        <w:trPr>
          <w:trHeight w:val="318"/>
        </w:trPr>
        <w:tc>
          <w:tcPr>
            <w:tcW w:w="7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 xml:space="preserve">Indenture dated December 13, 1993 related to the Trust’s 7.48% Debentures due August 15, 2026; 6 </w:t>
            </w:r>
            <w:r>
              <w:rPr>
                <w:rFonts w:ascii="Arial" w:cs="Arial" w:eastAsia="Arial" w:hAnsi="Arial"/>
                <w:sz w:val="22"/>
                <w:szCs w:val="22"/>
                <w:color w:val="auto"/>
                <w:w w:val="90"/>
                <w:vertAlign w:val="superscript"/>
              </w:rPr>
              <w:t>5</w:t>
            </w:r>
            <w:r>
              <w:rPr>
                <w:rFonts w:ascii="Arial" w:cs="Arial" w:eastAsia="Arial" w:hAnsi="Arial"/>
                <w:sz w:val="18"/>
                <w:szCs w:val="18"/>
                <w:color w:val="auto"/>
                <w:w w:val="90"/>
              </w:rPr>
              <w:t>/</w:t>
            </w:r>
            <w:r>
              <w:rPr>
                <w:rFonts w:ascii="Arial" w:cs="Arial" w:eastAsia="Arial" w:hAnsi="Arial"/>
                <w:sz w:val="13"/>
                <w:szCs w:val="13"/>
                <w:color w:val="auto"/>
                <w:w w:val="90"/>
              </w:rPr>
              <w:t>8</w:t>
            </w:r>
            <w:r>
              <w:rPr>
                <w:rFonts w:ascii="Arial" w:cs="Arial" w:eastAsia="Arial" w:hAnsi="Arial"/>
                <w:sz w:val="18"/>
                <w:szCs w:val="18"/>
                <w:color w:val="auto"/>
                <w:w w:val="90"/>
              </w:rPr>
              <w:t>% Notes due 2005; 6.82% Medium Term</w:t>
            </w:r>
          </w:p>
        </w:tc>
      </w:tr>
      <w:tr>
        <w:trPr>
          <w:trHeight w:val="216"/>
        </w:trPr>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5"/>
              </w:rPr>
              <w:t>Notes due August 1, 2027; and 6.99% Medium Term Notes due March 10, 2006 (previously filed as Exhibit 4(a) to the Trust’s Registration</w:t>
            </w:r>
          </w:p>
        </w:tc>
      </w:tr>
      <w:tr>
        <w:trPr>
          <w:trHeight w:val="216"/>
        </w:trPr>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Statement on Form S-3 (File No. 33-51029), and amended on Form S-3 (File No. 33-63687), filed on December 13, 1993 and incorporated herein by</w:t>
            </w:r>
          </w:p>
        </w:tc>
      </w:tr>
      <w:tr>
        <w:trPr>
          <w:trHeight w:val="222"/>
        </w:trPr>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70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 xml:space="preserve">Indenture dated September 1, 1998 related to the Trust’s 8.75% Notes due December 1, 2009 and the Trust’s 6 </w:t>
            </w:r>
            <w:r>
              <w:rPr>
                <w:rFonts w:ascii="Arial" w:cs="Arial" w:eastAsia="Arial" w:hAnsi="Arial"/>
                <w:sz w:val="22"/>
                <w:szCs w:val="22"/>
                <w:color w:val="auto"/>
                <w:w w:val="88"/>
                <w:vertAlign w:val="superscript"/>
              </w:rPr>
              <w:t>1</w:t>
            </w:r>
            <w:r>
              <w:rPr>
                <w:rFonts w:ascii="Arial" w:cs="Arial" w:eastAsia="Arial" w:hAnsi="Arial"/>
                <w:sz w:val="18"/>
                <w:szCs w:val="18"/>
                <w:color w:val="auto"/>
                <w:w w:val="88"/>
              </w:rPr>
              <w:t>/</w:t>
            </w:r>
            <w:r>
              <w:rPr>
                <w:rFonts w:ascii="Arial" w:cs="Arial" w:eastAsia="Arial" w:hAnsi="Arial"/>
                <w:sz w:val="13"/>
                <w:szCs w:val="13"/>
                <w:color w:val="auto"/>
                <w:w w:val="88"/>
              </w:rPr>
              <w:t>8</w:t>
            </w:r>
            <w:r>
              <w:rPr>
                <w:rFonts w:ascii="Arial" w:cs="Arial" w:eastAsia="Arial" w:hAnsi="Arial"/>
                <w:sz w:val="18"/>
                <w:szCs w:val="18"/>
                <w:color w:val="auto"/>
                <w:w w:val="88"/>
              </w:rPr>
              <w:t>% Notes due November 15, 2007</w:t>
            </w:r>
          </w:p>
        </w:tc>
      </w:tr>
      <w:tr>
        <w:trPr>
          <w:trHeight w:val="216"/>
        </w:trPr>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and the Trust’s 4.50% Notes due 2011 (previously filed as Exhibit 4(a) to the Trust’s Registration Statement on Form S-3 (File No. 333-63619) filed</w:t>
            </w:r>
          </w:p>
        </w:tc>
      </w:tr>
      <w:tr>
        <w:trPr>
          <w:trHeight w:val="222"/>
        </w:trPr>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on September 17, 1998 and incorporated herein by reference)</w:t>
            </w:r>
          </w:p>
        </w:tc>
      </w:tr>
      <w:tr>
        <w:trPr>
          <w:trHeight w:val="318"/>
        </w:trPr>
        <w:tc>
          <w:tcPr>
            <w:tcW w:w="70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Pursuant to Regulation S-K Item 601(b)(4)(iii), the Trust by this filing agrees, upon request, to furnish to the Securities and Exchange Commission a</w:t>
            </w:r>
          </w:p>
        </w:tc>
      </w:tr>
      <w:tr>
        <w:trPr>
          <w:trHeight w:val="222"/>
        </w:trPr>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copy of other instruments defining the rights of holders of long-term debt of the Trust</w:t>
            </w:r>
          </w:p>
        </w:tc>
      </w:tr>
      <w:tr>
        <w:trPr>
          <w:trHeight w:val="318"/>
        </w:trPr>
        <w:tc>
          <w:tcPr>
            <w:tcW w:w="7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Amended and Restated 1983 Stock Option Plan and 1985 Non-Qualified Stock Option Plan of Federal Realty Investment Trust (previously filed as</w:t>
            </w:r>
          </w:p>
        </w:tc>
      </w:tr>
      <w:tr>
        <w:trPr>
          <w:trHeight w:val="222"/>
        </w:trPr>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exhibits to the Trust’s Registration Statement in Form S-8 (File No. 33-55111), filed on August 17, 1994 and incorporated herein by reference)</w:t>
            </w:r>
          </w:p>
        </w:tc>
      </w:tr>
      <w:tr>
        <w:trPr>
          <w:trHeight w:val="365"/>
        </w:trPr>
        <w:tc>
          <w:tcPr>
            <w:tcW w:w="700" w:type="dxa"/>
            <w:vAlign w:val="bottom"/>
          </w:tcPr>
          <w:p>
            <w:pPr>
              <w:spacing w:after="0"/>
              <w:rPr>
                <w:sz w:val="24"/>
                <w:szCs w:val="24"/>
                <w:color w:val="auto"/>
              </w:rPr>
            </w:pPr>
          </w:p>
        </w:tc>
        <w:tc>
          <w:tcPr>
            <w:tcW w:w="10720" w:type="dxa"/>
            <w:vAlign w:val="bottom"/>
            <w:gridSpan w:val="2"/>
          </w:tcPr>
          <w:p>
            <w:pPr>
              <w:jc w:val="right"/>
              <w:ind w:right="5533"/>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6636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ind w:left="920" w:right="200" w:hanging="727"/>
        <w:spacing w:after="0" w:line="268" w:lineRule="auto"/>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1985 Non-Qualified Stock Option Plan (previously filed as a portion of Exhibit 10 to the Trust’s Annual Report on Form 10-K for the year ended December 31, 1985 (File No. 1-07533) and incorporated herein by reference)</w:t>
      </w:r>
    </w:p>
    <w:p>
      <w:pPr>
        <w:spacing w:after="0" w:line="78"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1991 Share Purchase Plan (previously filed as a portion of Exhibit 10 to the Trust’s Annual Report on Form 10-K for the year ended December 31,</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1990 (File No. 1-07533) and incorporated herein by reference)</w:t>
      </w:r>
    </w:p>
    <w:p>
      <w:pPr>
        <w:spacing w:after="0" w:line="111" w:lineRule="exact"/>
        <w:rPr>
          <w:sz w:val="20"/>
          <w:szCs w:val="20"/>
          <w:color w:val="auto"/>
        </w:rPr>
      </w:pPr>
    </w:p>
    <w:p>
      <w:pPr>
        <w:ind w:left="920" w:right="140" w:hanging="727"/>
        <w:spacing w:after="0" w:line="259" w:lineRule="auto"/>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Amended and Restated 1993 Long-Term Incentive Plan, as amended on October 6, 1997 and further amended on May 6, 1998 (previously filed as Exhibit 10.26 to the Trust’s Annual Report on Form 10-K for the year ended December 31, 1998 (File No. 1-07533) and incorporated herein by reference)</w:t>
      </w:r>
    </w:p>
    <w:p>
      <w:pPr>
        <w:spacing w:after="0" w:line="86" w:lineRule="exact"/>
        <w:rPr>
          <w:sz w:val="20"/>
          <w:szCs w:val="20"/>
          <w:color w:val="auto"/>
        </w:rPr>
      </w:pPr>
    </w:p>
    <w:p>
      <w:pPr>
        <w:ind w:left="920" w:right="20" w:hanging="727"/>
        <w:spacing w:after="0" w:line="332" w:lineRule="auto"/>
        <w:tabs>
          <w:tab w:leader="none" w:pos="9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Fiscal Agency Agreement dated as of October 28, 1993 between the Trust and Citibank, N.A. (previously filed as an exhibit to the Trust’s Quarterly Report on Form 10-Q for the quarter ended September 30, 1993 (File No. 1-07533) and incorporated herein by reference)</w:t>
      </w:r>
    </w:p>
    <w:p>
      <w:pPr>
        <w:spacing w:after="0" w:line="31"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Severance Agreement between the Trust and Certain of its Officers dated December 31, 1994 (previously filed as a portion of Exhibit 10 to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Trust’s Annual Report on Form 10-K for the year ended December 31, 1994 (File No. 1-07533) and incorporated herein by reference)</w:t>
      </w:r>
    </w:p>
    <w:p>
      <w:pPr>
        <w:spacing w:after="0" w:line="134" w:lineRule="exact"/>
        <w:rPr>
          <w:sz w:val="20"/>
          <w:szCs w:val="20"/>
          <w:color w:val="auto"/>
        </w:rPr>
      </w:pPr>
    </w:p>
    <w:p>
      <w:pPr>
        <w:ind w:left="920" w:right="620" w:hanging="727"/>
        <w:spacing w:after="0" w:line="268" w:lineRule="auto"/>
        <w:tabs>
          <w:tab w:leader="none" w:pos="9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Performance Share Award Agreement dated as of February 9, 2000 between the Trust and Donald C. Wood (previously filed as a portion of Exhibit 10 to the 1999 Form 10-K and incorporated herein by reference)</w:t>
      </w:r>
    </w:p>
    <w:p>
      <w:pPr>
        <w:spacing w:after="0" w:line="78" w:lineRule="exact"/>
        <w:rPr>
          <w:sz w:val="20"/>
          <w:szCs w:val="20"/>
          <w:color w:val="auto"/>
        </w:rPr>
      </w:pPr>
    </w:p>
    <w:p>
      <w:pPr>
        <w:ind w:left="920" w:right="20" w:hanging="727"/>
        <w:spacing w:after="0" w:line="268" w:lineRule="auto"/>
        <w:tabs>
          <w:tab w:leader="none" w:pos="9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Restricted Share Award Agreement dated as of February 9, 2000 between the Trust and Donald C. Wood (previously filed as a portion of Exhibit 10 to the 1999 Form 10-K and incorporated herein by reference)</w:t>
      </w:r>
    </w:p>
    <w:p>
      <w:pPr>
        <w:spacing w:after="0" w:line="78" w:lineRule="exact"/>
        <w:rPr>
          <w:sz w:val="20"/>
          <w:szCs w:val="20"/>
          <w:color w:val="auto"/>
        </w:rPr>
      </w:pPr>
    </w:p>
    <w:p>
      <w:pPr>
        <w:ind w:left="920" w:right="180" w:hanging="727"/>
        <w:spacing w:after="0" w:line="259" w:lineRule="auto"/>
        <w:tabs>
          <w:tab w:leader="none" w:pos="9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Severance Agreement between the Trust and Donald C. Wood dated February 22, 1999 (previously filed as a portion of Exhibit 10 to the Trust’s Quarterly Report on Form 10-Q for the quarter ended March 31, 1999 (File No. 1-07533) (the “1999 1Q Form 10-Q”) and incorporated herein by reference)</w:t>
      </w:r>
    </w:p>
    <w:p>
      <w:pPr>
        <w:spacing w:after="0" w:line="86" w:lineRule="exact"/>
        <w:rPr>
          <w:sz w:val="20"/>
          <w:szCs w:val="20"/>
          <w:color w:val="auto"/>
        </w:rPr>
      </w:pPr>
    </w:p>
    <w:p>
      <w:pPr>
        <w:ind w:left="920" w:right="400" w:hanging="770"/>
        <w:spacing w:after="0" w:line="268" w:lineRule="auto"/>
        <w:tabs>
          <w:tab w:leader="none" w:pos="9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Executive Agreement between Federal Realty Investment Trust and Donald C. Wood dated February 22, 1999 (previously filed as a portion of Exhibit 10 to the 1999 1Q Form 10-Q and incorporated herein by reference)</w:t>
      </w:r>
    </w:p>
    <w:p>
      <w:pPr>
        <w:spacing w:after="0" w:line="78" w:lineRule="exact"/>
        <w:rPr>
          <w:sz w:val="20"/>
          <w:szCs w:val="20"/>
          <w:color w:val="auto"/>
        </w:rPr>
      </w:pPr>
    </w:p>
    <w:p>
      <w:pPr>
        <w:jc w:val="both"/>
        <w:ind w:left="920" w:right="180" w:hanging="767"/>
        <w:spacing w:after="0" w:line="259" w:lineRule="auto"/>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Amendment to Executive Agreement between Federal Realty Investment Trust and Donald C. Wood dated February 16, 2005 (previously filed as Exhibit 10.12 to the Trust’s Annual Report on Form 10-K for the year ended December 31, 2004 (File No. 1-07533) (the “2004 Form 10-K”) and incorporated herein by reference)</w:t>
      </w:r>
    </w:p>
    <w:p>
      <w:pPr>
        <w:spacing w:after="0" w:line="86" w:lineRule="exact"/>
        <w:rPr>
          <w:sz w:val="20"/>
          <w:szCs w:val="20"/>
          <w:color w:val="auto"/>
        </w:rPr>
      </w:pPr>
    </w:p>
    <w:p>
      <w:pPr>
        <w:ind w:left="920" w:hanging="770"/>
        <w:spacing w:after="0" w:line="259" w:lineRule="auto"/>
        <w:tabs>
          <w:tab w:leader="none" w:pos="9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Amendment to Restricted Share Award Agreement dated December 8, 2000 between the Trust and Donald C. Wood (previously filed as a portion of Exhibit 10 to the Trust’s Annual Report on Form 10-K for the year ended December 31, 2000 (File No. 1-07533) (the “2000 Form 10-K”) and incorporated herein by reference)</w:t>
      </w:r>
    </w:p>
    <w:p>
      <w:pPr>
        <w:spacing w:after="0" w:line="86" w:lineRule="exact"/>
        <w:rPr>
          <w:sz w:val="20"/>
          <w:szCs w:val="20"/>
          <w:color w:val="auto"/>
        </w:rPr>
      </w:pPr>
    </w:p>
    <w:p>
      <w:pPr>
        <w:ind w:left="920" w:right="40" w:hanging="770"/>
        <w:spacing w:after="0" w:line="268" w:lineRule="auto"/>
        <w:tabs>
          <w:tab w:leader="none" w:pos="9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Split Dollar Life Insurance Agreement dated August 12, 1998 between the Trust and Donald C. Wood (previously filed as a portion of Exhibit 10 to the 2000 Form 10-K and incorporated herein by reference)</w:t>
      </w:r>
    </w:p>
    <w:p>
      <w:pPr>
        <w:spacing w:after="0" w:line="78" w:lineRule="exact"/>
        <w:rPr>
          <w:sz w:val="20"/>
          <w:szCs w:val="20"/>
          <w:color w:val="auto"/>
        </w:rPr>
      </w:pPr>
    </w:p>
    <w:p>
      <w:pPr>
        <w:ind w:left="920" w:right="420" w:hanging="770"/>
        <w:spacing w:after="0" w:line="259" w:lineRule="auto"/>
        <w:tabs>
          <w:tab w:leader="none" w:pos="9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Restricted Share Award Agreement dated as of February 15, 2000 between the Trust and Jeffrey S. Berkes (previously filed as a portion of Exhibit 10 to the Trust’s Annual Report on Form 10-K for the year ended December 31, 2001 (File No. 1-07533) (the “2001 Form 10-K”) and incorporated herein by reference)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INDEX</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6636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ind w:left="920" w:right="40" w:hanging="770"/>
        <w:spacing w:after="0" w:line="268" w:lineRule="auto"/>
        <w:tabs>
          <w:tab w:leader="none" w:pos="9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Severance Agreement between the Trust and Jeffrey S. Berkes dated March 1, 2000 (previously filed as a portion of Exhibit 10 to the 2001 Form 10-K and incorporated herein by reference)</w:t>
      </w:r>
    </w:p>
    <w:p>
      <w:pPr>
        <w:spacing w:after="0" w:line="78"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5"/>
          <w:szCs w:val="15"/>
          <w:color w:val="auto"/>
        </w:rPr>
        <w:t>Amendment to Severance Agreement between Federal Realty Investment Trust and Jeff Berkes dated February 16, 2005 (previously filed as Exhibit</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10.17 to the 2004 Form 10-K and incorporated herein by reference)</w:t>
      </w:r>
    </w:p>
    <w:p>
      <w:pPr>
        <w:spacing w:after="0" w:line="111" w:lineRule="exact"/>
        <w:rPr>
          <w:sz w:val="20"/>
          <w:szCs w:val="20"/>
          <w:color w:val="auto"/>
        </w:rPr>
      </w:pPr>
    </w:p>
    <w:p>
      <w:pPr>
        <w:ind w:left="920" w:hanging="770"/>
        <w:spacing w:after="0" w:line="332" w:lineRule="auto"/>
        <w:tabs>
          <w:tab w:leader="none" w:pos="9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Severance Agreement dated March 1, 2002 between the Trust and Larry E. Finger (previously filed as a portion of Exhibit 10 to the Trust’s Quarterly Report on Form 10-Q for the quarter ended June 30, 2002 (File No. 1-07533) (the “2002 2Q Form 10-Q”) and incorporated herein by reference)</w:t>
      </w:r>
    </w:p>
    <w:p>
      <w:pPr>
        <w:spacing w:after="0" w:line="31" w:lineRule="exact"/>
        <w:rPr>
          <w:sz w:val="20"/>
          <w:szCs w:val="20"/>
          <w:color w:val="auto"/>
        </w:rPr>
      </w:pPr>
    </w:p>
    <w:p>
      <w:pPr>
        <w:ind w:left="920" w:right="520" w:hanging="770"/>
        <w:spacing w:after="0" w:line="268" w:lineRule="auto"/>
        <w:tabs>
          <w:tab w:leader="none" w:pos="9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Amendment to Severance Agreement between Federal Realty Investment Trust and Larry Finger dated February 16, 2005 (previously filed as Exhibit 10.19 to the 2004 Form 10-K and incorporated herein by reference)</w:t>
      </w:r>
    </w:p>
    <w:p>
      <w:pPr>
        <w:spacing w:after="0" w:line="78" w:lineRule="exact"/>
        <w:rPr>
          <w:sz w:val="20"/>
          <w:szCs w:val="20"/>
          <w:color w:val="auto"/>
        </w:rPr>
      </w:pPr>
    </w:p>
    <w:p>
      <w:pPr>
        <w:ind w:left="920" w:right="20" w:hanging="770"/>
        <w:spacing w:after="0" w:line="268" w:lineRule="auto"/>
        <w:tabs>
          <w:tab w:leader="none" w:pos="9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Combined Incentive and Non-Qualified Stock Option Agreement dated February 28, 2002 between the Trust and Larry E. Finger (previously filed as a portion of Exhibit 10 to the 2002 2Q Form 10-Q and incorporated herein by reference)</w:t>
      </w:r>
    </w:p>
    <w:p>
      <w:pPr>
        <w:spacing w:after="0" w:line="78" w:lineRule="exact"/>
        <w:rPr>
          <w:sz w:val="20"/>
          <w:szCs w:val="20"/>
          <w:color w:val="auto"/>
        </w:rPr>
      </w:pPr>
    </w:p>
    <w:p>
      <w:pPr>
        <w:ind w:left="920" w:right="20" w:hanging="770"/>
        <w:spacing w:after="0" w:line="268" w:lineRule="auto"/>
        <w:tabs>
          <w:tab w:leader="none" w:pos="9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Performance Share Award Agreement between the Trust and Donald C. Wood dated February 28, 2002 (previously filed as a portion of Exhibit 10 to the 2002 2Q Form 10-Q and incorporated herein by reference)</w:t>
      </w:r>
    </w:p>
    <w:p>
      <w:pPr>
        <w:spacing w:after="0" w:line="78" w:lineRule="exact"/>
        <w:rPr>
          <w:sz w:val="20"/>
          <w:szCs w:val="20"/>
          <w:color w:val="auto"/>
        </w:rPr>
      </w:pPr>
    </w:p>
    <w:p>
      <w:pPr>
        <w:ind w:left="920" w:hanging="770"/>
        <w:spacing w:after="0" w:line="268" w:lineRule="auto"/>
        <w:tabs>
          <w:tab w:leader="none" w:pos="9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Performance Share Award Agreement between the Trust and Jeffrey S. Berkes dated February 28, 2002 (previously filed as a portion of Exhibit 10 to the 2002 2Q Form 10-Q and incorporated herein by reference)</w:t>
      </w:r>
    </w:p>
    <w:p>
      <w:pPr>
        <w:spacing w:after="0" w:line="78" w:lineRule="exact"/>
        <w:rPr>
          <w:sz w:val="20"/>
          <w:szCs w:val="20"/>
          <w:color w:val="auto"/>
        </w:rPr>
      </w:pPr>
    </w:p>
    <w:p>
      <w:pPr>
        <w:ind w:left="920" w:right="120" w:hanging="770"/>
        <w:spacing w:after="0" w:line="259" w:lineRule="auto"/>
        <w:tabs>
          <w:tab w:leader="none" w:pos="9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Amendment to Stock Option Agreement dated August 15, 2002 between the Trust and Dawn M. Becker (previously filed as a portion of Exhibit 10 to the Trust’s Quarterly Report on Form 10-Q for the quarter ended September 30, 2002 (File No. 1-075330 (the “2002 3Q Form 10-Q”) and incorporated herein by reference)</w:t>
      </w:r>
    </w:p>
    <w:p>
      <w:pPr>
        <w:spacing w:after="0" w:line="86" w:lineRule="exact"/>
        <w:rPr>
          <w:sz w:val="20"/>
          <w:szCs w:val="20"/>
          <w:color w:val="auto"/>
        </w:rPr>
      </w:pPr>
    </w:p>
    <w:p>
      <w:pPr>
        <w:ind w:left="920" w:right="20" w:hanging="770"/>
        <w:spacing w:after="0" w:line="268" w:lineRule="auto"/>
        <w:tabs>
          <w:tab w:leader="none" w:pos="9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Amendment to Stock Option Agreement dated August 15, 2002 between Federal Realty Investment Trust and Jeffrey S. Berkes (previously filed as a portion of Exhibit 10 to the 2002 3Q Form 10-Q and incorporated herein by reference)</w:t>
      </w:r>
    </w:p>
    <w:p>
      <w:pPr>
        <w:spacing w:after="0" w:line="78" w:lineRule="exact"/>
        <w:rPr>
          <w:sz w:val="20"/>
          <w:szCs w:val="20"/>
          <w:color w:val="auto"/>
        </w:rPr>
      </w:pPr>
    </w:p>
    <w:p>
      <w:pPr>
        <w:ind w:left="920" w:right="540" w:hanging="770"/>
        <w:spacing w:after="0" w:line="268" w:lineRule="auto"/>
        <w:tabs>
          <w:tab w:leader="none" w:pos="9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2001 Long-Term Incentive Plan (previously filed as Exhibit 99.1 to the Trust’s S-8 Registration Number 333-60364 filed on May 7, 2001 and incorporated herein by reference)</w:t>
      </w:r>
    </w:p>
    <w:p>
      <w:pPr>
        <w:spacing w:after="0" w:line="78" w:lineRule="exact"/>
        <w:rPr>
          <w:sz w:val="20"/>
          <w:szCs w:val="20"/>
          <w:color w:val="auto"/>
        </w:rPr>
      </w:pPr>
    </w:p>
    <w:p>
      <w:pPr>
        <w:ind w:left="920" w:right="320" w:hanging="770"/>
        <w:spacing w:after="0" w:line="268" w:lineRule="auto"/>
        <w:tabs>
          <w:tab w:leader="none" w:pos="9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Health Coverage Continuation Agreement between Federal Realty Investment Trust and Don Wood dated February 16, 2005 (previously filed as Exhibit 10.26 to the 2004 Form 10-K and incorporated herein by reference)</w:t>
      </w:r>
    </w:p>
    <w:p>
      <w:pPr>
        <w:spacing w:after="0" w:line="78" w:lineRule="exact"/>
        <w:rPr>
          <w:sz w:val="20"/>
          <w:szCs w:val="20"/>
          <w:color w:val="auto"/>
        </w:rPr>
      </w:pPr>
    </w:p>
    <w:p>
      <w:pPr>
        <w:ind w:left="920" w:hanging="770"/>
        <w:spacing w:after="0" w:line="268" w:lineRule="auto"/>
        <w:tabs>
          <w:tab w:leader="none" w:pos="9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Severance Agreement between the Trust and Dawn Becker dated April 19, 2000 (previously filed as Exhibit 10.26 to the Trust’s 2005 2Q Form 10-Q and incorporated herein by reference)</w:t>
      </w:r>
    </w:p>
    <w:p>
      <w:pPr>
        <w:spacing w:after="0" w:line="78" w:lineRule="exact"/>
        <w:rPr>
          <w:sz w:val="20"/>
          <w:szCs w:val="20"/>
          <w:color w:val="auto"/>
        </w:rPr>
      </w:pPr>
    </w:p>
    <w:p>
      <w:pPr>
        <w:ind w:left="920" w:right="260" w:hanging="770"/>
        <w:spacing w:after="0" w:line="268" w:lineRule="auto"/>
        <w:tabs>
          <w:tab w:leader="none" w:pos="9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Amendment to Severance Agreement between the Trust and Dawn Becker dated February 16, 2005 (previously filed as Exhibit 10.27 to the 2004 Form 10-K and incorporated herein by reference)</w:t>
      </w:r>
    </w:p>
    <w:p>
      <w:pPr>
        <w:spacing w:after="0" w:line="78"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5"/>
          <w:szCs w:val="15"/>
          <w:color w:val="auto"/>
        </w:rPr>
        <w:t>Form of Restricted Share Award Agreement for awards made under the Trust’s 2003 Long-Term Incentive Award Program for shares issued out of</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2001 Long-Term Incentive Plan (previously filed as Exhibit 10.28 to the 2004 Form 10-K and incorporated herein by reference)</w:t>
      </w:r>
    </w:p>
    <w:p>
      <w:pPr>
        <w:spacing w:after="0" w:line="111" w:lineRule="exact"/>
        <w:rPr>
          <w:sz w:val="20"/>
          <w:szCs w:val="20"/>
          <w:color w:val="auto"/>
        </w:rPr>
      </w:pPr>
    </w:p>
    <w:p>
      <w:pPr>
        <w:ind w:left="920" w:right="20" w:hanging="770"/>
        <w:spacing w:after="0" w:line="332" w:lineRule="auto"/>
        <w:tabs>
          <w:tab w:leader="none" w:pos="9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Form of Restricted Share Award Agreement for awards made under the Trust’s Annual Incentive Bonus Program for shares issued out of 2001 Long-Term Incentive Plan (previously filed as Exhibit 10.29 to the 2004 Form 10-K and incorporated herein by reference)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6636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ind w:left="160"/>
        <w:spacing w:after="0"/>
        <w:tabs>
          <w:tab w:leader="none" w:pos="9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Form of Option Award Agreement for options awarded under 2001 Long-Term Incentive Plan (previously filed as Exhibit 10.30 to the 2004 Form</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10-K and incorporated herein by reference)</w:t>
      </w:r>
    </w:p>
    <w:p>
      <w:pPr>
        <w:spacing w:after="0" w:line="111" w:lineRule="exact"/>
        <w:rPr>
          <w:sz w:val="20"/>
          <w:szCs w:val="20"/>
          <w:color w:val="auto"/>
        </w:rPr>
      </w:pPr>
    </w:p>
    <w:p>
      <w:pPr>
        <w:ind w:left="920" w:right="100" w:hanging="770"/>
        <w:spacing w:after="0" w:line="332" w:lineRule="auto"/>
        <w:tabs>
          <w:tab w:leader="none" w:pos="90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Form of Option Award Agreement for awards made under the Trust’s 2003 Long-Term Incentive Award Program for shares issued out of the 2001 Long-Term Incentive Plan (previously filed as Exhibit 10.28 to the 2004 Form 10-K and incorporated herein by reference)</w:t>
      </w:r>
    </w:p>
    <w:p>
      <w:pPr>
        <w:spacing w:after="0" w:line="31" w:lineRule="exact"/>
        <w:rPr>
          <w:sz w:val="20"/>
          <w:szCs w:val="20"/>
          <w:color w:val="auto"/>
        </w:rPr>
      </w:pPr>
    </w:p>
    <w:p>
      <w:pPr>
        <w:ind w:left="920" w:right="100" w:hanging="770"/>
        <w:spacing w:after="0" w:line="332" w:lineRule="auto"/>
        <w:tabs>
          <w:tab w:leader="none" w:pos="90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Form of Option Award Agreement for awards made under the Trust’s 2003 Long-Term Incentive Award Program for shares issued out of the 2001 Long-Term Incentive Plan (previously filed as Exhibit 10.32 to the 2005 Form 10-K and incorporated herein by reference)</w:t>
      </w:r>
    </w:p>
    <w:p>
      <w:pPr>
        <w:spacing w:after="0" w:line="31" w:lineRule="exact"/>
        <w:rPr>
          <w:sz w:val="20"/>
          <w:szCs w:val="20"/>
          <w:color w:val="auto"/>
        </w:rPr>
      </w:pPr>
    </w:p>
    <w:p>
      <w:pPr>
        <w:jc w:val="both"/>
        <w:ind w:left="920" w:hanging="770"/>
        <w:spacing w:after="0" w:line="259" w:lineRule="auto"/>
        <w:tabs>
          <w:tab w:leader="none" w:pos="90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Credit Agreement dated as of July 28, 2006, by and between the Trust, Wachovia Capital Markets LLC, Wachovia Bank, National Association and various other financial institutions (previously filed as Exhibit 10.1) to the Trust’s Current Report on Form 8-K (File No. 1-07533), filed on July 31, 2006 and incorporated herein by reference)</w:t>
      </w:r>
    </w:p>
    <w:p>
      <w:pPr>
        <w:spacing w:after="0" w:line="86"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 of Chief Executive Officer (filed herewith)</w:t>
      </w:r>
    </w:p>
    <w:p>
      <w:pPr>
        <w:spacing w:after="0" w:line="117"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 Certification of Chief Financial Officer (filed herewith)</w:t>
      </w:r>
    </w:p>
    <w:p>
      <w:pPr>
        <w:spacing w:after="0" w:line="117"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Chief Executive Officer (filed herewith)</w:t>
      </w:r>
    </w:p>
    <w:p>
      <w:pPr>
        <w:spacing w:after="0" w:line="117"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Chief Financial Officer (filed herewith)</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459"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40" w:hanging="440"/>
        <w:spacing w:after="0" w:line="306" w:lineRule="auto"/>
        <w:tabs>
          <w:tab w:leader="none" w:pos="19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4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right="40" w:hanging="440"/>
        <w:spacing w:after="0" w:line="259" w:lineRule="auto"/>
        <w:tabs>
          <w:tab w:leader="none" w:pos="19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920" w:right="280" w:hanging="440"/>
        <w:spacing w:after="0" w:line="332" w:lineRule="auto"/>
        <w:tabs>
          <w:tab w:leader="none" w:pos="19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60" w:hanging="440"/>
        <w:spacing w:after="0" w:line="268" w:lineRule="auto"/>
        <w:tabs>
          <w:tab w:leader="none" w:pos="19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August 2, 2006</w:t>
            </w:r>
          </w:p>
        </w:tc>
        <w:tc>
          <w:tcPr>
            <w:tcW w:w="5600" w:type="dxa"/>
            <w:vAlign w:val="bottom"/>
          </w:tcPr>
          <w:p>
            <w:pPr>
              <w:spacing w:after="0"/>
              <w:rPr>
                <w:sz w:val="20"/>
                <w:szCs w:val="20"/>
                <w:color w:val="auto"/>
              </w:rPr>
            </w:pPr>
            <w:r>
              <w:rPr>
                <w:rFonts w:ascii="Arial" w:cs="Arial" w:eastAsia="Arial" w:hAnsi="Arial"/>
                <w:sz w:val="18"/>
                <w:szCs w:val="18"/>
                <w:color w:val="auto"/>
              </w:rPr>
              <w:t>Donald C. Wood, President, Chief Executive Officer and</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Trustee (Principal Executive Officer)</w:t>
            </w:r>
          </w:p>
        </w:tc>
      </w:tr>
    </w:tbl>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Larry E. Finger</w:t>
      </w:r>
      <w:r>
        <w:rPr>
          <w:rFonts w:ascii="Arial" w:cs="Arial" w:eastAsia="Arial" w:hAnsi="Arial"/>
          <w:sz w:val="18"/>
          <w:szCs w:val="18"/>
          <w:color w:val="auto"/>
        </w:rPr>
        <w:t>, certify that:</w:t>
      </w:r>
    </w:p>
    <w:p>
      <w:pPr>
        <w:spacing w:after="0" w:line="90"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4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80" w:right="20" w:hanging="567"/>
        <w:spacing w:after="0" w:line="259"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Larry E. Finger</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August 2, 2006</w:t>
            </w:r>
          </w:p>
        </w:tc>
        <w:tc>
          <w:tcPr>
            <w:tcW w:w="5600" w:type="dxa"/>
            <w:vAlign w:val="bottom"/>
          </w:tcPr>
          <w:p>
            <w:pPr>
              <w:spacing w:after="0"/>
              <w:rPr>
                <w:sz w:val="20"/>
                <w:szCs w:val="20"/>
                <w:color w:val="auto"/>
              </w:rPr>
            </w:pPr>
            <w:r>
              <w:rPr>
                <w:rFonts w:ascii="Arial" w:cs="Arial" w:eastAsia="Arial" w:hAnsi="Arial"/>
                <w:sz w:val="18"/>
                <w:szCs w:val="18"/>
                <w:color w:val="auto"/>
              </w:rPr>
              <w:t>Larry E. Finger, Executive Vice President and</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 (Principal Accounting Officer)</w:t>
            </w:r>
          </w:p>
        </w:tc>
      </w:tr>
    </w:tbl>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9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PURSUANT TO 18 U.S.C. SECTION 1350 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June 30, 2006 (the “Report”). The undersigned hereby certifies that:</w:t>
      </w:r>
    </w:p>
    <w:p>
      <w:pPr>
        <w:spacing w:after="0" w:line="59"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August 2, 2006</w:t>
            </w:r>
          </w:p>
        </w:tc>
        <w:tc>
          <w:tcPr>
            <w:tcW w:w="5600" w:type="dxa"/>
            <w:vAlign w:val="bottom"/>
          </w:tcPr>
          <w:p>
            <w:pPr>
              <w:spacing w:after="0"/>
              <w:rPr>
                <w:sz w:val="20"/>
                <w:szCs w:val="20"/>
                <w:color w:val="auto"/>
              </w:rPr>
            </w:pPr>
            <w:r>
              <w:rPr>
                <w:rFonts w:ascii="Arial" w:cs="Arial" w:eastAsia="Arial" w:hAnsi="Arial"/>
                <w:sz w:val="18"/>
                <w:szCs w:val="18"/>
                <w:color w:val="auto"/>
              </w:rPr>
              <w:t>Donald C. Wood, President, Chief Executive Officer and</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Trustee (Principal Executive Officer)</w:t>
            </w:r>
          </w:p>
        </w:tc>
      </w:tr>
    </w:tbl>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9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PURSUANT TO 18 U.S.C. SECTION 1350 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undersigned, Larry E. Finger, the Executive Vice President and Chief Financial Officer of Federal Realty Investment Trust (the “Company”), has executed this certification in connection with the filing with the Securities and Exchange Commission of the Company’s Quarterly Report on Form 10-Q for the period ended June 30, 2006 (the “Report”). The undersigned hereby certifies that:</w:t>
      </w:r>
    </w:p>
    <w:p>
      <w:pPr>
        <w:spacing w:after="0" w:line="59"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Larry E. Finger</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August 2, 2006</w:t>
            </w:r>
          </w:p>
        </w:tc>
        <w:tc>
          <w:tcPr>
            <w:tcW w:w="5600" w:type="dxa"/>
            <w:vAlign w:val="bottom"/>
          </w:tcPr>
          <w:p>
            <w:pPr>
              <w:spacing w:after="0"/>
              <w:rPr>
                <w:sz w:val="20"/>
                <w:szCs w:val="20"/>
                <w:color w:val="auto"/>
              </w:rPr>
            </w:pPr>
            <w:r>
              <w:rPr>
                <w:rFonts w:ascii="Arial" w:cs="Arial" w:eastAsia="Arial" w:hAnsi="Arial"/>
                <w:sz w:val="18"/>
                <w:szCs w:val="18"/>
                <w:color w:val="auto"/>
              </w:rPr>
              <w:t>Larry E. Finger, Executive Vice President and</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 (Principal Accounting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lowerLetter"/>
      <w:start w:val="3"/>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
      <w:numFmt w:val="bullet"/>
      <w:start w:val="1"/>
    </w:lvl>
    <w:lvl w:ilvl="1">
      <w:lvlJc w:val="left"/>
      <w:lvlText w:val="•"/>
      <w:numFmt w:val="bullet"/>
      <w:start w:val="1"/>
    </w:lvl>
  </w:abstractNum>
  <w:abstractNum w:abstractNumId="40">
    <w:nsid w:val="2A487CB0"/>
    <w:multiLevelType w:val="hybridMultilevel"/>
    <w:lvl w:ilvl="0">
      <w:lvlJc w:val="left"/>
      <w:lvlText w:val="(%1)"/>
      <w:numFmt w:val="decimal"/>
      <w:start w:val="3"/>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2019-12-13T01:00:38Z</dcterms:created>
  <dcterms:modified xsi:type="dcterms:W3CDTF">2019-12-13T01:00:38Z</dcterms:modified>
</cp:coreProperties>
</file>