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4"/>
          <w:szCs w:val="24"/>
          <w:color w:val="auto"/>
        </w:rPr>
      </w:pPr>
    </w:p>
    <w:p>
      <w:pPr>
        <w:spacing w:after="0" w:line="25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50" w:lineRule="exact"/>
        <w:rPr>
          <w:sz w:val="24"/>
          <w:szCs w:val="24"/>
          <w:color w:val="auto"/>
        </w:rPr>
      </w:pPr>
    </w:p>
    <w:p>
      <w:pPr>
        <w:ind w:left="680" w:hanging="641"/>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5"/>
          <w:szCs w:val="15"/>
          <w:b w:val="1"/>
          <w:bCs w:val="1"/>
          <w:color w:val="auto"/>
        </w:rPr>
        <w:t>QUARTERLY REPORT PURSUANT TO THE SECTION 13 OR 15(D) OF THE SECURITIES EXCHANGE ACT OF 1934</w:t>
      </w:r>
    </w:p>
    <w:p>
      <w:pPr>
        <w:spacing w:after="0" w:line="12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For the quarterly period ended March 31, 2026</w:t>
      </w:r>
    </w:p>
    <w:p>
      <w:pPr>
        <w:spacing w:after="0" w:line="4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OR</w:t>
      </w:r>
    </w:p>
    <w:p>
      <w:pPr>
        <w:spacing w:after="0" w:line="84" w:lineRule="exact"/>
        <w:rPr>
          <w:sz w:val="24"/>
          <w:szCs w:val="24"/>
          <w:color w:val="auto"/>
        </w:rPr>
      </w:pPr>
    </w:p>
    <w:p>
      <w:pPr>
        <w:ind w:left="660" w:hanging="634"/>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191" w:lineRule="exact"/>
        <w:rPr>
          <w:sz w:val="24"/>
          <w:szCs w:val="24"/>
          <w:color w:val="auto"/>
        </w:rPr>
      </w:pPr>
    </w:p>
    <w:p>
      <w:pPr>
        <w:ind w:left="4060"/>
        <w:spacing w:after="0"/>
        <w:tabs>
          <w:tab w:leader="none" w:pos="6540" w:val="left"/>
        </w:tabs>
        <w:rPr>
          <w:sz w:val="20"/>
          <w:szCs w:val="20"/>
          <w:color w:val="auto"/>
        </w:rPr>
      </w:pPr>
      <w:r>
        <w:rPr>
          <w:rFonts w:ascii="Times New Roman" w:cs="Times New Roman" w:eastAsia="Times New Roman" w:hAnsi="Times New Roman"/>
          <w:sz w:val="15"/>
          <w:szCs w:val="15"/>
          <w:b w:val="1"/>
          <w:bCs w:val="1"/>
          <w:color w:val="auto"/>
        </w:rPr>
        <w:t>For the transition period from</w:t>
      </w:r>
      <w:r>
        <w:rPr>
          <w:sz w:val="20"/>
          <w:szCs w:val="20"/>
          <w:color w:val="auto"/>
        </w:rPr>
        <w:tab/>
      </w:r>
      <w:r>
        <w:rPr>
          <w:rFonts w:ascii="Times New Roman" w:cs="Times New Roman" w:eastAsia="Times New Roman" w:hAnsi="Times New Roman"/>
          <w:sz w:val="15"/>
          <w:szCs w:val="15"/>
          <w:b w:val="1"/>
          <w:bCs w:val="1"/>
          <w:color w:val="auto"/>
        </w:rPr>
        <w:t>to</w:t>
      </w:r>
    </w:p>
    <w:p>
      <w:pPr>
        <w:spacing w:after="0" w:line="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Commission file number: 1-07533 (Federal Realty Investment Trust)</w:t>
      </w:r>
    </w:p>
    <w:p>
      <w:pPr>
        <w:spacing w:after="0" w:line="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Commission file number: 333-262016-01 (Federal Realty OP LP)</w:t>
      </w:r>
    </w:p>
    <w:p>
      <w:pPr>
        <w:spacing w:after="0" w:line="7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1"/>
          <w:szCs w:val="31"/>
          <w:b w:val="1"/>
          <w:bCs w:val="1"/>
          <w:color w:val="auto"/>
        </w:rPr>
        <w:t>FEDERAL REALTY INVESTMENT TRUST</w:t>
      </w:r>
    </w:p>
    <w:p>
      <w:pPr>
        <w:spacing w:after="0" w:line="7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1"/>
          <w:szCs w:val="31"/>
          <w:b w:val="1"/>
          <w:bCs w:val="1"/>
          <w:color w:val="auto"/>
        </w:rPr>
        <w:t>FEDERAL REALTY OP LP</w:t>
      </w:r>
    </w:p>
    <w:p>
      <w:pPr>
        <w:spacing w:after="0" w:line="5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57" w:lineRule="exact"/>
        <w:rPr>
          <w:sz w:val="24"/>
          <w:szCs w:val="24"/>
          <w:color w:val="auto"/>
        </w:rPr>
      </w:pPr>
    </w:p>
    <w:tbl>
      <w:tblPr>
        <w:tblLayout w:type="fixed"/>
        <w:tblInd w:w="160" w:type="dxa"/>
        <w:tblCellMar>
          <w:top w:w="0" w:type="dxa"/>
          <w:left w:w="0" w:type="dxa"/>
          <w:bottom w:w="0" w:type="dxa"/>
          <w:right w:w="0" w:type="dxa"/>
        </w:tblCellMar>
      </w:tblPr>
      <w:tr>
        <w:trPr>
          <w:trHeight w:val="202"/>
        </w:trPr>
        <w:tc>
          <w:tcPr>
            <w:tcW w:w="4400" w:type="dxa"/>
            <w:vAlign w:val="bottom"/>
            <w:gridSpan w:val="3"/>
          </w:tcPr>
          <w:p>
            <w:pPr>
              <w:jc w:val="center"/>
              <w:ind w:right="7"/>
              <w:spacing w:after="0"/>
              <w:rPr>
                <w:sz w:val="20"/>
                <w:szCs w:val="20"/>
                <w:color w:val="auto"/>
              </w:rPr>
            </w:pPr>
            <w:r>
              <w:rPr>
                <w:rFonts w:ascii="Times New Roman" w:cs="Times New Roman" w:eastAsia="Times New Roman" w:hAnsi="Times New Roman"/>
                <w:sz w:val="15"/>
                <w:szCs w:val="15"/>
                <w:b w:val="1"/>
                <w:bCs w:val="1"/>
                <w:color w:val="auto"/>
              </w:rPr>
              <w:t>Maryland (Federal Realty Investment Trust)</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80" w:type="dxa"/>
            <w:vAlign w:val="bottom"/>
            <w:gridSpan w:val="2"/>
          </w:tcPr>
          <w:p>
            <w:pPr>
              <w:jc w:val="center"/>
              <w:ind w:left="144"/>
              <w:spacing w:after="0"/>
              <w:rPr>
                <w:sz w:val="20"/>
                <w:szCs w:val="20"/>
                <w:color w:val="auto"/>
              </w:rPr>
            </w:pPr>
            <w:r>
              <w:rPr>
                <w:rFonts w:ascii="Times New Roman" w:cs="Times New Roman" w:eastAsia="Times New Roman" w:hAnsi="Times New Roman"/>
                <w:sz w:val="15"/>
                <w:szCs w:val="15"/>
                <w:b w:val="1"/>
                <w:bCs w:val="1"/>
                <w:color w:val="auto"/>
              </w:rPr>
              <w:t>87-3916363</w:t>
            </w:r>
          </w:p>
        </w:tc>
        <w:tc>
          <w:tcPr>
            <w:tcW w:w="20" w:type="dxa"/>
            <w:vAlign w:val="bottom"/>
          </w:tcPr>
          <w:p>
            <w:pPr>
              <w:spacing w:after="0"/>
              <w:rPr>
                <w:sz w:val="17"/>
                <w:szCs w:val="17"/>
                <w:color w:val="auto"/>
              </w:rPr>
            </w:pPr>
          </w:p>
        </w:tc>
      </w:tr>
      <w:tr>
        <w:trPr>
          <w:trHeight w:val="203"/>
        </w:trPr>
        <w:tc>
          <w:tcPr>
            <w:tcW w:w="4400" w:type="dxa"/>
            <w:vAlign w:val="bottom"/>
            <w:gridSpan w:val="3"/>
          </w:tcPr>
          <w:p>
            <w:pPr>
              <w:jc w:val="center"/>
              <w:ind w:right="7"/>
              <w:spacing w:after="0"/>
              <w:rPr>
                <w:sz w:val="20"/>
                <w:szCs w:val="20"/>
                <w:color w:val="auto"/>
              </w:rPr>
            </w:pPr>
            <w:r>
              <w:rPr>
                <w:rFonts w:ascii="Times New Roman" w:cs="Times New Roman" w:eastAsia="Times New Roman" w:hAnsi="Times New Roman"/>
                <w:sz w:val="15"/>
                <w:szCs w:val="15"/>
                <w:b w:val="1"/>
                <w:bCs w:val="1"/>
                <w:color w:val="auto"/>
              </w:rPr>
              <w:t>Delaware (Federal Realty OP LP)</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80" w:type="dxa"/>
            <w:vAlign w:val="bottom"/>
            <w:gridSpan w:val="2"/>
          </w:tcPr>
          <w:p>
            <w:pPr>
              <w:jc w:val="center"/>
              <w:ind w:left="144"/>
              <w:spacing w:after="0"/>
              <w:rPr>
                <w:sz w:val="20"/>
                <w:szCs w:val="20"/>
                <w:color w:val="auto"/>
              </w:rPr>
            </w:pPr>
            <w:r>
              <w:rPr>
                <w:rFonts w:ascii="Times New Roman" w:cs="Times New Roman" w:eastAsia="Times New Roman" w:hAnsi="Times New Roman"/>
                <w:sz w:val="15"/>
                <w:szCs w:val="15"/>
                <w:b w:val="1"/>
                <w:bCs w:val="1"/>
                <w:color w:val="auto"/>
              </w:rPr>
              <w:t>52-0782497</w:t>
            </w:r>
          </w:p>
        </w:tc>
        <w:tc>
          <w:tcPr>
            <w:tcW w:w="20" w:type="dxa"/>
            <w:vAlign w:val="bottom"/>
          </w:tcPr>
          <w:p>
            <w:pPr>
              <w:spacing w:after="0"/>
              <w:rPr>
                <w:sz w:val="17"/>
                <w:szCs w:val="17"/>
                <w:color w:val="auto"/>
              </w:rPr>
            </w:pPr>
          </w:p>
        </w:tc>
      </w:tr>
      <w:tr>
        <w:trPr>
          <w:trHeight w:val="203"/>
        </w:trPr>
        <w:tc>
          <w:tcPr>
            <w:tcW w:w="4400" w:type="dxa"/>
            <w:vAlign w:val="bottom"/>
            <w:gridSpan w:val="3"/>
          </w:tcPr>
          <w:p>
            <w:pPr>
              <w:jc w:val="center"/>
              <w:ind w:right="27"/>
              <w:spacing w:after="0"/>
              <w:rPr>
                <w:sz w:val="20"/>
                <w:szCs w:val="20"/>
                <w:color w:val="auto"/>
              </w:rPr>
            </w:pPr>
            <w:r>
              <w:rPr>
                <w:rFonts w:ascii="Times New Roman" w:cs="Times New Roman" w:eastAsia="Times New Roman" w:hAnsi="Times New Roman"/>
                <w:sz w:val="15"/>
                <w:szCs w:val="15"/>
                <w:b w:val="1"/>
                <w:bCs w:val="1"/>
                <w:color w:val="auto"/>
              </w:rPr>
              <w:t>(State of Organization)</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40" w:type="dxa"/>
            <w:vAlign w:val="bottom"/>
            <w:gridSpan w:val="2"/>
          </w:tcPr>
          <w:p>
            <w:pPr>
              <w:jc w:val="center"/>
              <w:ind w:left="84"/>
              <w:spacing w:after="0"/>
              <w:rPr>
                <w:sz w:val="20"/>
                <w:szCs w:val="20"/>
                <w:color w:val="auto"/>
              </w:rPr>
            </w:pPr>
            <w:r>
              <w:rPr>
                <w:rFonts w:ascii="Times New Roman" w:cs="Times New Roman" w:eastAsia="Times New Roman" w:hAnsi="Times New Roman"/>
                <w:sz w:val="15"/>
                <w:szCs w:val="15"/>
                <w:b w:val="1"/>
                <w:bCs w:val="1"/>
                <w:color w:val="auto"/>
              </w:rPr>
              <w:t>(IRS Employer Identification No.)</w:t>
            </w:r>
          </w:p>
        </w:tc>
      </w:tr>
      <w:tr>
        <w:trPr>
          <w:trHeight w:val="348"/>
        </w:trPr>
        <w:tc>
          <w:tcPr>
            <w:tcW w:w="1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340" w:type="dxa"/>
            <w:vAlign w:val="bottom"/>
            <w:gridSpan w:val="11"/>
          </w:tcPr>
          <w:p>
            <w:pPr>
              <w:jc w:val="center"/>
              <w:ind w:right="2140"/>
              <w:spacing w:after="0"/>
              <w:rPr>
                <w:sz w:val="20"/>
                <w:szCs w:val="20"/>
                <w:color w:val="auto"/>
              </w:rPr>
            </w:pPr>
            <w:r>
              <w:rPr>
                <w:rFonts w:ascii="Times New Roman" w:cs="Times New Roman" w:eastAsia="Times New Roman" w:hAnsi="Times New Roman"/>
                <w:sz w:val="15"/>
                <w:szCs w:val="15"/>
                <w:b w:val="1"/>
                <w:bCs w:val="1"/>
                <w:color w:val="auto"/>
              </w:rPr>
              <w:t>909 Rose Avenue, Suite 200, North Bethesda, Maryland 20852</w:t>
            </w:r>
          </w:p>
        </w:tc>
      </w:tr>
      <w:tr>
        <w:trPr>
          <w:trHeight w:val="190"/>
        </w:trPr>
        <w:tc>
          <w:tcPr>
            <w:tcW w:w="16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240" w:type="dxa"/>
            <w:vAlign w:val="bottom"/>
            <w:gridSpan w:val="8"/>
          </w:tcPr>
          <w:p>
            <w:pPr>
              <w:jc w:val="center"/>
              <w:ind w:left="88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6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5"/>
        </w:trPr>
        <w:tc>
          <w:tcPr>
            <w:tcW w:w="16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580" w:type="dxa"/>
            <w:vAlign w:val="bottom"/>
            <w:gridSpan w:val="3"/>
          </w:tcPr>
          <w:p>
            <w:pPr>
              <w:jc w:val="center"/>
              <w:ind w:left="464"/>
              <w:spacing w:after="0"/>
              <w:rPr>
                <w:sz w:val="20"/>
                <w:szCs w:val="20"/>
                <w:color w:val="auto"/>
              </w:rPr>
            </w:pPr>
            <w:r>
              <w:rPr>
                <w:rFonts w:ascii="Times New Roman" w:cs="Times New Roman" w:eastAsia="Times New Roman" w:hAnsi="Times New Roman"/>
                <w:sz w:val="15"/>
                <w:szCs w:val="15"/>
                <w:b w:val="1"/>
                <w:bCs w:val="1"/>
                <w:color w:val="auto"/>
              </w:rPr>
              <w:t>(301) 998-8100</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90"/>
        </w:trPr>
        <w:tc>
          <w:tcPr>
            <w:tcW w:w="16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340" w:type="dxa"/>
            <w:vAlign w:val="bottom"/>
            <w:gridSpan w:val="11"/>
          </w:tcPr>
          <w:p>
            <w:pPr>
              <w:jc w:val="center"/>
              <w:ind w:right="21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r>
        <w:trPr>
          <w:trHeight w:val="401"/>
        </w:trPr>
        <w:tc>
          <w:tcPr>
            <w:tcW w:w="1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700" w:type="dxa"/>
            <w:vAlign w:val="bottom"/>
            <w:gridSpan w:val="7"/>
          </w:tcPr>
          <w:p>
            <w:pPr>
              <w:jc w:val="center"/>
              <w:ind w:right="580"/>
              <w:spacing w:after="0"/>
              <w:rPr>
                <w:sz w:val="20"/>
                <w:szCs w:val="20"/>
                <w:color w:val="auto"/>
              </w:rPr>
            </w:pPr>
            <w:r>
              <w:rPr>
                <w:rFonts w:ascii="Times New Roman" w:cs="Times New Roman" w:eastAsia="Times New Roman" w:hAnsi="Times New Roman"/>
                <w:sz w:val="15"/>
                <w:szCs w:val="15"/>
                <w:b w:val="1"/>
                <w:bCs w:val="1"/>
                <w:color w:val="auto"/>
              </w:rPr>
              <w:t>Federal Realty Investment Trust</w:t>
            </w:r>
          </w:p>
        </w:tc>
        <w:tc>
          <w:tcPr>
            <w:tcW w:w="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1"/>
        </w:trPr>
        <w:tc>
          <w:tcPr>
            <w:tcW w:w="1640" w:type="dxa"/>
            <w:vAlign w:val="bottom"/>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15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Trading Symbol</w:t>
            </w:r>
          </w:p>
        </w:tc>
        <w:tc>
          <w:tcPr>
            <w:tcW w:w="520" w:type="dxa"/>
            <w:vAlign w:val="bottom"/>
            <w:tcBorders>
              <w:top w:val="single" w:sz="8" w:color="auto"/>
            </w:tcBorders>
            <w:gridSpan w:val="2"/>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215"/>
        </w:trPr>
        <w:tc>
          <w:tcPr>
            <w:tcW w:w="4400" w:type="dxa"/>
            <w:vAlign w:val="bottom"/>
            <w:gridSpan w:val="3"/>
          </w:tcPr>
          <w:p>
            <w:pPr>
              <w:jc w:val="center"/>
              <w:ind w:left="24"/>
              <w:spacing w:after="0"/>
              <w:rPr>
                <w:sz w:val="20"/>
                <w:szCs w:val="20"/>
                <w:color w:val="auto"/>
              </w:rPr>
            </w:pPr>
            <w:r>
              <w:rPr>
                <w:rFonts w:ascii="Times New Roman" w:cs="Times New Roman" w:eastAsia="Times New Roman" w:hAnsi="Times New Roman"/>
                <w:sz w:val="15"/>
                <w:szCs w:val="15"/>
                <w:color w:val="auto"/>
              </w:rPr>
              <w:t>Common Shares of Beneficial Interest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gridSpan w:val="5"/>
          </w:tcPr>
          <w:p>
            <w:pPr>
              <w:jc w:val="center"/>
              <w:ind w:right="1100"/>
              <w:spacing w:after="0"/>
              <w:rPr>
                <w:sz w:val="20"/>
                <w:szCs w:val="20"/>
                <w:color w:val="auto"/>
              </w:rPr>
            </w:pPr>
            <w:r>
              <w:rPr>
                <w:rFonts w:ascii="Times New Roman" w:cs="Times New Roman" w:eastAsia="Times New Roman" w:hAnsi="Times New Roman"/>
                <w:sz w:val="15"/>
                <w:szCs w:val="15"/>
                <w:color w:val="auto"/>
              </w:rPr>
              <w:t>FRT</w:t>
            </w:r>
          </w:p>
        </w:tc>
        <w:tc>
          <w:tcPr>
            <w:tcW w:w="60" w:type="dxa"/>
            <w:vAlign w:val="bottom"/>
          </w:tcPr>
          <w:p>
            <w:pPr>
              <w:spacing w:after="0"/>
              <w:rPr>
                <w:sz w:val="18"/>
                <w:szCs w:val="18"/>
                <w:color w:val="auto"/>
              </w:rPr>
            </w:pPr>
          </w:p>
        </w:tc>
        <w:tc>
          <w:tcPr>
            <w:tcW w:w="304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New York Stock Exchange</w:t>
            </w:r>
          </w:p>
        </w:tc>
      </w:tr>
      <w:tr>
        <w:trPr>
          <w:trHeight w:val="203"/>
        </w:trPr>
        <w:tc>
          <w:tcPr>
            <w:tcW w:w="7100" w:type="dxa"/>
            <w:vAlign w:val="bottom"/>
            <w:gridSpan w:val="10"/>
          </w:tcPr>
          <w:p>
            <w:pPr>
              <w:jc w:val="center"/>
              <w:ind w:right="2600"/>
              <w:spacing w:after="0"/>
              <w:rPr>
                <w:sz w:val="20"/>
                <w:szCs w:val="20"/>
                <w:color w:val="auto"/>
              </w:rPr>
            </w:pPr>
            <w:r>
              <w:rPr>
                <w:rFonts w:ascii="Times New Roman" w:cs="Times New Roman" w:eastAsia="Times New Roman" w:hAnsi="Times New Roman"/>
                <w:sz w:val="15"/>
                <w:szCs w:val="15"/>
                <w:color w:val="auto"/>
              </w:rPr>
              <w:t>$.01 par value per share, with associated Common Share Purchase Rights</w:t>
            </w:r>
          </w:p>
        </w:tc>
        <w:tc>
          <w:tcPr>
            <w:tcW w:w="6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97"/>
        </w:trPr>
        <w:tc>
          <w:tcPr>
            <w:tcW w:w="4400" w:type="dxa"/>
            <w:vAlign w:val="bottom"/>
            <w:gridSpan w:val="3"/>
          </w:tcPr>
          <w:p>
            <w:pPr>
              <w:jc w:val="center"/>
              <w:ind w:left="4"/>
              <w:spacing w:after="0"/>
              <w:rPr>
                <w:sz w:val="20"/>
                <w:szCs w:val="20"/>
                <w:color w:val="auto"/>
              </w:rPr>
            </w:pPr>
            <w:r>
              <w:rPr>
                <w:rFonts w:ascii="Times New Roman" w:cs="Times New Roman" w:eastAsia="Times New Roman" w:hAnsi="Times New Roman"/>
                <w:sz w:val="15"/>
                <w:szCs w:val="15"/>
                <w:color w:val="auto"/>
              </w:rPr>
              <w:t>Depositary Shares, each representing 1/1000 of a 5.00%</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gridSpan w:val="5"/>
          </w:tcPr>
          <w:p>
            <w:pPr>
              <w:jc w:val="center"/>
              <w:ind w:right="1100"/>
              <w:spacing w:after="0"/>
              <w:rPr>
                <w:sz w:val="20"/>
                <w:szCs w:val="20"/>
                <w:color w:val="auto"/>
              </w:rPr>
            </w:pPr>
            <w:r>
              <w:rPr>
                <w:rFonts w:ascii="Times New Roman" w:cs="Times New Roman" w:eastAsia="Times New Roman" w:hAnsi="Times New Roman"/>
                <w:sz w:val="15"/>
                <w:szCs w:val="15"/>
                <w:color w:val="auto"/>
                <w:w w:val="93"/>
              </w:rPr>
              <w:t>FRT-C</w:t>
            </w:r>
          </w:p>
        </w:tc>
        <w:tc>
          <w:tcPr>
            <w:tcW w:w="60" w:type="dxa"/>
            <w:vAlign w:val="bottom"/>
          </w:tcPr>
          <w:p>
            <w:pPr>
              <w:spacing w:after="0"/>
              <w:rPr>
                <w:sz w:val="24"/>
                <w:szCs w:val="24"/>
                <w:color w:val="auto"/>
              </w:rPr>
            </w:pPr>
          </w:p>
        </w:tc>
        <w:tc>
          <w:tcPr>
            <w:tcW w:w="304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New York Stock Exchange</w:t>
            </w:r>
          </w:p>
        </w:tc>
      </w:tr>
      <w:tr>
        <w:trPr>
          <w:trHeight w:val="157"/>
        </w:trPr>
        <w:tc>
          <w:tcPr>
            <w:tcW w:w="4400" w:type="dxa"/>
            <w:vAlign w:val="bottom"/>
            <w:gridSpan w:val="3"/>
          </w:tcPr>
          <w:p>
            <w:pPr>
              <w:jc w:val="center"/>
              <w:ind w:left="4"/>
              <w:spacing w:after="0" w:line="156" w:lineRule="exact"/>
              <w:rPr>
                <w:sz w:val="20"/>
                <w:szCs w:val="20"/>
                <w:color w:val="auto"/>
              </w:rPr>
            </w:pPr>
            <w:r>
              <w:rPr>
                <w:rFonts w:ascii="Times New Roman" w:cs="Times New Roman" w:eastAsia="Times New Roman" w:hAnsi="Times New Roman"/>
                <w:sz w:val="15"/>
                <w:szCs w:val="15"/>
                <w:color w:val="auto"/>
              </w:rPr>
              <w:t>Series C Cumulative Redeemable Preferred Share, $.01 par value per</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98"/>
        </w:trPr>
        <w:tc>
          <w:tcPr>
            <w:tcW w:w="1640" w:type="dxa"/>
            <w:vAlign w:val="bottom"/>
          </w:tcPr>
          <w:p>
            <w:pPr>
              <w:spacing w:after="0"/>
              <w:rPr>
                <w:sz w:val="17"/>
                <w:szCs w:val="17"/>
                <w:color w:val="auto"/>
              </w:rPr>
            </w:pPr>
          </w:p>
        </w:tc>
        <w:tc>
          <w:tcPr>
            <w:tcW w:w="2760" w:type="dxa"/>
            <w:vAlign w:val="bottom"/>
            <w:gridSpan w:val="2"/>
          </w:tcPr>
          <w:p>
            <w:pPr>
              <w:jc w:val="center"/>
              <w:ind w:right="1487"/>
              <w:spacing w:after="0"/>
              <w:rPr>
                <w:sz w:val="20"/>
                <w:szCs w:val="20"/>
                <w:color w:val="auto"/>
              </w:rPr>
            </w:pPr>
            <w:r>
              <w:rPr>
                <w:rFonts w:ascii="Times New Roman" w:cs="Times New Roman" w:eastAsia="Times New Roman" w:hAnsi="Times New Roman"/>
                <w:sz w:val="15"/>
                <w:szCs w:val="15"/>
                <w:color w:val="auto"/>
              </w:rPr>
              <w:t>share</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47"/>
        </w:trPr>
        <w:tc>
          <w:tcPr>
            <w:tcW w:w="16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700" w:type="dxa"/>
            <w:vAlign w:val="bottom"/>
            <w:gridSpan w:val="7"/>
          </w:tcPr>
          <w:p>
            <w:pPr>
              <w:jc w:val="center"/>
              <w:ind w:right="580"/>
              <w:spacing w:after="0"/>
              <w:rPr>
                <w:sz w:val="20"/>
                <w:szCs w:val="20"/>
                <w:color w:val="auto"/>
              </w:rPr>
            </w:pPr>
            <w:r>
              <w:rPr>
                <w:rFonts w:ascii="Times New Roman" w:cs="Times New Roman" w:eastAsia="Times New Roman" w:hAnsi="Times New Roman"/>
                <w:sz w:val="15"/>
                <w:szCs w:val="15"/>
                <w:b w:val="1"/>
                <w:bCs w:val="1"/>
                <w:color w:val="auto"/>
              </w:rPr>
              <w:t>Federal Realty OP LP</w:t>
            </w:r>
          </w:p>
        </w:tc>
        <w:tc>
          <w:tcPr>
            <w:tcW w:w="6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63"/>
        </w:trPr>
        <w:tc>
          <w:tcPr>
            <w:tcW w:w="164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1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Trading Symbol</w:t>
            </w:r>
          </w:p>
        </w:tc>
        <w:tc>
          <w:tcPr>
            <w:tcW w:w="200" w:type="dxa"/>
            <w:vAlign w:val="bottom"/>
            <w:tcBorders>
              <w:top w:val="single" w:sz="8" w:color="auto"/>
            </w:tcBorders>
            <w:gridSpan w:val="2"/>
          </w:tcPr>
          <w:p>
            <w:pPr>
              <w:spacing w:after="0"/>
              <w:rPr>
                <w:sz w:val="22"/>
                <w:szCs w:val="22"/>
                <w:color w:val="auto"/>
              </w:rPr>
            </w:pPr>
          </w:p>
        </w:tc>
        <w:tc>
          <w:tcPr>
            <w:tcW w:w="920" w:type="dxa"/>
            <w:vAlign w:val="bottom"/>
            <w:gridSpan w:val="2"/>
          </w:tcPr>
          <w:p>
            <w:pPr>
              <w:spacing w:after="0"/>
              <w:rPr>
                <w:sz w:val="22"/>
                <w:szCs w:val="22"/>
                <w:color w:val="auto"/>
              </w:rPr>
            </w:pPr>
          </w:p>
        </w:tc>
        <w:tc>
          <w:tcPr>
            <w:tcW w:w="3100" w:type="dxa"/>
            <w:vAlign w:val="bottom"/>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215"/>
        </w:trPr>
        <w:tc>
          <w:tcPr>
            <w:tcW w:w="164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None</w:t>
            </w:r>
          </w:p>
        </w:tc>
        <w:tc>
          <w:tcPr>
            <w:tcW w:w="1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N/A</w:t>
            </w:r>
          </w:p>
        </w:tc>
        <w:tc>
          <w:tcPr>
            <w:tcW w:w="1120" w:type="dxa"/>
            <w:vAlign w:val="bottom"/>
            <w:gridSpan w:val="4"/>
          </w:tcPr>
          <w:p>
            <w:pPr>
              <w:spacing w:after="0"/>
              <w:rPr>
                <w:sz w:val="18"/>
                <w:szCs w:val="18"/>
                <w:color w:val="auto"/>
              </w:rPr>
            </w:pPr>
          </w:p>
        </w:tc>
        <w:tc>
          <w:tcPr>
            <w:tcW w:w="60" w:type="dxa"/>
            <w:vAlign w:val="bottom"/>
          </w:tcPr>
          <w:p>
            <w:pPr>
              <w:spacing w:after="0"/>
              <w:rPr>
                <w:sz w:val="18"/>
                <w:szCs w:val="18"/>
                <w:color w:val="auto"/>
              </w:rPr>
            </w:pPr>
          </w:p>
        </w:tc>
        <w:tc>
          <w:tcPr>
            <w:tcW w:w="3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N/A</w:t>
            </w:r>
          </w:p>
        </w:tc>
        <w:tc>
          <w:tcPr>
            <w:tcW w:w="20" w:type="dxa"/>
            <w:vAlign w:val="bottom"/>
          </w:tcPr>
          <w:p>
            <w:pPr>
              <w:spacing w:after="0"/>
              <w:rPr>
                <w:sz w:val="18"/>
                <w:szCs w:val="18"/>
                <w:color w:val="auto"/>
              </w:rPr>
            </w:pPr>
          </w:p>
        </w:tc>
      </w:tr>
    </w:tbl>
    <w:p>
      <w:pPr>
        <w:spacing w:after="0" w:line="188" w:lineRule="exact"/>
        <w:rPr>
          <w:sz w:val="24"/>
          <w:szCs w:val="24"/>
          <w:color w:val="auto"/>
        </w:rPr>
      </w:pPr>
    </w:p>
    <w:p>
      <w:pPr>
        <w:ind w:right="200"/>
        <w:spacing w:after="0" w:line="26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jc w:val="center"/>
        <w:ind w:right="-79"/>
        <w:spacing w:after="0" w:line="161" w:lineRule="exact"/>
        <w:tabs>
          <w:tab w:leader="none" w:pos="120" w:val="left"/>
        </w:tabs>
        <w:rPr>
          <w:sz w:val="20"/>
          <w:szCs w:val="20"/>
          <w:color w:val="auto"/>
        </w:rPr>
      </w:pPr>
      <w:r>
        <w:rPr>
          <w:rFonts w:ascii="Times New Roman" w:cs="Times New Roman" w:eastAsia="Times New Roman" w:hAnsi="Times New Roman"/>
          <w:sz w:val="14"/>
          <w:szCs w:val="14"/>
          <w:color w:val="auto"/>
        </w:rPr>
        <w:t xml:space="preserve">Federal Realty Investment Trust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w:t>
      </w:r>
      <w:r>
        <w:rPr>
          <w:sz w:val="20"/>
          <w:szCs w:val="20"/>
          <w:color w:val="auto"/>
        </w:rPr>
        <w:tab/>
      </w:r>
      <w:r>
        <w:rPr>
          <w:rFonts w:ascii="MS PGothic" w:cs="MS PGothic" w:eastAsia="MS PGothic" w:hAnsi="MS PGothic"/>
          <w:sz w:val="14"/>
          <w:szCs w:val="14"/>
          <w:color w:val="auto"/>
        </w:rPr>
        <w:t xml:space="preserve">☐ </w:t>
      </w:r>
      <w:r>
        <w:rPr>
          <w:rFonts w:ascii="Times New Roman" w:cs="Times New Roman" w:eastAsia="Times New Roman" w:hAnsi="Times New Roman"/>
          <w:sz w:val="14"/>
          <w:szCs w:val="14"/>
          <w:color w:val="auto"/>
        </w:rPr>
        <w:t>No Federal Realty OP LP</w:t>
      </w:r>
      <w:r>
        <w:rPr>
          <w:rFonts w:ascii="MS PGothic" w:cs="MS PGothic" w:eastAsia="MS PGothic" w:hAnsi="MS PGothic"/>
          <w:sz w:val="14"/>
          <w:szCs w:val="14"/>
          <w:color w:val="auto"/>
        </w:rPr>
        <w:t xml:space="preserve"> ☒ </w:t>
      </w:r>
      <w:r>
        <w:rPr>
          <w:rFonts w:ascii="Times New Roman" w:cs="Times New Roman" w:eastAsia="Times New Roman" w:hAnsi="Times New Roman"/>
          <w:sz w:val="14"/>
          <w:szCs w:val="14"/>
          <w:color w:val="auto"/>
        </w:rPr>
        <w:t>Yes</w:t>
      </w:r>
      <w:r>
        <w:rPr>
          <w:rFonts w:ascii="MS PGothic" w:cs="MS PGothic" w:eastAsia="MS PGothic" w:hAnsi="MS PGothic"/>
          <w:sz w:val="14"/>
          <w:szCs w:val="14"/>
          <w:color w:val="auto"/>
        </w:rPr>
        <w:t xml:space="preserve">  ☐ </w:t>
      </w:r>
      <w:r>
        <w:rPr>
          <w:rFonts w:ascii="Times New Roman" w:cs="Times New Roman" w:eastAsia="Times New Roman" w:hAnsi="Times New Roman"/>
          <w:sz w:val="14"/>
          <w:szCs w:val="14"/>
          <w:color w:val="auto"/>
        </w:rPr>
        <w:t>No</w:t>
      </w:r>
    </w:p>
    <w:p>
      <w:pPr>
        <w:spacing w:after="0" w:line="112" w:lineRule="exact"/>
        <w:rPr>
          <w:sz w:val="24"/>
          <w:szCs w:val="24"/>
          <w:color w:val="auto"/>
        </w:rPr>
      </w:pPr>
    </w:p>
    <w:p>
      <w:pPr>
        <w:ind w:right="80"/>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jc w:val="center"/>
        <w:ind w:right="-39"/>
        <w:spacing w:after="0" w:line="161" w:lineRule="exact"/>
        <w:tabs>
          <w:tab w:leader="none" w:pos="120" w:val="left"/>
        </w:tabs>
        <w:rPr>
          <w:sz w:val="20"/>
          <w:szCs w:val="20"/>
          <w:color w:val="auto"/>
        </w:rPr>
      </w:pPr>
      <w:r>
        <w:rPr>
          <w:rFonts w:ascii="Times New Roman" w:cs="Times New Roman" w:eastAsia="Times New Roman" w:hAnsi="Times New Roman"/>
          <w:sz w:val="14"/>
          <w:szCs w:val="14"/>
          <w:color w:val="auto"/>
        </w:rPr>
        <w:t xml:space="preserve">Federal Realty Investment Trust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w:t>
      </w:r>
      <w:r>
        <w:rPr>
          <w:sz w:val="20"/>
          <w:szCs w:val="20"/>
          <w:color w:val="auto"/>
        </w:rPr>
        <w:tab/>
      </w:r>
      <w:r>
        <w:rPr>
          <w:rFonts w:ascii="MS PGothic" w:cs="MS PGothic" w:eastAsia="MS PGothic" w:hAnsi="MS PGothic"/>
          <w:sz w:val="14"/>
          <w:szCs w:val="14"/>
          <w:color w:val="auto"/>
        </w:rPr>
        <w:t xml:space="preserve">☐ </w:t>
      </w:r>
      <w:r>
        <w:rPr>
          <w:rFonts w:ascii="Times New Roman" w:cs="Times New Roman" w:eastAsia="Times New Roman" w:hAnsi="Times New Roman"/>
          <w:sz w:val="14"/>
          <w:szCs w:val="14"/>
          <w:color w:val="auto"/>
        </w:rPr>
        <w:t>No Federal Realty OP LP</w:t>
      </w:r>
      <w:r>
        <w:rPr>
          <w:rFonts w:ascii="MS PGothic" w:cs="MS PGothic" w:eastAsia="MS PGothic" w:hAnsi="MS PGothic"/>
          <w:sz w:val="14"/>
          <w:szCs w:val="14"/>
          <w:color w:val="auto"/>
        </w:rPr>
        <w:t xml:space="preserve"> ☒ </w:t>
      </w:r>
      <w:r>
        <w:rPr>
          <w:rFonts w:ascii="Times New Roman" w:cs="Times New Roman" w:eastAsia="Times New Roman" w:hAnsi="Times New Roman"/>
          <w:sz w:val="14"/>
          <w:szCs w:val="14"/>
          <w:color w:val="auto"/>
        </w:rPr>
        <w:t>Yes</w:t>
      </w:r>
      <w:r>
        <w:rPr>
          <w:rFonts w:ascii="MS PGothic" w:cs="MS PGothic" w:eastAsia="MS PGothic" w:hAnsi="MS PGothic"/>
          <w:sz w:val="14"/>
          <w:szCs w:val="14"/>
          <w:color w:val="auto"/>
        </w:rPr>
        <w:t xml:space="preserve">  ☐ </w:t>
      </w:r>
      <w:r>
        <w:rPr>
          <w:rFonts w:ascii="Times New Roman" w:cs="Times New Roman" w:eastAsia="Times New Roman" w:hAnsi="Times New Roman"/>
          <w:sz w:val="14"/>
          <w:szCs w:val="14"/>
          <w:color w:val="auto"/>
        </w:rPr>
        <w:t>No</w:t>
      </w:r>
    </w:p>
    <w:p>
      <w:pPr>
        <w:spacing w:after="0" w:line="123" w:lineRule="exact"/>
        <w:rPr>
          <w:sz w:val="24"/>
          <w:szCs w:val="24"/>
          <w:color w:val="auto"/>
        </w:rPr>
      </w:pPr>
    </w:p>
    <w:p>
      <w:pPr>
        <w:ind w:right="620"/>
        <w:spacing w:after="0" w:line="28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188"/>
        </w:trPr>
        <w:tc>
          <w:tcPr>
            <w:tcW w:w="5380" w:type="dxa"/>
            <w:vAlign w:val="bottom"/>
            <w:gridSpan w:val="2"/>
          </w:tcPr>
          <w:p>
            <w:pPr>
              <w:ind w:left="1600"/>
              <w:spacing w:after="0"/>
              <w:rPr>
                <w:sz w:val="20"/>
                <w:szCs w:val="20"/>
                <w:color w:val="auto"/>
              </w:rPr>
            </w:pPr>
            <w:r>
              <w:rPr>
                <w:rFonts w:ascii="Times New Roman" w:cs="Times New Roman" w:eastAsia="Times New Roman" w:hAnsi="Times New Roman"/>
                <w:sz w:val="14"/>
                <w:szCs w:val="14"/>
                <w:color w:val="auto"/>
              </w:rPr>
              <w:t>Federal Realty Investment Trust</w:t>
            </w:r>
          </w:p>
        </w:tc>
        <w:tc>
          <w:tcPr>
            <w:tcW w:w="2160" w:type="dxa"/>
            <w:vAlign w:val="bottom"/>
          </w:tcPr>
          <w:p>
            <w:pPr>
              <w:spacing w:after="0"/>
              <w:rPr>
                <w:sz w:val="16"/>
                <w:szCs w:val="16"/>
                <w:color w:val="auto"/>
              </w:rPr>
            </w:pPr>
          </w:p>
        </w:tc>
        <w:tc>
          <w:tcPr>
            <w:tcW w:w="32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Federal Realty OP LP</w:t>
            </w:r>
          </w:p>
        </w:tc>
        <w:tc>
          <w:tcPr>
            <w:tcW w:w="0" w:type="dxa"/>
            <w:vAlign w:val="bottom"/>
          </w:tcPr>
          <w:p>
            <w:pPr>
              <w:spacing w:after="0"/>
              <w:rPr>
                <w:sz w:val="1"/>
                <w:szCs w:val="1"/>
                <w:color w:val="auto"/>
              </w:rPr>
            </w:pPr>
          </w:p>
        </w:tc>
      </w:tr>
      <w:tr>
        <w:trPr>
          <w:trHeight w:val="158"/>
        </w:trPr>
        <w:tc>
          <w:tcPr>
            <w:tcW w:w="242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Large Accelerated Filer</w:t>
            </w:r>
          </w:p>
        </w:tc>
        <w:tc>
          <w:tcPr>
            <w:tcW w:w="2960" w:type="dxa"/>
            <w:vAlign w:val="bottom"/>
          </w:tcPr>
          <w:p>
            <w:pPr>
              <w:ind w:left="100"/>
              <w:spacing w:after="0" w:line="159" w:lineRule="exact"/>
              <w:rPr>
                <w:sz w:val="20"/>
                <w:szCs w:val="20"/>
                <w:color w:val="auto"/>
              </w:rPr>
            </w:pPr>
            <w:r>
              <w:rPr>
                <w:rFonts w:ascii="Times New Roman" w:cs="Times New Roman" w:eastAsia="Times New Roman" w:hAnsi="Times New Roman"/>
                <w:sz w:val="14"/>
                <w:szCs w:val="14"/>
                <w:color w:val="auto"/>
              </w:rPr>
              <w:t>Accelerated filer</w:t>
            </w:r>
          </w:p>
        </w:tc>
        <w:tc>
          <w:tcPr>
            <w:tcW w:w="2160" w:type="dxa"/>
            <w:vAlign w:val="bottom"/>
          </w:tcPr>
          <w:p>
            <w:pPr>
              <w:ind w:left="520"/>
              <w:spacing w:after="0" w:line="159" w:lineRule="exact"/>
              <w:rPr>
                <w:sz w:val="20"/>
                <w:szCs w:val="20"/>
                <w:color w:val="auto"/>
              </w:rPr>
            </w:pPr>
            <w:r>
              <w:rPr>
                <w:rFonts w:ascii="Times New Roman" w:cs="Times New Roman" w:eastAsia="Times New Roman" w:hAnsi="Times New Roman"/>
                <w:sz w:val="14"/>
                <w:szCs w:val="14"/>
                <w:color w:val="auto"/>
              </w:rPr>
              <w:t>Large Accelerated Filer</w:t>
            </w:r>
          </w:p>
        </w:tc>
        <w:tc>
          <w:tcPr>
            <w:tcW w:w="800" w:type="dxa"/>
            <w:vAlign w:val="bottom"/>
            <w:vMerge w:val="restart"/>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2460" w:type="dxa"/>
            <w:vAlign w:val="bottom"/>
          </w:tcPr>
          <w:p>
            <w:pPr>
              <w:ind w:left="100"/>
              <w:spacing w:after="0" w:line="159" w:lineRule="exact"/>
              <w:rPr>
                <w:sz w:val="20"/>
                <w:szCs w:val="20"/>
                <w:color w:val="auto"/>
              </w:rPr>
            </w:pPr>
            <w:r>
              <w:rPr>
                <w:rFonts w:ascii="Times New Roman" w:cs="Times New Roman" w:eastAsia="Times New Roman" w:hAnsi="Times New Roman"/>
                <w:sz w:val="14"/>
                <w:szCs w:val="14"/>
                <w:color w:val="auto"/>
              </w:rPr>
              <w:t>Accelerated filer</w:t>
            </w:r>
          </w:p>
        </w:tc>
        <w:tc>
          <w:tcPr>
            <w:tcW w:w="0" w:type="dxa"/>
            <w:vAlign w:val="bottom"/>
          </w:tcPr>
          <w:p>
            <w:pPr>
              <w:spacing w:after="0"/>
              <w:rPr>
                <w:sz w:val="1"/>
                <w:szCs w:val="1"/>
                <w:color w:val="auto"/>
              </w:rPr>
            </w:pPr>
          </w:p>
        </w:tc>
      </w:tr>
      <w:tr>
        <w:trPr>
          <w:trHeight w:val="229"/>
        </w:trPr>
        <w:tc>
          <w:tcPr>
            <w:tcW w:w="2420" w:type="dxa"/>
            <w:vAlign w:val="bottom"/>
          </w:tcPr>
          <w:p>
            <w:pPr>
              <w:ind w:left="2180"/>
              <w:spacing w:after="0" w:line="141" w:lineRule="exact"/>
              <w:rPr>
                <w:sz w:val="20"/>
                <w:szCs w:val="20"/>
                <w:color w:val="auto"/>
              </w:rPr>
            </w:pPr>
            <w:r>
              <w:rPr>
                <w:rFonts w:ascii="MS PGothic" w:cs="MS PGothic" w:eastAsia="MS PGothic" w:hAnsi="MS PGothic"/>
                <w:sz w:val="14"/>
                <w:szCs w:val="14"/>
                <w:color w:val="auto"/>
              </w:rPr>
              <w:t>☒</w:t>
            </w:r>
          </w:p>
        </w:tc>
        <w:tc>
          <w:tcPr>
            <w:tcW w:w="2960" w:type="dxa"/>
            <w:vAlign w:val="bottom"/>
          </w:tcPr>
          <w:p>
            <w:pPr>
              <w:ind w:left="2320"/>
              <w:spacing w:after="0" w:line="141" w:lineRule="exact"/>
              <w:rPr>
                <w:sz w:val="20"/>
                <w:szCs w:val="20"/>
                <w:color w:val="auto"/>
              </w:rPr>
            </w:pPr>
            <w:r>
              <w:rPr>
                <w:rFonts w:ascii="MS PGothic" w:cs="MS PGothic" w:eastAsia="MS PGothic" w:hAnsi="MS PGothic"/>
                <w:sz w:val="14"/>
                <w:szCs w:val="14"/>
                <w:color w:val="auto"/>
              </w:rPr>
              <w:t>☐</w:t>
            </w:r>
          </w:p>
        </w:tc>
        <w:tc>
          <w:tcPr>
            <w:tcW w:w="21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2460" w:type="dxa"/>
            <w:vAlign w:val="bottom"/>
          </w:tcPr>
          <w:p>
            <w:pPr>
              <w:ind w:left="234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176"/>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21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Non-accelerated Filer</w:t>
            </w:r>
          </w:p>
        </w:tc>
        <w:tc>
          <w:tcPr>
            <w:tcW w:w="80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24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0" w:type="dxa"/>
            <w:vAlign w:val="bottom"/>
          </w:tcPr>
          <w:p>
            <w:pPr>
              <w:spacing w:after="0"/>
              <w:rPr>
                <w:sz w:val="1"/>
                <w:szCs w:val="1"/>
                <w:color w:val="auto"/>
              </w:rPr>
            </w:pPr>
          </w:p>
        </w:tc>
      </w:tr>
      <w:tr>
        <w:trPr>
          <w:trHeight w:val="234"/>
        </w:trPr>
        <w:tc>
          <w:tcPr>
            <w:tcW w:w="2420" w:type="dxa"/>
            <w:vAlign w:val="bottom"/>
          </w:tcPr>
          <w:p>
            <w:pPr>
              <w:ind w:left="2180"/>
              <w:spacing w:after="0" w:line="141" w:lineRule="exact"/>
              <w:rPr>
                <w:sz w:val="20"/>
                <w:szCs w:val="20"/>
                <w:color w:val="auto"/>
              </w:rPr>
            </w:pPr>
            <w:r>
              <w:rPr>
                <w:rFonts w:ascii="MS PGothic" w:cs="MS PGothic" w:eastAsia="MS PGothic" w:hAnsi="MS PGothic"/>
                <w:sz w:val="14"/>
                <w:szCs w:val="14"/>
                <w:color w:val="auto"/>
              </w:rPr>
              <w:t>☐</w:t>
            </w:r>
          </w:p>
        </w:tc>
        <w:tc>
          <w:tcPr>
            <w:tcW w:w="2960" w:type="dxa"/>
            <w:vAlign w:val="bottom"/>
          </w:tcPr>
          <w:p>
            <w:pPr>
              <w:ind w:left="2320"/>
              <w:spacing w:after="0" w:line="141" w:lineRule="exact"/>
              <w:rPr>
                <w:sz w:val="20"/>
                <w:szCs w:val="20"/>
                <w:color w:val="auto"/>
              </w:rPr>
            </w:pPr>
            <w:r>
              <w:rPr>
                <w:rFonts w:ascii="MS PGothic" w:cs="MS PGothic" w:eastAsia="MS PGothic" w:hAnsi="MS PGothic"/>
                <w:sz w:val="14"/>
                <w:szCs w:val="14"/>
                <w:color w:val="auto"/>
              </w:rPr>
              <w:t>☐</w:t>
            </w:r>
          </w:p>
        </w:tc>
        <w:tc>
          <w:tcPr>
            <w:tcW w:w="2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60" w:type="dxa"/>
            <w:vAlign w:val="bottom"/>
          </w:tcPr>
          <w:p>
            <w:pPr>
              <w:ind w:left="234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144"/>
        </w:trPr>
        <w:tc>
          <w:tcPr>
            <w:tcW w:w="2420" w:type="dxa"/>
            <w:vAlign w:val="bottom"/>
          </w:tcPr>
          <w:p>
            <w:pPr>
              <w:spacing w:after="0"/>
              <w:rPr>
                <w:sz w:val="12"/>
                <w:szCs w:val="12"/>
                <w:color w:val="auto"/>
              </w:rPr>
            </w:pPr>
          </w:p>
        </w:tc>
        <w:tc>
          <w:tcPr>
            <w:tcW w:w="2960" w:type="dxa"/>
            <w:vAlign w:val="bottom"/>
          </w:tcPr>
          <w:p>
            <w:pPr>
              <w:ind w:left="100"/>
              <w:spacing w:after="0" w:line="145" w:lineRule="exact"/>
              <w:rPr>
                <w:sz w:val="20"/>
                <w:szCs w:val="20"/>
                <w:color w:val="auto"/>
              </w:rPr>
            </w:pPr>
            <w:r>
              <w:rPr>
                <w:rFonts w:ascii="Times New Roman" w:cs="Times New Roman" w:eastAsia="Times New Roman" w:hAnsi="Times New Roman"/>
                <w:sz w:val="14"/>
                <w:szCs w:val="14"/>
                <w:color w:val="auto"/>
              </w:rPr>
              <w:t>Emerging growth company</w:t>
            </w:r>
          </w:p>
        </w:tc>
        <w:tc>
          <w:tcPr>
            <w:tcW w:w="2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60" w:type="dxa"/>
            <w:vAlign w:val="bottom"/>
          </w:tcPr>
          <w:p>
            <w:pPr>
              <w:ind w:left="100"/>
              <w:spacing w:after="0" w:line="145" w:lineRule="exact"/>
              <w:rPr>
                <w:sz w:val="20"/>
                <w:szCs w:val="20"/>
                <w:color w:val="auto"/>
              </w:rPr>
            </w:pPr>
            <w:r>
              <w:rPr>
                <w:rFonts w:ascii="Times New Roman" w:cs="Times New Roman" w:eastAsia="Times New Roman" w:hAnsi="Times New Roman"/>
                <w:sz w:val="14"/>
                <w:szCs w:val="14"/>
                <w:color w:val="auto"/>
              </w:rPr>
              <w:t>Emerging growth company</w:t>
            </w:r>
          </w:p>
        </w:tc>
        <w:tc>
          <w:tcPr>
            <w:tcW w:w="0" w:type="dxa"/>
            <w:vAlign w:val="bottom"/>
          </w:tcPr>
          <w:p>
            <w:pPr>
              <w:spacing w:after="0"/>
              <w:rPr>
                <w:sz w:val="1"/>
                <w:szCs w:val="1"/>
                <w:color w:val="auto"/>
              </w:rPr>
            </w:pPr>
          </w:p>
        </w:tc>
      </w:tr>
      <w:tr>
        <w:trPr>
          <w:trHeight w:val="242"/>
        </w:trPr>
        <w:tc>
          <w:tcPr>
            <w:tcW w:w="2420" w:type="dxa"/>
            <w:vAlign w:val="bottom"/>
          </w:tcPr>
          <w:p>
            <w:pPr>
              <w:spacing w:after="0"/>
              <w:rPr>
                <w:sz w:val="21"/>
                <w:szCs w:val="21"/>
                <w:color w:val="auto"/>
              </w:rPr>
            </w:pPr>
          </w:p>
        </w:tc>
        <w:tc>
          <w:tcPr>
            <w:tcW w:w="2960" w:type="dxa"/>
            <w:vAlign w:val="bottom"/>
          </w:tcPr>
          <w:p>
            <w:pPr>
              <w:ind w:left="2320"/>
              <w:spacing w:after="0" w:line="141" w:lineRule="exact"/>
              <w:rPr>
                <w:sz w:val="20"/>
                <w:szCs w:val="20"/>
                <w:color w:val="auto"/>
              </w:rPr>
            </w:pPr>
            <w:r>
              <w:rPr>
                <w:rFonts w:ascii="MS PGothic" w:cs="MS PGothic" w:eastAsia="MS PGothic" w:hAnsi="MS PGothic"/>
                <w:sz w:val="14"/>
                <w:szCs w:val="14"/>
                <w:color w:val="auto"/>
              </w:rPr>
              <w:t>☐</w:t>
            </w:r>
          </w:p>
        </w:tc>
        <w:tc>
          <w:tcPr>
            <w:tcW w:w="2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60" w:type="dxa"/>
            <w:vAlign w:val="bottom"/>
          </w:tcPr>
          <w:p>
            <w:pPr>
              <w:ind w:left="234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bl>
    <w:p>
      <w:pPr>
        <w:spacing w:after="0" w:line="33" w:lineRule="exact"/>
        <w:rPr>
          <w:sz w:val="24"/>
          <w:szCs w:val="24"/>
          <w:color w:val="auto"/>
        </w:rPr>
      </w:pPr>
    </w:p>
    <w:p>
      <w:pPr>
        <w:spacing w:after="0" w:line="269" w:lineRule="auto"/>
        <w:rPr>
          <w:sz w:val="20"/>
          <w:szCs w:val="20"/>
          <w:color w:val="auto"/>
        </w:rPr>
      </w:pPr>
      <w:r>
        <w:rPr>
          <w:rFonts w:ascii="Times New Roman" w:cs="Times New Roman" w:eastAsia="Times New Roman" w:hAnsi="Times New Roman"/>
          <w:sz w:val="14"/>
          <w:szCs w:val="14"/>
          <w:color w:val="auto"/>
        </w:rPr>
        <w:t>If an emerging growth company, indicate by checkmark if the registrant has elected not to use the extended transition period for complying with any new or revised financial accounting standards provided pursuant to Section 13(a) of the Exchange Act.</w:t>
      </w:r>
    </w:p>
    <w:p>
      <w:pPr>
        <w:spacing w:after="0" w:line="1" w:lineRule="exact"/>
        <w:rPr>
          <w:sz w:val="24"/>
          <w:szCs w:val="24"/>
          <w:color w:val="auto"/>
        </w:rPr>
      </w:pPr>
    </w:p>
    <w:p>
      <w:pPr>
        <w:jc w:val="center"/>
        <w:ind w:right="60"/>
        <w:spacing w:after="0" w:line="161" w:lineRule="exact"/>
        <w:rPr>
          <w:sz w:val="20"/>
          <w:szCs w:val="20"/>
          <w:color w:val="auto"/>
        </w:rPr>
      </w:pPr>
      <w:r>
        <w:rPr>
          <w:rFonts w:ascii="Times New Roman" w:cs="Times New Roman" w:eastAsia="Times New Roman" w:hAnsi="Times New Roman"/>
          <w:sz w:val="14"/>
          <w:szCs w:val="14"/>
          <w:color w:val="auto"/>
        </w:rPr>
        <w:t xml:space="preserve">Federal Realty Investment Trust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Federal Realty OP LP </w:t>
      </w:r>
      <w:r>
        <w:rPr>
          <w:rFonts w:ascii="MS PGothic" w:cs="MS PGothic" w:eastAsia="MS PGothic" w:hAnsi="MS PGothic"/>
          <w:sz w:val="14"/>
          <w:szCs w:val="14"/>
          <w:color w:val="auto"/>
        </w:rPr>
        <w:t>☐</w:t>
      </w:r>
    </w:p>
    <w:p>
      <w:pPr>
        <w:spacing w:after="0" w:line="24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r>
    </w:p>
    <w:p>
      <w:pPr>
        <w:spacing w:after="0" w:line="27" w:lineRule="exact"/>
        <w:rPr>
          <w:sz w:val="24"/>
          <w:szCs w:val="24"/>
          <w:color w:val="auto"/>
        </w:rPr>
      </w:pPr>
    </w:p>
    <w:p>
      <w:pPr>
        <w:ind w:left="3080"/>
        <w:spacing w:after="0" w:line="161" w:lineRule="exact"/>
        <w:tabs>
          <w:tab w:leader="none" w:pos="5500" w:val="left"/>
        </w:tabs>
        <w:rPr>
          <w:sz w:val="20"/>
          <w:szCs w:val="20"/>
          <w:color w:val="auto"/>
        </w:rPr>
      </w:pPr>
      <w:r>
        <w:rPr>
          <w:rFonts w:ascii="Times New Roman" w:cs="Times New Roman" w:eastAsia="Times New Roman" w:hAnsi="Times New Roman"/>
          <w:sz w:val="14"/>
          <w:szCs w:val="14"/>
          <w:color w:val="auto"/>
        </w:rPr>
        <w:t xml:space="preserve">Federal Realty Investment Trust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w:t>
      </w:r>
      <w:r>
        <w:rPr>
          <w:sz w:val="20"/>
          <w:szCs w:val="20"/>
          <w:color w:val="auto"/>
        </w:rPr>
        <w:tab/>
      </w:r>
      <w:r>
        <w:rPr>
          <w:rFonts w:ascii="MS PGothic" w:cs="MS PGothic" w:eastAsia="MS PGothic" w:hAnsi="MS PGothic"/>
          <w:sz w:val="14"/>
          <w:szCs w:val="14"/>
          <w:color w:val="auto"/>
        </w:rPr>
        <w:t xml:space="preserve">☒ </w:t>
      </w:r>
      <w:r>
        <w:rPr>
          <w:rFonts w:ascii="Times New Roman" w:cs="Times New Roman" w:eastAsia="Times New Roman" w:hAnsi="Times New Roman"/>
          <w:sz w:val="14"/>
          <w:szCs w:val="14"/>
          <w:color w:val="auto"/>
        </w:rPr>
        <w:t>No Federal Realty OP LP</w:t>
      </w:r>
      <w:r>
        <w:rPr>
          <w:rFonts w:ascii="MS PGothic" w:cs="MS PGothic" w:eastAsia="MS PGothic" w:hAnsi="MS PGothic"/>
          <w:sz w:val="14"/>
          <w:szCs w:val="14"/>
          <w:color w:val="auto"/>
        </w:rPr>
        <w:t xml:space="preserve"> ☐ </w:t>
      </w:r>
      <w:r>
        <w:rPr>
          <w:rFonts w:ascii="Times New Roman" w:cs="Times New Roman" w:eastAsia="Times New Roman" w:hAnsi="Times New Roman"/>
          <w:sz w:val="14"/>
          <w:szCs w:val="14"/>
          <w:color w:val="auto"/>
        </w:rPr>
        <w:t>Yes</w:t>
      </w:r>
      <w:r>
        <w:rPr>
          <w:rFonts w:ascii="MS PGothic" w:cs="MS PGothic" w:eastAsia="MS PGothic" w:hAnsi="MS PGothic"/>
          <w:sz w:val="14"/>
          <w:szCs w:val="14"/>
          <w:color w:val="auto"/>
        </w:rPr>
        <w:t xml:space="preserve">  ☒ </w:t>
      </w:r>
      <w:r>
        <w:rPr>
          <w:rFonts w:ascii="Times New Roman" w:cs="Times New Roman" w:eastAsia="Times New Roman" w:hAnsi="Times New Roman"/>
          <w:sz w:val="14"/>
          <w:szCs w:val="14"/>
          <w:color w:val="auto"/>
        </w:rPr>
        <w:t>No</w:t>
      </w:r>
    </w:p>
    <w:p>
      <w:pPr>
        <w:spacing w:after="0" w:line="9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Federal Realty Investment Trust's common shares outstanding on April 28, 2026 was 86,389,197.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2"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EXPLANATORY NOTE</w:t>
      </w:r>
    </w:p>
    <w:p>
      <w:pPr>
        <w:spacing w:after="0" w:line="25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This report combines the quarterly reports on Form 10-Q for the quarter ended March 31, 2026, of Federal Realty Investment Trust and Federal Realty OP, LP. Unless stated otherwise or the context otherwise requires, references to "Federal Realty Investment Trust," the "Parent Company" or the "Trust" mean Federal Realty Investment Trust; and references to "Federal Realty OP LP" or the "Operating Partnership" mean Federal Realty OP LP. The term "the Company," "we," "us," and "our" refer to the Parent Company and its business and operations conducted through its directly and indirectly owned subsidiaries, including the Operating Partnership. References to "shares" and "shareholders" refer to the shares and shareholders of the Parent Company and not the limited partnership interests for limited partners of the Operating Partnership.</w:t>
      </w:r>
    </w:p>
    <w:p>
      <w:pPr>
        <w:spacing w:after="0" w:line="66"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The Parent Company is a real estate investment trust ("REIT") that owns 100% of the limited liability company interests of, is the sole member of, and exercises exclusive control over Federal Realty GP LLC (the "General Partner"), which is the sole general partner of the Operating Partnership. As of March 31, 2026, the Parent Company owned 100% of the outstanding partnership units (the "OP Units") in the Operating Partnership.</w:t>
      </w:r>
    </w:p>
    <w:p>
      <w:pPr>
        <w:spacing w:after="0" w:line="4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believes combining the quarterly reports on Form 10-Q of the Parent Company and the Operating Partnership into this single report provides the following benefits:</w:t>
      </w:r>
    </w:p>
    <w:p>
      <w:pPr>
        <w:spacing w:after="0" w:line="40" w:lineRule="exact"/>
        <w:rPr>
          <w:sz w:val="20"/>
          <w:szCs w:val="20"/>
          <w:color w:val="auto"/>
        </w:rPr>
      </w:pPr>
    </w:p>
    <w:p>
      <w:pPr>
        <w:ind w:left="660" w:right="1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Enhances investors' understanding of the Parent Company and the Operating Partnership by enabling investors to view the businesses as a whole in the same manner as management views and operates the business;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Eliminates duplicate disclosure and provides a more streamlined and readable presentation;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Creates time and cost efficiencies through the preparation of one combined report instead of two separate reports.</w:t>
      </w:r>
    </w:p>
    <w:p>
      <w:pPr>
        <w:spacing w:after="0" w:line="10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Management operates the Parent Company and the Operating Partnership as one business. Since the Operating Partnership is managed by the Parent Company, and the Parent Company conducts substantially all of its operations through the Operating Partnership, the management of the Parent Company consists of the same individuals as the management of the Operating Partnership.</w:t>
      </w:r>
    </w:p>
    <w:p>
      <w:pPr>
        <w:spacing w:after="0" w:line="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believe it is important to understand the few differences between the Parent Company and the Operating Partnership in the context of how the Parent Company and the Operating Partnership operate as a consolidated company. The Parent Company is a REIT, whose only material asset is its direct and indirect interest in the Operating Partnership. As a result, the Parent Company does not conduct business itself other than issuing public equity from time to time. The Parent Company is not expected to incur any material indebtedness. The Operating Partnership holds substantially all of our assets and retains the ownership interests in the Company's joint ventures. Except for net proceeds from public equity issuances by the Parent Company, which are contributed to the Operating Partnership in exchange for OP Units, the Operating Partnership generates all capital required by the Company’s business. Sources of this capital include the Operating Partnership’s operations, its direct or indirect incurrence of indebtedness, and the issuance of partnership units.</w:t>
      </w:r>
    </w:p>
    <w:p>
      <w:pPr>
        <w:spacing w:after="0" w:line="5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Shareholders' equity, partner capital, and non-controlling interests are the primary areas of difference between the unaudited consolidated financial statements of the Parent Company and those of the Operating Partnership. The Operating Partnership’s capital currently includes OP Units owned by the Parent Company, and may in the future include OP Units owned by third parties. OP Units owned by third parties, if any, are accounted for in capital in the Operating Partnership’s financial statements and in non-controlling interests in the Parent Company’s financial statements.</w:t>
      </w:r>
    </w:p>
    <w:p>
      <w:pPr>
        <w:spacing w:after="0" w:line="58"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Parent Company consolidates the Operating Partnership for financial reporting purposes, and the Parent Company does not have assets other than its investment in the Operating Partnership. Therefore, while shareholders’ equity and partners' capital differ as discussed above, the assets and liabilities of the Parent Company and the Operating Partnership are the same on their respective financial statements.</w:t>
      </w:r>
    </w:p>
    <w:p>
      <w:pPr>
        <w:spacing w:after="0" w:line="5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order to highlight the differences between the Parent Company and the Operating Partnership, there are sections in this report that separately discuss the Parent Company and the Operating Partnership, including separate financial statements (but combined footnotes), separate controls and procedures sections, and separate Exhibit 31 and 32 certifications. In the sections that combine disclosure for the Parent Company and the Operating Partnership, this report refers to actions or holdings as being actions or holdings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687070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FEDERAL REALTY OP LP</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QUARTER ENDED MARCH 31, 2026</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1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4"/>
        </w:trPr>
        <w:tc>
          <w:tcPr>
            <w:tcW w:w="8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10160" w:type="dxa"/>
            <w:vAlign w:val="bottom"/>
          </w:tcPr>
          <w:p>
            <w:pPr>
              <w:ind w:left="200"/>
              <w:spacing w:after="0" w:line="194" w:lineRule="exact"/>
              <w:rPr>
                <w:sz w:val="20"/>
                <w:szCs w:val="20"/>
                <w:color w:val="auto"/>
              </w:rPr>
            </w:pPr>
            <w:r>
              <w:rPr>
                <w:rFonts w:ascii="Times New Roman" w:cs="Times New Roman" w:eastAsia="Times New Roman" w:hAnsi="Times New Roman"/>
                <w:sz w:val="18"/>
                <w:szCs w:val="18"/>
                <w:color w:val="auto"/>
              </w:rPr>
              <w:t>Financial Statements</w:t>
            </w:r>
          </w:p>
        </w:tc>
        <w:tc>
          <w:tcPr>
            <w:tcW w:w="18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FF"/>
              </w:rPr>
              <w:t>3</w:t>
            </w:r>
          </w:p>
        </w:tc>
      </w:tr>
      <w:tr>
        <w:trPr>
          <w:trHeight w:val="394"/>
        </w:trPr>
        <w:tc>
          <w:tcPr>
            <w:tcW w:w="1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194"/>
        </w:trPr>
        <w:tc>
          <w:tcPr>
            <w:tcW w:w="860" w:type="dxa"/>
            <w:vAlign w:val="bottom"/>
          </w:tcPr>
          <w:p>
            <w:pPr>
              <w:spacing w:after="0"/>
              <w:rPr>
                <w:sz w:val="16"/>
                <w:szCs w:val="16"/>
                <w:color w:val="auto"/>
              </w:rPr>
            </w:pPr>
          </w:p>
        </w:tc>
        <w:tc>
          <w:tcPr>
            <w:tcW w:w="10160" w:type="dxa"/>
            <w:vAlign w:val="bottom"/>
          </w:tcPr>
          <w:p>
            <w:pPr>
              <w:ind w:left="200"/>
              <w:spacing w:after="0" w:line="194" w:lineRule="exact"/>
              <w:rPr>
                <w:sz w:val="20"/>
                <w:szCs w:val="20"/>
                <w:color w:val="auto"/>
              </w:rPr>
            </w:pPr>
            <w:r>
              <w:rPr>
                <w:rFonts w:ascii="Times New Roman" w:cs="Times New Roman" w:eastAsia="Times New Roman" w:hAnsi="Times New Roman"/>
                <w:sz w:val="18"/>
                <w:szCs w:val="18"/>
                <w:color w:val="auto"/>
              </w:rPr>
              <w:t>Consolidated Balance Sheets as of March 31, 2026 (unaudited) and December 31, 2025</w:t>
            </w:r>
          </w:p>
        </w:tc>
        <w:tc>
          <w:tcPr>
            <w:tcW w:w="18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FF"/>
              </w:rPr>
              <w:t>3</w:t>
            </w:r>
          </w:p>
        </w:tc>
      </w:tr>
      <w:tr>
        <w:trPr>
          <w:trHeight w:val="20"/>
        </w:trPr>
        <w:tc>
          <w:tcPr>
            <w:tcW w:w="86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860" w:type="dxa"/>
            <w:vAlign w:val="bottom"/>
          </w:tcPr>
          <w:p>
            <w:pPr>
              <w:spacing w:after="0"/>
              <w:rPr>
                <w:sz w:val="18"/>
                <w:szCs w:val="18"/>
                <w:color w:val="auto"/>
              </w:rPr>
            </w:pP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Consolidated Statements of Comprehensive Income (unaudited) for the three months ended March 31, 2026 and 2025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86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Consolidated Statements of Shareholders' Equity (unaudited) for the three months ended March 31, 2026 and 2025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86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860" w:type="dxa"/>
            <w:vAlign w:val="bottom"/>
          </w:tcPr>
          <w:p>
            <w:pPr>
              <w:spacing w:after="0"/>
              <w:rPr>
                <w:sz w:val="18"/>
                <w:szCs w:val="18"/>
                <w:color w:val="auto"/>
              </w:rPr>
            </w:pP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Consolidated Statements of Cash Flows (unaudited) for the three months ended March 31, 2026 and 2025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6</w:t>
            </w:r>
          </w:p>
        </w:tc>
      </w:tr>
      <w:tr>
        <w:trPr>
          <w:trHeight w:val="353"/>
        </w:trPr>
        <w:tc>
          <w:tcPr>
            <w:tcW w:w="1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Federal Realty OP LP</w:t>
            </w: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194"/>
        </w:trPr>
        <w:tc>
          <w:tcPr>
            <w:tcW w:w="860" w:type="dxa"/>
            <w:vAlign w:val="bottom"/>
          </w:tcPr>
          <w:p>
            <w:pPr>
              <w:spacing w:after="0"/>
              <w:rPr>
                <w:sz w:val="16"/>
                <w:szCs w:val="16"/>
                <w:color w:val="auto"/>
              </w:rPr>
            </w:pPr>
          </w:p>
        </w:tc>
        <w:tc>
          <w:tcPr>
            <w:tcW w:w="10160" w:type="dxa"/>
            <w:vAlign w:val="bottom"/>
          </w:tcPr>
          <w:p>
            <w:pPr>
              <w:ind w:left="200"/>
              <w:spacing w:after="0" w:line="194" w:lineRule="exact"/>
              <w:rPr>
                <w:sz w:val="20"/>
                <w:szCs w:val="20"/>
                <w:color w:val="auto"/>
              </w:rPr>
            </w:pPr>
            <w:r>
              <w:rPr>
                <w:rFonts w:ascii="Times New Roman" w:cs="Times New Roman" w:eastAsia="Times New Roman" w:hAnsi="Times New Roman"/>
                <w:sz w:val="18"/>
                <w:szCs w:val="18"/>
                <w:color w:val="auto"/>
              </w:rPr>
              <w:t>Consolidated Balance Sheets as of March 31, 2026 (unaudited) and December 31, 2025</w:t>
            </w:r>
          </w:p>
        </w:tc>
        <w:tc>
          <w:tcPr>
            <w:tcW w:w="18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FF"/>
              </w:rPr>
              <w:t>7</w:t>
            </w:r>
          </w:p>
        </w:tc>
      </w:tr>
      <w:tr>
        <w:trPr>
          <w:trHeight w:val="20"/>
        </w:trPr>
        <w:tc>
          <w:tcPr>
            <w:tcW w:w="86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Consolidated Statements of Comprehensive Income (unaudited) for the three months ended March 31, 2026 and 2025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8</w:t>
            </w:r>
          </w:p>
        </w:tc>
      </w:tr>
      <w:tr>
        <w:trPr>
          <w:trHeight w:val="20"/>
        </w:trPr>
        <w:tc>
          <w:tcPr>
            <w:tcW w:w="86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860" w:type="dxa"/>
            <w:vAlign w:val="bottom"/>
          </w:tcPr>
          <w:p>
            <w:pPr>
              <w:spacing w:after="0"/>
              <w:rPr>
                <w:sz w:val="18"/>
                <w:szCs w:val="18"/>
                <w:color w:val="auto"/>
              </w:rPr>
            </w:pP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Consolidated Statements of Capital (unaudited) for the three months ended March 31, 2026 and 2025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9</w:t>
            </w:r>
          </w:p>
        </w:tc>
      </w:tr>
      <w:tr>
        <w:trPr>
          <w:trHeight w:val="20"/>
        </w:trPr>
        <w:tc>
          <w:tcPr>
            <w:tcW w:w="86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Consolidated Statements of Cash Flows (unaudited) for the three months ended March 31, 2026 and 2025</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10</w:t>
            </w:r>
          </w:p>
        </w:tc>
      </w:tr>
      <w:tr>
        <w:trPr>
          <w:trHeight w:val="353"/>
        </w:trPr>
        <w:tc>
          <w:tcPr>
            <w:tcW w:w="1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Federal Realty Investment Trust and Federal Realty OP LP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4"/>
        </w:trPr>
        <w:tc>
          <w:tcPr>
            <w:tcW w:w="860" w:type="dxa"/>
            <w:vAlign w:val="bottom"/>
          </w:tcPr>
          <w:p>
            <w:pPr>
              <w:spacing w:after="0"/>
              <w:rPr>
                <w:sz w:val="16"/>
                <w:szCs w:val="16"/>
                <w:color w:val="auto"/>
              </w:rPr>
            </w:pPr>
          </w:p>
        </w:tc>
        <w:tc>
          <w:tcPr>
            <w:tcW w:w="10160" w:type="dxa"/>
            <w:vAlign w:val="bottom"/>
          </w:tcPr>
          <w:p>
            <w:pPr>
              <w:ind w:left="200"/>
              <w:spacing w:after="0" w:line="194" w:lineRule="exact"/>
              <w:rPr>
                <w:sz w:val="20"/>
                <w:szCs w:val="20"/>
                <w:color w:val="auto"/>
              </w:rPr>
            </w:pPr>
            <w:r>
              <w:rPr>
                <w:rFonts w:ascii="Times New Roman" w:cs="Times New Roman" w:eastAsia="Times New Roman" w:hAnsi="Times New Roman"/>
                <w:sz w:val="18"/>
                <w:szCs w:val="18"/>
                <w:color w:val="auto"/>
              </w:rPr>
              <w:t>Notes to Consolidated Financial Statements (unaudited)</w:t>
            </w:r>
          </w:p>
        </w:tc>
        <w:tc>
          <w:tcPr>
            <w:tcW w:w="180" w:type="dxa"/>
            <w:vAlign w:val="bottom"/>
            <w:tcBorders>
              <w:bottom w:val="single" w:sz="8" w:color="0000FF"/>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FF"/>
                <w:w w:val="88"/>
              </w:rPr>
              <w:t>11</w:t>
            </w:r>
          </w:p>
        </w:tc>
      </w:tr>
      <w:tr>
        <w:trPr>
          <w:trHeight w:val="318"/>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19</w:t>
            </w:r>
          </w:p>
        </w:tc>
      </w:tr>
      <w:tr>
        <w:trPr>
          <w:trHeight w:val="209"/>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r>
      <w:tr>
        <w:trPr>
          <w:trHeight w:val="21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Controls and Procedures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r>
      <w:tr>
        <w:trPr>
          <w:trHeight w:val="480"/>
        </w:trPr>
        <w:tc>
          <w:tcPr>
            <w:tcW w:w="1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34</w:t>
            </w:r>
          </w:p>
        </w:tc>
      </w:tr>
      <w:tr>
        <w:trPr>
          <w:trHeight w:val="21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Legal Proceedings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34</w:t>
            </w:r>
          </w:p>
        </w:tc>
      </w:tr>
      <w:tr>
        <w:trPr>
          <w:trHeight w:val="209"/>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Risk Factors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34</w:t>
            </w:r>
          </w:p>
        </w:tc>
      </w:tr>
      <w:tr>
        <w:trPr>
          <w:trHeight w:val="21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34</w:t>
            </w:r>
          </w:p>
        </w:tc>
      </w:tr>
      <w:tr>
        <w:trPr>
          <w:trHeight w:val="21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34</w:t>
            </w:r>
          </w:p>
        </w:tc>
      </w:tr>
      <w:tr>
        <w:trPr>
          <w:trHeight w:val="21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Mine Safety Disclosures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34</w:t>
            </w:r>
          </w:p>
        </w:tc>
      </w:tr>
      <w:tr>
        <w:trPr>
          <w:trHeight w:val="209"/>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Information</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34</w:t>
            </w:r>
          </w:p>
        </w:tc>
      </w:tr>
      <w:tr>
        <w:trPr>
          <w:trHeight w:val="21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Exhibits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34</w:t>
            </w:r>
          </w:p>
        </w:tc>
      </w:tr>
      <w:tr>
        <w:trPr>
          <w:trHeight w:val="480"/>
        </w:trPr>
        <w:tc>
          <w:tcPr>
            <w:tcW w:w="1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6"/>
                <w:szCs w:val="16"/>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3"/>
        </w:trPr>
        <w:tc>
          <w:tcPr>
            <w:tcW w:w="8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85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80" w:type="dxa"/>
            <w:vAlign w:val="bottom"/>
            <w:gridSpan w:val="4"/>
          </w:tcPr>
          <w:p>
            <w:pPr>
              <w:jc w:val="right"/>
              <w:ind w:right="131"/>
              <w:spacing w:after="0" w:line="131" w:lineRule="exact"/>
              <w:rPr>
                <w:sz w:val="20"/>
                <w:szCs w:val="20"/>
                <w:color w:val="auto"/>
              </w:rPr>
            </w:pPr>
            <w:r>
              <w:rPr>
                <w:rFonts w:ascii="Times New Roman" w:cs="Times New Roman" w:eastAsia="Times New Roman" w:hAnsi="Times New Roman"/>
                <w:sz w:val="14"/>
                <w:szCs w:val="14"/>
                <w:b w:val="1"/>
                <w:bCs w:val="1"/>
                <w:color w:val="auto"/>
              </w:rPr>
              <w:t>(In thousands, except share and per</w:t>
            </w:r>
          </w:p>
        </w:tc>
        <w:tc>
          <w:tcPr>
            <w:tcW w:w="0" w:type="dxa"/>
            <w:vAlign w:val="bottom"/>
          </w:tcPr>
          <w:p>
            <w:pPr>
              <w:spacing w:after="0"/>
              <w:rPr>
                <w:sz w:val="1"/>
                <w:szCs w:val="1"/>
                <w:color w:val="auto"/>
              </w:rPr>
            </w:pPr>
          </w:p>
        </w:tc>
      </w:tr>
      <w:tr>
        <w:trPr>
          <w:trHeight w:val="189"/>
        </w:trPr>
        <w:tc>
          <w:tcPr>
            <w:tcW w:w="8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80" w:type="dxa"/>
            <w:vAlign w:val="bottom"/>
            <w:gridSpan w:val="4"/>
          </w:tcPr>
          <w:p>
            <w:pPr>
              <w:jc w:val="right"/>
              <w:ind w:right="891"/>
              <w:spacing w:after="0"/>
              <w:rPr>
                <w:sz w:val="20"/>
                <w:szCs w:val="20"/>
                <w:color w:val="auto"/>
              </w:rPr>
            </w:pPr>
            <w:r>
              <w:rPr>
                <w:rFonts w:ascii="Times New Roman" w:cs="Times New Roman" w:eastAsia="Times New Roman" w:hAnsi="Times New Roman"/>
                <w:sz w:val="14"/>
                <w:szCs w:val="14"/>
                <w:b w:val="1"/>
                <w:bCs w:val="1"/>
                <w:color w:val="auto"/>
              </w:rPr>
              <w:t>share data)</w:t>
            </w:r>
          </w:p>
        </w:tc>
        <w:tc>
          <w:tcPr>
            <w:tcW w:w="0" w:type="dxa"/>
            <w:vAlign w:val="bottom"/>
          </w:tcPr>
          <w:p>
            <w:pPr>
              <w:spacing w:after="0"/>
              <w:rPr>
                <w:sz w:val="1"/>
                <w:szCs w:val="1"/>
                <w:color w:val="auto"/>
              </w:rPr>
            </w:pPr>
          </w:p>
        </w:tc>
      </w:tr>
      <w:tr>
        <w:trPr>
          <w:trHeight w:val="190"/>
        </w:trPr>
        <w:tc>
          <w:tcPr>
            <w:tcW w:w="8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Real estate, at cost</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Operating (including $1,898,790 and $1,832,190 of consolidated variable interest entities, respectively)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11,302,971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11,265,167</w:t>
            </w:r>
          </w:p>
        </w:tc>
        <w:tc>
          <w:tcPr>
            <w:tcW w:w="0" w:type="dxa"/>
            <w:vAlign w:val="bottom"/>
          </w:tcPr>
          <w:p>
            <w:pPr>
              <w:spacing w:after="0"/>
              <w:rPr>
                <w:sz w:val="1"/>
                <w:szCs w:val="1"/>
                <w:color w:val="auto"/>
              </w:rPr>
            </w:pPr>
          </w:p>
        </w:tc>
      </w:tr>
      <w:tr>
        <w:trPr>
          <w:trHeight w:val="175"/>
        </w:trPr>
        <w:tc>
          <w:tcPr>
            <w:tcW w:w="8560" w:type="dxa"/>
            <w:vAlign w:val="bottom"/>
          </w:tcPr>
          <w:p>
            <w:pPr>
              <w:ind w:left="660"/>
              <w:spacing w:after="0" w:line="176" w:lineRule="exact"/>
              <w:rPr>
                <w:sz w:val="20"/>
                <w:szCs w:val="20"/>
                <w:color w:val="auto"/>
              </w:rPr>
            </w:pPr>
            <w:r>
              <w:rPr>
                <w:rFonts w:ascii="Times New Roman" w:cs="Times New Roman" w:eastAsia="Times New Roman" w:hAnsi="Times New Roman"/>
                <w:sz w:val="18"/>
                <w:szCs w:val="18"/>
                <w:color w:val="auto"/>
              </w:rPr>
              <w:t>Construction-in-progress (including $30,376 and $28,418 of consolidated variable interest entities,</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5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358,950</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374,735</w:t>
            </w:r>
          </w:p>
        </w:tc>
        <w:tc>
          <w:tcPr>
            <w:tcW w:w="0" w:type="dxa"/>
            <w:vAlign w:val="bottom"/>
          </w:tcPr>
          <w:p>
            <w:pPr>
              <w:spacing w:after="0"/>
              <w:rPr>
                <w:sz w:val="1"/>
                <w:szCs w:val="1"/>
                <w:color w:val="auto"/>
              </w:rPr>
            </w:pPr>
          </w:p>
        </w:tc>
      </w:tr>
      <w:tr>
        <w:trPr>
          <w:trHeight w:val="223"/>
        </w:trPr>
        <w:tc>
          <w:tcPr>
            <w:tcW w:w="8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11,661,921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11,639,902</w:t>
            </w:r>
          </w:p>
        </w:tc>
        <w:tc>
          <w:tcPr>
            <w:tcW w:w="0" w:type="dxa"/>
            <w:vAlign w:val="bottom"/>
          </w:tcPr>
          <w:p>
            <w:pPr>
              <w:spacing w:after="0"/>
              <w:rPr>
                <w:sz w:val="1"/>
                <w:szCs w:val="1"/>
                <w:color w:val="auto"/>
              </w:rPr>
            </w:pPr>
          </w:p>
        </w:tc>
      </w:tr>
      <w:tr>
        <w:trPr>
          <w:trHeight w:val="175"/>
        </w:trPr>
        <w:tc>
          <w:tcPr>
            <w:tcW w:w="8560" w:type="dxa"/>
            <w:vAlign w:val="bottom"/>
          </w:tcPr>
          <w:p>
            <w:pPr>
              <w:ind w:left="660"/>
              <w:spacing w:after="0" w:line="176" w:lineRule="exact"/>
              <w:rPr>
                <w:sz w:val="20"/>
                <w:szCs w:val="20"/>
                <w:color w:val="auto"/>
              </w:rPr>
            </w:pPr>
            <w:r>
              <w:rPr>
                <w:rFonts w:ascii="Times New Roman" w:cs="Times New Roman" w:eastAsia="Times New Roman" w:hAnsi="Times New Roman"/>
                <w:sz w:val="18"/>
                <w:szCs w:val="18"/>
                <w:color w:val="auto"/>
              </w:rPr>
              <w:t>Less accumulated depreciation and amortization (including $474,534 and $468,725 of consolidated variable</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5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interest entities, respectively)</w:t>
            </w: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(3,394,099)</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(3,351,881)</w:t>
            </w:r>
          </w:p>
        </w:tc>
        <w:tc>
          <w:tcPr>
            <w:tcW w:w="0" w:type="dxa"/>
            <w:vAlign w:val="bottom"/>
          </w:tcPr>
          <w:p>
            <w:pPr>
              <w:spacing w:after="0"/>
              <w:rPr>
                <w:sz w:val="1"/>
                <w:szCs w:val="1"/>
                <w:color w:val="auto"/>
              </w:rPr>
            </w:pPr>
          </w:p>
        </w:tc>
      </w:tr>
      <w:tr>
        <w:trPr>
          <w:trHeight w:val="223"/>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real estate</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8,267,822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8,288,021</w:t>
            </w:r>
          </w:p>
        </w:tc>
        <w:tc>
          <w:tcPr>
            <w:tcW w:w="0" w:type="dxa"/>
            <w:vAlign w:val="bottom"/>
          </w:tcPr>
          <w:p>
            <w:pPr>
              <w:spacing w:after="0"/>
              <w:rPr>
                <w:sz w:val="1"/>
                <w:szCs w:val="1"/>
                <w:color w:val="auto"/>
              </w:rPr>
            </w:pPr>
          </w:p>
        </w:tc>
      </w:tr>
      <w:tr>
        <w:trPr>
          <w:trHeight w:val="230"/>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107,415</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and notes receivable, net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249,755</w:t>
            </w:r>
          </w:p>
        </w:tc>
        <w:tc>
          <w:tcPr>
            <w:tcW w:w="0" w:type="dxa"/>
            <w:vAlign w:val="bottom"/>
          </w:tcPr>
          <w:p>
            <w:pPr>
              <w:spacing w:after="0"/>
              <w:rPr>
                <w:sz w:val="1"/>
                <w:szCs w:val="1"/>
                <w:color w:val="auto"/>
              </w:rPr>
            </w:pPr>
          </w:p>
        </w:tc>
      </w:tr>
      <w:tr>
        <w:trPr>
          <w:trHeight w:val="229"/>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Mortgage notes receivable, net</w:t>
            </w: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9,091</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Investment in partnerships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31,881</w:t>
            </w:r>
          </w:p>
        </w:tc>
        <w:tc>
          <w:tcPr>
            <w:tcW w:w="0" w:type="dxa"/>
            <w:vAlign w:val="bottom"/>
          </w:tcPr>
          <w:p>
            <w:pPr>
              <w:spacing w:after="0"/>
              <w:rPr>
                <w:sz w:val="1"/>
                <w:szCs w:val="1"/>
                <w:color w:val="auto"/>
              </w:rPr>
            </w:pPr>
          </w:p>
        </w:tc>
      </w:tr>
      <w:tr>
        <w:trPr>
          <w:trHeight w:val="229"/>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right of use assets, net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83,120</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Finance lease right of use assets, net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6,410</w:t>
            </w:r>
          </w:p>
        </w:tc>
        <w:tc>
          <w:tcPr>
            <w:tcW w:w="0" w:type="dxa"/>
            <w:vAlign w:val="bottom"/>
          </w:tcPr>
          <w:p>
            <w:pPr>
              <w:spacing w:after="0"/>
              <w:rPr>
                <w:sz w:val="1"/>
                <w:szCs w:val="1"/>
                <w:color w:val="auto"/>
              </w:rPr>
            </w:pPr>
          </w:p>
        </w:tc>
      </w:tr>
      <w:tr>
        <w:trPr>
          <w:trHeight w:val="229"/>
        </w:trPr>
        <w:tc>
          <w:tcPr>
            <w:tcW w:w="85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344,192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354,767</w:t>
            </w:r>
          </w:p>
        </w:tc>
        <w:tc>
          <w:tcPr>
            <w:tcW w:w="0" w:type="dxa"/>
            <w:vAlign w:val="bottom"/>
          </w:tcPr>
          <w:p>
            <w:pPr>
              <w:spacing w:after="0"/>
              <w:rPr>
                <w:sz w:val="1"/>
                <w:szCs w:val="1"/>
                <w:color w:val="auto"/>
              </w:rPr>
            </w:pPr>
          </w:p>
        </w:tc>
      </w:tr>
      <w:tr>
        <w:trPr>
          <w:trHeight w:val="248"/>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9,096,770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9,130,460</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5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560" w:type="dxa"/>
            <w:vAlign w:val="bottom"/>
          </w:tcPr>
          <w:p>
            <w:pPr>
              <w:ind w:left="660"/>
              <w:spacing w:after="0" w:line="176" w:lineRule="exact"/>
              <w:rPr>
                <w:sz w:val="20"/>
                <w:szCs w:val="20"/>
                <w:color w:val="auto"/>
              </w:rPr>
            </w:pPr>
            <w:r>
              <w:rPr>
                <w:rFonts w:ascii="Times New Roman" w:cs="Times New Roman" w:eastAsia="Times New Roman" w:hAnsi="Times New Roman"/>
                <w:sz w:val="18"/>
                <w:szCs w:val="18"/>
                <w:color w:val="auto"/>
              </w:rPr>
              <w:t>Mortgages payable, net (including $191,475 and $194,176 of consolidated variable interest entities,</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519,021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521,759</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Notes payable, net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1,365,333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1,057,331</w:t>
            </w:r>
          </w:p>
        </w:tc>
        <w:tc>
          <w:tcPr>
            <w:tcW w:w="0" w:type="dxa"/>
            <w:vAlign w:val="bottom"/>
          </w:tcPr>
          <w:p>
            <w:pPr>
              <w:spacing w:after="0"/>
              <w:rPr>
                <w:sz w:val="1"/>
                <w:szCs w:val="1"/>
                <w:color w:val="auto"/>
              </w:rPr>
            </w:pPr>
          </w:p>
        </w:tc>
      </w:tr>
      <w:tr>
        <w:trPr>
          <w:trHeight w:val="229"/>
        </w:trPr>
        <w:tc>
          <w:tcPr>
            <w:tcW w:w="85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Senior notes and debentures, net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2,965,414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3,364,010</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219,678</w:t>
            </w:r>
          </w:p>
        </w:tc>
        <w:tc>
          <w:tcPr>
            <w:tcW w:w="0" w:type="dxa"/>
            <w:vAlign w:val="bottom"/>
          </w:tcPr>
          <w:p>
            <w:pPr>
              <w:spacing w:after="0"/>
              <w:rPr>
                <w:sz w:val="1"/>
                <w:szCs w:val="1"/>
                <w:color w:val="auto"/>
              </w:rPr>
            </w:pPr>
          </w:p>
        </w:tc>
      </w:tr>
      <w:tr>
        <w:trPr>
          <w:trHeight w:val="230"/>
        </w:trPr>
        <w:tc>
          <w:tcPr>
            <w:tcW w:w="85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Dividends payable</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99,792</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Security deposits payable</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31,548</w:t>
            </w:r>
          </w:p>
        </w:tc>
        <w:tc>
          <w:tcPr>
            <w:tcW w:w="0" w:type="dxa"/>
            <w:vAlign w:val="bottom"/>
          </w:tcPr>
          <w:p>
            <w:pPr>
              <w:spacing w:after="0"/>
              <w:rPr>
                <w:sz w:val="1"/>
                <w:szCs w:val="1"/>
                <w:color w:val="auto"/>
              </w:rPr>
            </w:pPr>
          </w:p>
        </w:tc>
      </w:tr>
      <w:tr>
        <w:trPr>
          <w:trHeight w:val="229"/>
        </w:trPr>
        <w:tc>
          <w:tcPr>
            <w:tcW w:w="85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72,304</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12,903</w:t>
            </w:r>
          </w:p>
        </w:tc>
        <w:tc>
          <w:tcPr>
            <w:tcW w:w="0" w:type="dxa"/>
            <w:vAlign w:val="bottom"/>
          </w:tcPr>
          <w:p>
            <w:pPr>
              <w:spacing w:after="0"/>
              <w:rPr>
                <w:sz w:val="1"/>
                <w:szCs w:val="1"/>
                <w:color w:val="auto"/>
              </w:rPr>
            </w:pPr>
          </w:p>
        </w:tc>
      </w:tr>
      <w:tr>
        <w:trPr>
          <w:trHeight w:val="230"/>
        </w:trPr>
        <w:tc>
          <w:tcPr>
            <w:tcW w:w="85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Other liabilities and deferred credits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243,637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250,494</w:t>
            </w:r>
          </w:p>
        </w:tc>
        <w:tc>
          <w:tcPr>
            <w:tcW w:w="0" w:type="dxa"/>
            <w:vAlign w:val="bottom"/>
          </w:tcPr>
          <w:p>
            <w:pPr>
              <w:spacing w:after="0"/>
              <w:rPr>
                <w:sz w:val="1"/>
                <w:szCs w:val="1"/>
                <w:color w:val="auto"/>
              </w:rPr>
            </w:pPr>
          </w:p>
        </w:tc>
      </w:tr>
      <w:tr>
        <w:trPr>
          <w:trHeight w:val="223"/>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5,532,426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5,629,819</w:t>
            </w:r>
          </w:p>
        </w:tc>
        <w:tc>
          <w:tcPr>
            <w:tcW w:w="0" w:type="dxa"/>
            <w:vAlign w:val="bottom"/>
          </w:tcPr>
          <w:p>
            <w:pPr>
              <w:spacing w:after="0"/>
              <w:rPr>
                <w:sz w:val="1"/>
                <w:szCs w:val="1"/>
                <w:color w:val="auto"/>
              </w:rPr>
            </w:pPr>
          </w:p>
        </w:tc>
      </w:tr>
      <w:tr>
        <w:trPr>
          <w:trHeight w:val="230"/>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181,655</w:t>
            </w:r>
          </w:p>
        </w:tc>
        <w:tc>
          <w:tcPr>
            <w:tcW w:w="0" w:type="dxa"/>
            <w:vAlign w:val="bottom"/>
          </w:tcPr>
          <w:p>
            <w:pPr>
              <w:spacing w:after="0"/>
              <w:rPr>
                <w:sz w:val="1"/>
                <w:szCs w:val="1"/>
                <w:color w:val="auto"/>
              </w:rPr>
            </w:pPr>
          </w:p>
        </w:tc>
      </w:tr>
      <w:tr>
        <w:trPr>
          <w:trHeight w:val="229"/>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Preferred shares, authorized 15,000,000 shares, $.01 par:</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560" w:type="dxa"/>
            <w:vAlign w:val="bottom"/>
          </w:tcPr>
          <w:p>
            <w:pPr>
              <w:ind w:left="780"/>
              <w:spacing w:after="0" w:line="176" w:lineRule="exact"/>
              <w:rPr>
                <w:sz w:val="20"/>
                <w:szCs w:val="20"/>
                <w:color w:val="auto"/>
              </w:rPr>
            </w:pPr>
            <w:r>
              <w:rPr>
                <w:rFonts w:ascii="Times New Roman" w:cs="Times New Roman" w:eastAsia="Times New Roman" w:hAnsi="Times New Roman"/>
                <w:sz w:val="18"/>
                <w:szCs w:val="18"/>
                <w:color w:val="auto"/>
              </w:rPr>
              <w:t>5.0% Series C Cumulative Redeemable Preferred Shares, (stated at liquidation preference $25,000 per</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share), 6,000 shares issued and outstanding</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0" w:type="dxa"/>
            <w:vAlign w:val="bottom"/>
          </w:tcPr>
          <w:p>
            <w:pPr>
              <w:spacing w:after="0"/>
              <w:rPr>
                <w:sz w:val="1"/>
                <w:szCs w:val="1"/>
                <w:color w:val="auto"/>
              </w:rPr>
            </w:pPr>
          </w:p>
        </w:tc>
      </w:tr>
      <w:tr>
        <w:trPr>
          <w:trHeight w:val="176"/>
        </w:trPr>
        <w:tc>
          <w:tcPr>
            <w:tcW w:w="8560" w:type="dxa"/>
            <w:vAlign w:val="bottom"/>
            <w:shd w:val="clear" w:color="auto" w:fill="CCEEFF"/>
          </w:tcPr>
          <w:p>
            <w:pPr>
              <w:ind w:left="780"/>
              <w:spacing w:after="0" w:line="176" w:lineRule="exact"/>
              <w:rPr>
                <w:sz w:val="20"/>
                <w:szCs w:val="20"/>
                <w:color w:val="auto"/>
              </w:rPr>
            </w:pPr>
            <w:r>
              <w:rPr>
                <w:rFonts w:ascii="Times New Roman" w:cs="Times New Roman" w:eastAsia="Times New Roman" w:hAnsi="Times New Roman"/>
                <w:sz w:val="18"/>
                <w:szCs w:val="18"/>
                <w:color w:val="auto"/>
              </w:rPr>
              <w:t>5.417% Series 1 Cumulative Convertible Preferred Shares, (stated at liquidation preference $25 per share),</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5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392,878 shares issued and outstanding</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9,822</w:t>
            </w:r>
          </w:p>
        </w:tc>
        <w:tc>
          <w:tcPr>
            <w:tcW w:w="0" w:type="dxa"/>
            <w:vAlign w:val="bottom"/>
          </w:tcPr>
          <w:p>
            <w:pPr>
              <w:spacing w:after="0"/>
              <w:rPr>
                <w:sz w:val="1"/>
                <w:szCs w:val="1"/>
                <w:color w:val="auto"/>
              </w:rPr>
            </w:pPr>
          </w:p>
        </w:tc>
      </w:tr>
      <w:tr>
        <w:trPr>
          <w:trHeight w:val="175"/>
        </w:trPr>
        <w:tc>
          <w:tcPr>
            <w:tcW w:w="8560" w:type="dxa"/>
            <w:vAlign w:val="bottom"/>
          </w:tcPr>
          <w:p>
            <w:pPr>
              <w:ind w:left="780"/>
              <w:spacing w:after="0" w:line="176" w:lineRule="exact"/>
              <w:rPr>
                <w:sz w:val="20"/>
                <w:szCs w:val="20"/>
                <w:color w:val="auto"/>
              </w:rPr>
            </w:pPr>
            <w:r>
              <w:rPr>
                <w:rFonts w:ascii="Times New Roman" w:cs="Times New Roman" w:eastAsia="Times New Roman" w:hAnsi="Times New Roman"/>
                <w:sz w:val="18"/>
                <w:szCs w:val="18"/>
                <w:color w:val="auto"/>
              </w:rPr>
              <w:t>Common shares of beneficial interest, $.01 par, 200,000,000 shares authorized, 86,386,687 and 86,266,009</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shares issued and outstanding, respectively</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4,310,277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4,310,365</w:t>
            </w:r>
          </w:p>
        </w:tc>
        <w:tc>
          <w:tcPr>
            <w:tcW w:w="0" w:type="dxa"/>
            <w:vAlign w:val="bottom"/>
          </w:tcPr>
          <w:p>
            <w:pPr>
              <w:spacing w:after="0"/>
              <w:rPr>
                <w:sz w:val="1"/>
                <w:szCs w:val="1"/>
                <w:color w:val="auto"/>
              </w:rPr>
            </w:pPr>
          </w:p>
        </w:tc>
      </w:tr>
      <w:tr>
        <w:trPr>
          <w:trHeight w:val="229"/>
        </w:trPr>
        <w:tc>
          <w:tcPr>
            <w:tcW w:w="85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Accumulated dividends in excess of net income</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(1,164,907)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(1,224,372)</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0" w:type="dxa"/>
            <w:vAlign w:val="bottom"/>
          </w:tcPr>
          <w:p>
            <w:pPr>
              <w:spacing w:after="0"/>
              <w:rPr>
                <w:sz w:val="1"/>
                <w:szCs w:val="1"/>
                <w:color w:val="auto"/>
              </w:rPr>
            </w:pPr>
          </w:p>
        </w:tc>
      </w:tr>
      <w:tr>
        <w:trPr>
          <w:trHeight w:val="223"/>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shareholders’ equity of the Trust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3,311,137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3,248,731</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70,380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70,255</w:t>
            </w:r>
          </w:p>
        </w:tc>
        <w:tc>
          <w:tcPr>
            <w:tcW w:w="0" w:type="dxa"/>
            <w:vAlign w:val="bottom"/>
          </w:tcPr>
          <w:p>
            <w:pPr>
              <w:spacing w:after="0"/>
              <w:rPr>
                <w:sz w:val="1"/>
                <w:szCs w:val="1"/>
                <w:color w:val="auto"/>
              </w:rPr>
            </w:pPr>
          </w:p>
        </w:tc>
      </w:tr>
      <w:tr>
        <w:trPr>
          <w:trHeight w:val="223"/>
        </w:trPr>
        <w:tc>
          <w:tcPr>
            <w:tcW w:w="85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3,381,517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3,318,986</w:t>
            </w:r>
          </w:p>
        </w:tc>
        <w:tc>
          <w:tcPr>
            <w:tcW w:w="0" w:type="dxa"/>
            <w:vAlign w:val="bottom"/>
          </w:tcPr>
          <w:p>
            <w:pPr>
              <w:spacing w:after="0"/>
              <w:rPr>
                <w:sz w:val="1"/>
                <w:szCs w:val="1"/>
                <w:color w:val="auto"/>
              </w:rPr>
            </w:pPr>
          </w:p>
        </w:tc>
      </w:tr>
      <w:tr>
        <w:trPr>
          <w:trHeight w:val="248"/>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9,096,770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9,130,460</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statements.</w:t>
      </w:r>
    </w:p>
    <w:p>
      <w:pPr>
        <w:sectPr>
          <w:pgSz w:w="11900" w:h="16838" w:orient="portrait"/>
          <w:cols w:equalWidth="0" w:num="1">
            <w:col w:w="11220"/>
          </w:cols>
          <w:pgMar w:left="320" w:top="124"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60" w:type="dxa"/>
            <w:vAlign w:val="bottom"/>
            <w:gridSpan w:val="4"/>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89"/>
        </w:trPr>
        <w:tc>
          <w:tcPr>
            <w:tcW w:w="8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w w:val="94"/>
              </w:rPr>
              <w:t>(In thousands, except</w:t>
            </w:r>
          </w:p>
        </w:tc>
        <w:tc>
          <w:tcPr>
            <w:tcW w:w="1440" w:type="dxa"/>
            <w:vAlign w:val="bottom"/>
            <w:gridSpan w:val="2"/>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per share data)</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Rental income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332,658</w:t>
            </w:r>
          </w:p>
        </w:tc>
        <w:tc>
          <w:tcPr>
            <w:tcW w:w="80" w:type="dxa"/>
            <w:vAlign w:val="bottom"/>
          </w:tcPr>
          <w:p>
            <w:pPr>
              <w:spacing w:after="0"/>
              <w:rPr>
                <w:sz w:val="19"/>
                <w:szCs w:val="19"/>
                <w:color w:val="auto"/>
              </w:rPr>
            </w:pPr>
          </w:p>
        </w:tc>
        <w:tc>
          <w:tcPr>
            <w:tcW w:w="3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302,294</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property income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6,585</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Mortgage interest income</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341,084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309,154</w:t>
            </w:r>
          </w:p>
        </w:tc>
        <w:tc>
          <w:tcPr>
            <w:tcW w:w="0" w:type="dxa"/>
            <w:vAlign w:val="bottom"/>
          </w:tcPr>
          <w:p>
            <w:pPr>
              <w:spacing w:after="0"/>
              <w:rPr>
                <w:sz w:val="1"/>
                <w:szCs w:val="1"/>
                <w:color w:val="auto"/>
              </w:rPr>
            </w:pPr>
          </w:p>
        </w:tc>
      </w:tr>
      <w:tr>
        <w:trPr>
          <w:trHeight w:val="20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Rental expenses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74,697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67,804</w:t>
            </w:r>
          </w:p>
        </w:tc>
        <w:tc>
          <w:tcPr>
            <w:tcW w:w="0" w:type="dxa"/>
            <w:vAlign w:val="bottom"/>
          </w:tcPr>
          <w:p>
            <w:pPr>
              <w:spacing w:after="0"/>
              <w:rPr>
                <w:sz w:val="1"/>
                <w:szCs w:val="1"/>
                <w:color w:val="auto"/>
              </w:rPr>
            </w:pP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Real estate taxes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38,971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36,567</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10,875</w:t>
            </w:r>
          </w:p>
        </w:tc>
        <w:tc>
          <w:tcPr>
            <w:tcW w:w="0" w:type="dxa"/>
            <w:vAlign w:val="bottom"/>
          </w:tcPr>
          <w:p>
            <w:pPr>
              <w:spacing w:after="0"/>
              <w:rPr>
                <w:sz w:val="1"/>
                <w:szCs w:val="1"/>
                <w:color w:val="auto"/>
              </w:rPr>
            </w:pPr>
          </w:p>
        </w:tc>
      </w:tr>
      <w:tr>
        <w:trPr>
          <w:trHeight w:val="229"/>
        </w:trPr>
        <w:tc>
          <w:tcPr>
            <w:tcW w:w="8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99,217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86,946</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224,810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202,192</w:t>
            </w:r>
          </w:p>
        </w:tc>
        <w:tc>
          <w:tcPr>
            <w:tcW w:w="0" w:type="dxa"/>
            <w:vAlign w:val="bottom"/>
          </w:tcPr>
          <w:p>
            <w:pPr>
              <w:spacing w:after="0"/>
              <w:rPr>
                <w:sz w:val="1"/>
                <w:szCs w:val="1"/>
                <w:color w:val="auto"/>
              </w:rPr>
            </w:pPr>
          </w:p>
        </w:tc>
      </w:tr>
      <w:tr>
        <w:trPr>
          <w:trHeight w:val="250"/>
        </w:trPr>
        <w:tc>
          <w:tcPr>
            <w:tcW w:w="8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92,711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0" w:type="dxa"/>
            <w:vAlign w:val="bottom"/>
          </w:tcPr>
          <w:p>
            <w:pPr>
              <w:spacing w:after="0"/>
              <w:rPr>
                <w:sz w:val="1"/>
                <w:szCs w:val="1"/>
                <w:color w:val="auto"/>
              </w:rPr>
            </w:pPr>
          </w:p>
        </w:tc>
      </w:tr>
      <w:tr>
        <w:trPr>
          <w:trHeight w:val="250"/>
        </w:trPr>
        <w:tc>
          <w:tcPr>
            <w:tcW w:w="8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208,985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108,133</w:t>
            </w:r>
          </w:p>
        </w:tc>
        <w:tc>
          <w:tcPr>
            <w:tcW w:w="0" w:type="dxa"/>
            <w:vAlign w:val="bottom"/>
          </w:tcPr>
          <w:p>
            <w:pPr>
              <w:spacing w:after="0"/>
              <w:rPr>
                <w:sz w:val="1"/>
                <w:szCs w:val="1"/>
                <w:color w:val="auto"/>
              </w:rPr>
            </w:pPr>
          </w:p>
        </w:tc>
      </w:tr>
      <w:tr>
        <w:trPr>
          <w:trHeight w:val="270"/>
        </w:trPr>
        <w:tc>
          <w:tcPr>
            <w:tcW w:w="8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INCOME/(EXPENSE)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interest income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(49,116)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(42,475)</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Income from partnerships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161,070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66,578</w:t>
            </w:r>
          </w:p>
        </w:tc>
        <w:tc>
          <w:tcPr>
            <w:tcW w:w="0" w:type="dxa"/>
            <w:vAlign w:val="bottom"/>
          </w:tcPr>
          <w:p>
            <w:pPr>
              <w:spacing w:after="0"/>
              <w:rPr>
                <w:sz w:val="1"/>
                <w:szCs w:val="1"/>
                <w:color w:val="auto"/>
              </w:rPr>
            </w:pPr>
          </w:p>
        </w:tc>
      </w:tr>
      <w:tr>
        <w:trPr>
          <w:trHeight w:val="229"/>
        </w:trPr>
        <w:tc>
          <w:tcPr>
            <w:tcW w:w="8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TRUST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159,099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63,768</w:t>
            </w:r>
          </w:p>
        </w:tc>
        <w:tc>
          <w:tcPr>
            <w:tcW w:w="0" w:type="dxa"/>
            <w:vAlign w:val="bottom"/>
          </w:tcPr>
          <w:p>
            <w:pPr>
              <w:spacing w:after="0"/>
              <w:rPr>
                <w:sz w:val="1"/>
                <w:szCs w:val="1"/>
                <w:color w:val="auto"/>
              </w:rPr>
            </w:pPr>
          </w:p>
        </w:tc>
      </w:tr>
      <w:tr>
        <w:trPr>
          <w:trHeight w:val="229"/>
        </w:trPr>
        <w:tc>
          <w:tcPr>
            <w:tcW w:w="8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Dividends on preferred shares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AVAILABLE FOR COMMON SHAREHOLDERS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157,091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61,760</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SHARE, BASIC:</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 available for common shareholders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2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86,040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85,472</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COMMON SHARE, DILUTED:</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8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available for common shareholders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280" w:type="dxa"/>
            <w:vAlign w:val="bottom"/>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86,662</w:t>
            </w: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85,472</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164,108</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65,334</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THE TRUST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162,127</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62,624</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63"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50"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 and 2025</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40" w:type="dxa"/>
            <w:vAlign w:val="bottom"/>
            <w:gridSpan w:val="11"/>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Shareholders’ Equity of the Trust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6"/>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Preferred Shares</w:t>
            </w: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gridSpan w:val="7"/>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4"/>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jc w:val="center"/>
              <w:ind w:right="8"/>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gridSpan w:val="6"/>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7"/>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4"/>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Dividends in</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3"/>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2"/>
            <w:vMerge w:val="restart"/>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vMerge w:val="restart"/>
          </w:tcPr>
          <w:p>
            <w:pPr>
              <w:spacing w:after="0"/>
              <w:rPr>
                <w:sz w:val="2"/>
                <w:szCs w:val="2"/>
                <w:color w:val="auto"/>
              </w:rPr>
            </w:pPr>
          </w:p>
        </w:tc>
        <w:tc>
          <w:tcPr>
            <w:tcW w:w="920" w:type="dxa"/>
            <w:vAlign w:val="bottom"/>
            <w:gridSpan w:val="4"/>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Excess of Net</w:t>
            </w:r>
          </w:p>
        </w:tc>
        <w:tc>
          <w:tcPr>
            <w:tcW w:w="1080" w:type="dxa"/>
            <w:vAlign w:val="bottom"/>
            <w:gridSpan w:val="5"/>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60" w:type="dxa"/>
            <w:vAlign w:val="bottom"/>
            <w:gridSpan w:val="6"/>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88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8"/>
                <w:szCs w:val="8"/>
                <w:color w:val="auto"/>
              </w:rPr>
            </w:pPr>
          </w:p>
        </w:tc>
        <w:tc>
          <w:tcPr>
            <w:tcW w:w="7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8"/>
                <w:szCs w:val="8"/>
                <w:color w:val="auto"/>
              </w:rPr>
            </w:pPr>
          </w:p>
        </w:tc>
        <w:tc>
          <w:tcPr>
            <w:tcW w:w="70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920" w:type="dxa"/>
            <w:vAlign w:val="bottom"/>
            <w:gridSpan w:val="4"/>
            <w:vMerge w:val="continue"/>
          </w:tcPr>
          <w:p>
            <w:pPr>
              <w:spacing w:after="0"/>
              <w:rPr>
                <w:sz w:val="8"/>
                <w:szCs w:val="8"/>
                <w:color w:val="auto"/>
              </w:rPr>
            </w:pPr>
          </w:p>
        </w:tc>
        <w:tc>
          <w:tcPr>
            <w:tcW w:w="1080" w:type="dxa"/>
            <w:vAlign w:val="bottom"/>
            <w:gridSpan w:val="5"/>
            <w:vMerge w:val="continue"/>
          </w:tcPr>
          <w:p>
            <w:pPr>
              <w:spacing w:after="0"/>
              <w:rPr>
                <w:sz w:val="8"/>
                <w:szCs w:val="8"/>
                <w:color w:val="auto"/>
              </w:rPr>
            </w:pPr>
          </w:p>
        </w:tc>
        <w:tc>
          <w:tcPr>
            <w:tcW w:w="1060" w:type="dxa"/>
            <w:vAlign w:val="bottom"/>
            <w:gridSpan w:val="6"/>
            <w:vMerge w:val="continue"/>
          </w:tcPr>
          <w:p>
            <w:pPr>
              <w:spacing w:after="0"/>
              <w:rPr>
                <w:sz w:val="8"/>
                <w:szCs w:val="8"/>
                <w:color w:val="auto"/>
              </w:rPr>
            </w:pPr>
          </w:p>
        </w:tc>
        <w:tc>
          <w:tcPr>
            <w:tcW w:w="8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3"/>
            <w:vMerge w:val="continue"/>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3"/>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4"/>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080" w:type="dxa"/>
            <w:vAlign w:val="bottom"/>
            <w:tcBorders>
              <w:bottom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00" w:type="dxa"/>
            <w:vAlign w:val="bottom"/>
            <w:gridSpan w:val="11"/>
          </w:tcPr>
          <w:p>
            <w:pPr>
              <w:ind w:left="240"/>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2025</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398,878</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99"/>
              </w:rPr>
              <w:t>$ 159,822</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86,266,009</w:t>
            </w:r>
          </w:p>
        </w:tc>
        <w:tc>
          <w:tcPr>
            <w:tcW w:w="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4,310,365</w:t>
            </w:r>
          </w:p>
        </w:tc>
        <w:tc>
          <w:tcPr>
            <w:tcW w:w="100" w:type="dxa"/>
            <w:vAlign w:val="bottom"/>
            <w:shd w:val="clear" w:color="auto" w:fill="CCEEFF"/>
          </w:tcPr>
          <w:p>
            <w:pPr>
              <w:spacing w:after="0"/>
              <w:rPr>
                <w:sz w:val="18"/>
                <w:szCs w:val="18"/>
                <w:color w:val="auto"/>
              </w:rPr>
            </w:pPr>
          </w:p>
        </w:tc>
        <w:tc>
          <w:tcPr>
            <w:tcW w:w="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(1,224,372)</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70,255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3,318,986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328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color w:val="auto"/>
              </w:rPr>
              <w:t>Net income, excluding $1,174 attributable to</w:t>
            </w:r>
          </w:p>
        </w:tc>
        <w:tc>
          <w:tcPr>
            <w:tcW w:w="40" w:type="dxa"/>
            <w:vAlign w:val="bottom"/>
          </w:tcPr>
          <w:p>
            <w:pPr>
              <w:spacing w:after="0"/>
              <w:rPr>
                <w:sz w:val="12"/>
                <w:szCs w:val="12"/>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159,099</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797</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159,896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2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redeemable noncontrolling interests</w:t>
            </w:r>
          </w:p>
        </w:tc>
        <w:tc>
          <w:tcPr>
            <w:tcW w:w="4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280" w:type="dxa"/>
            <w:vAlign w:val="bottom"/>
            <w:gridSpan w:val="3"/>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Other comprehensive income - change in fair value</w:t>
            </w: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80" w:type="dxa"/>
            <w:vAlign w:val="bottom"/>
            <w:gridSpan w:val="3"/>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of interest rate swaps, excluding $10 attributable to</w:t>
            </w:r>
          </w:p>
        </w:tc>
        <w:tc>
          <w:tcPr>
            <w:tcW w:w="4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3,028</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4"/>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3,028</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redeemable noncontrolling interests</w:t>
            </w:r>
          </w:p>
        </w:tc>
        <w:tc>
          <w:tcPr>
            <w:tcW w:w="4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gridSpan w:val="3"/>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4"/>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28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color w:val="auto"/>
              </w:rPr>
              <w:t>Dividends declared to common shareholders ($1.13</w:t>
            </w:r>
          </w:p>
        </w:tc>
        <w:tc>
          <w:tcPr>
            <w:tcW w:w="40" w:type="dxa"/>
            <w:vAlign w:val="bottom"/>
          </w:tcPr>
          <w:p>
            <w:pPr>
              <w:spacing w:after="0"/>
              <w:rPr>
                <w:sz w:val="12"/>
                <w:szCs w:val="12"/>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(97,626)</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(97,626)</w:t>
            </w:r>
          </w:p>
        </w:tc>
        <w:tc>
          <w:tcPr>
            <w:tcW w:w="0" w:type="dxa"/>
            <w:vAlign w:val="bottom"/>
          </w:tcPr>
          <w:p>
            <w:pPr>
              <w:spacing w:after="0"/>
              <w:rPr>
                <w:sz w:val="1"/>
                <w:szCs w:val="1"/>
                <w:color w:val="auto"/>
              </w:rPr>
            </w:pPr>
          </w:p>
        </w:tc>
      </w:tr>
      <w:tr>
        <w:trPr>
          <w:trHeight w:val="193"/>
        </w:trPr>
        <w:tc>
          <w:tcPr>
            <w:tcW w:w="32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per share)</w:t>
            </w:r>
          </w:p>
        </w:tc>
        <w:tc>
          <w:tcPr>
            <w:tcW w:w="4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4"/>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 to preferred shareholders</w:t>
            </w:r>
          </w:p>
        </w:tc>
        <w:tc>
          <w:tcPr>
            <w:tcW w:w="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(2,008)</w:t>
            </w:r>
          </w:p>
        </w:tc>
        <w:tc>
          <w:tcPr>
            <w:tcW w:w="0" w:type="dxa"/>
            <w:vAlign w:val="bottom"/>
          </w:tcPr>
          <w:p>
            <w:pPr>
              <w:spacing w:after="0"/>
              <w:rPr>
                <w:sz w:val="1"/>
                <w:szCs w:val="1"/>
                <w:color w:val="auto"/>
              </w:rPr>
            </w:pPr>
          </w:p>
        </w:tc>
      </w:tr>
      <w:tr>
        <w:trPr>
          <w:trHeight w:val="139"/>
        </w:trPr>
        <w:tc>
          <w:tcPr>
            <w:tcW w:w="328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color w:val="auto"/>
              </w:rPr>
              <w:t>Distributions declared to noncontrolling interests,</w:t>
            </w: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80" w:type="dxa"/>
            <w:vAlign w:val="bottom"/>
            <w:gridSpan w:val="3"/>
          </w:tcPr>
          <w:p>
            <w:pPr>
              <w:ind w:left="20"/>
              <w:spacing w:after="0" w:line="145" w:lineRule="exact"/>
              <w:rPr>
                <w:sz w:val="20"/>
                <w:szCs w:val="20"/>
                <w:color w:val="auto"/>
              </w:rPr>
            </w:pPr>
            <w:r>
              <w:rPr>
                <w:rFonts w:ascii="Times New Roman" w:cs="Times New Roman" w:eastAsia="Times New Roman" w:hAnsi="Times New Roman"/>
                <w:sz w:val="14"/>
                <w:szCs w:val="14"/>
                <w:color w:val="auto"/>
              </w:rPr>
              <w:t>excluding $2,883 attributable to redeemable</w:t>
            </w:r>
          </w:p>
        </w:tc>
        <w:tc>
          <w:tcPr>
            <w:tcW w:w="40" w:type="dxa"/>
            <w:vAlign w:val="bottom"/>
          </w:tcPr>
          <w:p>
            <w:pPr>
              <w:spacing w:after="0"/>
              <w:rPr>
                <w:sz w:val="12"/>
                <w:szCs w:val="12"/>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(668)</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(668)</w:t>
            </w:r>
          </w:p>
        </w:tc>
        <w:tc>
          <w:tcPr>
            <w:tcW w:w="0" w:type="dxa"/>
            <w:vAlign w:val="bottom"/>
          </w:tcPr>
          <w:p>
            <w:pPr>
              <w:spacing w:after="0"/>
              <w:rPr>
                <w:sz w:val="1"/>
                <w:szCs w:val="1"/>
                <w:color w:val="auto"/>
              </w:rPr>
            </w:pPr>
          </w:p>
        </w:tc>
      </w:tr>
      <w:tr>
        <w:trPr>
          <w:trHeight w:val="195"/>
        </w:trPr>
        <w:tc>
          <w:tcPr>
            <w:tcW w:w="32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4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280" w:type="dxa"/>
            <w:vAlign w:val="bottom"/>
            <w:gridSpan w:val="3"/>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Common shares issued and shares issued under</w:t>
            </w:r>
          </w:p>
        </w:tc>
        <w:tc>
          <w:tcPr>
            <w:tcW w:w="4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4,278</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4"/>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 reinvestment plan, net</w:t>
            </w:r>
          </w:p>
        </w:tc>
        <w:tc>
          <w:tcPr>
            <w:tcW w:w="4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820" w:type="dxa"/>
            <w:vAlign w:val="bottom"/>
            <w:gridSpan w:val="3"/>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gridSpan w:val="3"/>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4"/>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28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color w:val="auto"/>
              </w:rPr>
              <w:t>Share-based compensation expense, net of</w:t>
            </w:r>
          </w:p>
        </w:tc>
        <w:tc>
          <w:tcPr>
            <w:tcW w:w="40" w:type="dxa"/>
            <w:vAlign w:val="bottom"/>
          </w:tcPr>
          <w:p>
            <w:pPr>
              <w:spacing w:after="0"/>
              <w:rPr>
                <w:sz w:val="12"/>
                <w:szCs w:val="12"/>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163,466</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4,536</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2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forfeitures</w:t>
            </w:r>
          </w:p>
        </w:tc>
        <w:tc>
          <w:tcPr>
            <w:tcW w:w="4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4"/>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withheld for employee taxes</w:t>
            </w:r>
          </w:p>
        </w:tc>
        <w:tc>
          <w:tcPr>
            <w:tcW w:w="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(47,066)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(4,926)</w:t>
            </w:r>
          </w:p>
        </w:tc>
        <w:tc>
          <w:tcPr>
            <w:tcW w:w="0" w:type="dxa"/>
            <w:vAlign w:val="bottom"/>
          </w:tcPr>
          <w:p>
            <w:pPr>
              <w:spacing w:after="0"/>
              <w:rPr>
                <w:sz w:val="1"/>
                <w:szCs w:val="1"/>
                <w:color w:val="auto"/>
              </w:rPr>
            </w:pPr>
          </w:p>
        </w:tc>
      </w:tr>
      <w:tr>
        <w:trPr>
          <w:trHeight w:val="195"/>
        </w:trPr>
        <w:tc>
          <w:tcPr>
            <w:tcW w:w="32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Contributions from noncontrolling interests</w:t>
            </w:r>
          </w:p>
        </w:tc>
        <w:tc>
          <w:tcPr>
            <w:tcW w:w="4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Redemption of downREIT OP units</w:t>
            </w:r>
          </w:p>
        </w:tc>
        <w:tc>
          <w:tcPr>
            <w:tcW w:w="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(324)</w:t>
            </w:r>
          </w:p>
        </w:tc>
        <w:tc>
          <w:tcPr>
            <w:tcW w:w="0" w:type="dxa"/>
            <w:vAlign w:val="bottom"/>
          </w:tcPr>
          <w:p>
            <w:pPr>
              <w:spacing w:after="0"/>
              <w:rPr>
                <w:sz w:val="1"/>
                <w:szCs w:val="1"/>
                <w:color w:val="auto"/>
              </w:rPr>
            </w:pPr>
          </w:p>
        </w:tc>
      </w:tr>
      <w:tr>
        <w:trPr>
          <w:trHeight w:val="189"/>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BALANCE AT MARCH 31, 2026</w:t>
            </w:r>
          </w:p>
        </w:tc>
        <w:tc>
          <w:tcPr>
            <w:tcW w:w="16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398,878</w:t>
            </w:r>
          </w:p>
        </w:tc>
        <w:tc>
          <w:tcPr>
            <w:tcW w:w="80" w:type="dxa"/>
            <w:vAlign w:val="bottom"/>
          </w:tcPr>
          <w:p>
            <w:pPr>
              <w:spacing w:after="0"/>
              <w:rPr>
                <w:sz w:val="16"/>
                <w:szCs w:val="16"/>
                <w:color w:val="auto"/>
              </w:rPr>
            </w:pPr>
          </w:p>
        </w:tc>
        <w:tc>
          <w:tcPr>
            <w:tcW w:w="660" w:type="dxa"/>
            <w:vAlign w:val="bottom"/>
            <w:tcBorders>
              <w:top w:val="single" w:sz="8" w:color="auto"/>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4"/>
                <w:szCs w:val="14"/>
                <w:color w:val="auto"/>
                <w:w w:val="99"/>
              </w:rPr>
              <w:t>$ 159,822</w:t>
            </w:r>
          </w:p>
        </w:tc>
        <w:tc>
          <w:tcPr>
            <w:tcW w:w="80" w:type="dxa"/>
            <w:vAlign w:val="bottom"/>
          </w:tcPr>
          <w:p>
            <w:pPr>
              <w:spacing w:after="0"/>
              <w:rPr>
                <w:sz w:val="16"/>
                <w:szCs w:val="16"/>
                <w:color w:val="auto"/>
              </w:rPr>
            </w:pP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86,386,687</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870</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4,310,277</w:t>
            </w:r>
          </w:p>
        </w:tc>
        <w:tc>
          <w:tcPr>
            <w:tcW w:w="100" w:type="dxa"/>
            <w:vAlign w:val="bottom"/>
          </w:tcPr>
          <w:p>
            <w:pPr>
              <w:spacing w:after="0"/>
              <w:rPr>
                <w:sz w:val="16"/>
                <w:szCs w:val="16"/>
                <w:color w:val="auto"/>
              </w:rPr>
            </w:pPr>
          </w:p>
        </w:tc>
        <w:tc>
          <w:tcPr>
            <w:tcW w:w="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(1,164,907)</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top w:val="single" w:sz="8" w:color="auto"/>
              <w:bottom w:val="single" w:sz="8" w:color="auto"/>
            </w:tcBorders>
            <w:gridSpan w:val="2"/>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5,075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70,380</w:t>
            </w: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3,381,517</w:t>
            </w:r>
          </w:p>
        </w:tc>
        <w:tc>
          <w:tcPr>
            <w:tcW w:w="2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40" w:type="dxa"/>
            <w:vAlign w:val="bottom"/>
          </w:tcPr>
          <w:p>
            <w:pPr>
              <w:spacing w:after="0"/>
              <w:rPr>
                <w:sz w:val="24"/>
                <w:szCs w:val="24"/>
                <w:color w:val="auto"/>
              </w:rPr>
            </w:pPr>
          </w:p>
        </w:tc>
        <w:tc>
          <w:tcPr>
            <w:tcW w:w="324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398,878</w:t>
            </w:r>
          </w:p>
        </w:tc>
        <w:tc>
          <w:tcPr>
            <w:tcW w:w="7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$ 159,822</w:t>
            </w:r>
          </w:p>
        </w:tc>
        <w:tc>
          <w:tcPr>
            <w:tcW w:w="9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85,666,220</w:t>
            </w:r>
          </w:p>
        </w:tc>
        <w:tc>
          <w:tcPr>
            <w:tcW w:w="28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862</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4,248,824</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 (1,242,654)</w:t>
            </w:r>
          </w:p>
        </w:tc>
        <w:tc>
          <w:tcPr>
            <w:tcW w:w="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4,740</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72,550</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3,244,144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24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Net income, excluding $2,003 attributable to</w:t>
            </w:r>
          </w:p>
        </w:tc>
        <w:tc>
          <w:tcPr>
            <w:tcW w:w="40" w:type="dxa"/>
            <w:vAlign w:val="bottom"/>
          </w:tcPr>
          <w:p>
            <w:pPr>
              <w:spacing w:after="0"/>
              <w:rPr>
                <w:sz w:val="12"/>
                <w:szCs w:val="12"/>
                <w:color w:val="auto"/>
              </w:rPr>
            </w:pPr>
          </w:p>
        </w:tc>
        <w:tc>
          <w:tcPr>
            <w:tcW w:w="6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63,768</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807</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64,575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redeemable noncontrolling interests</w:t>
            </w:r>
          </w:p>
        </w:tc>
        <w:tc>
          <w:tcPr>
            <w:tcW w:w="4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324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Other comprehensive loss - change in fair value of</w:t>
            </w: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324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interest rate swaps, excluding $100 attributable to</w:t>
            </w:r>
          </w:p>
        </w:tc>
        <w:tc>
          <w:tcPr>
            <w:tcW w:w="4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(1,144)</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4"/>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redeemable noncontrolling interests</w:t>
            </w:r>
          </w:p>
        </w:tc>
        <w:tc>
          <w:tcPr>
            <w:tcW w:w="4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gridSpan w:val="3"/>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4"/>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24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Dividends declared to common shareholders ($1.10 per</w:t>
            </w:r>
          </w:p>
        </w:tc>
        <w:tc>
          <w:tcPr>
            <w:tcW w:w="40" w:type="dxa"/>
            <w:vAlign w:val="bottom"/>
          </w:tcPr>
          <w:p>
            <w:pPr>
              <w:spacing w:after="0"/>
              <w:rPr>
                <w:sz w:val="12"/>
                <w:szCs w:val="12"/>
                <w:color w:val="auto"/>
              </w:rPr>
            </w:pPr>
          </w:p>
        </w:tc>
        <w:tc>
          <w:tcPr>
            <w:tcW w:w="6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(94,875)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(94,875)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w:t>
            </w:r>
          </w:p>
        </w:tc>
        <w:tc>
          <w:tcPr>
            <w:tcW w:w="4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4"/>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 to preferred shareholders</w:t>
            </w:r>
          </w:p>
        </w:tc>
        <w:tc>
          <w:tcPr>
            <w:tcW w:w="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(2,008)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24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Distributions declared to noncontrolling interests,</w:t>
            </w: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324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4"/>
                <w:szCs w:val="14"/>
                <w:color w:val="auto"/>
              </w:rPr>
              <w:t>excluding $2,263 attributable to redeemable</w:t>
            </w:r>
          </w:p>
        </w:tc>
        <w:tc>
          <w:tcPr>
            <w:tcW w:w="40" w:type="dxa"/>
            <w:vAlign w:val="bottom"/>
          </w:tcPr>
          <w:p>
            <w:pPr>
              <w:spacing w:after="0"/>
              <w:rPr>
                <w:sz w:val="12"/>
                <w:szCs w:val="12"/>
                <w:color w:val="auto"/>
              </w:rPr>
            </w:pPr>
          </w:p>
        </w:tc>
        <w:tc>
          <w:tcPr>
            <w:tcW w:w="6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(869)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4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shares issued, net</w:t>
            </w:r>
          </w:p>
        </w:tc>
        <w:tc>
          <w:tcPr>
            <w:tcW w:w="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476,543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54,489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Shares issued under dividend reinvestment plan</w:t>
            </w:r>
          </w:p>
        </w:tc>
        <w:tc>
          <w:tcPr>
            <w:tcW w:w="40" w:type="dxa"/>
            <w:vAlign w:val="bottom"/>
          </w:tcPr>
          <w:p>
            <w:pPr>
              <w:spacing w:after="0"/>
              <w:rPr>
                <w:sz w:val="16"/>
                <w:szCs w:val="16"/>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4,291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444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 net of forfeitures</w:t>
            </w:r>
          </w:p>
        </w:tc>
        <w:tc>
          <w:tcPr>
            <w:tcW w:w="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148,617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4,110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Shares withheld for employee taxes</w:t>
            </w:r>
          </w:p>
        </w:tc>
        <w:tc>
          <w:tcPr>
            <w:tcW w:w="40" w:type="dxa"/>
            <w:vAlign w:val="bottom"/>
          </w:tcPr>
          <w:p>
            <w:pPr>
              <w:spacing w:after="0"/>
              <w:rPr>
                <w:sz w:val="16"/>
                <w:szCs w:val="16"/>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(41,824)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(4,607)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Conversion of downREIT OP units</w:t>
            </w:r>
          </w:p>
        </w:tc>
        <w:tc>
          <w:tcPr>
            <w:tcW w:w="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1,158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BALANCE AT MARCH 31, 2025</w:t>
            </w:r>
          </w:p>
        </w:tc>
        <w:tc>
          <w:tcPr>
            <w:tcW w:w="40" w:type="dxa"/>
            <w:vAlign w:val="bottom"/>
          </w:tcPr>
          <w:p>
            <w:pPr>
              <w:spacing w:after="0"/>
              <w:rPr>
                <w:sz w:val="16"/>
                <w:szCs w:val="16"/>
                <w:color w:val="auto"/>
              </w:rPr>
            </w:pPr>
          </w:p>
        </w:tc>
        <w:tc>
          <w:tcPr>
            <w:tcW w:w="68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398,878</w:t>
            </w:r>
          </w:p>
        </w:tc>
        <w:tc>
          <w:tcPr>
            <w:tcW w:w="4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9"/>
              </w:rPr>
              <w:t>$ 159,822</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86,255,005</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869</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4,303,363</w:t>
            </w: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 (1,275,769)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3,596</w:t>
            </w: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72,385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3,264,266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statements.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gridSpan w:val="4"/>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8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0"/>
        </w:trPr>
        <w:tc>
          <w:tcPr>
            <w:tcW w:w="8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6"/>
                <w:szCs w:val="16"/>
                <w:color w:val="auto"/>
              </w:rPr>
            </w:pPr>
          </w:p>
        </w:tc>
      </w:tr>
      <w:tr>
        <w:trPr>
          <w:trHeight w:val="242"/>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2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161,070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66,578</w:t>
            </w:r>
          </w:p>
        </w:tc>
      </w:tr>
      <w:tr>
        <w:trPr>
          <w:trHeight w:val="23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8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99,217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86,946</w:t>
            </w:r>
          </w:p>
        </w:tc>
      </w:tr>
      <w:tr>
        <w:trPr>
          <w:trHeight w:val="230"/>
        </w:trPr>
        <w:tc>
          <w:tcPr>
            <w:tcW w:w="8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(92,711)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w:t>
            </w:r>
          </w:p>
        </w:tc>
      </w:tr>
      <w:tr>
        <w:trPr>
          <w:trHeight w:val="229"/>
        </w:trPr>
        <w:tc>
          <w:tcPr>
            <w:tcW w:w="8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Income from partnerships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29"/>
        </w:trPr>
        <w:tc>
          <w:tcPr>
            <w:tcW w:w="8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Straight-line rent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(7,463)</w:t>
            </w:r>
          </w:p>
        </w:tc>
      </w:tr>
      <w:tr>
        <w:trPr>
          <w:trHeight w:val="230"/>
        </w:trPr>
        <w:tc>
          <w:tcPr>
            <w:tcW w:w="8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w:t>
            </w:r>
          </w:p>
        </w:tc>
      </w:tr>
      <w:tr>
        <w:trPr>
          <w:trHeight w:val="229"/>
        </w:trPr>
        <w:tc>
          <w:tcPr>
            <w:tcW w:w="8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2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assets and liabilities, net of effects of acquisitions and dispositions: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Decrease in accounts receivable, net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16,799</w:t>
            </w:r>
          </w:p>
        </w:tc>
      </w:tr>
      <w:tr>
        <w:trPr>
          <w:trHeight w:val="229"/>
        </w:trPr>
        <w:tc>
          <w:tcPr>
            <w:tcW w:w="8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Decrease in prepaid expenses and other assets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4,422</w:t>
            </w:r>
          </w:p>
        </w:tc>
      </w:tr>
      <w:tr>
        <w:trPr>
          <w:trHeight w:val="230"/>
        </w:trPr>
        <w:tc>
          <w:tcPr>
            <w:tcW w:w="8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Increase in accounts payable and accrued expenses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7,185</w:t>
            </w:r>
          </w:p>
        </w:tc>
      </w:tr>
      <w:tr>
        <w:trPr>
          <w:trHeight w:val="229"/>
        </w:trPr>
        <w:tc>
          <w:tcPr>
            <w:tcW w:w="8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(Decrease) increase in security deposits and other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w:t>
            </w:r>
          </w:p>
        </w:tc>
      </w:tr>
      <w:tr>
        <w:trPr>
          <w:trHeight w:val="223"/>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184,594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179,044</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 of real estate</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(65,724)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(120,413)</w:t>
            </w: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expenditures - development and redevelopment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(31,222)</w:t>
            </w:r>
          </w:p>
        </w:tc>
      </w:tr>
      <w:tr>
        <w:trPr>
          <w:trHeight w:val="229"/>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expenditures - other</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(27,807)</w:t>
            </w: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sale of real estate</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155,310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w:t>
            </w:r>
          </w:p>
        </w:tc>
      </w:tr>
      <w:tr>
        <w:trPr>
          <w:trHeight w:val="23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 from partnerships in excess of earnings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r>
      <w:tr>
        <w:trPr>
          <w:trHeight w:val="22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Leasing costs</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(6,826)</w:t>
            </w:r>
          </w:p>
        </w:tc>
      </w:tr>
      <w:tr>
        <w:trPr>
          <w:trHeight w:val="223"/>
        </w:trPr>
        <w:tc>
          <w:tcPr>
            <w:tcW w:w="8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(181,766)</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borrowings under revolving credit facility</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44,550</w:t>
            </w: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 of senior notes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Issuance and extension of notes payable, net of costs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(4,814)</w:t>
            </w:r>
          </w:p>
        </w:tc>
      </w:tr>
      <w:tr>
        <w:trPr>
          <w:trHeight w:val="22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 of mortgages, finance leases and notes payable</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w:t>
            </w:r>
          </w:p>
        </w:tc>
      </w:tr>
      <w:tr>
        <w:trPr>
          <w:trHeight w:val="23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Issuance of common shares, net of costs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54,542</w:t>
            </w: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Dividends paid to common and preferred shareholders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(99,110)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(95,964)</w:t>
            </w:r>
          </w:p>
        </w:tc>
      </w:tr>
      <w:tr>
        <w:trPr>
          <w:trHeight w:val="23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Shares withheld for employee taxes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(4,607)</w:t>
            </w:r>
          </w:p>
        </w:tc>
      </w:tr>
      <w:tr>
        <w:trPr>
          <w:trHeight w:val="22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Contributions from noncontrolling interests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w:t>
            </w:r>
          </w:p>
        </w:tc>
      </w:tr>
      <w:tr>
        <w:trPr>
          <w:trHeight w:val="230"/>
        </w:trPr>
        <w:tc>
          <w:tcPr>
            <w:tcW w:w="8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Distributions to and redemptions of noncontrolling interests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(3,133)</w:t>
            </w:r>
          </w:p>
        </w:tc>
      </w:tr>
      <w:tr>
        <w:trPr>
          <w:trHeight w:val="223"/>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(198,923)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(10,018)</w:t>
            </w: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(12,740)</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117,706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135,443</w:t>
            </w: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123,893</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122,703</w:t>
            </w:r>
          </w:p>
        </w:tc>
      </w:tr>
      <w:tr>
        <w:trPr>
          <w:trHeight w:val="21"/>
        </w:trPr>
        <w:tc>
          <w:tcPr>
            <w:tcW w:w="8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Federal Realty OP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6"/>
                <w:szCs w:val="16"/>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3"/>
        </w:trPr>
        <w:tc>
          <w:tcPr>
            <w:tcW w:w="8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8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60" w:type="dxa"/>
            <w:vAlign w:val="bottom"/>
            <w:gridSpan w:val="4"/>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(In thousands, except unit data)</w:t>
            </w:r>
          </w:p>
        </w:tc>
        <w:tc>
          <w:tcPr>
            <w:tcW w:w="0" w:type="dxa"/>
            <w:vAlign w:val="bottom"/>
          </w:tcPr>
          <w:p>
            <w:pPr>
              <w:spacing w:after="0"/>
              <w:rPr>
                <w:sz w:val="1"/>
                <w:szCs w:val="1"/>
                <w:color w:val="auto"/>
              </w:rPr>
            </w:pPr>
          </w:p>
        </w:tc>
      </w:tr>
      <w:tr>
        <w:trPr>
          <w:trHeight w:val="191"/>
        </w:trPr>
        <w:tc>
          <w:tcPr>
            <w:tcW w:w="8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Real estate, at cost</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Operating (including $1,898,790 and $1,832,190 of consolidated variable interest entities, respectively)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11,302,971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11,265,167</w:t>
            </w:r>
          </w:p>
        </w:tc>
        <w:tc>
          <w:tcPr>
            <w:tcW w:w="0" w:type="dxa"/>
            <w:vAlign w:val="bottom"/>
          </w:tcPr>
          <w:p>
            <w:pPr>
              <w:spacing w:after="0"/>
              <w:rPr>
                <w:sz w:val="1"/>
                <w:szCs w:val="1"/>
                <w:color w:val="auto"/>
              </w:rPr>
            </w:pPr>
          </w:p>
        </w:tc>
      </w:tr>
      <w:tr>
        <w:trPr>
          <w:trHeight w:val="175"/>
        </w:trPr>
        <w:tc>
          <w:tcPr>
            <w:tcW w:w="8600" w:type="dxa"/>
            <w:vAlign w:val="bottom"/>
          </w:tcPr>
          <w:p>
            <w:pPr>
              <w:ind w:left="680"/>
              <w:spacing w:after="0" w:line="176" w:lineRule="exact"/>
              <w:rPr>
                <w:sz w:val="20"/>
                <w:szCs w:val="20"/>
                <w:color w:val="auto"/>
              </w:rPr>
            </w:pPr>
            <w:r>
              <w:rPr>
                <w:rFonts w:ascii="Times New Roman" w:cs="Times New Roman" w:eastAsia="Times New Roman" w:hAnsi="Times New Roman"/>
                <w:sz w:val="18"/>
                <w:szCs w:val="18"/>
                <w:color w:val="auto"/>
              </w:rPr>
              <w:t>Construction-in-progress (including $30,376 and $28,418 of consolidated variable interest entities,</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6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respectively)</w:t>
            </w: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358,950</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374,735</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11,661,921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11,639,902</w:t>
            </w:r>
          </w:p>
        </w:tc>
        <w:tc>
          <w:tcPr>
            <w:tcW w:w="0" w:type="dxa"/>
            <w:vAlign w:val="bottom"/>
          </w:tcPr>
          <w:p>
            <w:pPr>
              <w:spacing w:after="0"/>
              <w:rPr>
                <w:sz w:val="1"/>
                <w:szCs w:val="1"/>
                <w:color w:val="auto"/>
              </w:rPr>
            </w:pPr>
          </w:p>
        </w:tc>
      </w:tr>
      <w:tr>
        <w:trPr>
          <w:trHeight w:val="175"/>
        </w:trPr>
        <w:tc>
          <w:tcPr>
            <w:tcW w:w="8600" w:type="dxa"/>
            <w:vAlign w:val="bottom"/>
          </w:tcPr>
          <w:p>
            <w:pPr>
              <w:ind w:left="680"/>
              <w:spacing w:after="0" w:line="176" w:lineRule="exact"/>
              <w:rPr>
                <w:sz w:val="20"/>
                <w:szCs w:val="20"/>
                <w:color w:val="auto"/>
              </w:rPr>
            </w:pPr>
            <w:r>
              <w:rPr>
                <w:rFonts w:ascii="Times New Roman" w:cs="Times New Roman" w:eastAsia="Times New Roman" w:hAnsi="Times New Roman"/>
                <w:sz w:val="18"/>
                <w:szCs w:val="18"/>
                <w:color w:val="auto"/>
              </w:rPr>
              <w:t>Less accumulated depreciation and amortization (including $474,534 and $468,725 of consolidated variable</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6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interest entities, respectively)</w:t>
            </w: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(3,394,099)</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(3,351,881)</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real estate</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8,267,822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8,288,021</w:t>
            </w:r>
          </w:p>
        </w:tc>
        <w:tc>
          <w:tcPr>
            <w:tcW w:w="0" w:type="dxa"/>
            <w:vAlign w:val="bottom"/>
          </w:tcPr>
          <w:p>
            <w:pPr>
              <w:spacing w:after="0"/>
              <w:rPr>
                <w:sz w:val="1"/>
                <w:szCs w:val="1"/>
                <w:color w:val="auto"/>
              </w:rPr>
            </w:pPr>
          </w:p>
        </w:tc>
      </w:tr>
      <w:tr>
        <w:trPr>
          <w:trHeight w:val="230"/>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107,415</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and notes receivable, net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249,755</w:t>
            </w:r>
          </w:p>
        </w:tc>
        <w:tc>
          <w:tcPr>
            <w:tcW w:w="0" w:type="dxa"/>
            <w:vAlign w:val="bottom"/>
          </w:tcPr>
          <w:p>
            <w:pPr>
              <w:spacing w:after="0"/>
              <w:rPr>
                <w:sz w:val="1"/>
                <w:szCs w:val="1"/>
                <w:color w:val="auto"/>
              </w:rPr>
            </w:pPr>
          </w:p>
        </w:tc>
      </w:tr>
      <w:tr>
        <w:trPr>
          <w:trHeight w:val="229"/>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Mortgage notes receivable, net</w:t>
            </w:r>
          </w:p>
        </w:tc>
        <w:tc>
          <w:tcPr>
            <w:tcW w:w="1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9,091</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 in partnerships</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31,881</w:t>
            </w:r>
          </w:p>
        </w:tc>
        <w:tc>
          <w:tcPr>
            <w:tcW w:w="0" w:type="dxa"/>
            <w:vAlign w:val="bottom"/>
          </w:tcPr>
          <w:p>
            <w:pPr>
              <w:spacing w:after="0"/>
              <w:rPr>
                <w:sz w:val="1"/>
                <w:szCs w:val="1"/>
                <w:color w:val="auto"/>
              </w:rPr>
            </w:pPr>
          </w:p>
        </w:tc>
      </w:tr>
      <w:tr>
        <w:trPr>
          <w:trHeight w:val="229"/>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right of use assets, net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82,234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83,120</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 right of use assets, net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6,410</w:t>
            </w:r>
          </w:p>
        </w:tc>
        <w:tc>
          <w:tcPr>
            <w:tcW w:w="0" w:type="dxa"/>
            <w:vAlign w:val="bottom"/>
          </w:tcPr>
          <w:p>
            <w:pPr>
              <w:spacing w:after="0"/>
              <w:rPr>
                <w:sz w:val="1"/>
                <w:szCs w:val="1"/>
                <w:color w:val="auto"/>
              </w:rPr>
            </w:pPr>
          </w:p>
        </w:tc>
      </w:tr>
      <w:tr>
        <w:trPr>
          <w:trHeight w:val="229"/>
        </w:trPr>
        <w:tc>
          <w:tcPr>
            <w:tcW w:w="8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344,192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354,767</w:t>
            </w:r>
          </w:p>
        </w:tc>
        <w:tc>
          <w:tcPr>
            <w:tcW w:w="0" w:type="dxa"/>
            <w:vAlign w:val="bottom"/>
          </w:tcPr>
          <w:p>
            <w:pPr>
              <w:spacing w:after="0"/>
              <w:rPr>
                <w:sz w:val="1"/>
                <w:szCs w:val="1"/>
                <w:color w:val="auto"/>
              </w:rPr>
            </w:pP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9,096,770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9,130,460</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 AND CAPITAL</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6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600" w:type="dxa"/>
            <w:vAlign w:val="bottom"/>
          </w:tcPr>
          <w:p>
            <w:pPr>
              <w:ind w:left="680"/>
              <w:spacing w:after="0" w:line="176" w:lineRule="exact"/>
              <w:rPr>
                <w:sz w:val="20"/>
                <w:szCs w:val="20"/>
                <w:color w:val="auto"/>
              </w:rPr>
            </w:pPr>
            <w:r>
              <w:rPr>
                <w:rFonts w:ascii="Times New Roman" w:cs="Times New Roman" w:eastAsia="Times New Roman" w:hAnsi="Times New Roman"/>
                <w:sz w:val="18"/>
                <w:szCs w:val="18"/>
                <w:color w:val="auto"/>
              </w:rPr>
              <w:t>Mortgages payable, net (including $191,475 and $194,176 of consolidated variable interest entities,</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respectively)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519,021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521,759</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Notes payable, net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1,365,333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1,057,331</w:t>
            </w:r>
          </w:p>
        </w:tc>
        <w:tc>
          <w:tcPr>
            <w:tcW w:w="0" w:type="dxa"/>
            <w:vAlign w:val="bottom"/>
          </w:tcPr>
          <w:p>
            <w:pPr>
              <w:spacing w:after="0"/>
              <w:rPr>
                <w:sz w:val="1"/>
                <w:szCs w:val="1"/>
                <w:color w:val="auto"/>
              </w:rPr>
            </w:pPr>
          </w:p>
        </w:tc>
      </w:tr>
      <w:tr>
        <w:trPr>
          <w:trHeight w:val="229"/>
        </w:trPr>
        <w:tc>
          <w:tcPr>
            <w:tcW w:w="8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Senior notes and debentures, net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2,965,414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3,364,010</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222,187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219,678</w:t>
            </w:r>
          </w:p>
        </w:tc>
        <w:tc>
          <w:tcPr>
            <w:tcW w:w="0" w:type="dxa"/>
            <w:vAlign w:val="bottom"/>
          </w:tcPr>
          <w:p>
            <w:pPr>
              <w:spacing w:after="0"/>
              <w:rPr>
                <w:sz w:val="1"/>
                <w:szCs w:val="1"/>
                <w:color w:val="auto"/>
              </w:rPr>
            </w:pPr>
          </w:p>
        </w:tc>
      </w:tr>
      <w:tr>
        <w:trPr>
          <w:trHeight w:val="230"/>
        </w:trPr>
        <w:tc>
          <w:tcPr>
            <w:tcW w:w="8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Dividends payable</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99,792</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Security deposits payable</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31,548</w:t>
            </w:r>
          </w:p>
        </w:tc>
        <w:tc>
          <w:tcPr>
            <w:tcW w:w="0" w:type="dxa"/>
            <w:vAlign w:val="bottom"/>
          </w:tcPr>
          <w:p>
            <w:pPr>
              <w:spacing w:after="0"/>
              <w:rPr>
                <w:sz w:val="1"/>
                <w:szCs w:val="1"/>
                <w:color w:val="auto"/>
              </w:rPr>
            </w:pPr>
          </w:p>
        </w:tc>
      </w:tr>
      <w:tr>
        <w:trPr>
          <w:trHeight w:val="229"/>
        </w:trPr>
        <w:tc>
          <w:tcPr>
            <w:tcW w:w="8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71,484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72,304</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12,903</w:t>
            </w:r>
          </w:p>
        </w:tc>
        <w:tc>
          <w:tcPr>
            <w:tcW w:w="0" w:type="dxa"/>
            <w:vAlign w:val="bottom"/>
          </w:tcPr>
          <w:p>
            <w:pPr>
              <w:spacing w:after="0"/>
              <w:rPr>
                <w:sz w:val="1"/>
                <w:szCs w:val="1"/>
                <w:color w:val="auto"/>
              </w:rPr>
            </w:pPr>
          </w:p>
        </w:tc>
      </w:tr>
      <w:tr>
        <w:trPr>
          <w:trHeight w:val="230"/>
        </w:trPr>
        <w:tc>
          <w:tcPr>
            <w:tcW w:w="86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Other liabilities and deferred credits</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243,637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250,494</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5,532,426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5,629,819</w:t>
            </w:r>
          </w:p>
        </w:tc>
        <w:tc>
          <w:tcPr>
            <w:tcW w:w="0" w:type="dxa"/>
            <w:vAlign w:val="bottom"/>
          </w:tcPr>
          <w:p>
            <w:pPr>
              <w:spacing w:after="0"/>
              <w:rPr>
                <w:sz w:val="1"/>
                <w:szCs w:val="1"/>
                <w:color w:val="auto"/>
              </w:rPr>
            </w:pPr>
          </w:p>
        </w:tc>
      </w:tr>
      <w:tr>
        <w:trPr>
          <w:trHeight w:val="230"/>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182,827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181,655</w:t>
            </w:r>
          </w:p>
        </w:tc>
        <w:tc>
          <w:tcPr>
            <w:tcW w:w="0" w:type="dxa"/>
            <w:vAlign w:val="bottom"/>
          </w:tcPr>
          <w:p>
            <w:pPr>
              <w:spacing w:after="0"/>
              <w:rPr>
                <w:sz w:val="1"/>
                <w:szCs w:val="1"/>
                <w:color w:val="auto"/>
              </w:rPr>
            </w:pPr>
          </w:p>
        </w:tc>
      </w:tr>
      <w:tr>
        <w:trPr>
          <w:trHeight w:val="229"/>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Partner capital</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Preferred units, 398,878 units issued and outstanding</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154,788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154,788</w:t>
            </w:r>
          </w:p>
        </w:tc>
        <w:tc>
          <w:tcPr>
            <w:tcW w:w="0" w:type="dxa"/>
            <w:vAlign w:val="bottom"/>
          </w:tcPr>
          <w:p>
            <w:pPr>
              <w:spacing w:after="0"/>
              <w:rPr>
                <w:sz w:val="1"/>
                <w:szCs w:val="1"/>
                <w:color w:val="auto"/>
              </w:rPr>
            </w:pPr>
          </w:p>
        </w:tc>
      </w:tr>
      <w:tr>
        <w:trPr>
          <w:trHeight w:val="230"/>
        </w:trPr>
        <w:tc>
          <w:tcPr>
            <w:tcW w:w="8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Common units, 86,386,687 and 86,266,009 units issued and outstanding, respectively</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3,151,274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3,091,896</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0" w:type="dxa"/>
            <w:vAlign w:val="bottom"/>
          </w:tcPr>
          <w:p>
            <w:pPr>
              <w:spacing w:after="0"/>
              <w:rPr>
                <w:sz w:val="1"/>
                <w:szCs w:val="1"/>
                <w:color w:val="auto"/>
              </w:rPr>
            </w:pPr>
          </w:p>
        </w:tc>
      </w:tr>
      <w:tr>
        <w:trPr>
          <w:trHeight w:val="223"/>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partner capital</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3,311,137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3,248,731</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Noncontrolling interests in consolidated partnerships</w:t>
            </w: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70,380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70,255</w:t>
            </w:r>
          </w:p>
        </w:tc>
        <w:tc>
          <w:tcPr>
            <w:tcW w:w="0" w:type="dxa"/>
            <w:vAlign w:val="bottom"/>
          </w:tcPr>
          <w:p>
            <w:pPr>
              <w:spacing w:after="0"/>
              <w:rPr>
                <w:sz w:val="1"/>
                <w:szCs w:val="1"/>
                <w:color w:val="auto"/>
              </w:rPr>
            </w:pPr>
          </w:p>
        </w:tc>
      </w:tr>
      <w:tr>
        <w:trPr>
          <w:trHeight w:val="223"/>
        </w:trPr>
        <w:tc>
          <w:tcPr>
            <w:tcW w:w="8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capital</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3,381,517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3,318,986</w:t>
            </w:r>
          </w:p>
        </w:tc>
        <w:tc>
          <w:tcPr>
            <w:tcW w:w="0" w:type="dxa"/>
            <w:vAlign w:val="bottom"/>
          </w:tcPr>
          <w:p>
            <w:pPr>
              <w:spacing w:after="0"/>
              <w:rPr>
                <w:sz w:val="1"/>
                <w:szCs w:val="1"/>
                <w:color w:val="auto"/>
              </w:rPr>
            </w:pP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CAPITAL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9,096,770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9,130,460</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Federal Realty OP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4"/>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89"/>
        </w:trPr>
        <w:tc>
          <w:tcPr>
            <w:tcW w:w="8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4"/>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(In thousands, except per unit data)</w:t>
            </w:r>
          </w:p>
        </w:tc>
      </w:tr>
      <w:tr>
        <w:trPr>
          <w:trHeight w:val="230"/>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Rental income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332,658</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302,294</w:t>
            </w:r>
          </w:p>
        </w:tc>
      </w:tr>
      <w:tr>
        <w:trPr>
          <w:trHeight w:val="229"/>
        </w:trPr>
        <w:tc>
          <w:tcPr>
            <w:tcW w:w="82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property income</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6,585</w:t>
            </w:r>
          </w:p>
        </w:tc>
      </w:tr>
      <w:tr>
        <w:trPr>
          <w:trHeight w:val="230"/>
        </w:trPr>
        <w:tc>
          <w:tcPr>
            <w:tcW w:w="82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Mortgage interest income</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23"/>
        </w:trPr>
        <w:tc>
          <w:tcPr>
            <w:tcW w:w="82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341,084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309,154</w:t>
            </w:r>
          </w:p>
        </w:tc>
      </w:tr>
      <w:tr>
        <w:trPr>
          <w:trHeight w:val="21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82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Rental expenses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74,697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67,804</w:t>
            </w:r>
          </w:p>
        </w:tc>
      </w:tr>
      <w:tr>
        <w:trPr>
          <w:trHeight w:val="229"/>
        </w:trPr>
        <w:tc>
          <w:tcPr>
            <w:tcW w:w="8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Real estate taxes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38,971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36,567</w:t>
            </w:r>
          </w:p>
        </w:tc>
      </w:tr>
      <w:tr>
        <w:trPr>
          <w:trHeight w:val="230"/>
        </w:trPr>
        <w:tc>
          <w:tcPr>
            <w:tcW w:w="82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10,875</w:t>
            </w:r>
          </w:p>
        </w:tc>
      </w:tr>
      <w:tr>
        <w:trPr>
          <w:trHeight w:val="229"/>
        </w:trPr>
        <w:tc>
          <w:tcPr>
            <w:tcW w:w="82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99,217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86,946</w:t>
            </w:r>
          </w:p>
        </w:tc>
      </w:tr>
      <w:tr>
        <w:trPr>
          <w:trHeight w:val="223"/>
        </w:trPr>
        <w:tc>
          <w:tcPr>
            <w:tcW w:w="82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224,810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202,192</w:t>
            </w:r>
          </w:p>
        </w:tc>
      </w:tr>
      <w:tr>
        <w:trPr>
          <w:trHeight w:val="250"/>
        </w:trPr>
        <w:tc>
          <w:tcPr>
            <w:tcW w:w="8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29"/>
        </w:trPr>
        <w:tc>
          <w:tcPr>
            <w:tcW w:w="8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92,711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w:t>
            </w:r>
          </w:p>
        </w:tc>
      </w:tr>
      <w:tr>
        <w:trPr>
          <w:trHeight w:val="250"/>
        </w:trPr>
        <w:tc>
          <w:tcPr>
            <w:tcW w:w="8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29"/>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208,985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108,133</w:t>
            </w:r>
          </w:p>
        </w:tc>
      </w:tr>
      <w:tr>
        <w:trPr>
          <w:trHeight w:val="270"/>
        </w:trPr>
        <w:tc>
          <w:tcPr>
            <w:tcW w:w="8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30"/>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INCOME/(EXPENSE)</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interest income</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r>
      <w:tr>
        <w:trPr>
          <w:trHeight w:val="230"/>
        </w:trPr>
        <w:tc>
          <w:tcPr>
            <w:tcW w:w="82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(49,116)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(42,475)</w:t>
            </w:r>
          </w:p>
        </w:tc>
      </w:tr>
      <w:tr>
        <w:trPr>
          <w:trHeight w:val="230"/>
        </w:trPr>
        <w:tc>
          <w:tcPr>
            <w:tcW w:w="82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Income from partnerships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23"/>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161,070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66,578</w:t>
            </w:r>
          </w:p>
        </w:tc>
      </w:tr>
      <w:tr>
        <w:trPr>
          <w:trHeight w:val="230"/>
        </w:trPr>
        <w:tc>
          <w:tcPr>
            <w:tcW w:w="82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(2,810)</w:t>
            </w:r>
          </w:p>
        </w:tc>
      </w:tr>
      <w:tr>
        <w:trPr>
          <w:trHeight w:val="223"/>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PARTNERSHIP</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159,099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63,768</w:t>
            </w:r>
          </w:p>
        </w:tc>
      </w:tr>
      <w:tr>
        <w:trPr>
          <w:trHeight w:val="230"/>
        </w:trPr>
        <w:tc>
          <w:tcPr>
            <w:tcW w:w="8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Distributions on preferred units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w:t>
            </w:r>
          </w:p>
        </w:tc>
      </w:tr>
      <w:tr>
        <w:trPr>
          <w:trHeight w:val="248"/>
        </w:trPr>
        <w:tc>
          <w:tcPr>
            <w:tcW w:w="8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AVAILABLE FOR COMMON UNIT HOLDERS</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157,091</w:t>
            </w: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61,760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UNIT, BASIC:</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income available for common unit holders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0.72</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82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 average number of common units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86,040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85,472</w:t>
            </w:r>
          </w:p>
        </w:tc>
      </w:tr>
      <w:tr>
        <w:trPr>
          <w:trHeight w:val="23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EARNINGS PER COMMON UNIT, DILUTED:</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available for common unit holders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r>
      <w:tr>
        <w:trPr>
          <w:trHeight w:val="223"/>
        </w:trPr>
        <w:tc>
          <w:tcPr>
            <w:tcW w:w="8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Weighted average number of common units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86,662</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85,472</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8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164,108</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65,334</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8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THE PARTNERSHIP</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162,127</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62,624</w:t>
            </w:r>
          </w:p>
        </w:tc>
      </w:tr>
      <w:tr>
        <w:trPr>
          <w:trHeight w:val="20"/>
        </w:trPr>
        <w:tc>
          <w:tcPr>
            <w:tcW w:w="8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9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Federal Realty OP LP</w:t>
      </w:r>
    </w:p>
    <w:p>
      <w:pPr>
        <w:spacing w:after="0" w:line="63"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Consolidated Statements of Capital</w:t>
      </w:r>
    </w:p>
    <w:p>
      <w:pPr>
        <w:spacing w:after="0" w:line="50"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 and 2025</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Partner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Interests in</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Preferred Units</w:t>
            </w:r>
          </w:p>
        </w:tc>
        <w:tc>
          <w:tcPr>
            <w:tcW w:w="80" w:type="dxa"/>
            <w:vAlign w:val="bottom"/>
            <w:gridSpan w:val="2"/>
            <w:vMerge w:val="restart"/>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80" w:type="dxa"/>
            <w:vAlign w:val="bottom"/>
            <w:gridSpan w:val="2"/>
            <w:vMerge w:val="restart"/>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20" w:type="dxa"/>
            <w:vAlign w:val="bottom"/>
          </w:tcPr>
          <w:p>
            <w:pPr>
              <w:spacing w:after="0"/>
              <w:rPr>
                <w:sz w:val="12"/>
                <w:szCs w:val="12"/>
                <w:color w:val="auto"/>
              </w:rPr>
            </w:pPr>
          </w:p>
        </w:tc>
        <w:tc>
          <w:tcPr>
            <w:tcW w:w="9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Total Capital</w:t>
            </w:r>
          </w:p>
        </w:tc>
        <w:tc>
          <w:tcPr>
            <w:tcW w:w="0" w:type="dxa"/>
            <w:vAlign w:val="bottom"/>
          </w:tcPr>
          <w:p>
            <w:pPr>
              <w:spacing w:after="0"/>
              <w:rPr>
                <w:sz w:val="1"/>
                <w:szCs w:val="1"/>
                <w:color w:val="auto"/>
              </w:rPr>
            </w:pPr>
          </w:p>
        </w:tc>
      </w:tr>
      <w:tr>
        <w:trPr>
          <w:trHeight w:val="196"/>
        </w:trPr>
        <w:tc>
          <w:tcPr>
            <w:tcW w:w="420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vMerge w:val="continue"/>
          </w:tcPr>
          <w:p>
            <w:pPr>
              <w:spacing w:after="0"/>
              <w:rPr>
                <w:sz w:val="17"/>
                <w:szCs w:val="17"/>
                <w:color w:val="auto"/>
              </w:rPr>
            </w:pPr>
          </w:p>
        </w:tc>
        <w:tc>
          <w:tcPr>
            <w:tcW w:w="80" w:type="dxa"/>
            <w:vAlign w:val="bottom"/>
            <w:gridSpan w:val="2"/>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vMerge w:val="continue"/>
          </w:tcPr>
          <w:p>
            <w:pPr>
              <w:spacing w:after="0"/>
              <w:rPr>
                <w:sz w:val="17"/>
                <w:szCs w:val="17"/>
                <w:color w:val="auto"/>
              </w:rPr>
            </w:pPr>
          </w:p>
        </w:tc>
        <w:tc>
          <w:tcPr>
            <w:tcW w:w="80" w:type="dxa"/>
            <w:vAlign w:val="bottom"/>
            <w:gridSpan w:val="2"/>
            <w:vMerge w:val="continue"/>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80" w:type="dxa"/>
            <w:vAlign w:val="bottom"/>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Partnerships</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80" w:type="dxa"/>
            <w:vAlign w:val="bottom"/>
            <w:gridSpan w:val="6"/>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2025</w:t>
            </w:r>
          </w:p>
        </w:tc>
        <w:tc>
          <w:tcPr>
            <w:tcW w:w="34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154,788</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3,091,896</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2,047</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3,248,731</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70,255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3,318,986</w:t>
            </w:r>
          </w:p>
        </w:tc>
        <w:tc>
          <w:tcPr>
            <w:tcW w:w="0" w:type="dxa"/>
            <w:vAlign w:val="bottom"/>
          </w:tcPr>
          <w:p>
            <w:pPr>
              <w:spacing w:after="0"/>
              <w:rPr>
                <w:sz w:val="1"/>
                <w:szCs w:val="1"/>
                <w:color w:val="auto"/>
              </w:rPr>
            </w:pPr>
          </w:p>
        </w:tc>
      </w:tr>
      <w:tr>
        <w:trPr>
          <w:trHeight w:val="139"/>
        </w:trPr>
        <w:tc>
          <w:tcPr>
            <w:tcW w:w="42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Net income, excluding $1,174 attributable to redeemable</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157,091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159,099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797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159,896</w:t>
            </w:r>
          </w:p>
        </w:tc>
        <w:tc>
          <w:tcPr>
            <w:tcW w:w="0" w:type="dxa"/>
            <w:vAlign w:val="bottom"/>
          </w:tcPr>
          <w:p>
            <w:pPr>
              <w:spacing w:after="0"/>
              <w:rPr>
                <w:sz w:val="1"/>
                <w:szCs w:val="1"/>
                <w:color w:val="auto"/>
              </w:rPr>
            </w:pPr>
          </w:p>
        </w:tc>
      </w:tr>
      <w:tr>
        <w:trPr>
          <w:trHeight w:val="193"/>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42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Other comprehensive income - change in fair value of interest rate</w:t>
            </w: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swaps, excluding $10 attributable to redeemable noncontrolling</w:t>
            </w: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3,028</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3,028</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3,028</w:t>
            </w: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gridSpan w:val="3"/>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declared to common unit holders</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(97,626)</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(97,626)</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(97,626)</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 declared to preferred unit holders</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0" w:type="dxa"/>
            <w:vAlign w:val="bottom"/>
          </w:tcPr>
          <w:p>
            <w:pPr>
              <w:spacing w:after="0"/>
              <w:rPr>
                <w:sz w:val="1"/>
                <w:szCs w:val="1"/>
                <w:color w:val="auto"/>
              </w:rPr>
            </w:pPr>
          </w:p>
        </w:tc>
      </w:tr>
      <w:tr>
        <w:trPr>
          <w:trHeight w:val="139"/>
        </w:trPr>
        <w:tc>
          <w:tcPr>
            <w:tcW w:w="42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Distributions declared to noncontrolling interests in consolidated</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0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partnerships, excluding $2,883 attributable to redeemable</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(668)</w:t>
            </w: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2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Common units issued as a result of common stock issued by Parent</w:t>
            </w: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Company and common units issued under dividend reinvestment plan,</w:t>
            </w: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of issuance costs</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 net of forfeitures</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4,537</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4,537</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units withheld for employee taxes</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(4,926)</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(4,926)</w:t>
            </w: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Redemption of downREIT OP units</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Contributions from noncontrolling interests</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0" w:type="dxa"/>
            <w:vAlign w:val="bottom"/>
          </w:tcPr>
          <w:p>
            <w:pPr>
              <w:spacing w:after="0"/>
              <w:rPr>
                <w:sz w:val="1"/>
                <w:szCs w:val="1"/>
                <w:color w:val="auto"/>
              </w:rPr>
            </w:pPr>
          </w:p>
        </w:tc>
      </w:tr>
      <w:tr>
        <w:trPr>
          <w:trHeight w:val="189"/>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2026</w:t>
            </w:r>
          </w:p>
        </w:tc>
        <w:tc>
          <w:tcPr>
            <w:tcW w:w="340" w:type="dxa"/>
            <w:vAlign w:val="bottom"/>
            <w:tcBorders>
              <w:top w:val="single" w:sz="8" w:color="auto"/>
              <w:bottom w:val="single" w:sz="8" w:color="auto"/>
            </w:tcBorders>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154,788</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Borders>
              <w:top w:val="single" w:sz="8" w:color="auto"/>
              <w:bottom w:val="single" w:sz="8" w:color="auto"/>
            </w:tcBorders>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3,151,274</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5,075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3,311,137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70,380</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3,381,517</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9"/>
        </w:trPr>
        <w:tc>
          <w:tcPr>
            <w:tcW w:w="4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34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154,788</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3,012,066</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4,740</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3,171,594</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72,550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3,244,144</w:t>
            </w:r>
          </w:p>
        </w:tc>
        <w:tc>
          <w:tcPr>
            <w:tcW w:w="0" w:type="dxa"/>
            <w:vAlign w:val="bottom"/>
          </w:tcPr>
          <w:p>
            <w:pPr>
              <w:spacing w:after="0"/>
              <w:rPr>
                <w:sz w:val="1"/>
                <w:szCs w:val="1"/>
                <w:color w:val="auto"/>
              </w:rPr>
            </w:pPr>
          </w:p>
        </w:tc>
      </w:tr>
      <w:tr>
        <w:trPr>
          <w:trHeight w:val="135"/>
        </w:trPr>
        <w:tc>
          <w:tcPr>
            <w:tcW w:w="420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Net income, excluding $2,003 attributable to redeemable</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61,760</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63,768</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807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64,575</w:t>
            </w: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2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Other comprehensive loss - change in fair value of interest rate swaps,</w:t>
            </w: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(1,144)</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(1,144)</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(1,144)</w:t>
            </w: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excluding $100 attributable to redeemable noncontrolling interest</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gridSpan w:val="3"/>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declared to common unit holders</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(94,875)</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(94,875)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(94,875)</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 declared to preferred unit holders</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(2,008)</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0" w:type="dxa"/>
            <w:vAlign w:val="bottom"/>
          </w:tcPr>
          <w:p>
            <w:pPr>
              <w:spacing w:after="0"/>
              <w:rPr>
                <w:sz w:val="1"/>
                <w:szCs w:val="1"/>
                <w:color w:val="auto"/>
              </w:rPr>
            </w:pPr>
          </w:p>
        </w:tc>
      </w:tr>
      <w:tr>
        <w:trPr>
          <w:trHeight w:val="135"/>
        </w:trPr>
        <w:tc>
          <w:tcPr>
            <w:tcW w:w="420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Distributions declared to noncontrolling interests in consolidated</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2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partnerships, excluding $2,263 attributable to redeemable</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(869)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(869)</w:t>
            </w:r>
          </w:p>
        </w:tc>
        <w:tc>
          <w:tcPr>
            <w:tcW w:w="0" w:type="dxa"/>
            <w:vAlign w:val="bottom"/>
          </w:tcPr>
          <w:p>
            <w:pPr>
              <w:spacing w:after="0"/>
              <w:rPr>
                <w:sz w:val="1"/>
                <w:szCs w:val="1"/>
                <w:color w:val="auto"/>
              </w:rPr>
            </w:pPr>
          </w:p>
        </w:tc>
      </w:tr>
      <w:tr>
        <w:trPr>
          <w:trHeight w:val="188"/>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42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Common units issued as a result of common stock issued by Parent</w:t>
            </w: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4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54,494</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54,494</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54,494</w:t>
            </w: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Company, net of issuance costs</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units issued under dividend reinvestment plan</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 net of forfeitures</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4,112</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4,112</w:t>
            </w: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units withheld for employee taxes</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(4,607)</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(4,607)</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Conversion of downREIT OP units</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2025</w:t>
            </w:r>
          </w:p>
        </w:tc>
        <w:tc>
          <w:tcPr>
            <w:tcW w:w="4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154,788</w:t>
            </w: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3,033,497</w:t>
            </w:r>
          </w:p>
        </w:tc>
        <w:tc>
          <w:tcPr>
            <w:tcW w:w="40" w:type="dxa"/>
            <w:vAlign w:val="bottom"/>
            <w:tcBorders>
              <w:top w:val="single" w:sz="8" w:color="auto"/>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3,596</w:t>
            </w: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3,191,881</w:t>
            </w: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72,385</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3,264,266</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statements.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Federal Realty OP LP</w:t>
      </w:r>
    </w:p>
    <w:p>
      <w:pPr>
        <w:spacing w:after="0" w:line="6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gridSpan w:val="4"/>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8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0"/>
        </w:trPr>
        <w:tc>
          <w:tcPr>
            <w:tcW w:w="8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6"/>
                <w:szCs w:val="16"/>
                <w:color w:val="auto"/>
              </w:rPr>
            </w:pPr>
          </w:p>
        </w:tc>
      </w:tr>
      <w:tr>
        <w:trPr>
          <w:trHeight w:val="242"/>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2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161,070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66,578</w:t>
            </w:r>
          </w:p>
        </w:tc>
      </w:tr>
      <w:tr>
        <w:trPr>
          <w:trHeight w:val="23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8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99,217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86,946</w:t>
            </w:r>
          </w:p>
        </w:tc>
      </w:tr>
      <w:tr>
        <w:trPr>
          <w:trHeight w:val="229"/>
        </w:trPr>
        <w:tc>
          <w:tcPr>
            <w:tcW w:w="8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(92,711)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w:t>
            </w:r>
          </w:p>
        </w:tc>
      </w:tr>
      <w:tr>
        <w:trPr>
          <w:trHeight w:val="230"/>
        </w:trPr>
        <w:tc>
          <w:tcPr>
            <w:tcW w:w="8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Income from partnerships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29"/>
        </w:trPr>
        <w:tc>
          <w:tcPr>
            <w:tcW w:w="8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Straight-line rent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(7,463)</w:t>
            </w:r>
          </w:p>
        </w:tc>
      </w:tr>
      <w:tr>
        <w:trPr>
          <w:trHeight w:val="230"/>
        </w:trPr>
        <w:tc>
          <w:tcPr>
            <w:tcW w:w="8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w:t>
            </w:r>
          </w:p>
        </w:tc>
      </w:tr>
      <w:tr>
        <w:trPr>
          <w:trHeight w:val="229"/>
        </w:trPr>
        <w:tc>
          <w:tcPr>
            <w:tcW w:w="8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2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assets and liabilities, net of effects of acquisitions and dispositions: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Decrease in accounts receivable, net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16,799</w:t>
            </w:r>
          </w:p>
        </w:tc>
      </w:tr>
      <w:tr>
        <w:trPr>
          <w:trHeight w:val="229"/>
        </w:trPr>
        <w:tc>
          <w:tcPr>
            <w:tcW w:w="8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Decrease in prepaid expenses and other assets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4,422</w:t>
            </w:r>
          </w:p>
        </w:tc>
      </w:tr>
      <w:tr>
        <w:trPr>
          <w:trHeight w:val="229"/>
        </w:trPr>
        <w:tc>
          <w:tcPr>
            <w:tcW w:w="8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Increase in accounts payable and accrued expenses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7,185</w:t>
            </w:r>
          </w:p>
        </w:tc>
      </w:tr>
      <w:tr>
        <w:trPr>
          <w:trHeight w:val="230"/>
        </w:trPr>
        <w:tc>
          <w:tcPr>
            <w:tcW w:w="8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(Decrease) increase in security deposits and other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w:t>
            </w:r>
          </w:p>
        </w:tc>
      </w:tr>
      <w:tr>
        <w:trPr>
          <w:trHeight w:val="223"/>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184,594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179,044</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 of real estate</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(65,724)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(120,413)</w:t>
            </w: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expenditures - development and redevelopment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(31,222)</w:t>
            </w:r>
          </w:p>
        </w:tc>
      </w:tr>
      <w:tr>
        <w:trPr>
          <w:trHeight w:val="229"/>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expenditures - other</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(27,807)</w:t>
            </w: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sale of real estate</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155,310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w:t>
            </w:r>
          </w:p>
        </w:tc>
      </w:tr>
      <w:tr>
        <w:trPr>
          <w:trHeight w:val="229"/>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 from partnerships in excess of earnings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Leasing costs</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(6,826)</w:t>
            </w:r>
          </w:p>
        </w:tc>
      </w:tr>
      <w:tr>
        <w:trPr>
          <w:trHeight w:val="223"/>
        </w:trPr>
        <w:tc>
          <w:tcPr>
            <w:tcW w:w="8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(181,766)</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borrowings under revolving credit facility</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44,550</w:t>
            </w: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 of senior notes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Issuance and extension of notes payable, net of costs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(4,814)</w:t>
            </w: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 of mortgages, finance leases and notes payable</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w:t>
            </w:r>
          </w:p>
        </w:tc>
      </w:tr>
      <w:tr>
        <w:trPr>
          <w:trHeight w:val="23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Issuance of common units, net of costs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54,542</w:t>
            </w: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Distributions to common and preferred unit holders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(99,110)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(95,964)</w:t>
            </w:r>
          </w:p>
        </w:tc>
      </w:tr>
      <w:tr>
        <w:trPr>
          <w:trHeight w:val="229"/>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Shares withheld for employee taxes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(4,607)</w:t>
            </w: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Contributions from noncontrolling interests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w:t>
            </w:r>
          </w:p>
        </w:tc>
      </w:tr>
      <w:tr>
        <w:trPr>
          <w:trHeight w:val="230"/>
        </w:trPr>
        <w:tc>
          <w:tcPr>
            <w:tcW w:w="8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Distributions to and redemptions of noncontrolling interests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(3,133)</w:t>
            </w:r>
          </w:p>
        </w:tc>
      </w:tr>
      <w:tr>
        <w:trPr>
          <w:trHeight w:val="223"/>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(198,923)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(10,018)</w:t>
            </w: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(12,740)</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117,706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135,443</w:t>
            </w: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123,893</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122,703</w:t>
            </w:r>
          </w:p>
        </w:tc>
      </w:tr>
      <w:tr>
        <w:trPr>
          <w:trHeight w:val="20"/>
        </w:trPr>
        <w:tc>
          <w:tcPr>
            <w:tcW w:w="8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Federal Realty OP LP</w:t>
      </w:r>
    </w:p>
    <w:p>
      <w:pPr>
        <w:spacing w:after="0" w:line="4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1—BUSINESS AND ORGANIZATION</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Federal Realty Investment Trust (the "Parent Company" and the "Trust") is an equity real estate investment trust ("REIT"). Federal Realty OP LP (the "Operating Partnership") is the entity through which the Parent Company conducts substantially all of its operations and owns all of its assets. The Parent Company owns 100% of the limited liability company interests of, is sole member of and exercises exclusive control over Federal Realty GP LLC (the "General Partner"), which in turn, is the sole general partner of the Operating Partnership. The Parent Company specializes in the ownership, operation, and redevelopment of high-quality retail-based properties through the Operating Partnership, and has no other substantial assets or liabilities other than through its investment in the Operating Partnership. Our properties are located primarily in major coastal markets and select underserved regions that we believe have strong economic and demographic fundamentals. As of March 31, 2026, we owned or had a majority interest in community and neighborhood shopping centers and mixed-use properties which are operated as 104 predominantly retail real estate projects.</w:t>
      </w:r>
    </w:p>
    <w:p>
      <w:pPr>
        <w:spacing w:after="0" w:line="13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operate in a manner intended to enable the Trust to qualify as a REIT for federal income tax purposes. A REIT that distributes at least 90% of its taxable income to its shareholders each year and meets certain other conditions is not taxed on that portion of its taxable income which is distributed to its shareholders. Therefore, federal income taxes on our taxable income have been and are generally expected to be immaterial. We are obligated to pay state taxes, generally consisting of franchise or gross receipts taxes in certain states. Such state taxes also have not been material.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Economic Conditions</w:t>
      </w:r>
    </w:p>
    <w:p>
      <w:pPr>
        <w:spacing w:after="0" w:line="108"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Significant uncertainty continues within the macro-economic and political environment including inflation risk, changes in interest rates, geopolitical instability, changes in tariffs and their impact on trade and prices, increases or decreases in federal and government spending, and potentially worsening economic conditions, which presents risks for our business and tenants. We continue to monitor and address risks related to the general state of the economy. We believe the actions we have taken to maintain a strong financial position and reinforce our liquidity will continue to mitigate the negative short term impacts of the current environment. The extent of the future effects on our business, results of operations, cash flows, and growth strategies is highly uncertain and will ultimately depend on future developments, none of which can be predicted.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2—SUMMARY OF SIGNIFICANT ACCOUNTING POLICIES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0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of the Parent Company and Operating Partnership have been prepared pursuant to the rules and regulations of the Securities and Exchange Commission. Certain information and note disclosures normally included in annual financial statements prepared in accordance with GAAP have been omitted pursuant to those rules and regulations, although we believe that the disclosures made are adequate to make the information not misleading. It is suggested that these financial statements be read in conjunction with the financial statements and notes thereto included in our latest Annual Report on Form 10-K. In the opinion of management, all adjustments (consisting of normal, recurring adjustments) necessary for a fair presentation for the periods presented have been included. The results of operations for the three months ended March 31, 2026 are not necessarily indicative of the results that may be expected for the full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As discussed in the </w:t>
      </w:r>
      <w:r>
        <w:rPr>
          <w:rFonts w:ascii="Times New Roman" w:cs="Times New Roman" w:eastAsia="Times New Roman" w:hAnsi="Times New Roman"/>
          <w:sz w:val="18"/>
          <w:szCs w:val="18"/>
          <w:u w:val="single" w:color="auto"/>
          <w:color w:val="0000FF"/>
        </w:rPr>
        <w:t>Explanatory Note</w:t>
      </w:r>
      <w:r>
        <w:rPr>
          <w:rFonts w:ascii="Times New Roman" w:cs="Times New Roman" w:eastAsia="Times New Roman" w:hAnsi="Times New Roman"/>
          <w:sz w:val="18"/>
          <w:szCs w:val="18"/>
          <w:color w:val="auto"/>
        </w:rPr>
        <w:t>, we have combined the quarterly reports on Form 10-Q of the Parent Company and the Operating Partnership into this single report. As a result, we present two sets of consolidated financial statements. Both sets of consolidated financial statements include the accounts of the entity, its corporate subsidiaries, and all entities in which it has a controlling interest or has been determined to be the primary beneficiary of a variable interest entity. The Parent Company's consolidated financial statements include the accounts of the Operating Partnership and its subsidiaries as the Parent Company, through its ownership and control over the General Partner, exercises exclusive control over the Operating Partnership. The equity interests of other investors are reflected as noncontrolling interests or redeemable noncontrolling interests. All significant intercompany transactions and balances are eliminated in consolidation. We account for our interests in joint ventures which we do not control using the equity method of accounting.</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08" w:lineRule="exact"/>
        <w:rPr>
          <w:sz w:val="20"/>
          <w:szCs w:val="20"/>
          <w:color w:val="auto"/>
        </w:rPr>
      </w:pPr>
    </w:p>
    <w:p>
      <w:pPr>
        <w:ind w:right="56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current and expected events and economic conditions. Actual results could differ from these estimates.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9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have one reportable segment. We evaluate financial performance using property operating income ("POI"), a non-GAAP measure which consists of rental income, other property income, and mortgage interest income, less rental expenses and real estate taxes.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of property operating income to consolidated net income: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4"/>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8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8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7"/>
                <w:szCs w:val="17"/>
                <w:color w:val="auto"/>
              </w:rPr>
            </w:pPr>
          </w:p>
        </w:tc>
      </w:tr>
      <w:tr>
        <w:trPr>
          <w:trHeight w:val="23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operating income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227,416</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204,783</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(10,875)</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(99,217)</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(86,946)</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92,711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interest income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(49,116)</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(42,475)</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partnerships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161,070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66,578</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w:t>
            </w:r>
          </w:p>
        </w:tc>
      </w:tr>
      <w:tr>
        <w:trPr>
          <w:trHeight w:val="228"/>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trust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159,099</w:t>
            </w:r>
          </w:p>
        </w:tc>
        <w:tc>
          <w:tcPr>
            <w:tcW w:w="8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63,768</w:t>
            </w:r>
          </w:p>
        </w:tc>
      </w:tr>
    </w:tbl>
    <w:p>
      <w:pPr>
        <w:spacing w:after="0" w:line="220" w:lineRule="exact"/>
        <w:rPr>
          <w:sz w:val="20"/>
          <w:szCs w:val="20"/>
          <w:color w:val="auto"/>
        </w:rPr>
      </w:pPr>
    </w:p>
    <w:p>
      <w:pPr>
        <w:jc w:val="both"/>
        <w:ind w:right="260"/>
        <w:spacing w:after="0" w:line="312" w:lineRule="auto"/>
        <w:rPr>
          <w:sz w:val="20"/>
          <w:szCs w:val="20"/>
          <w:color w:val="auto"/>
        </w:rPr>
      </w:pPr>
      <w:r>
        <w:rPr>
          <w:rFonts w:ascii="Times New Roman" w:cs="Times New Roman" w:eastAsia="Times New Roman" w:hAnsi="Times New Roman"/>
          <w:sz w:val="17"/>
          <w:szCs w:val="17"/>
          <w:color w:val="auto"/>
        </w:rPr>
        <w:t>We do not present significant expense disclosures for our reportable segment as operating segment level expenses are not regularly provided to our chief operating decision maker ("CODM"). However, real estate tax expense is presented on the face of the consolidated statement of comprehensive income.</w:t>
      </w:r>
    </w:p>
    <w:p>
      <w:pPr>
        <w:spacing w:after="0" w:line="8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do not present a reconciliation of our reportable segment's assets to consolidated assets, as asset information by operating segment is not used by our CODM to allocate resources and capital or assess performance.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ectPr>
          <w:pgSz w:w="11900" w:h="16838" w:orient="portrait"/>
          <w:cols w:equalWidth="0" w:num="1">
            <w:col w:w="11240"/>
          </w:cols>
          <w:pgMar w:left="320" w:top="124" w:right="339" w:bottom="1440" w:gutter="0" w:footer="0" w:header="0"/>
        </w:sectPr>
      </w:pP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4916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Adopted in 2026:</w:t>
      </w:r>
    </w:p>
    <w:p>
      <w:pPr>
        <w:spacing w:after="0" w:line="40" w:lineRule="exact"/>
        <w:rPr>
          <w:sz w:val="20"/>
          <w:szCs w:val="20"/>
          <w:color w:val="auto"/>
        </w:rPr>
      </w:pPr>
    </w:p>
    <w:p>
      <w:pPr>
        <w:ind w:left="20" w:right="40"/>
        <w:spacing w:after="0" w:line="226" w:lineRule="auto"/>
        <w:rPr>
          <w:sz w:val="20"/>
          <w:szCs w:val="20"/>
          <w:color w:val="auto"/>
        </w:rPr>
      </w:pPr>
      <w:r>
        <w:rPr>
          <w:rFonts w:ascii="Times New Roman" w:cs="Times New Roman" w:eastAsia="Times New Roman" w:hAnsi="Times New Roman"/>
          <w:sz w:val="17"/>
          <w:szCs w:val="17"/>
          <w:color w:val="auto"/>
        </w:rPr>
        <w:t xml:space="preserve">ASU 2024-04, November 2024, </w:t>
      </w:r>
      <w:r>
        <w:rPr>
          <w:rFonts w:ascii="Times New Roman" w:cs="Times New Roman" w:eastAsia="Times New Roman" w:hAnsi="Times New Roman"/>
          <w:sz w:val="17"/>
          <w:szCs w:val="17"/>
          <w:i w:val="1"/>
          <w:iCs w:val="1"/>
          <w:color w:val="auto"/>
        </w:rPr>
        <w:t>Debt—Debt with Conversion and</w:t>
      </w:r>
    </w:p>
    <w:p>
      <w:pPr>
        <w:spacing w:after="0" w:line="1" w:lineRule="exact"/>
        <w:rPr>
          <w:sz w:val="20"/>
          <w:szCs w:val="20"/>
          <w:color w:val="auto"/>
        </w:rPr>
      </w:pPr>
    </w:p>
    <w:p>
      <w:pPr>
        <w:ind w:left="20"/>
        <w:spacing w:after="0" w:line="207" w:lineRule="auto"/>
        <w:rPr>
          <w:sz w:val="20"/>
          <w:szCs w:val="20"/>
          <w:color w:val="auto"/>
        </w:rPr>
      </w:pPr>
      <w:r>
        <w:rPr>
          <w:rFonts w:ascii="Times New Roman" w:cs="Times New Roman" w:eastAsia="Times New Roman" w:hAnsi="Times New Roman"/>
          <w:sz w:val="17"/>
          <w:szCs w:val="17"/>
          <w:i w:val="1"/>
          <w:iCs w:val="1"/>
          <w:color w:val="auto"/>
        </w:rPr>
        <w:t>Other Options (Subtopic 470-20), Induced Conversions of</w:t>
      </w:r>
    </w:p>
    <w:p>
      <w:pPr>
        <w:ind w:left="20"/>
        <w:spacing w:after="0"/>
        <w:rPr>
          <w:sz w:val="20"/>
          <w:szCs w:val="20"/>
          <w:color w:val="auto"/>
        </w:rPr>
      </w:pPr>
      <w:r>
        <w:rPr>
          <w:rFonts w:ascii="Times New Roman" w:cs="Times New Roman" w:eastAsia="Times New Roman" w:hAnsi="Times New Roman"/>
          <w:sz w:val="17"/>
          <w:szCs w:val="17"/>
          <w:i w:val="1"/>
          <w:iCs w:val="1"/>
          <w:color w:val="auto"/>
        </w:rPr>
        <w:t>Convertible Debt Instruments</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19685</wp:posOffset>
            </wp:positionV>
            <wp:extent cx="33947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295" w:lineRule="exact"/>
        <w:rPr>
          <w:sz w:val="20"/>
          <w:szCs w:val="20"/>
          <w:color w:val="auto"/>
        </w:rPr>
      </w:pPr>
    </w:p>
    <w:p>
      <w:pPr>
        <w:ind w:right="60"/>
        <w:spacing w:after="0" w:line="232" w:lineRule="auto"/>
        <w:rPr>
          <w:sz w:val="20"/>
          <w:szCs w:val="20"/>
          <w:color w:val="auto"/>
        </w:rPr>
      </w:pPr>
      <w:r>
        <w:rPr>
          <w:rFonts w:ascii="Times New Roman" w:cs="Times New Roman" w:eastAsia="Times New Roman" w:hAnsi="Times New Roman"/>
          <w:sz w:val="16"/>
          <w:szCs w:val="16"/>
          <w:color w:val="auto"/>
        </w:rPr>
        <w:t>This ASU clarifies the requirements for determining whether to account for certain early settlements of convertible debt instruments as induced conversions or extinguishments.</w:t>
      </w:r>
    </w:p>
    <w:p>
      <w:pPr>
        <w:spacing w:after="0" w:line="114"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16"/>
          <w:szCs w:val="16"/>
          <w:color w:val="auto"/>
        </w:rPr>
        <w:t>Entities have the option to apply the guidance either (1) prospectively to settlements of convertible debt instruments that occur during fiscal years (and interim periods within those fiscal years) beginning after the effective date or (2) retrospectively. This is effective for all entities for fiscal years beginning after December 15, 2025, and interim periods within those fiscal years.</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right="520"/>
        <w:spacing w:after="0" w:line="255" w:lineRule="auto"/>
        <w:rPr>
          <w:sz w:val="20"/>
          <w:szCs w:val="20"/>
          <w:color w:val="auto"/>
        </w:rPr>
      </w:pPr>
      <w:r>
        <w:rPr>
          <w:rFonts w:ascii="Times New Roman" w:cs="Times New Roman" w:eastAsia="Times New Roman" w:hAnsi="Times New Roman"/>
          <w:sz w:val="18"/>
          <w:szCs w:val="18"/>
          <w:b w:val="1"/>
          <w:bCs w:val="1"/>
          <w:color w:val="auto"/>
        </w:rPr>
        <w:t>Effect on the financial statements or significant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-7620</wp:posOffset>
            </wp:positionV>
            <wp:extent cx="21088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251" w:lineRule="exact"/>
        <w:rPr>
          <w:sz w:val="20"/>
          <w:szCs w:val="20"/>
          <w:color w:val="auto"/>
        </w:rPr>
      </w:pPr>
    </w:p>
    <w:p>
      <w:pPr>
        <w:ind w:right="140"/>
        <w:spacing w:after="0" w:line="232" w:lineRule="auto"/>
        <w:rPr>
          <w:sz w:val="20"/>
          <w:szCs w:val="20"/>
          <w:color w:val="auto"/>
        </w:rPr>
      </w:pPr>
      <w:r>
        <w:rPr>
          <w:rFonts w:ascii="Times New Roman" w:cs="Times New Roman" w:eastAsia="Times New Roman" w:hAnsi="Times New Roman"/>
          <w:sz w:val="16"/>
          <w:szCs w:val="16"/>
          <w:color w:val="auto"/>
        </w:rPr>
        <w:t>We adopted this ASU as of January 1, 2026. The implementation of this ASU did not have an impact on our consolidated financial statements.</w:t>
      </w:r>
    </w:p>
    <w:p>
      <w:pPr>
        <w:spacing w:after="0" w:line="1169" w:lineRule="exact"/>
        <w:rPr>
          <w:sz w:val="20"/>
          <w:szCs w:val="20"/>
          <w:color w:val="auto"/>
        </w:rPr>
      </w:pPr>
    </w:p>
    <w:p>
      <w:pPr>
        <w:sectPr>
          <w:pgSz w:w="11900" w:h="16838" w:orient="portrait"/>
          <w:cols w:equalWidth="0" w:num="3">
            <w:col w:w="2340" w:space="140"/>
            <w:col w:w="5240" w:space="220"/>
            <w:col w:w="3300"/>
          </w:cols>
          <w:pgMar w:left="320" w:top="124" w:right="339" w:bottom="1440" w:gutter="0" w:footer="0" w:header="0"/>
          <w:type w:val="continuous"/>
        </w:sect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ectPr>
          <w:pgSz w:w="11900" w:h="16838" w:orient="portrait"/>
          <w:cols w:equalWidth="0" w:num="1">
            <w:col w:w="11020"/>
          </w:cols>
          <w:pgMar w:left="320" w:top="124"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4998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Issued in 2025:</w:t>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ASU 2025-01, January 2025, and</w:t>
      </w:r>
    </w:p>
    <w:p>
      <w:pPr>
        <w:ind w:left="20"/>
        <w:spacing w:after="0" w:line="198" w:lineRule="auto"/>
        <w:rPr>
          <w:sz w:val="20"/>
          <w:szCs w:val="20"/>
          <w:color w:val="auto"/>
        </w:rPr>
      </w:pPr>
      <w:r>
        <w:rPr>
          <w:rFonts w:ascii="Times New Roman" w:cs="Times New Roman" w:eastAsia="Times New Roman" w:hAnsi="Times New Roman"/>
          <w:sz w:val="17"/>
          <w:szCs w:val="17"/>
          <w:color w:val="auto"/>
        </w:rPr>
        <w:t>ASU 2024-03, November 2024,</w:t>
      </w:r>
    </w:p>
    <w:p>
      <w:pPr>
        <w:ind w:left="20"/>
        <w:spacing w:after="0" w:line="216" w:lineRule="auto"/>
        <w:rPr>
          <w:sz w:val="20"/>
          <w:szCs w:val="20"/>
          <w:color w:val="auto"/>
        </w:rPr>
      </w:pPr>
      <w:r>
        <w:rPr>
          <w:rFonts w:ascii="Times New Roman" w:cs="Times New Roman" w:eastAsia="Times New Roman" w:hAnsi="Times New Roman"/>
          <w:sz w:val="17"/>
          <w:szCs w:val="17"/>
          <w:i w:val="1"/>
          <w:iCs w:val="1"/>
          <w:color w:val="auto"/>
        </w:rPr>
        <w:t>Income Statement—Reporting</w:t>
      </w:r>
    </w:p>
    <w:p>
      <w:pPr>
        <w:ind w:left="20"/>
        <w:spacing w:after="0" w:line="215" w:lineRule="auto"/>
        <w:rPr>
          <w:sz w:val="20"/>
          <w:szCs w:val="20"/>
          <w:color w:val="auto"/>
        </w:rPr>
      </w:pPr>
      <w:r>
        <w:rPr>
          <w:rFonts w:ascii="Times New Roman" w:cs="Times New Roman" w:eastAsia="Times New Roman" w:hAnsi="Times New Roman"/>
          <w:sz w:val="17"/>
          <w:szCs w:val="17"/>
          <w:i w:val="1"/>
          <w:iCs w:val="1"/>
          <w:color w:val="auto"/>
        </w:rPr>
        <w:t>Comprehensive Income —</w:t>
      </w:r>
    </w:p>
    <w:p>
      <w:pPr>
        <w:ind w:left="20"/>
        <w:spacing w:after="0" w:line="199" w:lineRule="auto"/>
        <w:rPr>
          <w:sz w:val="20"/>
          <w:szCs w:val="20"/>
          <w:color w:val="auto"/>
        </w:rPr>
      </w:pPr>
      <w:r>
        <w:rPr>
          <w:rFonts w:ascii="Times New Roman" w:cs="Times New Roman" w:eastAsia="Times New Roman" w:hAnsi="Times New Roman"/>
          <w:sz w:val="17"/>
          <w:szCs w:val="17"/>
          <w:i w:val="1"/>
          <w:iCs w:val="1"/>
          <w:color w:val="auto"/>
        </w:rPr>
        <w:t>Expense Disaggregation</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Disclosures (Subtopic 220-40)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19685</wp:posOffset>
            </wp:positionV>
            <wp:extent cx="33858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254" w:lineRule="exact"/>
        <w:rPr>
          <w:sz w:val="20"/>
          <w:szCs w:val="20"/>
          <w:color w:val="auto"/>
        </w:rPr>
      </w:pPr>
    </w:p>
    <w:p>
      <w:pPr>
        <w:ind w:right="60"/>
        <w:spacing w:after="0" w:line="221" w:lineRule="auto"/>
        <w:rPr>
          <w:sz w:val="20"/>
          <w:szCs w:val="20"/>
          <w:color w:val="auto"/>
        </w:rPr>
      </w:pPr>
      <w:r>
        <w:rPr>
          <w:rFonts w:ascii="Times New Roman" w:cs="Times New Roman" w:eastAsia="Times New Roman" w:hAnsi="Times New Roman"/>
          <w:sz w:val="16"/>
          <w:szCs w:val="16"/>
          <w:color w:val="auto"/>
        </w:rPr>
        <w:t>This ASU requires the disaggregation of specific natural expense categories within relevant income statement captions. Public business entities are required to provide tabular disclosures which disaggregate expenses such as purchases of inventory, employee compensation, depreciation and amortization. A separate total of an entity's selling expenses is also required, along with the disclosure of how the company determines them.</w:t>
      </w:r>
    </w:p>
    <w:p>
      <w:pPr>
        <w:spacing w:after="0" w:line="117"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6"/>
          <w:szCs w:val="16"/>
          <w:color w:val="auto"/>
        </w:rPr>
        <w:t>The guidance is required to be applied prospectively, but may be applied retrospectively for annual reporting periods beginning after December 15, 2026, and interim periods within annual reporting periods beginning after December 15 2027. Early adoption is permitted.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300"/>
        <w:spacing w:after="0" w:line="239" w:lineRule="auto"/>
        <w:rPr>
          <w:sz w:val="20"/>
          <w:szCs w:val="20"/>
          <w:color w:val="auto"/>
        </w:rPr>
      </w:pPr>
      <w:r>
        <w:rPr>
          <w:rFonts w:ascii="Times New Roman" w:cs="Times New Roman" w:eastAsia="Times New Roman" w:hAnsi="Times New Roman"/>
          <w:sz w:val="18"/>
          <w:szCs w:val="18"/>
          <w:b w:val="1"/>
          <w:bCs w:val="1"/>
          <w:color w:val="auto"/>
        </w:rPr>
        <w:t>Effect on the financial statements or significant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9525</wp:posOffset>
            </wp:positionV>
            <wp:extent cx="21088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23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We are assessing the impact of this ASU on our consolidated financial statements.</w:t>
      </w:r>
    </w:p>
    <w:p>
      <w:pPr>
        <w:spacing w:after="0" w:line="1506" w:lineRule="exact"/>
        <w:rPr>
          <w:sz w:val="20"/>
          <w:szCs w:val="20"/>
          <w:color w:val="auto"/>
        </w:rPr>
      </w:pPr>
    </w:p>
    <w:p>
      <w:pPr>
        <w:sectPr>
          <w:pgSz w:w="11900" w:h="16838" w:orient="portrait"/>
          <w:cols w:equalWidth="0" w:num="3">
            <w:col w:w="2320" w:space="180"/>
            <w:col w:w="5260" w:space="180"/>
            <w:col w:w="3080"/>
          </w:cols>
          <w:pgMar w:left="320" w:top="124" w:right="559" w:bottom="1440" w:gutter="0" w:footer="0" w:header="0"/>
          <w:type w:val="continuous"/>
        </w:sectPr>
      </w:pPr>
    </w:p>
    <w:p>
      <w:pPr>
        <w:ind w:left="20" w:right="80"/>
        <w:spacing w:after="0" w:line="218" w:lineRule="auto"/>
        <w:rPr>
          <w:sz w:val="20"/>
          <w:szCs w:val="20"/>
          <w:color w:val="auto"/>
        </w:rPr>
      </w:pPr>
      <w:r>
        <w:rPr>
          <w:rFonts w:ascii="Times New Roman" w:cs="Times New Roman" w:eastAsia="Times New Roman" w:hAnsi="Times New Roman"/>
          <w:sz w:val="17"/>
          <w:szCs w:val="17"/>
          <w:color w:val="auto"/>
        </w:rPr>
        <w:t xml:space="preserve">ASU 2025-09, November 2025, This ASU amends certain aspects of hedge accounting in ASC 815. The </w:t>
      </w:r>
      <w:r>
        <w:rPr>
          <w:rFonts w:ascii="Times New Roman" w:cs="Times New Roman" w:eastAsia="Times New Roman" w:hAnsi="Times New Roman"/>
          <w:sz w:val="17"/>
          <w:szCs w:val="17"/>
          <w:i w:val="1"/>
          <w:iCs w:val="1"/>
          <w:color w:val="auto"/>
        </w:rPr>
        <w:t xml:space="preserve">Derivatives and Hedging (Topic </w:t>
      </w:r>
      <w:r>
        <w:rPr>
          <w:rFonts w:ascii="Times New Roman" w:cs="Times New Roman" w:eastAsia="Times New Roman" w:hAnsi="Times New Roman"/>
          <w:sz w:val="17"/>
          <w:szCs w:val="17"/>
          <w:color w:val="auto"/>
        </w:rPr>
        <w:t>main amendments relate to cash flow hedging, but some of the amendments</w:t>
      </w:r>
    </w:p>
    <w:p>
      <w:pPr>
        <w:ind w:left="20"/>
        <w:spacing w:after="0" w:line="215" w:lineRule="auto"/>
        <w:tabs>
          <w:tab w:leader="none" w:pos="2480" w:val="left"/>
        </w:tabs>
        <w:rPr>
          <w:sz w:val="20"/>
          <w:szCs w:val="20"/>
          <w:color w:val="auto"/>
        </w:rPr>
      </w:pPr>
      <w:r>
        <w:rPr>
          <w:rFonts w:ascii="Times New Roman" w:cs="Times New Roman" w:eastAsia="Times New Roman" w:hAnsi="Times New Roman"/>
          <w:sz w:val="17"/>
          <w:szCs w:val="17"/>
          <w:i w:val="1"/>
          <w:iCs w:val="1"/>
          <w:color w:val="auto"/>
        </w:rPr>
        <w:t>815), Hedge Accounting</w:t>
      </w:r>
      <w:r>
        <w:rPr>
          <w:sz w:val="20"/>
          <w:szCs w:val="20"/>
          <w:color w:val="auto"/>
        </w:rPr>
        <w:tab/>
      </w:r>
      <w:r>
        <w:rPr>
          <w:rFonts w:ascii="Times New Roman" w:cs="Times New Roman" w:eastAsia="Times New Roman" w:hAnsi="Times New Roman"/>
          <w:sz w:val="17"/>
          <w:szCs w:val="17"/>
          <w:color w:val="auto"/>
        </w:rPr>
        <w:t>affect certain fair value and net investment hedges. The key changes include:</w:t>
      </w:r>
    </w:p>
    <w:p>
      <w:pPr>
        <w:ind w:left="20"/>
        <w:spacing w:after="0" w:line="216" w:lineRule="auto"/>
        <w:tabs>
          <w:tab w:leader="none" w:pos="2480" w:val="left"/>
        </w:tabs>
        <w:rPr>
          <w:sz w:val="20"/>
          <w:szCs w:val="20"/>
          <w:color w:val="auto"/>
        </w:rPr>
      </w:pPr>
      <w:r>
        <w:rPr>
          <w:rFonts w:ascii="Times New Roman" w:cs="Times New Roman" w:eastAsia="Times New Roman" w:hAnsi="Times New Roman"/>
          <w:sz w:val="17"/>
          <w:szCs w:val="17"/>
          <w:i w:val="1"/>
          <w:iCs w:val="1"/>
          <w:color w:val="auto"/>
        </w:rPr>
        <w:t>Improvements</w:t>
      </w:r>
      <w:r>
        <w:rPr>
          <w:sz w:val="20"/>
          <w:szCs w:val="20"/>
          <w:color w:val="auto"/>
        </w:rPr>
        <w:tab/>
      </w:r>
      <w:r>
        <w:rPr>
          <w:rFonts w:ascii="Times New Roman" w:cs="Times New Roman" w:eastAsia="Times New Roman" w:hAnsi="Times New Roman"/>
          <w:sz w:val="17"/>
          <w:szCs w:val="17"/>
          <w:color w:val="auto"/>
        </w:rPr>
        <w:t>(1) Allows individual forecasted transactions to be hedged in a group if they</w:t>
      </w:r>
    </w:p>
    <w:p>
      <w:pPr>
        <w:ind w:left="2500" w:right="240"/>
        <w:spacing w:after="0" w:line="207" w:lineRule="auto"/>
        <w:rPr>
          <w:sz w:val="20"/>
          <w:szCs w:val="20"/>
          <w:color w:val="auto"/>
        </w:rPr>
      </w:pPr>
      <w:r>
        <w:rPr>
          <w:rFonts w:ascii="Times New Roman" w:cs="Times New Roman" w:eastAsia="Times New Roman" w:hAnsi="Times New Roman"/>
          <w:sz w:val="17"/>
          <w:szCs w:val="17"/>
          <w:color w:val="auto"/>
        </w:rPr>
        <w:t>have similar risk exposure for cash flow hedges. (2) Establishes a model borrowers can use in cash flow hedges of forecasted interest payments on</w:t>
      </w:r>
    </w:p>
    <w:p>
      <w:pPr>
        <w:ind w:left="2500"/>
        <w:spacing w:after="0" w:line="215" w:lineRule="auto"/>
        <w:rPr>
          <w:sz w:val="20"/>
          <w:szCs w:val="20"/>
          <w:color w:val="auto"/>
        </w:rPr>
      </w:pPr>
      <w:r>
        <w:rPr>
          <w:rFonts w:ascii="Times New Roman" w:cs="Times New Roman" w:eastAsia="Times New Roman" w:hAnsi="Times New Roman"/>
          <w:sz w:val="17"/>
          <w:szCs w:val="17"/>
          <w:color w:val="auto"/>
        </w:rPr>
        <w:t>choose-your-rate debt instruments. (3) Expands hedge accounting for</w:t>
      </w:r>
    </w:p>
    <w:p>
      <w:pPr>
        <w:ind w:left="2500"/>
        <w:spacing w:after="0" w:line="199" w:lineRule="auto"/>
        <w:rPr>
          <w:sz w:val="20"/>
          <w:szCs w:val="20"/>
          <w:color w:val="auto"/>
        </w:rPr>
      </w:pPr>
      <w:r>
        <w:rPr>
          <w:rFonts w:ascii="Times New Roman" w:cs="Times New Roman" w:eastAsia="Times New Roman" w:hAnsi="Times New Roman"/>
          <w:sz w:val="17"/>
          <w:szCs w:val="17"/>
          <w:color w:val="auto"/>
        </w:rPr>
        <w:t>forecasted purchases and sales of nonfinancial assets. (4) Eliminates the</w:t>
      </w:r>
    </w:p>
    <w:p>
      <w:pPr>
        <w:ind w:left="2500"/>
        <w:spacing w:after="0" w:line="216" w:lineRule="auto"/>
        <w:rPr>
          <w:sz w:val="20"/>
          <w:szCs w:val="20"/>
          <w:color w:val="auto"/>
        </w:rPr>
      </w:pPr>
      <w:r>
        <w:rPr>
          <w:rFonts w:ascii="Times New Roman" w:cs="Times New Roman" w:eastAsia="Times New Roman" w:hAnsi="Times New Roman"/>
          <w:sz w:val="17"/>
          <w:szCs w:val="17"/>
          <w:color w:val="auto"/>
        </w:rPr>
        <w:t>requirement for the net written option test in certain instances to</w:t>
      </w:r>
    </w:p>
    <w:p>
      <w:pPr>
        <w:ind w:left="2500"/>
        <w:spacing w:after="0" w:line="215" w:lineRule="auto"/>
        <w:rPr>
          <w:sz w:val="20"/>
          <w:szCs w:val="20"/>
          <w:color w:val="auto"/>
        </w:rPr>
      </w:pPr>
      <w:r>
        <w:rPr>
          <w:rFonts w:ascii="Times New Roman" w:cs="Times New Roman" w:eastAsia="Times New Roman" w:hAnsi="Times New Roman"/>
          <w:sz w:val="17"/>
          <w:szCs w:val="17"/>
          <w:color w:val="auto"/>
        </w:rPr>
        <w:t>accommodate differences in the loan and swap markets that resulted from</w:t>
      </w:r>
    </w:p>
    <w:p>
      <w:pPr>
        <w:ind w:left="2500"/>
        <w:spacing w:after="0" w:line="199" w:lineRule="auto"/>
        <w:rPr>
          <w:sz w:val="20"/>
          <w:szCs w:val="20"/>
          <w:color w:val="auto"/>
        </w:rPr>
      </w:pPr>
      <w:r>
        <w:rPr>
          <w:rFonts w:ascii="Times New Roman" w:cs="Times New Roman" w:eastAsia="Times New Roman" w:hAnsi="Times New Roman"/>
          <w:sz w:val="17"/>
          <w:szCs w:val="17"/>
          <w:color w:val="auto"/>
        </w:rPr>
        <w:t>reference rate reform. (5) Eliminates the recognition and presentation</w:t>
      </w:r>
    </w:p>
    <w:p>
      <w:pPr>
        <w:ind w:left="2500" w:right="580"/>
        <w:spacing w:after="0" w:line="233" w:lineRule="auto"/>
        <w:rPr>
          <w:sz w:val="20"/>
          <w:szCs w:val="20"/>
          <w:color w:val="auto"/>
        </w:rPr>
      </w:pPr>
      <w:r>
        <w:rPr>
          <w:rFonts w:ascii="Times New Roman" w:cs="Times New Roman" w:eastAsia="Times New Roman" w:hAnsi="Times New Roman"/>
          <w:sz w:val="17"/>
          <w:szCs w:val="17"/>
          <w:color w:val="auto"/>
        </w:rPr>
        <w:t>mismatch for foreign currency-denominated debt used as both a net investment hedge instrument and a hedged item for interest rate risk.</w:t>
      </w:r>
    </w:p>
    <w:p>
      <w:pPr>
        <w:spacing w:after="0" w:line="100"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7"/>
          <w:szCs w:val="17"/>
          <w:color w:val="auto"/>
        </w:rPr>
        <w:t>The guidance is applied prospectively for all hedging relationships as of the</w:t>
      </w:r>
    </w:p>
    <w:p>
      <w:pPr>
        <w:ind w:left="2500"/>
        <w:spacing w:after="0" w:line="215" w:lineRule="auto"/>
        <w:rPr>
          <w:sz w:val="20"/>
          <w:szCs w:val="20"/>
          <w:color w:val="auto"/>
        </w:rPr>
      </w:pPr>
      <w:r>
        <w:rPr>
          <w:rFonts w:ascii="Times New Roman" w:cs="Times New Roman" w:eastAsia="Times New Roman" w:hAnsi="Times New Roman"/>
          <w:sz w:val="17"/>
          <w:szCs w:val="17"/>
          <w:color w:val="auto"/>
        </w:rPr>
        <w:t>date of adoption. The guidance applies to all public entities and is effective</w:t>
      </w:r>
    </w:p>
    <w:p>
      <w:pPr>
        <w:ind w:left="2500" w:right="360"/>
        <w:spacing w:after="0" w:line="233" w:lineRule="auto"/>
        <w:rPr>
          <w:sz w:val="20"/>
          <w:szCs w:val="20"/>
          <w:color w:val="auto"/>
        </w:rPr>
      </w:pPr>
      <w:r>
        <w:rPr>
          <w:rFonts w:ascii="Times New Roman" w:cs="Times New Roman" w:eastAsia="Times New Roman" w:hAnsi="Times New Roman"/>
          <w:sz w:val="17"/>
          <w:szCs w:val="17"/>
          <w:color w:val="auto"/>
        </w:rPr>
        <w:t>for fiscal years beginning after December 15, 2026, and interim periods within those fiscal years. Early adoption is permitted.</w:t>
      </w:r>
    </w:p>
    <w:p>
      <w:pPr>
        <w:spacing w:after="0" w:line="48" w:lineRule="exact"/>
        <w:rPr>
          <w:sz w:val="20"/>
          <w:szCs w:val="20"/>
          <w:color w:val="auto"/>
        </w:rPr>
      </w:pPr>
    </w:p>
    <w:p>
      <w:pPr>
        <w:ind w:left="20" w:right="60"/>
        <w:spacing w:after="0" w:line="218" w:lineRule="auto"/>
        <w:rPr>
          <w:sz w:val="20"/>
          <w:szCs w:val="20"/>
          <w:color w:val="auto"/>
        </w:rPr>
      </w:pPr>
      <w:r>
        <w:rPr>
          <w:rFonts w:ascii="Times New Roman" w:cs="Times New Roman" w:eastAsia="Times New Roman" w:hAnsi="Times New Roman"/>
          <w:sz w:val="17"/>
          <w:szCs w:val="17"/>
          <w:color w:val="auto"/>
        </w:rPr>
        <w:t xml:space="preserve">ASU 2025-10, December 2025, This ASU establishes guidance on the recognition, measurement, and </w:t>
      </w:r>
      <w:r>
        <w:rPr>
          <w:rFonts w:ascii="Times New Roman" w:cs="Times New Roman" w:eastAsia="Times New Roman" w:hAnsi="Times New Roman"/>
          <w:sz w:val="17"/>
          <w:szCs w:val="17"/>
          <w:i w:val="1"/>
          <w:iCs w:val="1"/>
          <w:color w:val="auto"/>
        </w:rPr>
        <w:t xml:space="preserve">Government Grants (Topic 832), </w:t>
      </w:r>
      <w:r>
        <w:rPr>
          <w:rFonts w:ascii="Times New Roman" w:cs="Times New Roman" w:eastAsia="Times New Roman" w:hAnsi="Times New Roman"/>
          <w:sz w:val="17"/>
          <w:szCs w:val="17"/>
          <w:color w:val="auto"/>
        </w:rPr>
        <w:t>presentation of government grants received by business entities. ASU 2025-</w:t>
      </w:r>
    </w:p>
    <w:p>
      <w:pPr>
        <w:ind w:left="20"/>
        <w:spacing w:after="0" w:line="215" w:lineRule="auto"/>
        <w:tabs>
          <w:tab w:leader="none" w:pos="2480" w:val="left"/>
        </w:tabs>
        <w:rPr>
          <w:sz w:val="20"/>
          <w:szCs w:val="20"/>
          <w:color w:val="auto"/>
        </w:rPr>
      </w:pPr>
      <w:r>
        <w:rPr>
          <w:rFonts w:ascii="Times New Roman" w:cs="Times New Roman" w:eastAsia="Times New Roman" w:hAnsi="Times New Roman"/>
          <w:sz w:val="17"/>
          <w:szCs w:val="17"/>
          <w:i w:val="1"/>
          <w:iCs w:val="1"/>
          <w:color w:val="auto"/>
        </w:rPr>
        <w:t>Accounting for Government</w:t>
      </w:r>
      <w:r>
        <w:rPr>
          <w:sz w:val="20"/>
          <w:szCs w:val="20"/>
          <w:color w:val="auto"/>
        </w:rPr>
        <w:tab/>
      </w:r>
      <w:r>
        <w:rPr>
          <w:rFonts w:ascii="Times New Roman" w:cs="Times New Roman" w:eastAsia="Times New Roman" w:hAnsi="Times New Roman"/>
          <w:sz w:val="17"/>
          <w:szCs w:val="17"/>
          <w:color w:val="auto"/>
        </w:rPr>
        <w:t>10 introduces specific recognition thresholds (probability of compliance and</w:t>
      </w:r>
    </w:p>
    <w:p>
      <w:pPr>
        <w:ind w:left="20"/>
        <w:spacing w:after="0" w:line="216" w:lineRule="auto"/>
        <w:tabs>
          <w:tab w:leader="none" w:pos="2480" w:val="left"/>
        </w:tabs>
        <w:rPr>
          <w:sz w:val="20"/>
          <w:szCs w:val="20"/>
          <w:color w:val="auto"/>
        </w:rPr>
      </w:pPr>
      <w:r>
        <w:rPr>
          <w:rFonts w:ascii="Times New Roman" w:cs="Times New Roman" w:eastAsia="Times New Roman" w:hAnsi="Times New Roman"/>
          <w:sz w:val="17"/>
          <w:szCs w:val="17"/>
          <w:i w:val="1"/>
          <w:iCs w:val="1"/>
          <w:color w:val="auto"/>
        </w:rPr>
        <w:t>Grants Received by Business</w:t>
      </w:r>
      <w:r>
        <w:rPr>
          <w:sz w:val="20"/>
          <w:szCs w:val="20"/>
          <w:color w:val="auto"/>
        </w:rPr>
        <w:tab/>
      </w:r>
      <w:r>
        <w:rPr>
          <w:rFonts w:ascii="Times New Roman" w:cs="Times New Roman" w:eastAsia="Times New Roman" w:hAnsi="Times New Roman"/>
          <w:sz w:val="17"/>
          <w:szCs w:val="17"/>
          <w:color w:val="auto"/>
        </w:rPr>
        <w:t>receipt) and detailed disclosures, aiming to improve consistency and</w:t>
      </w:r>
    </w:p>
    <w:p>
      <w:pPr>
        <w:ind w:left="20"/>
        <w:spacing w:after="0"/>
        <w:tabs>
          <w:tab w:leader="none" w:pos="2480" w:val="left"/>
        </w:tabs>
        <w:rPr>
          <w:sz w:val="20"/>
          <w:szCs w:val="20"/>
          <w:color w:val="auto"/>
        </w:rPr>
      </w:pPr>
      <w:r>
        <w:rPr>
          <w:rFonts w:ascii="Times New Roman" w:cs="Times New Roman" w:eastAsia="Times New Roman" w:hAnsi="Times New Roman"/>
          <w:sz w:val="17"/>
          <w:szCs w:val="17"/>
          <w:i w:val="1"/>
          <w:iCs w:val="1"/>
          <w:color w:val="auto"/>
        </w:rPr>
        <w:t>Entities</w:t>
      </w:r>
      <w:r>
        <w:rPr>
          <w:sz w:val="20"/>
          <w:szCs w:val="20"/>
          <w:color w:val="auto"/>
        </w:rPr>
        <w:tab/>
      </w:r>
      <w:r>
        <w:rPr>
          <w:rFonts w:ascii="Times New Roman" w:cs="Times New Roman" w:eastAsia="Times New Roman" w:hAnsi="Times New Roman"/>
          <w:sz w:val="17"/>
          <w:szCs w:val="17"/>
          <w:color w:val="auto"/>
        </w:rPr>
        <w:t>comparability in financial reporting for grants.</w:t>
      </w:r>
    </w:p>
    <w:p>
      <w:pPr>
        <w:spacing w:after="0" w:line="109"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7"/>
          <w:szCs w:val="17"/>
          <w:color w:val="auto"/>
        </w:rPr>
        <w:t>The new guidance is effective for public business entities in annual periods</w:t>
      </w:r>
    </w:p>
    <w:p>
      <w:pPr>
        <w:ind w:left="2500"/>
        <w:spacing w:after="0" w:line="215" w:lineRule="auto"/>
        <w:rPr>
          <w:sz w:val="20"/>
          <w:szCs w:val="20"/>
          <w:color w:val="auto"/>
        </w:rPr>
      </w:pPr>
      <w:r>
        <w:rPr>
          <w:rFonts w:ascii="Times New Roman" w:cs="Times New Roman" w:eastAsia="Times New Roman" w:hAnsi="Times New Roman"/>
          <w:sz w:val="17"/>
          <w:szCs w:val="17"/>
          <w:color w:val="auto"/>
        </w:rPr>
        <w:t>beginning after December 15, 2028 (including interim periods within), with</w:t>
      </w:r>
    </w:p>
    <w:p>
      <w:pPr>
        <w:ind w:left="2500"/>
        <w:spacing w:after="0" w:line="199" w:lineRule="auto"/>
        <w:rPr>
          <w:sz w:val="20"/>
          <w:szCs w:val="20"/>
          <w:color w:val="auto"/>
        </w:rPr>
      </w:pPr>
      <w:r>
        <w:rPr>
          <w:rFonts w:ascii="Times New Roman" w:cs="Times New Roman" w:eastAsia="Times New Roman" w:hAnsi="Times New Roman"/>
          <w:sz w:val="17"/>
          <w:szCs w:val="17"/>
          <w:color w:val="auto"/>
        </w:rPr>
        <w:t>early adoption permitted in any period for which financial statements have</w:t>
      </w:r>
    </w:p>
    <w:p>
      <w:pPr>
        <w:ind w:left="2500" w:right="100"/>
        <w:spacing w:after="0" w:line="233" w:lineRule="auto"/>
        <w:rPr>
          <w:sz w:val="20"/>
          <w:szCs w:val="20"/>
          <w:color w:val="auto"/>
        </w:rPr>
      </w:pPr>
      <w:r>
        <w:rPr>
          <w:rFonts w:ascii="Times New Roman" w:cs="Times New Roman" w:eastAsia="Times New Roman" w:hAnsi="Times New Roman"/>
          <w:sz w:val="17"/>
          <w:szCs w:val="17"/>
          <w:color w:val="auto"/>
        </w:rPr>
        <w:t>not yet been issued. The guidance can be applied on a modified prospective basis, a modified retrospective basis, or a full retrospective basis</w:t>
      </w:r>
    </w:p>
    <w:p>
      <w:pPr>
        <w:spacing w:after="0" w:line="59" w:lineRule="exact"/>
        <w:rPr>
          <w:sz w:val="20"/>
          <w:szCs w:val="20"/>
          <w:color w:val="auto"/>
        </w:rPr>
      </w:pPr>
    </w:p>
    <w:p>
      <w:pPr>
        <w:ind w:left="20"/>
        <w:spacing w:after="0"/>
        <w:tabs>
          <w:tab w:leader="none" w:pos="2480" w:val="left"/>
        </w:tabs>
        <w:rPr>
          <w:sz w:val="20"/>
          <w:szCs w:val="20"/>
          <w:color w:val="auto"/>
        </w:rPr>
      </w:pPr>
      <w:r>
        <w:rPr>
          <w:rFonts w:ascii="Times New Roman" w:cs="Times New Roman" w:eastAsia="Times New Roman" w:hAnsi="Times New Roman"/>
          <w:sz w:val="17"/>
          <w:szCs w:val="17"/>
          <w:color w:val="auto"/>
        </w:rPr>
        <w:t>ASU 2025-11, December 2025,</w:t>
      </w:r>
      <w:r>
        <w:rPr>
          <w:sz w:val="20"/>
          <w:szCs w:val="20"/>
          <w:color w:val="auto"/>
        </w:rPr>
        <w:tab/>
      </w:r>
      <w:r>
        <w:rPr>
          <w:rFonts w:ascii="Times New Roman" w:cs="Times New Roman" w:eastAsia="Times New Roman" w:hAnsi="Times New Roman"/>
          <w:sz w:val="17"/>
          <w:szCs w:val="17"/>
          <w:color w:val="auto"/>
        </w:rPr>
        <w:t>This ASU clarifies interim disclosure requirements including the form and</w:t>
      </w:r>
    </w:p>
    <w:p>
      <w:pPr>
        <w:ind w:left="20"/>
        <w:spacing w:after="0" w:line="198" w:lineRule="auto"/>
        <w:tabs>
          <w:tab w:leader="none" w:pos="2480" w:val="left"/>
        </w:tabs>
        <w:rPr>
          <w:sz w:val="20"/>
          <w:szCs w:val="20"/>
          <w:color w:val="auto"/>
        </w:rPr>
      </w:pPr>
      <w:r>
        <w:rPr>
          <w:rFonts w:ascii="Times New Roman" w:cs="Times New Roman" w:eastAsia="Times New Roman" w:hAnsi="Times New Roman"/>
          <w:sz w:val="17"/>
          <w:szCs w:val="17"/>
          <w:i w:val="1"/>
          <w:iCs w:val="1"/>
          <w:color w:val="auto"/>
        </w:rPr>
        <w:t>Interim Reporting (Topic 270),</w:t>
      </w:r>
      <w:r>
        <w:rPr>
          <w:sz w:val="20"/>
          <w:szCs w:val="20"/>
          <w:color w:val="auto"/>
        </w:rPr>
        <w:tab/>
      </w:r>
      <w:r>
        <w:rPr>
          <w:rFonts w:ascii="Times New Roman" w:cs="Times New Roman" w:eastAsia="Times New Roman" w:hAnsi="Times New Roman"/>
          <w:sz w:val="17"/>
          <w:szCs w:val="17"/>
          <w:color w:val="auto"/>
        </w:rPr>
        <w:t>content of such financial statements, adds a comprehensive list of mandatory</w:t>
      </w:r>
    </w:p>
    <w:p>
      <w:pPr>
        <w:ind w:left="20"/>
        <w:spacing w:after="0" w:line="216" w:lineRule="auto"/>
        <w:tabs>
          <w:tab w:leader="none" w:pos="2480" w:val="left"/>
        </w:tabs>
        <w:rPr>
          <w:sz w:val="20"/>
          <w:szCs w:val="20"/>
          <w:color w:val="auto"/>
        </w:rPr>
      </w:pPr>
      <w:r>
        <w:rPr>
          <w:rFonts w:ascii="Times New Roman" w:cs="Times New Roman" w:eastAsia="Times New Roman" w:hAnsi="Times New Roman"/>
          <w:sz w:val="17"/>
          <w:szCs w:val="17"/>
          <w:i w:val="1"/>
          <w:iCs w:val="1"/>
          <w:color w:val="auto"/>
        </w:rPr>
        <w:t>Narrow-Scope Improvements</w:t>
      </w:r>
      <w:r>
        <w:rPr>
          <w:sz w:val="20"/>
          <w:szCs w:val="20"/>
          <w:color w:val="auto"/>
        </w:rPr>
        <w:tab/>
      </w:r>
      <w:r>
        <w:rPr>
          <w:rFonts w:ascii="Times New Roman" w:cs="Times New Roman" w:eastAsia="Times New Roman" w:hAnsi="Times New Roman"/>
          <w:sz w:val="17"/>
          <w:szCs w:val="17"/>
          <w:color w:val="auto"/>
        </w:rPr>
        <w:t>interim disclosures, and establishes a principle under which an entity must</w:t>
      </w:r>
    </w:p>
    <w:p>
      <w:pPr>
        <w:ind w:left="2500" w:right="160"/>
        <w:spacing w:after="0" w:line="233" w:lineRule="auto"/>
        <w:rPr>
          <w:sz w:val="20"/>
          <w:szCs w:val="20"/>
          <w:color w:val="auto"/>
        </w:rPr>
      </w:pPr>
      <w:r>
        <w:rPr>
          <w:rFonts w:ascii="Times New Roman" w:cs="Times New Roman" w:eastAsia="Times New Roman" w:hAnsi="Times New Roman"/>
          <w:sz w:val="17"/>
          <w:szCs w:val="17"/>
          <w:color w:val="auto"/>
        </w:rPr>
        <w:t>disclose events since the end of the last annual reporting period that have a material impact on the entity.</w:t>
      </w:r>
    </w:p>
    <w:p>
      <w:pPr>
        <w:spacing w:after="0" w:line="100"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7"/>
          <w:szCs w:val="17"/>
          <w:color w:val="auto"/>
        </w:rPr>
        <w:t>The guidance can be applied either prospectively or retrospectively. The</w:t>
      </w:r>
    </w:p>
    <w:p>
      <w:pPr>
        <w:ind w:left="2500"/>
        <w:spacing w:after="0" w:line="215" w:lineRule="auto"/>
        <w:rPr>
          <w:sz w:val="20"/>
          <w:szCs w:val="20"/>
          <w:color w:val="auto"/>
        </w:rPr>
      </w:pPr>
      <w:r>
        <w:rPr>
          <w:rFonts w:ascii="Times New Roman" w:cs="Times New Roman" w:eastAsia="Times New Roman" w:hAnsi="Times New Roman"/>
          <w:sz w:val="17"/>
          <w:szCs w:val="17"/>
          <w:color w:val="auto"/>
        </w:rPr>
        <w:t>guidance applies to all public entities and is effective for interim reporting</w:t>
      </w:r>
    </w:p>
    <w:p>
      <w:pPr>
        <w:ind w:left="2500"/>
        <w:spacing w:after="0" w:line="199" w:lineRule="auto"/>
        <w:rPr>
          <w:sz w:val="20"/>
          <w:szCs w:val="20"/>
          <w:color w:val="auto"/>
        </w:rPr>
      </w:pPr>
      <w:r>
        <w:rPr>
          <w:rFonts w:ascii="Times New Roman" w:cs="Times New Roman" w:eastAsia="Times New Roman" w:hAnsi="Times New Roman"/>
          <w:sz w:val="17"/>
          <w:szCs w:val="17"/>
          <w:color w:val="auto"/>
        </w:rPr>
        <w:t>periods with annual reporting periods after December 15, 2027. Early</w:t>
      </w:r>
    </w:p>
    <w:p>
      <w:pPr>
        <w:ind w:left="2500"/>
        <w:spacing w:after="0"/>
        <w:rPr>
          <w:sz w:val="20"/>
          <w:szCs w:val="20"/>
          <w:color w:val="auto"/>
        </w:rPr>
      </w:pPr>
      <w:r>
        <w:rPr>
          <w:rFonts w:ascii="Times New Roman" w:cs="Times New Roman" w:eastAsia="Times New Roman" w:hAnsi="Times New Roman"/>
          <w:sz w:val="17"/>
          <w:szCs w:val="17"/>
          <w:color w:val="auto"/>
        </w:rPr>
        <w:t>adoption is permitted.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5" w:lineRule="auto"/>
        <w:rPr>
          <w:sz w:val="20"/>
          <w:szCs w:val="20"/>
          <w:color w:val="auto"/>
        </w:rPr>
      </w:pPr>
      <w:r>
        <w:rPr>
          <w:rFonts w:ascii="Times New Roman" w:cs="Times New Roman" w:eastAsia="Times New Roman" w:hAnsi="Times New Roman"/>
          <w:sz w:val="16"/>
          <w:szCs w:val="16"/>
          <w:color w:val="auto"/>
        </w:rPr>
        <w:t>We are assessing the impact of this ASU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We are assessing the impact of this ASU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We are assessing the impact of this ASU on our consolidated financial statements.</w:t>
      </w:r>
    </w:p>
    <w:p>
      <w:pPr>
        <w:sectPr>
          <w:pgSz w:w="11900" w:h="16838" w:orient="portrait"/>
          <w:cols w:equalWidth="0" w:num="2">
            <w:col w:w="7760" w:space="180"/>
            <w:col w:w="3080"/>
          </w:cols>
          <w:pgMar w:left="320" w:top="124" w:right="55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ectPr>
          <w:pgSz w:w="11900" w:h="16838" w:orient="portrait"/>
          <w:cols w:equalWidth="0" w:num="1">
            <w:col w:w="11220"/>
          </w:cols>
          <w:pgMar w:left="320" w:top="12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0"/>
        <w:spacing w:after="0"/>
        <w:tabs>
          <w:tab w:leader="none" w:pos="2460" w:val="left"/>
        </w:tabs>
        <w:rPr>
          <w:sz w:val="20"/>
          <w:szCs w:val="20"/>
          <w:color w:val="auto"/>
        </w:rPr>
      </w:pPr>
      <w:r>
        <w:rPr>
          <w:rFonts w:ascii="Times New Roman" w:cs="Times New Roman" w:eastAsia="Times New Roman" w:hAnsi="Times New Roman"/>
          <w:sz w:val="18"/>
          <w:szCs w:val="18"/>
          <w:b w:val="1"/>
          <w:bCs w:val="1"/>
          <w:color w:val="auto"/>
        </w:rPr>
        <w:t>Standard</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49549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54905" cy="8255"/>
                    </a:xfrm>
                    <a:prstGeom prst="rect">
                      <a:avLst/>
                    </a:prstGeom>
                    <a:noFill/>
                  </pic:spPr>
                </pic:pic>
              </a:graphicData>
            </a:graphic>
          </wp:anchor>
        </w:drawing>
      </w:r>
    </w:p>
    <w:p>
      <w:pPr>
        <w:spacing w:after="0" w:line="55" w:lineRule="exact"/>
        <w:rPr>
          <w:sz w:val="20"/>
          <w:szCs w:val="20"/>
          <w:color w:val="auto"/>
        </w:rPr>
      </w:pPr>
    </w:p>
    <w:p>
      <w:pPr>
        <w:ind w:left="20"/>
        <w:spacing w:after="0"/>
        <w:tabs>
          <w:tab w:leader="none" w:pos="2460" w:val="left"/>
        </w:tabs>
        <w:rPr>
          <w:sz w:val="20"/>
          <w:szCs w:val="20"/>
          <w:color w:val="auto"/>
        </w:rPr>
      </w:pPr>
      <w:r>
        <w:rPr>
          <w:rFonts w:ascii="Times New Roman" w:cs="Times New Roman" w:eastAsia="Times New Roman" w:hAnsi="Times New Roman"/>
          <w:sz w:val="17"/>
          <w:szCs w:val="17"/>
          <w:color w:val="auto"/>
        </w:rPr>
        <w:t>ASU 2025-12, December 2025,</w:t>
      </w:r>
      <w:r>
        <w:rPr>
          <w:sz w:val="20"/>
          <w:szCs w:val="20"/>
          <w:color w:val="auto"/>
        </w:rPr>
        <w:tab/>
      </w:r>
      <w:r>
        <w:rPr>
          <w:rFonts w:ascii="Times New Roman" w:cs="Times New Roman" w:eastAsia="Times New Roman" w:hAnsi="Times New Roman"/>
          <w:sz w:val="17"/>
          <w:szCs w:val="17"/>
          <w:color w:val="auto"/>
        </w:rPr>
        <w:t>This ASU clarifies, corrects errors in and makes improvements to several</w:t>
      </w:r>
    </w:p>
    <w:p>
      <w:pPr>
        <w:ind w:left="2480" w:hanging="2456"/>
        <w:spacing w:after="0" w:line="207" w:lineRule="auto"/>
        <w:tabs>
          <w:tab w:leader="none" w:pos="2460" w:val="left"/>
        </w:tabs>
        <w:rPr>
          <w:sz w:val="20"/>
          <w:szCs w:val="20"/>
          <w:color w:val="auto"/>
        </w:rPr>
      </w:pPr>
      <w:r>
        <w:rPr>
          <w:rFonts w:ascii="Times New Roman" w:cs="Times New Roman" w:eastAsia="Times New Roman" w:hAnsi="Times New Roman"/>
          <w:sz w:val="17"/>
          <w:szCs w:val="17"/>
          <w:i w:val="1"/>
          <w:iCs w:val="1"/>
          <w:color w:val="auto"/>
        </w:rPr>
        <w:t>Codification Improvements</w:t>
      </w:r>
      <w:r>
        <w:rPr>
          <w:sz w:val="20"/>
          <w:szCs w:val="20"/>
          <w:color w:val="auto"/>
        </w:rPr>
        <w:tab/>
      </w:r>
      <w:r>
        <w:rPr>
          <w:rFonts w:ascii="Times New Roman" w:cs="Times New Roman" w:eastAsia="Times New Roman" w:hAnsi="Times New Roman"/>
          <w:sz w:val="17"/>
          <w:szCs w:val="17"/>
          <w:color w:val="auto"/>
        </w:rPr>
        <w:t>topics within the FASB Codification. The amendments are part of an ongoing FASB project to make non-substantive technical corrections, clarifications,</w:t>
      </w:r>
    </w:p>
    <w:p>
      <w:pPr>
        <w:ind w:left="2480" w:right="100"/>
        <w:spacing w:after="0" w:line="233" w:lineRule="auto"/>
        <w:rPr>
          <w:sz w:val="20"/>
          <w:szCs w:val="20"/>
          <w:color w:val="auto"/>
        </w:rPr>
      </w:pPr>
      <w:r>
        <w:rPr>
          <w:rFonts w:ascii="Times New Roman" w:cs="Times New Roman" w:eastAsia="Times New Roman" w:hAnsi="Times New Roman"/>
          <w:sz w:val="17"/>
          <w:szCs w:val="17"/>
          <w:color w:val="auto"/>
        </w:rPr>
        <w:t>and improvements to make standards more consistent and easier to interpret for preparers and users.</w:t>
      </w:r>
    </w:p>
    <w:p>
      <w:pPr>
        <w:spacing w:after="0" w:line="102" w:lineRule="exact"/>
        <w:rPr>
          <w:sz w:val="20"/>
          <w:szCs w:val="20"/>
          <w:color w:val="auto"/>
        </w:rPr>
      </w:pPr>
    </w:p>
    <w:p>
      <w:pPr>
        <w:ind w:left="2480" w:right="160"/>
        <w:spacing w:after="0" w:line="234" w:lineRule="auto"/>
        <w:rPr>
          <w:sz w:val="20"/>
          <w:szCs w:val="20"/>
          <w:color w:val="auto"/>
        </w:rPr>
      </w:pPr>
      <w:r>
        <w:rPr>
          <w:rFonts w:ascii="Times New Roman" w:cs="Times New Roman" w:eastAsia="Times New Roman" w:hAnsi="Times New Roman"/>
          <w:sz w:val="17"/>
          <w:szCs w:val="17"/>
          <w:color w:val="auto"/>
        </w:rPr>
        <w:t>The guidance applies to all public entities and is effective for fiscal years beginning after December 15, 2026, and interim periods within those fiscal years. Early adoption is permitted.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500"/>
        <w:spacing w:after="0" w:line="239" w:lineRule="auto"/>
        <w:rPr>
          <w:sz w:val="20"/>
          <w:szCs w:val="20"/>
          <w:color w:val="auto"/>
        </w:rPr>
      </w:pPr>
      <w:r>
        <w:rPr>
          <w:rFonts w:ascii="Times New Roman" w:cs="Times New Roman" w:eastAsia="Times New Roman" w:hAnsi="Times New Roman"/>
          <w:sz w:val="18"/>
          <w:szCs w:val="18"/>
          <w:b w:val="1"/>
          <w:bCs w:val="1"/>
          <w:color w:val="auto"/>
        </w:rPr>
        <w:t>Effect on the financial statements or significant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9525</wp:posOffset>
            </wp:positionV>
            <wp:extent cx="21088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49"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16"/>
          <w:szCs w:val="16"/>
          <w:color w:val="auto"/>
        </w:rPr>
        <w:t>We do not expect this ASU to have a material impact on our consolidated financial statements.</w:t>
      </w:r>
    </w:p>
    <w:p>
      <w:pPr>
        <w:spacing w:after="0" w:line="1400" w:lineRule="exact"/>
        <w:rPr>
          <w:sz w:val="20"/>
          <w:szCs w:val="20"/>
          <w:color w:val="auto"/>
        </w:rPr>
      </w:pPr>
    </w:p>
    <w:p>
      <w:pPr>
        <w:sectPr>
          <w:pgSz w:w="11900" w:h="16838" w:orient="portrait"/>
          <w:cols w:equalWidth="0" w:num="2">
            <w:col w:w="7780" w:space="160"/>
            <w:col w:w="3280"/>
          </w:cols>
          <w:pgMar w:left="320" w:top="124" w:right="359" w:bottom="1440" w:gutter="0" w:footer="0" w:header="0"/>
          <w:type w:val="continuous"/>
        </w:sect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Flows—Supplemental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supplemental disclosures related to the Consolidated Statements of Cash Flows:</w:t>
      </w:r>
    </w:p>
    <w:p>
      <w:pPr>
        <w:spacing w:after="0" w:line="43"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42"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4"/>
          <w:szCs w:val="14"/>
          <w:b w:val="1"/>
          <w:bCs w:val="1"/>
          <w:color w:val="auto"/>
        </w:rPr>
        <w:t>March 31,</w:t>
      </w:r>
    </w:p>
    <w:p>
      <w:pPr>
        <w:sectPr>
          <w:pgSz w:w="11900" w:h="16838" w:orient="portrait"/>
          <w:cols w:equalWidth="0" w:num="1">
            <w:col w:w="11220"/>
          </w:cols>
          <w:pgMar w:left="320" w:top="124" w:right="359" w:bottom="1440" w:gutter="0" w:footer="0" w:header="0"/>
          <w:type w:val="continuous"/>
        </w:sectPr>
      </w:pPr>
    </w:p>
    <w:p>
      <w:pPr>
        <w:spacing w:after="0" w:line="200" w:lineRule="exact"/>
        <w:rPr>
          <w:sz w:val="20"/>
          <w:szCs w:val="20"/>
          <w:color w:val="auto"/>
        </w:rPr>
      </w:pPr>
    </w:p>
    <w:p>
      <w:pPr>
        <w:spacing w:after="0" w:line="2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SUPPLEMENTAL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06285"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 interest costs incurred</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Interest capitalized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Cash paid for interest, net of amounts capitalized</w:t>
      </w:r>
    </w:p>
    <w:p>
      <w:pPr>
        <w:spacing w:after="0" w:line="7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Cash paid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06285" cy="180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6285" cy="18034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NON-CASH INVESTING AND FINANCING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06285"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Mortgage note receivable repaid with property acquisition</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Shares issued under dividend reinvestment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DownREIT operating partnership units issued with acquisition</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DownREIT operating partnership units redeemed for common shares</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8"/>
                <w:szCs w:val="18"/>
                <w:color w:val="auto"/>
              </w:rPr>
            </w:pPr>
          </w:p>
        </w:tc>
      </w:tr>
      <w:tr>
        <w:trPr>
          <w:trHeight w:val="190"/>
        </w:trPr>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gridSpan w:val="4"/>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6"/>
                <w:szCs w:val="16"/>
                <w:color w:val="auto"/>
              </w:rPr>
            </w:pPr>
          </w:p>
        </w:tc>
      </w:tr>
      <w:tr>
        <w:trPr>
          <w:trHeight w:val="466"/>
        </w:trPr>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52,079</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47,325</w:t>
            </w:r>
          </w:p>
        </w:tc>
        <w:tc>
          <w:tcPr>
            <w:tcW w:w="20" w:type="dxa"/>
            <w:vAlign w:val="bottom"/>
          </w:tcPr>
          <w:p>
            <w:pPr>
              <w:spacing w:after="0"/>
              <w:rPr>
                <w:sz w:val="24"/>
                <w:szCs w:val="24"/>
                <w:color w:val="auto"/>
              </w:rPr>
            </w:pPr>
          </w:p>
        </w:tc>
      </w:tr>
      <w:tr>
        <w:trPr>
          <w:trHeight w:val="234"/>
        </w:trPr>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(4,850)</w:t>
            </w:r>
          </w:p>
        </w:tc>
        <w:tc>
          <w:tcPr>
            <w:tcW w:w="20" w:type="dxa"/>
            <w:vAlign w:val="bottom"/>
          </w:tcPr>
          <w:p>
            <w:pPr>
              <w:spacing w:after="0"/>
              <w:rPr>
                <w:sz w:val="20"/>
                <w:szCs w:val="20"/>
                <w:color w:val="auto"/>
              </w:rPr>
            </w:pPr>
          </w:p>
        </w:tc>
      </w:tr>
      <w:tr>
        <w:trPr>
          <w:trHeight w:val="223"/>
        </w:trPr>
        <w:tc>
          <w:tcPr>
            <w:tcW w:w="2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49,116</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42,475</w:t>
            </w:r>
          </w:p>
        </w:tc>
        <w:tc>
          <w:tcPr>
            <w:tcW w:w="20" w:type="dxa"/>
            <w:vAlign w:val="bottom"/>
          </w:tcPr>
          <w:p>
            <w:pPr>
              <w:spacing w:after="0"/>
              <w:rPr>
                <w:sz w:val="19"/>
                <w:szCs w:val="19"/>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40,819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34,997</w:t>
            </w:r>
          </w:p>
        </w:tc>
        <w:tc>
          <w:tcPr>
            <w:tcW w:w="20" w:type="dxa"/>
            <w:vAlign w:val="bottom"/>
          </w:tcPr>
          <w:p>
            <w:pPr>
              <w:spacing w:after="0"/>
              <w:rPr>
                <w:sz w:val="19"/>
                <w:szCs w:val="19"/>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9"/>
                <w:szCs w:val="19"/>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1"/>
        </w:trPr>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9,575</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r>
      <w:tr>
        <w:trPr>
          <w:trHeight w:val="230"/>
        </w:trPr>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0" w:type="dxa"/>
            <w:vAlign w:val="bottom"/>
          </w:tcPr>
          <w:p>
            <w:pPr>
              <w:spacing w:after="0"/>
              <w:rPr>
                <w:sz w:val="19"/>
                <w:szCs w:val="19"/>
                <w:color w:val="auto"/>
              </w:rPr>
            </w:pPr>
          </w:p>
        </w:tc>
      </w:tr>
      <w:tr>
        <w:trPr>
          <w:trHeight w:val="230"/>
        </w:trPr>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4"/>
        </w:trPr>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20"/>
                <w:szCs w:val="20"/>
                <w:color w:val="auto"/>
              </w:rPr>
            </w:pPr>
          </w:p>
        </w:tc>
      </w:tr>
      <w:tr>
        <w:trPr>
          <w:trHeight w:val="395"/>
        </w:trPr>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24"/>
                <w:szCs w:val="24"/>
                <w:color w:val="auto"/>
              </w:rPr>
            </w:pP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24"/>
                <w:szCs w:val="24"/>
                <w:color w:val="auto"/>
              </w:rPr>
            </w:pPr>
          </w:p>
        </w:tc>
      </w:tr>
      <w:tr>
        <w:trPr>
          <w:trHeight w:val="203"/>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7"/>
                <w:szCs w:val="17"/>
                <w:color w:val="auto"/>
              </w:rPr>
            </w:pPr>
          </w:p>
        </w:tc>
      </w:tr>
      <w:tr>
        <w:trPr>
          <w:trHeight w:val="23"/>
        </w:trPr>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4"/>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84"/>
        </w:trPr>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20" w:type="dxa"/>
            <w:vAlign w:val="bottom"/>
            <w:gridSpan w:val="4"/>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5"/>
                <w:szCs w:val="15"/>
                <w:color w:val="auto"/>
              </w:rPr>
            </w:pPr>
          </w:p>
        </w:tc>
      </w:tr>
    </w:tbl>
    <w:p>
      <w:pPr>
        <w:spacing w:after="0" w:line="20" w:lineRule="exact"/>
        <w:rPr>
          <w:sz w:val="20"/>
          <w:szCs w:val="20"/>
          <w:color w:val="auto"/>
        </w:rPr>
      </w:pPr>
    </w:p>
    <w:p>
      <w:pPr>
        <w:sectPr>
          <w:pgSz w:w="11900" w:h="16838" w:orient="portrait"/>
          <w:cols w:equalWidth="0" w:num="2">
            <w:col w:w="7720" w:space="720"/>
            <w:col w:w="2780"/>
          </w:cols>
          <w:pgMar w:left="320" w:top="124" w:right="359" w:bottom="1440" w:gutter="0" w:footer="0" w:header="0"/>
          <w:type w:val="continuous"/>
        </w:sectPr>
      </w:pPr>
    </w:p>
    <w:tbl>
      <w:tblPr>
        <w:tblLayout w:type="fixed"/>
        <w:tblInd w:w="40" w:type="dxa"/>
        <w:tblCellMar>
          <w:top w:w="0" w:type="dxa"/>
          <w:left w:w="0" w:type="dxa"/>
          <w:bottom w:w="0" w:type="dxa"/>
          <w:right w:w="0" w:type="dxa"/>
        </w:tblCellMar>
      </w:tblPr>
      <w:tr>
        <w:trPr>
          <w:trHeight w:val="222"/>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RECONCILIATION OF CASH, CASH EQUIVALENTS, AND RESTRICTED CASH:</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8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115,633</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107,415</w:t>
            </w:r>
          </w:p>
        </w:tc>
      </w:tr>
      <w:tr>
        <w:trPr>
          <w:trHeight w:val="229"/>
        </w:trPr>
        <w:tc>
          <w:tcPr>
            <w:tcW w:w="8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Restricted cash (1)</w:t>
            </w: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10,291</w:t>
            </w:r>
          </w:p>
        </w:tc>
      </w:tr>
      <w:tr>
        <w:trPr>
          <w:trHeight w:val="223"/>
        </w:trPr>
        <w:tc>
          <w:tcPr>
            <w:tcW w:w="8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123,893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117,706</w:t>
            </w:r>
          </w:p>
        </w:tc>
      </w:tr>
      <w:tr>
        <w:trPr>
          <w:trHeight w:val="21"/>
        </w:trPr>
        <w:tc>
          <w:tcPr>
            <w:tcW w:w="8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Restricted cash balances are included in "prepaid expenses and other assets" on our consolidated balance sheets.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3—REAL ESTATE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6, 2026, we purchased the fee interest under one of our ground leases at Bethesda Row for $2.5 million.</w:t>
      </w:r>
    </w:p>
    <w:p>
      <w:pPr>
        <w:spacing w:after="0" w:line="10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March 12, 2026, we acquired the fee interest in Congressional North Shopping Center, a 217,000 square foot, grocery-anchored shopping center in Rockville, Maryland for $72.3 million. This purchase was completed in a multi-step transaction, and was funded with a combination of cash and the issuance of 2,513 downREIT operating partnership units, net of the repayment of two mortgage notes receivable that were included on our consolidated balance sheets at December 31, 2025. Approximately $5.2 million and $0.1 million of net assets acquired were allocated to other assets for "acquired lease costs" and "above market leases," respectively, and $1.5 million of net assets acquired were allocated to other liabilities for "below market leases."</w:t>
      </w:r>
    </w:p>
    <w:p>
      <w:pPr>
        <w:spacing w:after="0" w:line="4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we sold a residential building at our Santana Row property and we sold our Courthouse Center retail property for a combined sales price of $158.5 million, resulting in a net gain of $92.2 million.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4—DEBT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17, 2026 we repaid our $400.0 million 1.25% senior unsecured notes at maturity.</w:t>
      </w:r>
    </w:p>
    <w:p>
      <w:pPr>
        <w:spacing w:after="0" w:line="9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On February 19, 2026 we borrowed $250.0 million under the unsecured term loan agreement that we entered into on November 17, 2025. See Note 5 of our Annual Report on Form 10-K for the year ended December 31, 2025 for additional details regarding this term loan.</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March 2026, we repaid two mortgage loans totaling $2.1 million at our Hoboken property, at par.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2026, the maximum amount of borrowings outstanding under our $1.25 billion revolving credit facility was</w:t>
      </w:r>
    </w:p>
    <w:p>
      <w:pPr>
        <w:spacing w:after="0" w:line="2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$699.5 million. The weighted average amount of borrowings outstanding was $397.3 million and the weighted average interest rate, before amortization of debt fees, was 4.4% for the three months ended March 31, 2026. At March 31, 2026, our revolving credit facility had $369.1 million outstanding.</w:t>
      </w:r>
    </w:p>
    <w:p>
      <w:pPr>
        <w:spacing w:after="0" w:line="46"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Our revolving credit facility, unsecured term loans, and certain notes require us to comply with various financial covenants, including the maintenance of minimum shareholders' equity and debt coverage ratios and a maximum ratio of debt to net worth. As of March 31, 2026, we were in compliance with all default related debt covenants.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Exchangeable Senior Notes</w:t>
      </w:r>
    </w:p>
    <w:p>
      <w:pPr>
        <w:spacing w:after="0" w:line="67" w:lineRule="exact"/>
        <w:rPr>
          <w:sz w:val="20"/>
          <w:szCs w:val="20"/>
          <w:color w:val="auto"/>
        </w:rPr>
      </w:pPr>
    </w:p>
    <w:p>
      <w:pPr>
        <w:ind w:right="200"/>
        <w:spacing w:after="0" w:line="243" w:lineRule="auto"/>
        <w:rPr>
          <w:sz w:val="20"/>
          <w:szCs w:val="20"/>
          <w:color w:val="auto"/>
        </w:rPr>
      </w:pPr>
      <w:r>
        <w:rPr>
          <w:rFonts w:ascii="Times New Roman" w:cs="Times New Roman" w:eastAsia="Times New Roman" w:hAnsi="Times New Roman"/>
          <w:sz w:val="18"/>
          <w:szCs w:val="18"/>
          <w:color w:val="auto"/>
        </w:rPr>
        <w:t>On January 11, 2024, our Operating Partnership issued $485.0 million aggregate principal amount of 3.25% Exchangeable Senior Notes due 2029 (the “Notes”) in a private placement. The Notes bear interest at an annual rate of 3.25%, payable semiannually in arrears on January 15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and July 15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of each year, beginning July 15, 2024. The Notes mature on January 15, 2029, unless earlier exchanged, purchased or redeemed. Interest expense related to these Notes was $4.6 million for both the three months ended March 31, 2026 and 2025, and includes debt issuance cost amortization of $0.7 million for both periods. Including the debt issuance cost amortization, the current effective interest rate on these Notes is approximately 3.9%. The unamortized debt issuance costs related to the Notes were $7.5 million at March 31, 2026.</w:t>
      </w:r>
    </w:p>
    <w:p>
      <w:pPr>
        <w:spacing w:after="0" w:line="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Prior to the close of business on July 15, 2028, the Notes will be exchangeable at the option of holders only upon certain circumstances and during certain periods. On or after July 15, 2028, until the close of business on the second scheduled trading day immediately preceding the maturity date of the Notes, holders may exchange their Notes at any time. The Operating Partnership will settle exchanges of the Notes by delivering cash up to the principal amount of the Notes exchanged, and if applicable, cash, common shares of the Trust, or a combination thereof at our option, in respect of the remainder, if any, of the exchange obligation in excess of the principal amount. If we elect to settle any portion of the exchange obligation in excess of the principal amount with shares of the Trust, an equivalent number of common units will be issued by the Operating Partnership to the Trust. The exchange rate initially equals</w:t>
      </w:r>
    </w:p>
    <w:p>
      <w:pPr>
        <w:spacing w:after="0" w:line="5"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8.1436 common shares per $1,000 principal amount of the Notes. The initial exchange rate is subject to adjustment upon the occurrence of certain events, including in the event of a payment of a quarterly common dividend in excess of $1.09 per share, but will not be adjusted for any accrued and unpaid interest. While our quarterly common dividend per share currently exceeds $1.09, the exchange rate has not materially changed.</w:t>
      </w:r>
    </w:p>
    <w:p>
      <w:pPr>
        <w:spacing w:after="0" w:line="64"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In connection with the Notes, we entered into privately negotiated capped call transactions with certain of the initial purchasers of the Notes or their affiliates or other financial institutions. The capped call transactions cover, subject to customary adjustments, the number of our common shares that initially underlie the Notes. The capped call transactions are expected generally to reduce the potential dilution to our common shares upon exchange of any Notes and/or offset any cash payments we are required to make in excess of the principal amount of the Notes, with such reduction and/or offset subject to a cap. The cap price of the capped call transaction initially is approximately $143.26 per share, and is subject to certain adjustments under the terms of the capped call transactions.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5—FAIR VALUE OF FINANCIAL INSTRUMENTS</w:t>
      </w:r>
    </w:p>
    <w:p>
      <w:pPr>
        <w:spacing w:after="0" w:line="10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Except as disclosed below, the carrying amount of our financial instruments approximates their fair value. The fair value of our mortgages payable, notes payable and senior notes and debentures is sensitive to fluctuations in interest rates. Quoted market prices (Level 1) were used to estimate the fair value of our marketable senior notes and debentures and discounted cash flow analysis (Level 2) is generally used to estimate the fair value of our mortgages and notes payable. Considerable judgment is necessary to estimate the fair value of financial instruments. The estimates of fair value presented herein are not necessarily indicative of the amounts that could be realized upon disposition of the financial instruments. A summary of the carrying amount and fair value of our mortgages payable, notes payable and senior notes and debentures is as follows: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20" w:type="dxa"/>
            <w:vAlign w:val="bottom"/>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40" w:type="dxa"/>
            <w:vAlign w:val="bottom"/>
          </w:tcPr>
          <w:p>
            <w:pPr>
              <w:spacing w:after="0"/>
              <w:rPr>
                <w:sz w:val="16"/>
                <w:szCs w:val="16"/>
                <w:color w:val="auto"/>
              </w:rPr>
            </w:pPr>
          </w:p>
        </w:tc>
        <w:tc>
          <w:tcPr>
            <w:tcW w:w="2520" w:type="dxa"/>
            <w:vAlign w:val="bottom"/>
            <w:gridSpan w:val="3"/>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5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5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right"/>
              <w:ind w:right="339"/>
              <w:spacing w:after="0" w:line="158"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00" w:type="dxa"/>
            <w:vAlign w:val="bottom"/>
          </w:tcPr>
          <w:p>
            <w:pPr>
              <w:spacing w:after="0"/>
              <w:rPr>
                <w:sz w:val="13"/>
                <w:szCs w:val="13"/>
                <w:color w:val="auto"/>
              </w:rPr>
            </w:pP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3"/>
                <w:szCs w:val="13"/>
                <w:color w:val="auto"/>
              </w:rPr>
            </w:pPr>
          </w:p>
        </w:tc>
        <w:tc>
          <w:tcPr>
            <w:tcW w:w="1120" w:type="dxa"/>
            <w:vAlign w:val="bottom"/>
          </w:tcPr>
          <w:p>
            <w:pPr>
              <w:jc w:val="right"/>
              <w:ind w:right="319"/>
              <w:spacing w:after="0" w:line="158"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00" w:type="dxa"/>
            <w:vAlign w:val="bottom"/>
          </w:tcPr>
          <w:p>
            <w:pPr>
              <w:spacing w:after="0"/>
              <w:rPr>
                <w:sz w:val="13"/>
                <w:szCs w:val="13"/>
                <w:color w:val="auto"/>
              </w:rPr>
            </w:pPr>
          </w:p>
        </w:tc>
        <w:tc>
          <w:tcPr>
            <w:tcW w:w="110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5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4"/>
          </w:tcPr>
          <w:p>
            <w:pPr>
              <w:jc w:val="right"/>
              <w:ind w:right="87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Mortgages and notes payable, net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1,884,354</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1,878,411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1,579,090</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1,572,977</w:t>
            </w: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and debentures, net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2,487,921</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2,311,623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2,887,190</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2,743,096</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Exchangeable senior notes, net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477,493</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497,966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476,820</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492,912</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summary of our outstanding interest rate swap agreements as of March 31, 2026:</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Rate Swap</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100" w:type="dxa"/>
            <w:vAlign w:val="bottom"/>
          </w:tcPr>
          <w:p>
            <w:pPr>
              <w:spacing w:after="0"/>
              <w:rPr>
                <w:sz w:val="13"/>
                <w:szCs w:val="13"/>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Maturity Date of Related Swap</w:t>
            </w:r>
          </w:p>
        </w:tc>
        <w:tc>
          <w:tcPr>
            <w:tcW w:w="13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3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20" w:type="dxa"/>
            <w:vAlign w:val="bottom"/>
          </w:tcPr>
          <w:p>
            <w:pPr>
              <w:spacing w:after="0"/>
              <w:rPr>
                <w:sz w:val="13"/>
                <w:szCs w:val="13"/>
                <w:color w:val="auto"/>
              </w:rPr>
            </w:pPr>
          </w:p>
        </w:tc>
        <w:tc>
          <w:tcPr>
            <w:tcW w:w="900" w:type="dxa"/>
            <w:vAlign w:val="bottom"/>
            <w:vMerge w:val="restart"/>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220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3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33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1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6"/>
        </w:trPr>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$750 million term loan</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shd w:val="clear" w:color="auto" w:fill="CCEEFF"/>
          </w:tcPr>
          <w:p>
            <w:pPr>
              <w:spacing w:after="0"/>
              <w:rPr>
                <w:sz w:val="20"/>
                <w:szCs w:val="20"/>
                <w:color w:val="auto"/>
              </w:rPr>
            </w:pP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2028</w:t>
            </w:r>
          </w:p>
        </w:tc>
        <w:tc>
          <w:tcPr>
            <w:tcW w:w="11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shd w:val="clear" w:color="auto" w:fill="CCEEFF"/>
              </w:rPr>
              <w:t>4.17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shd w:val="clear" w:color="auto" w:fill="CCEEFF"/>
              </w:rPr>
              <w:t>%</w:t>
            </w:r>
          </w:p>
        </w:tc>
        <w:tc>
          <w:tcPr>
            <w:tcW w:w="80" w:type="dxa"/>
            <w:vAlign w:val="bottom"/>
            <w:shd w:val="clear" w:color="auto" w:fill="CCEEFF"/>
          </w:tcPr>
          <w:p>
            <w:pPr>
              <w:spacing w:after="0"/>
              <w:rPr>
                <w:sz w:val="20"/>
                <w:szCs w:val="20"/>
                <w:color w:val="auto"/>
              </w:rPr>
            </w:pPr>
          </w:p>
        </w:tc>
        <w:tc>
          <w:tcPr>
            <w:tcW w:w="3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9"/>
        </w:trPr>
        <w:tc>
          <w:tcPr>
            <w:tcW w:w="2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Hoboken</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Borders>
              <w:bottom w:val="single" w:sz="8" w:color="CCEEFF"/>
            </w:tcBorders>
          </w:tcPr>
          <w:p>
            <w:pPr>
              <w:spacing w:after="0"/>
              <w:rPr>
                <w:sz w:val="19"/>
                <w:szCs w:val="19"/>
                <w:color w:val="auto"/>
              </w:rPr>
            </w:pPr>
          </w:p>
        </w:tc>
        <w:tc>
          <w:tcPr>
            <w:tcW w:w="2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December 15, 2029</w:t>
            </w:r>
          </w:p>
        </w:tc>
        <w:tc>
          <w:tcPr>
            <w:tcW w:w="4720" w:type="dxa"/>
            <w:vAlign w:val="bottom"/>
            <w:tcBorders>
              <w:bottom w:val="single" w:sz="8" w:color="CCEEFF"/>
            </w:tcBorders>
            <w:gridSpan w:val="5"/>
          </w:tcPr>
          <w:p>
            <w:pPr>
              <w:ind w:left="740"/>
              <w:spacing w:after="0"/>
              <w:rPr>
                <w:sz w:val="20"/>
                <w:szCs w:val="20"/>
                <w:color w:val="auto"/>
              </w:rPr>
            </w:pPr>
            <w:r>
              <w:rPr>
                <w:rFonts w:ascii="Times New Roman" w:cs="Times New Roman" w:eastAsia="Times New Roman" w:hAnsi="Times New Roman"/>
                <w:sz w:val="18"/>
                <w:szCs w:val="18"/>
                <w:color w:val="auto"/>
              </w:rPr>
              <w:t>3.67 %  Prepaid expenses and other assets</w:t>
            </w: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48"/>
        </w:trPr>
        <w:tc>
          <w:tcPr>
            <w:tcW w:w="2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1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The fair values of the interest rate swap agreements are based on the estimated amounts we would receive or pay to terminate the contracts at the reporting date and are determined using interest rate pricing models and interest rate related observable inputs. For the three months ended March 31, 2026, the value of our interest rate swaps increased $2.7 million, (including $0.7 million reclassified from other comprehensive income as a decrease to interest expense). A summary of our net financial assets that are measured at fair value on a recurring basis, by level within the fair value hierarchy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8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16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800" w:type="dxa"/>
            <w:vAlign w:val="bottom"/>
          </w:tcPr>
          <w:p>
            <w:pPr>
              <w:spacing w:after="0"/>
              <w:rPr>
                <w:sz w:val="16"/>
                <w:szCs w:val="16"/>
                <w:color w:val="auto"/>
              </w:rPr>
            </w:pPr>
          </w:p>
        </w:tc>
      </w:tr>
      <w:tr>
        <w:trPr>
          <w:trHeight w:val="23"/>
        </w:trPr>
        <w:tc>
          <w:tcPr>
            <w:tcW w:w="28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0"/>
        </w:trPr>
        <w:tc>
          <w:tcPr>
            <w:tcW w:w="2840" w:type="dxa"/>
            <w:vAlign w:val="bottom"/>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5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5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8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2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6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6"/>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70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5,285</w:t>
            </w:r>
          </w:p>
        </w:tc>
        <w:tc>
          <w:tcPr>
            <w:tcW w:w="80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2,601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w:t>
            </w:r>
          </w:p>
        </w:tc>
      </w:tr>
    </w:tbl>
    <w:p>
      <w:pPr>
        <w:spacing w:after="0" w:line="15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Three of our equity method investees have interest rate swaps which qualify for cash flow hedge accounting. For the three months ended March 31, 2026, our share of the change in fair value of the related swaps included in "accumulated other comprehensive income" was $0.4 million.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6—COMMITMENTS AND CONTINGENCIES</w:t>
      </w:r>
    </w:p>
    <w:p>
      <w:pPr>
        <w:spacing w:after="0" w:line="94"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We are sometimes involved in lawsuits, warranty claims, and environmental matters arising in the ordinary course of business. Management makes assumptions and estimates concerning the likelihood and amount of any potential loss relating to these matters.</w:t>
      </w:r>
    </w:p>
    <w:p>
      <w:pPr>
        <w:spacing w:after="0" w:line="10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are currently a party to various legal proceedings. We accrue a liability for litigation if an unfavorable outcome is probable and the amount of loss can be reasonably estimated. If an unfavorable outcome is probable and a reasonable estimate of the loss is a range, we accrue the best estimate within the range; however, if no amount within the range is a better estimate than any other amount, the minimum within the range is accrued. Legal fees related to litigation are expensed as incurred. We do not believe that the ultimate outcome of these matters, either individually or in the aggregate, could have a material adverse effect on our financial position or overall trends in results of operations; however, litigation is subject to inherent uncertainties. Also under our leases, tenants are typically obligated to indemnify us from and against all liabilities, costs and expenses imposed upon or asserted against us (1) as owner of the properties due to certain matters relating to the operation of the properties by the tenant, and (2) where appropriate, due to certain matters relating to the ownership of the properties prior to their acquisition by us.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Under the terms of certain partnership agreements, the partners have the right to exchange their operating partnership units for cash or common shares, at our option. As of March 31, 2026, a total of 526,408 downREIT operating partnership units were outstanding which had a total fair value of approximately $55.9 million, which is calculated by multiplying the outstanding number of downREIT partnership units by our closing stock price on March 31, 2026.</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7—SHAREHOLDERS’ EQUITY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dividends declared and paid per share:</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140" w:type="dxa"/>
            <w:vAlign w:val="bottom"/>
            <w:gridSpan w:val="9"/>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3"/>
        </w:trPr>
        <w:tc>
          <w:tcPr>
            <w:tcW w:w="7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90"/>
        </w:trPr>
        <w:tc>
          <w:tcPr>
            <w:tcW w:w="7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4"/>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spacing w:after="0"/>
              <w:rPr>
                <w:sz w:val="16"/>
                <w:szCs w:val="16"/>
                <w:color w:val="auto"/>
              </w:rPr>
            </w:pPr>
          </w:p>
        </w:tc>
      </w:tr>
      <w:tr>
        <w:trPr>
          <w:trHeight w:val="196"/>
        </w:trPr>
        <w:tc>
          <w:tcPr>
            <w:tcW w:w="7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Declared</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Paid</w:t>
            </w:r>
          </w:p>
        </w:tc>
        <w:tc>
          <w:tcPr>
            <w:tcW w:w="100" w:type="dxa"/>
            <w:vAlign w:val="bottom"/>
          </w:tcPr>
          <w:p>
            <w:pPr>
              <w:spacing w:after="0"/>
              <w:rPr>
                <w:sz w:val="17"/>
                <w:szCs w:val="17"/>
                <w:color w:val="auto"/>
              </w:rPr>
            </w:pPr>
          </w:p>
        </w:tc>
        <w:tc>
          <w:tcPr>
            <w:tcW w:w="102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Declared</w:t>
            </w:r>
          </w:p>
        </w:tc>
        <w:tc>
          <w:tcPr>
            <w:tcW w:w="200" w:type="dxa"/>
            <w:vAlign w:val="bottom"/>
          </w:tcPr>
          <w:p>
            <w:pPr>
              <w:spacing w:after="0"/>
              <w:rPr>
                <w:sz w:val="17"/>
                <w:szCs w:val="17"/>
                <w:color w:val="auto"/>
              </w:rPr>
            </w:pPr>
          </w:p>
        </w:tc>
        <w:tc>
          <w:tcPr>
            <w:tcW w:w="7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Paid</w:t>
            </w:r>
          </w:p>
        </w:tc>
      </w:tr>
      <w:tr>
        <w:trPr>
          <w:trHeight w:val="229"/>
        </w:trPr>
        <w:tc>
          <w:tcPr>
            <w:tcW w:w="7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r>
      <w:tr>
        <w:trPr>
          <w:trHeight w:val="230"/>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5.417% Series 1 Cumulative Convertible Preferred shares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0.339</w:t>
            </w:r>
          </w:p>
        </w:tc>
        <w:tc>
          <w:tcPr>
            <w:tcW w:w="3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0.339</w:t>
            </w:r>
          </w:p>
        </w:tc>
        <w:tc>
          <w:tcPr>
            <w:tcW w:w="500" w:type="dxa"/>
            <w:vAlign w:val="bottom"/>
            <w:gridSpan w:val="2"/>
          </w:tcPr>
          <w:p>
            <w:pPr>
              <w:jc w:val="right"/>
              <w:ind w:right="20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0.339</w:t>
            </w:r>
          </w:p>
        </w:tc>
        <w:tc>
          <w:tcPr>
            <w:tcW w:w="12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0.339</w:t>
            </w:r>
          </w:p>
        </w:tc>
      </w:tr>
      <w:tr>
        <w:trPr>
          <w:trHeight w:val="229"/>
        </w:trPr>
        <w:tc>
          <w:tcPr>
            <w:tcW w:w="7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5.0% Series C Cumulative Redeemable Preferred shares (1)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0.313</w:t>
            </w:r>
          </w:p>
        </w:tc>
        <w:tc>
          <w:tcPr>
            <w:tcW w:w="3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0.313</w:t>
            </w:r>
          </w:p>
        </w:tc>
        <w:tc>
          <w:tcPr>
            <w:tcW w:w="50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0.313</w:t>
            </w:r>
          </w:p>
        </w:tc>
      </w:tr>
      <w:tr>
        <w:trPr>
          <w:trHeight w:val="304"/>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(1) Amount represents dividends per depository share, each representing 1/1000th of a share.</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634"/>
        </w:trPr>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8—SHARE-BASED COMPENSATION PLANS</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11"/>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share-based compensation expense included in net income is as follows:</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63"/>
        </w:trPr>
        <w:tc>
          <w:tcPr>
            <w:tcW w:w="7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gridSpan w:val="7"/>
          </w:tcPr>
          <w:p>
            <w:pPr>
              <w:jc w:val="center"/>
              <w:ind w:left="37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00" w:type="dxa"/>
            <w:vAlign w:val="bottom"/>
          </w:tcPr>
          <w:p>
            <w:pPr>
              <w:spacing w:after="0"/>
              <w:rPr>
                <w:sz w:val="24"/>
                <w:szCs w:val="24"/>
                <w:color w:val="auto"/>
              </w:rPr>
            </w:pPr>
          </w:p>
        </w:tc>
      </w:tr>
      <w:tr>
        <w:trPr>
          <w:trHeight w:val="203"/>
        </w:trPr>
        <w:tc>
          <w:tcPr>
            <w:tcW w:w="7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3"/>
        </w:trPr>
        <w:tc>
          <w:tcPr>
            <w:tcW w:w="7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r>
      <w:tr>
        <w:trPr>
          <w:trHeight w:val="190"/>
        </w:trPr>
        <w:tc>
          <w:tcPr>
            <w:tcW w:w="7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7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36"/>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Grants of common shares, restricted stock units, and options</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w w:val="98"/>
              </w:rPr>
              <w:t>4,537</w:t>
            </w:r>
          </w:p>
        </w:tc>
        <w:tc>
          <w:tcPr>
            <w:tcW w:w="5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4,112</w:t>
            </w:r>
          </w:p>
        </w:tc>
      </w:tr>
      <w:tr>
        <w:trPr>
          <w:trHeight w:val="230"/>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Capitalized share-based compensation</w:t>
            </w:r>
          </w:p>
        </w:tc>
        <w:tc>
          <w:tcPr>
            <w:tcW w:w="14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48"/>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w w:val="98"/>
              </w:rPr>
              <w:t>4,303</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9—EARNINGS PER SHARE AND UNIT</w:t>
      </w:r>
    </w:p>
    <w:p>
      <w:pPr>
        <w:spacing w:after="0" w:line="10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have calculated earnings per share (“EPS”) and earnings per unit ("EPU") under the two-class method. The two-class method is an earnings allocation methodology whereby EPS and EPU for each class of common stock and partnership units, respectively, and participating securities is calculated according to dividends or distributions declared and participation rights in undistributed earnings. For the three months ended March 31, 2026 and 2025, we had 0.3 million weighted average unvested shares and units outstanding, which are considered participating securities. Therefore, we have allocated our earnings for basic and diluted EPS and EPU between common shares and units and unvested shares and units; the portion of earnings allocated to the unvested shares and units is reflected as “earnings allocated to unvested shares” or "earnings allocated to unvested units" in the reconciliations below.</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potentially issuable shares were excluded from the diluted EPS and EPU calculations because their impact is anti-dilutive:</w:t>
      </w:r>
    </w:p>
    <w:p>
      <w:pPr>
        <w:spacing w:after="0" w:line="63"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exercise of 1,190 stock options for both the three months ended March 31, 2026 and 2025,</w:t>
      </w:r>
    </w:p>
    <w:p>
      <w:pPr>
        <w:spacing w:after="0" w:line="63"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conversions of downREIT operating partnership units for the three months ended March 31, 2025,</w:t>
      </w:r>
    </w:p>
    <w:p>
      <w:pPr>
        <w:spacing w:after="0" w:line="63"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conversions of 5.417% Series 1 Cumulative Convertible Preferred Shares and units for the three months ended March 31, 2025, and</w:t>
      </w:r>
    </w:p>
    <w:p>
      <w:pPr>
        <w:spacing w:after="0" w:line="63" w:lineRule="exact"/>
        <w:rPr>
          <w:rFonts w:ascii="Times New Roman" w:cs="Times New Roman" w:eastAsia="Times New Roman" w:hAnsi="Times New Roman"/>
          <w:sz w:val="18"/>
          <w:szCs w:val="18"/>
          <w:b w:val="1"/>
          <w:bCs w:val="1"/>
          <w:color w:val="auto"/>
        </w:rPr>
      </w:pPr>
    </w:p>
    <w:p>
      <w:pPr>
        <w:ind w:left="660" w:right="260" w:hanging="328"/>
        <w:spacing w:after="0" w:line="281" w:lineRule="auto"/>
        <w:tabs>
          <w:tab w:leader="none" w:pos="65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issuance of 0.5 million shares and units issuable under common share forward sales agreements for the period they were outstanding during the three months ended March 31, 2025,</w:t>
      </w:r>
    </w:p>
    <w:p>
      <w:pPr>
        <w:spacing w:after="0" w:line="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Potentially issuable shares and units in exchange for the 3.25% Exchangeable Senior Notes due 2029 for both the three months ended March 31, 2026 and 2025, did not have a dilutive effect on the diluted EPS and EPU calculations.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Realty Investment Trust Earnings per Share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gridSpan w:val="4"/>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03"/>
        </w:trPr>
        <w:tc>
          <w:tcPr>
            <w:tcW w:w="8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gridSpan w:val="3"/>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89"/>
        </w:trPr>
        <w:tc>
          <w:tcPr>
            <w:tcW w:w="8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w w:val="95"/>
              </w:rPr>
              <w:t>(In thousands, except</w:t>
            </w:r>
          </w:p>
        </w:tc>
        <w:tc>
          <w:tcPr>
            <w:tcW w:w="1440" w:type="dxa"/>
            <w:vAlign w:val="bottom"/>
            <w:gridSpan w:val="2"/>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per share data)</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161,070</w:t>
            </w:r>
          </w:p>
        </w:tc>
        <w:tc>
          <w:tcPr>
            <w:tcW w:w="10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66,578</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Preferred share dividends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Income from operations attributable to noncontrolling interests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Earnings allocated to unvested shares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for common shareholders, basic</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156,544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61,439</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Income attributable to downREIT operating partnership units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 Dividends on 5.417% Series 1 Cumulative Convertible Preferred Shares</w:t>
            </w: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available for common shareholders, diluted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157,271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61,439</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86,040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85,472</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DownREIT operating partnership units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5.417% Series 1 Cumulative Convertible Preferred Shares</w:t>
            </w: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diluted</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86,662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85,472</w:t>
            </w:r>
          </w:p>
        </w:tc>
        <w:tc>
          <w:tcPr>
            <w:tcW w:w="0" w:type="dxa"/>
            <w:vAlign w:val="bottom"/>
          </w:tcPr>
          <w:p>
            <w:pPr>
              <w:spacing w:after="0"/>
              <w:rPr>
                <w:sz w:val="1"/>
                <w:szCs w:val="1"/>
                <w:color w:val="auto"/>
              </w:rPr>
            </w:pPr>
          </w:p>
        </w:tc>
      </w:tr>
      <w:tr>
        <w:trPr>
          <w:trHeight w:val="216"/>
        </w:trPr>
        <w:tc>
          <w:tcPr>
            <w:tcW w:w="8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SHARE, BASIC:</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available for common shareholders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COMMON SHARE, DILUTED:</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8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available for common shareholders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8"/>
        </w:trPr>
        <w:tc>
          <w:tcPr>
            <w:tcW w:w="82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Realty OP LP Earnings per Unit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4"/>
          </w:tcPr>
          <w:p>
            <w:pPr>
              <w:jc w:val="center"/>
              <w:ind w:right="17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03"/>
        </w:trPr>
        <w:tc>
          <w:tcPr>
            <w:tcW w:w="8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gridSpan w:val="3"/>
          </w:tcPr>
          <w:p>
            <w:pPr>
              <w:jc w:val="center"/>
              <w:ind w:left="67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6"/>
        </w:trPr>
        <w:tc>
          <w:tcPr>
            <w:tcW w:w="8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20" w:type="dxa"/>
            <w:vAlign w:val="bottom"/>
            <w:gridSpan w:val="4"/>
          </w:tcPr>
          <w:p>
            <w:pPr>
              <w:jc w:val="center"/>
              <w:ind w:right="151"/>
              <w:spacing w:after="0"/>
              <w:rPr>
                <w:sz w:val="20"/>
                <w:szCs w:val="20"/>
                <w:color w:val="auto"/>
              </w:rPr>
            </w:pPr>
            <w:r>
              <w:rPr>
                <w:rFonts w:ascii="Times New Roman" w:cs="Times New Roman" w:eastAsia="Times New Roman" w:hAnsi="Times New Roman"/>
                <w:sz w:val="14"/>
                <w:szCs w:val="14"/>
                <w:b w:val="1"/>
                <w:bCs w:val="1"/>
                <w:color w:val="auto"/>
              </w:rPr>
              <w:t>(In thousands, except per unit data)</w:t>
            </w:r>
          </w:p>
        </w:tc>
        <w:tc>
          <w:tcPr>
            <w:tcW w:w="0" w:type="dxa"/>
            <w:vAlign w:val="bottom"/>
          </w:tcPr>
          <w:p>
            <w:pPr>
              <w:spacing w:after="0"/>
              <w:rPr>
                <w:sz w:val="1"/>
                <w:szCs w:val="1"/>
                <w:color w:val="auto"/>
              </w:rPr>
            </w:pPr>
          </w:p>
        </w:tc>
      </w:tr>
      <w:tr>
        <w:trPr>
          <w:trHeight w:val="23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161,070</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66,578</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Preferred unit distributions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Income from operations attributable to noncontrolling interests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Earnings allocated to unvested units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available for common unit holders, basic</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156,544</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61,439</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Income attributable to downREIT operating partnership units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 Dividends on 5.417% Series 1 Cumulative Convertible Preferred Units</w:t>
            </w: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available for common unit holders, diluted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157,271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61,439</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units outstanding, basic</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86,040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85,472</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DownREIT operating partnership units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5.417% Series 1 Cumulative Convertible Preferred Units</w:t>
            </w: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units outstanding, diluted</w:t>
            </w: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86,662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85,472</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UNIT, BASIC:</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available for common unit holders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EARNINGS PER COMMON UNIT, DILUTED:</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available for common unit holders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10—SUBSEQUENT EVENTS</w:t>
      </w:r>
    </w:p>
    <w:p>
      <w:pPr>
        <w:spacing w:after="0" w:line="108"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On April 14, 2026, we amended and restated our revolving credit facility, increasing the borrowing capacity from $1.25 billion to $1.4 billion, lowering the spread over SOFR to 72.5 basis points based on our current credit rating, and extending the maturity date to April 12, 2030, plus two six-month extensions, at our option. In addition, we have an option to increase the credit facility through an accordion feature to $2.0 billion.</w:t>
      </w:r>
    </w:p>
    <w:p>
      <w:pPr>
        <w:spacing w:after="0" w:line="4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April 17, 2026 we acquired the fee interest in an 88,000 square foot retail building and a parking garage, which will be operated as part of Kingstowne Towne Center, for $19.7 million.</w:t>
      </w:r>
    </w:p>
    <w:p>
      <w:pPr>
        <w:spacing w:after="0" w:line="27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94" w:lineRule="exact"/>
        <w:rPr>
          <w:sz w:val="20"/>
          <w:szCs w:val="20"/>
          <w:color w:val="auto"/>
        </w:rPr>
      </w:pPr>
    </w:p>
    <w:p>
      <w:pPr>
        <w:ind w:right="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following discussion should be read in conjunction with the consolidated interim financial statements and notes thereto appearing in Item 1 of this report and the more detailed information contained in our Annual Report on </w:t>
      </w:r>
      <w:hyperlink r:id="rId41">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2025 filed with the Securities and Exchange Commission (the “SEC”) on February 12, 2026.</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statements included in this Quarterly Report on Form 10-Q are forward-looking statements. Those statements include statements regarding the intent, belief or current expectations of the Company and members of our management team, as well as the assumptions on which such statements are based, and generally are identified by the use of words such as “may,” “will,” “seeks,” “anticipates,” “believes,” “estimates,” “expects,” “plans,” “intends,” “should” or similar expressions. Actual results may differ materially from those contemplated by such forward-looking statements. Further, forward-looking statements speak only as of the date they are made, and we undertake no obligation to update or revise forward-looking statements to reflect changed assumptions, the occurrence of unanticipated events or changes to future operating results over time, unless required by law.</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following are some of the risks and uncertainties, although not all risks and uncertainties, that could cause our actual results to differ materially from those presented in our forward-looking statements:</w:t>
      </w:r>
    </w:p>
    <w:p>
      <w:pPr>
        <w:ind w:left="340" w:right="700" w:hanging="332"/>
        <w:spacing w:after="0" w:line="250"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our tenants will not pay rent, may vacate early or may file for bankruptcy or that we may be unable to renew leases or re-let space at favorable rents as leases expire or to fill existing vacancy;</w:t>
      </w:r>
    </w:p>
    <w:p>
      <w:pPr>
        <w:ind w:left="340" w:hanging="332"/>
        <w:spacing w:after="0" w:line="250"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we may not be able to proceed with or obtain necessary approvals for any development, redevelopment or renovation project, and that completion of anticipated or ongoing property development, redevelopment, or renovation projects that we do pursue may cost more, take more time to complete or fail to perform as expected;</w:t>
      </w:r>
    </w:p>
    <w:p>
      <w:pPr>
        <w:spacing w:after="0" w:line="1"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35" w:val="left"/>
        </w:tabs>
        <w:numPr>
          <w:ilvl w:val="0"/>
          <w:numId w:val="5"/>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1" w:lineRule="exact"/>
        <w:rPr>
          <w:rFonts w:ascii="Times New Roman" w:cs="Times New Roman" w:eastAsia="Times New Roman" w:hAnsi="Times New Roman"/>
          <w:sz w:val="18"/>
          <w:szCs w:val="18"/>
          <w:color w:val="212529"/>
        </w:rPr>
      </w:pPr>
    </w:p>
    <w:p>
      <w:pPr>
        <w:ind w:left="340" w:right="280" w:hanging="332"/>
        <w:spacing w:after="0" w:line="250"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our growth will be limited if we cannot obtain additional capital, or if the costs of capital we obtain are significantly higher than historical levels;</w:t>
      </w: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general economic conditions, including inflation, tariffs, and local economic conditions in our geographic markets;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ind w:left="340" w:right="520" w:hanging="332"/>
        <w:spacing w:after="0" w:line="250"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Trust's status as a real estate investment trust, commonly referred to as a REIT, for federal income tax purposes, such as the existence of complex tax regulations relating to the Trust's status as a REIT, the effect of future changes in REIT requirements as a result of new legislation, and the adverse consequences of the failure to qualify as a REIT; and</w:t>
      </w:r>
    </w:p>
    <w:p>
      <w:pPr>
        <w:spacing w:after="0" w:line="1" w:lineRule="exact"/>
        <w:rPr>
          <w:rFonts w:ascii="Times New Roman" w:cs="Times New Roman" w:eastAsia="Times New Roman" w:hAnsi="Times New Roman"/>
          <w:sz w:val="18"/>
          <w:szCs w:val="18"/>
          <w:color w:val="auto"/>
        </w:rPr>
      </w:pPr>
    </w:p>
    <w:p>
      <w:pPr>
        <w:ind w:left="340" w:right="140" w:hanging="332"/>
        <w:spacing w:after="0" w:line="253"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natural disasters, climate change and public health crises (such as worldwide pandemics),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Given these uncertainties, readers are cautioned not to place undue reliance on any forward-looking statements that we make, including those in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Quarterly Report on Form 10-Q. You should carefully review the risks and the risk factors included in our Annual Report on Form 10-K for the year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and under Part II, Item 1A in this Quarterly Report on Form 10-Q, before making any investments in 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08"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7"/>
          <w:szCs w:val="17"/>
          <w:color w:val="auto"/>
        </w:rPr>
        <w:t>Federal Realty Investment Trust (the "Parent Company" or the "Trust") is an equity real estate investment trust ("REIT"). Federal Realty OP LP (the "Operating Partnership") is the entity through which the Trust conducts substantially all of its operations and owns substantially all of its assets. The Trust owns 100% of the limited liability company interests of, and is sole member and exercises exclusive control over Federal Realty GP LLC (the "General Partner"), which in turn, is the sole general partner of the Operating Partnership. Unless stated otherwise or the context otherwise requires, "we," "our," and "us" means the Trust and its business and operations conducted through its directly and indirectly owned subsidiaries, including the Operating Partnership. We specialize in the ownership, operation, and redevelopment of high-quality retail-based properties. As of March 31, 2026, we owned or had a majority interest in community and neighborhood shopping centers and mixed-use properties which are operated as 104 predominantly retail real estate projects comprising approximately 29.0 million commercial square feet. In total, the real estate projects were 96.1% leased and 93.8% occupied at March 31, 2026.</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Economic Conditions</w:t>
      </w:r>
    </w:p>
    <w:p>
      <w:pPr>
        <w:spacing w:after="0" w:line="108"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Significant uncertainty continues within the macro-economic and political environment including inflation risk, changes in interest rates, geopolitical instability, changes in tariffs and their impact on trade and prices, increases or decreases in federal and government spending, and potentially worsening economic conditions, which presents risks for our business and tenants. We continue to monitor and address risks related to the general state of the economy. We believe the actions we have taken to maintain a strong financial position and reinforce our liquidity will continue to mitigate the negative short term impacts of the current environment. The extent of the future effects on our business, results of operations, cash flows, and growth strategies is highly uncertain and will ultimately depend on future developments, none of which can be predicted.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further discussion of the impact of current economic conditions on our business throughout Item 2.</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0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to the critical accounting policies disclosed in “Management’s Discussion and Analysis of Financial Condition and Results of Operations” in our 2025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Acquisitions and Dispositions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6, 2026, we purchased the fee interest under one of our ground leases at Bethesda Row for $2.5 million.</w:t>
      </w:r>
    </w:p>
    <w:p>
      <w:pPr>
        <w:spacing w:after="0" w:line="10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March 12, 2026, we acquired the fee interest in Congressional North Shopping Center, a 217,000 square foot, grocery-anchored shopping center in Rockville, Maryland for $72.3 million. This purchase was completed in a multi-step transaction, and was funded with a combination of cash and the issuance of 2,513 downREIT operating partnership units, net of the repayment of two mortgage notes receivable that were included on our consolidated balance sheets at December 31, 2025. Approximately $5.2 million and $0.1 million of net assets acquired were allocated to other assets for "acquired lease costs" and "above market leases," respectively, and $1.5 million of net assets acquired were allocated to other liabilities for "below market leases."</w:t>
      </w:r>
    </w:p>
    <w:p>
      <w:pPr>
        <w:spacing w:after="0" w:line="6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we sold a residential building at our Santana Row property and we sold our Courthouse Center retail property for a combined sales price of $158.5 million, resulting in a net gain of $92.2 million.</w:t>
      </w:r>
    </w:p>
    <w:p>
      <w:pPr>
        <w:spacing w:after="0" w:line="2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April 17, 2026 we acquired the fee interest in an 88,000 square foot retail building and a parking garage, which will be operated as part of Kingstowne Towne Center, for $19.7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and Equity Transactions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17, 2026 we repaid our $400.0 million 1.25% senior unsecured notes at maturity.</w:t>
      </w:r>
    </w:p>
    <w:p>
      <w:pPr>
        <w:spacing w:after="0" w:line="10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On February 19, 2026 we borrowed $250.0 million under the unsecured term loan agreement that we entered into on November 17, 2025. See Note 5 of our Annual Report on Form 10-K for the year ended December 31, 2025 for additional details regarding this term loan.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March 2026, we repaid two mortgage loans totaling $2.1 million at our Hoboken property, at par.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2026, the maximum amount of borrowings outstanding under our $1.25 billion revolving credit facility was</w:t>
      </w:r>
    </w:p>
    <w:p>
      <w:pPr>
        <w:spacing w:after="0" w:line="2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$699.5 million. The weighted average amount of borrowings outstanding was $397.3 million and the weighted average interest rate, before amortization of debt fees, was 4.4% for the three months ended March 31, 2026. At March 31, 2026, our revolving credit facility had $369.1 million outstanding.</w:t>
      </w:r>
    </w:p>
    <w:p>
      <w:pPr>
        <w:spacing w:after="0" w:line="60"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Our revolving credit facility, unsecured term loans, and certain notes require us to comply with various financial covenants, including the maintenance of minimum shareholders' equity and debt coverage ratios and a maximum ratio of debt to net worth. As of March 31, 2026, we were in compliance with all default related debt covenants.</w:t>
      </w:r>
    </w:p>
    <w:p>
      <w:pPr>
        <w:spacing w:after="0" w:line="41"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On April 14, 2026, we amended and restated our revolving credit facility, increasing the borrowing capacity from $1.25 billion to $1.4 billion, lowering the spread over SOFR to 72.5 basis points based on our current credit rating, and extending the maturity date to April 12, 2030, plus two six-month extensions at our option. In addition, we have an option to increase the credit facility through an accordion feature to $2.0 billion. For additional information about the amendment and restatement of our revolving credit facility, see the Current Report on Form 8-K we filed on April 15,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to the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Capitalized Costs</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Certain external and internal costs directly related to the development, redevelopment and leasing of real estate, including pre-construction costs, real estate taxes, insurance, construction costs and salaries and related costs of personnel directly involved, are capitalized. We capitalized certain external and internal costs related to both development and redevelopment activities of $33 million and $2 million, respectively, for the three months ended March 31, 2026, and $32 million and $2 million, respectively, for the three months ended March 31, 2025. We capitalized external and internal costs related to other property improvements of $20 million and $1 million, respectively, for the three months ended March 31, 2026, and $26 million and $1 million, respectively, for the three months ended March 31, 2025. We capitalized external and internal costs related to leasing activities of $5 million and $2 million, respectively, for the three months ended March 31, 2026, and $5 million and $1 million, respectively, for the three months ended March 31, 2025. The amount of capitalized internal costs for salaries and related benefits for development and redevelopment activities, other property improvements, and leasing activities were $2 million, $1 million, and $2 million, respectively, for the three months ended March 31, 2026, and $2 million, $1 million, and $1 million,</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respectively, for the three months ended March 31, 2025. Total capitalized costs were $63 million and $68 million for the three months ended March 31, 2026 and 2025,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long-term growth strategy is focused on growth in earnings, funds from operations, and cash flows primarily through a combination of the following:</w:t>
      </w:r>
    </w:p>
    <w:p>
      <w:pPr>
        <w:spacing w:after="0" w:line="63" w:lineRule="exact"/>
        <w:rPr>
          <w:sz w:val="20"/>
          <w:szCs w:val="20"/>
          <w:color w:val="auto"/>
        </w:rPr>
      </w:pPr>
    </w:p>
    <w:p>
      <w:pPr>
        <w:ind w:left="1700" w:hanging="801"/>
        <w:spacing w:after="0"/>
        <w:tabs>
          <w:tab w:leader="none" w:pos="1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in our comparable property portfolio,</w:t>
      </w:r>
    </w:p>
    <w:p>
      <w:pPr>
        <w:spacing w:after="0" w:line="63"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our portfolio through property acquisitions, and</w:t>
      </w:r>
    </w:p>
    <w:p>
      <w:pPr>
        <w:spacing w:after="0" w:line="63"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in our portfolio from property redevelopments and expansions.</w:t>
      </w:r>
    </w:p>
    <w:p>
      <w:pPr>
        <w:spacing w:after="0" w:line="17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Although general economic impacts of elevated levels of inflation and higher interest rates are impacting us in the short-term, our long-term focus has not changed. See our Annual Report on Form 10-K filed on February 12, 2026, for additional discussion of our long-term strategies.</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212529"/>
        </w:rPr>
        <w:t xml:space="preserve">Our comparable property growth is primarily driven by increases in rental rates on new leases and lease renewals, changes in portfolio occupancy, and the redevelopment of those assets. Over the long-term, </w:t>
      </w:r>
      <w:r>
        <w:rPr>
          <w:rFonts w:ascii="Times New Roman" w:cs="Times New Roman" w:eastAsia="Times New Roman" w:hAnsi="Times New Roman"/>
          <w:sz w:val="18"/>
          <w:szCs w:val="18"/>
          <w:color w:val="000000"/>
        </w:rPr>
        <w:t>the infill nature and strong demographics of our properties provide a strategic advantage allowing us to</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maintain relatively high occupancy and generally increase rental rates. We continue to experience strong demand for our commercial space as evidenced by the </w:t>
      </w:r>
      <w:r>
        <w:rPr>
          <w:rFonts w:ascii="Times New Roman" w:cs="Times New Roman" w:eastAsia="Times New Roman" w:hAnsi="Times New Roman"/>
          <w:sz w:val="18"/>
          <w:szCs w:val="18"/>
          <w:color w:val="212529"/>
        </w:rPr>
        <w:t>2.6</w:t>
      </w:r>
      <w:r>
        <w:rPr>
          <w:rFonts w:ascii="Times New Roman" w:cs="Times New Roman" w:eastAsia="Times New Roman" w:hAnsi="Times New Roman"/>
          <w:sz w:val="18"/>
          <w:szCs w:val="18"/>
          <w:color w:val="000000"/>
        </w:rPr>
        <w:t xml:space="preserve"> million </w:t>
      </w:r>
      <w:r>
        <w:rPr>
          <w:rFonts w:ascii="Times New Roman" w:cs="Times New Roman" w:eastAsia="Times New Roman" w:hAnsi="Times New Roman"/>
          <w:sz w:val="18"/>
          <w:szCs w:val="18"/>
          <w:color w:val="212529"/>
        </w:rPr>
        <w:t>square feet of comparable space leasing we've completed in the last twelve months, and the</w:t>
      </w:r>
      <w:r>
        <w:rPr>
          <w:rFonts w:ascii="Times New Roman" w:cs="Times New Roman" w:eastAsia="Times New Roman" w:hAnsi="Times New Roman"/>
          <w:sz w:val="18"/>
          <w:szCs w:val="18"/>
          <w:color w:val="000000"/>
        </w:rPr>
        <w:t xml:space="preserve"> 2.3% </w:t>
      </w:r>
      <w:r>
        <w:rPr>
          <w:rFonts w:ascii="Times New Roman" w:cs="Times New Roman" w:eastAsia="Times New Roman" w:hAnsi="Times New Roman"/>
          <w:sz w:val="18"/>
          <w:szCs w:val="18"/>
          <w:color w:val="212529"/>
        </w:rPr>
        <w:t>spread between our leased rate of 96.1%</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 xml:space="preserve">and our occupied rate of 93.8%. </w:t>
      </w:r>
      <w:r>
        <w:rPr>
          <w:rFonts w:ascii="Times New Roman" w:cs="Times New Roman" w:eastAsia="Times New Roman" w:hAnsi="Times New Roman"/>
          <w:sz w:val="18"/>
          <w:szCs w:val="18"/>
          <w:color w:val="000000"/>
        </w:rPr>
        <w:t>However, the effects of inflationary pressures and elevated interest rates continue to negatively impact our business with</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the largest impacts being higher interest costs, increased material costs, and higher operating costs. Additionally, significant impacts from tariffs or supply chain disruptions could also result in extended time frames and/or increased costs for completion of our projects and tenant build-outs, which could delay the commencement of rent payments under new leases. Similarly, if our tenants experience unexpected impacts of tariffs supporting their own products, staffing issues due to labor shortages, significant disruptions in supply chains, or are otherwise impacted by worsening economic conditions, their ability to pay rent may be adversely affected. We continue to monitor these macroeconomic developments and are working with our tenants and our vendors to limit the overall impact to our business.</w:t>
      </w:r>
    </w:p>
    <w:p>
      <w:pPr>
        <w:spacing w:after="0" w:line="13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believe the locations and nature of our centers and diverse tenant base partially mitigates any potential negative changes in the economic environment. However, any significant reduction in our tenants' abilities to pay base rent, percentage rent or other charges, will adversely affect our financial condition and results of operations. We seek to maintain a mix of strong national, regional, and local retailers.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continue to have several development projects in process being delivered as follows:</w:t>
      </w:r>
    </w:p>
    <w:p>
      <w:pPr>
        <w:spacing w:after="0" w:line="27" w:lineRule="exact"/>
        <w:rPr>
          <w:sz w:val="20"/>
          <w:szCs w:val="20"/>
          <w:color w:val="auto"/>
        </w:rPr>
      </w:pPr>
    </w:p>
    <w:p>
      <w:pPr>
        <w:ind w:left="660" w:right="32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on Santana West includes an eight story 369,000 square foot office building, which is expected to cost between $325 million and $335 million. All of the space is leased, of which 317,000 square feet is occupied.</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of a 258-unit residential project at Santana Row, which is expected to cost between $140 million and $148 million.</w:t>
      </w:r>
    </w:p>
    <w:p>
      <w:pPr>
        <w:spacing w:after="0" w:line="9" w:lineRule="exact"/>
        <w:rPr>
          <w:rFonts w:ascii="Times New Roman" w:cs="Times New Roman" w:eastAsia="Times New Roman" w:hAnsi="Times New Roman"/>
          <w:sz w:val="18"/>
          <w:szCs w:val="18"/>
          <w:color w:val="auto"/>
        </w:rPr>
      </w:pPr>
    </w:p>
    <w:p>
      <w:pPr>
        <w:ind w:left="660" w:right="200" w:hanging="328"/>
        <w:spacing w:after="0" w:line="26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Throughout the portfolio, we currently have redevelopment projects underway with a projected total cost of approximately $312 million that we expect to stabilize over the next several years.</w:t>
      </w:r>
    </w:p>
    <w:p>
      <w:pPr>
        <w:spacing w:after="0" w:line="20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above includes our best estimates based on information currently known, however, the completion of construction, final costs, and the timing of leasing and openings may be further impacted by the current environment including the duration and severity of the economic impacts of broader, as well as local, economic conditions, inflation, tariffs, higher interest rates, and higher operating costs.</w:t>
      </w:r>
    </w:p>
    <w:p>
      <w:pPr>
        <w:spacing w:after="0" w:line="12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development of future phases of Assembly Row, Pike &amp; Rose, Santana Row, and other properties will be pursued opportunistically based on, among other things, market conditions, tenant demand, and our evaluation of whether those phases will generate an appropriate financial return.</w:t>
      </w:r>
    </w:p>
    <w:p>
      <w:pPr>
        <w:spacing w:after="0" w:line="108"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We continue to review acquisition opportunities that complement our portfolio and provide long-term growth opportunities. Initially, some of our acquisitions do not contribute significantly to earnings growth; however, we believe they provide long-term re-leasing growth, redevelopment opportunities, and other strategic opportunities. Any growth from acquisitions is contingent on our ability to find properties that meet our qualitative standards at prices that meet our financial hurdles. Changes in interest rates may affect our success in achieving earnings growth through acquisitions by affecting both the price that must be paid to acquire a property, as well as our ability to economically finance the property acquisition. Generally, our acquisitions are initially financed by available cash and/or borrowings under our revolving credit facility which may be repaid later with funds raised through the issuance of new equity or new long-term debt. We may also finance our acquisitions through the</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of common shares, preferred shares, or units in the Operating Partnership, as well as through assumed mortgages and property sales.</w:t>
      </w:r>
    </w:p>
    <w:p>
      <w:pPr>
        <w:spacing w:after="0" w:line="17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At March 31, 2026, the leasable commercial square feet in our properties was 96.1% leased and 93.8% occupied. The leased rate is higher than the occupied rate due to leased spaces that are being redeveloped or improved or that are awaiting permits and, therefore, are not yet ready to be occupied. Our occupancy and leased rates are subject to variability over time due to factors including acquisitions, the timing of the start and stabilization of our redevelopment projects, lease expirations and tenant closings and bankruptcies.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 Rollovers</w:t>
      </w:r>
    </w:p>
    <w:p>
      <w:pPr>
        <w:spacing w:after="0" w:line="10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For the first quarter of 2026, we signed leases for a total of 661,000 square feet of retail space including 649,000 square feet of comparable space leases (leases for which there was a prior tenant) at an average rental increase of 13% on a cash basis. New leases for comparable spaces were signed for 243,000 square feet, with an average rental increase of 26% on a cash basis. Renewals for comparable spaces were signed for 406,000 square feet at a 6% average rental increase on a cash basis. Tenant improvements and incentives for comparable spaces were $22.00 per square foot, of which $55.84 per square foot was for new leases and $1.76 per square foot was for renewals for the three months ended March 31, 2026.</w:t>
      </w:r>
    </w:p>
    <w:p>
      <w:pPr>
        <w:spacing w:after="0" w:line="1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rental increases associated with comparable spaces generally include all leases signed for retail space in arms-length transactions reflecting market leverage between landlords and tenants during the period, excluding leases at properties sold or under contract to be sold. The comparison between the rent for expiring leases and new leases is determined by including contractual rent on the expiring lease, including percentage rent considered to part of base rent, and the comparable annual rent and in some instances, projections of percentage rent, to be paid on the new lease. In atypical circumstances, management may exercise judgment as to how to most effectively reflect the comparability of spaces reported in this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 Tenant improvements and incentives include the total dollars committed for the improvement (fit out) of a space as it relates to a specific lease. Incentives include amounts paid to tenants as an inducement to sign a lease that do not represent building improvements. Costs related to tenant improvements require judgment by management in determining what are costs specific to the tenant and not deferred maintenance on the space.</w:t>
      </w:r>
    </w:p>
    <w:p>
      <w:pPr>
        <w:spacing w:after="0" w:line="14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the past four years, we have executed comparable space leases for 2.0 to 2.4 million square feet of retail space each year and expect the volume in 2026 will be in line with these historical averages. Although we expect overall positive increases in annual rent for comparable spaces, changes in annual rent for any individual lease or combinations of individual leases reported in any particular period may be positive or negative and we can provide no assurance that the annual rents on comparable space leases will continue to increase at historical levels, if at all. A decline in current economic conditions could adversely impact our volume of leasing activity and the amount of rent we are able to charge to new or renewing tenants.</w:t>
      </w:r>
    </w:p>
    <w:p>
      <w:pPr>
        <w:spacing w:after="0" w:line="1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leases signed in 2026 generally become effective over the following two years though some may not become effective until 2029 and beyond. Further, there is risk that some new tenants will not ultimately take possession of their space and that tenants for both new and renewal leases may not pay all of their contractual rent due to operating, financing or other matters. However, our historical increases in rental rates do provide information about the tenant/landlord relationship and the potential increase we may achieve in rental income over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Comparable Properties</w:t>
      </w:r>
    </w:p>
    <w:p>
      <w:pPr>
        <w:spacing w:after="0" w:line="94"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Throughout this section, we have provided certain information on a “comparable property” basis. Information provided on a comparable property basis includes the results of properties that we owned and operated for the entirety of both periods being compared except for properties that are currently under development or are being repositioned for significant redevelopment and investment. For the three months ended March 31, 2026, all or a portion of 96 properties were considered comparable properties and seven properties were considered non-comparable properties. For the three months ended March 31, 2026, one property and one portion of a property were removed from comparable properties, as they were sold; all compared to the designations as of December 31, 2025. While there is judgment surrounding changes in designations, we typically move non-comparable properties to comparable properties once they have stabilized, which is typically considered 90% physical occupancy or when the growth expected from the redevelopment has been included in the comparable periods. We typically remove properties from comparable properties when the repositioning of the asset has commenced and has or is expected to have a significant impact on property operating income within the calendar year. Acquisitions are moved to comparable properties once we have owned the property for the entirety of comparable periods and the property is not under development or being repositioned for significant redevelopment and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 - THREE MONTHS ENDED MARCH 31, 2026 AND 2025</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ind w:left="8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vMerge w:val="restart"/>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9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6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(Dollar amounts in thousands)</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income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332,658</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302,294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30,364</w:t>
            </w:r>
          </w:p>
        </w:tc>
        <w:tc>
          <w:tcPr>
            <w:tcW w:w="5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property income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interest income</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94.9 %</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property revenue</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341,084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309,154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31,930</w:t>
            </w:r>
          </w:p>
        </w:tc>
        <w:tc>
          <w:tcPr>
            <w:tcW w:w="5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expenses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74,697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6,893</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Real estate taxes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38,971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36,567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2,404</w:t>
            </w:r>
          </w:p>
        </w:tc>
        <w:tc>
          <w:tcPr>
            <w:tcW w:w="5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property expenses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113,668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104,371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9,297</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operating income (1)</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227,416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22,633</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(12,271)</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92,711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91,540</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7,817.3 %</w:t>
            </w:r>
          </w:p>
        </w:tc>
        <w:tc>
          <w:tcPr>
            <w:tcW w:w="0" w:type="dxa"/>
            <w:vAlign w:val="bottom"/>
          </w:tcPr>
          <w:p>
            <w:pPr>
              <w:spacing w:after="0"/>
              <w:rPr>
                <w:sz w:val="1"/>
                <w:szCs w:val="1"/>
                <w:color w:val="auto"/>
              </w:rPr>
            </w:pPr>
          </w:p>
        </w:tc>
      </w:tr>
      <w:tr>
        <w:trPr>
          <w:trHeight w:val="223"/>
        </w:trPr>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208,985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100,852</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93.3 %</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interest income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(49,116)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(6,641)</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partnerships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other, net</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(47,915)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(41,555)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(6,360)</w:t>
            </w:r>
          </w:p>
        </w:tc>
        <w:tc>
          <w:tcPr>
            <w:tcW w:w="5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94,492</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141.9 %</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5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48"/>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Trust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159,099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95,331</w:t>
            </w: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149.5 %</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340" w:right="20" w:hanging="332"/>
        <w:spacing w:after="0" w:line="261" w:lineRule="auto"/>
        <w:tabs>
          <w:tab w:leader="none" w:pos="33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operating income is a non-GAAP measure that consists of total property revenue, less rental expenses and real estate taxes. This measure is used internally to evaluate the performance of property operations and we consider it to be a significant measure. Property operating income should not be considered an alternative measure of operating results or cash flow from operations as determined in accordance with GAAP. The reconciliation of operating income to property operating income for the three months ended March 31, 2026 and 2025 is as follows: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90"/>
        </w:trPr>
        <w:tc>
          <w:tcPr>
            <w:tcW w:w="8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Pr>
          <w:p>
            <w:pPr>
              <w:spacing w:after="0"/>
              <w:rPr>
                <w:sz w:val="16"/>
                <w:szCs w:val="16"/>
                <w:color w:val="auto"/>
              </w:rPr>
            </w:pPr>
          </w:p>
        </w:tc>
      </w:tr>
      <w:tr>
        <w:trPr>
          <w:trHeight w:val="236"/>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208,985</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108,133</w:t>
            </w:r>
          </w:p>
        </w:tc>
      </w:tr>
      <w:tr>
        <w:trPr>
          <w:trHeight w:val="229"/>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10,875</w:t>
            </w:r>
          </w:p>
        </w:tc>
      </w:tr>
      <w:tr>
        <w:trPr>
          <w:trHeight w:val="230"/>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99,217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86,946</w:t>
            </w:r>
          </w:p>
        </w:tc>
      </w:tr>
      <w:tr>
        <w:trPr>
          <w:trHeight w:val="230"/>
        </w:trPr>
        <w:tc>
          <w:tcPr>
            <w:tcW w:w="8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(92,711)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w:t>
            </w:r>
          </w:p>
        </w:tc>
      </w:tr>
      <w:tr>
        <w:trPr>
          <w:trHeight w:val="248"/>
        </w:trPr>
        <w:tc>
          <w:tcPr>
            <w:tcW w:w="8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operating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227,416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204,783</w:t>
            </w:r>
          </w:p>
        </w:tc>
      </w:tr>
      <w:tr>
        <w:trPr>
          <w:trHeight w:val="20"/>
        </w:trPr>
        <w:tc>
          <w:tcPr>
            <w:tcW w:w="8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Revenues</w:t>
      </w:r>
    </w:p>
    <w:p>
      <w:pPr>
        <w:spacing w:after="0" w:line="10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Total property revenue increased $31.9 million, or 10.3%, to $341.1 million in the three months ended March 31, 2026 compared to $309.2 million in the three months ended March 31, 2025. The percentage occupied at our shopping centers was 93.8% and 93.6% at March 31, 2026 and 2025, respectively. Rental income consists primarily of minimum rent, cost reimbursements from tenants and percentage rent, and is net of collectibility related adjustments. Other property income includes revenue for our Pike &amp; Rose hotel, parking income, and other incidental income from our properties. The increase in property revenue is due primarily to the following:</w:t>
      </w:r>
    </w:p>
    <w:p>
      <w:pPr>
        <w:spacing w:after="0" w:line="21" w:lineRule="exact"/>
        <w:rPr>
          <w:sz w:val="20"/>
          <w:szCs w:val="20"/>
          <w:color w:val="auto"/>
        </w:rPr>
      </w:pPr>
    </w:p>
    <w:p>
      <w:pPr>
        <w:ind w:left="1140" w:hanging="241"/>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$20.4 million from acquisitions,</w:t>
      </w:r>
    </w:p>
    <w:p>
      <w:pPr>
        <w:spacing w:after="0" w:line="63" w:lineRule="exact"/>
        <w:rPr>
          <w:rFonts w:ascii="Times New Roman" w:cs="Times New Roman" w:eastAsia="Times New Roman" w:hAnsi="Times New Roman"/>
          <w:sz w:val="18"/>
          <w:szCs w:val="18"/>
          <w:color w:val="auto"/>
        </w:rPr>
      </w:pPr>
    </w:p>
    <w:p>
      <w:pPr>
        <w:ind w:left="1140" w:right="280" w:hanging="241"/>
        <w:spacing w:after="0" w:line="266" w:lineRule="auto"/>
        <w:tabs>
          <w:tab w:leader="none" w:pos="11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$14.0 million from comparable properties primarily related to higher rental rates of approximately $5.3 million, a $3.8 million increase in recoveries from tenants on higher occupancy and expenses, a $2.3 million increase in lease termination fee income, a $1.4 million increase in parking income, and higher average occupancy of approximately $1.2 million, and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740" w:firstLine="899"/>
        <w:spacing w:after="0" w:line="313" w:lineRule="auto"/>
        <w:tabs>
          <w:tab w:leader="none" w:pos="112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$6.6 million from non-comparable properties primarily driven by occupancy increases, partially offset by</w:t>
      </w:r>
    </w:p>
    <w:p>
      <w:pPr>
        <w:ind w:left="1140" w:hanging="241"/>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$9.3 million from property dispositions.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Expenses</w:t>
      </w:r>
    </w:p>
    <w:p>
      <w:pPr>
        <w:spacing w:after="0" w:line="9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Total property expenses increased $9.3 million, or 8.9%, to $113.7 million in the three months ended March 31, 2026 compared to $104.4 million in the three months ended March 31, 2025. Changes in the components of property expenses are discussed below.</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Rental Expenses</w:t>
      </w:r>
    </w:p>
    <w:p>
      <w:pPr>
        <w:spacing w:after="0" w:line="106" w:lineRule="exact"/>
        <w:rPr>
          <w:sz w:val="20"/>
          <w:szCs w:val="20"/>
          <w:color w:val="auto"/>
        </w:rPr>
      </w:pPr>
    </w:p>
    <w:p>
      <w:pPr>
        <w:ind w:right="460"/>
        <w:spacing w:after="0" w:line="281" w:lineRule="auto"/>
        <w:rPr>
          <w:sz w:val="20"/>
          <w:szCs w:val="20"/>
          <w:color w:val="auto"/>
        </w:rPr>
      </w:pPr>
      <w:r>
        <w:rPr>
          <w:rFonts w:ascii="Times New Roman" w:cs="Times New Roman" w:eastAsia="Times New Roman" w:hAnsi="Times New Roman"/>
          <w:sz w:val="18"/>
          <w:szCs w:val="18"/>
          <w:color w:val="auto"/>
        </w:rPr>
        <w:t>Rental expenses increased $6.9 million, or 10.2%, to $74.7 million in the three months ended March 31, 2026 compared to $67.8 million in the three months ended March 31, 2025. This increase is primarily due to the following:</w:t>
      </w:r>
    </w:p>
    <w:p>
      <w:pPr>
        <w:spacing w:after="0" w:line="1" w:lineRule="exact"/>
        <w:rPr>
          <w:sz w:val="20"/>
          <w:szCs w:val="20"/>
          <w:color w:val="auto"/>
        </w:rPr>
      </w:pPr>
    </w:p>
    <w:p>
      <w:pPr>
        <w:ind w:left="1140" w:hanging="241"/>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$4.5 million from comparable properties due primarily to higher snow removal costs and higher utilities,</w:t>
      </w:r>
    </w:p>
    <w:p>
      <w:pPr>
        <w:spacing w:after="0" w:line="63" w:lineRule="exact"/>
        <w:rPr>
          <w:rFonts w:ascii="Times New Roman" w:cs="Times New Roman" w:eastAsia="Times New Roman" w:hAnsi="Times New Roman"/>
          <w:sz w:val="18"/>
          <w:szCs w:val="18"/>
          <w:color w:val="auto"/>
        </w:rPr>
      </w:pPr>
    </w:p>
    <w:p>
      <w:pPr>
        <w:ind w:left="1140" w:hanging="241"/>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$3.7 million from acquisitions, and</w:t>
      </w:r>
    </w:p>
    <w:p>
      <w:pPr>
        <w:spacing w:after="0" w:line="63" w:lineRule="exact"/>
        <w:rPr>
          <w:rFonts w:ascii="Times New Roman" w:cs="Times New Roman" w:eastAsia="Times New Roman" w:hAnsi="Times New Roman"/>
          <w:sz w:val="18"/>
          <w:szCs w:val="18"/>
          <w:color w:val="auto"/>
        </w:rPr>
      </w:pPr>
    </w:p>
    <w:p>
      <w:pPr>
        <w:ind w:left="1140" w:hanging="241"/>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$2.1 million from non-comparable properties due primarily to openings at Santana West,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63" w:lineRule="exact"/>
        <w:rPr>
          <w:sz w:val="20"/>
          <w:szCs w:val="20"/>
          <w:color w:val="auto"/>
        </w:rPr>
      </w:pPr>
    </w:p>
    <w:p>
      <w:pPr>
        <w:ind w:left="900"/>
        <w:spacing w:after="0"/>
        <w:tabs>
          <w:tab w:leader="none" w:pos="11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a decrease of $2.6 million from property dispositions.</w:t>
      </w:r>
    </w:p>
    <w:p>
      <w:pPr>
        <w:spacing w:after="0" w:line="17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 a result of the changes in rental income and rental expenses as discussed above, rental expenses as a percentage of rental income increased to 22.5% in the three months ended March 31, 2026 from 22.4% in the three months ended March 31, 2025.</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 Estate Taxes</w:t>
      </w:r>
    </w:p>
    <w:p>
      <w:pPr>
        <w:spacing w:after="0" w:line="106"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Real estate tax expense increased $2.4 million, or 6.6%, to $39.0 million in the three months ended March 31, 2026 compared to $36.6 million in the three months ended March 31, 2025. This increase is primarily due to the following:</w:t>
      </w:r>
    </w:p>
    <w:p>
      <w:pPr>
        <w:spacing w:after="0" w:line="1" w:lineRule="exact"/>
        <w:rPr>
          <w:sz w:val="20"/>
          <w:szCs w:val="20"/>
          <w:color w:val="auto"/>
        </w:rPr>
      </w:pPr>
    </w:p>
    <w:p>
      <w:pPr>
        <w:ind w:left="1140" w:hanging="241"/>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$2.4 million from acquisitions,</w:t>
      </w:r>
    </w:p>
    <w:p>
      <w:pPr>
        <w:spacing w:after="0" w:line="63" w:lineRule="exact"/>
        <w:rPr>
          <w:rFonts w:ascii="Times New Roman" w:cs="Times New Roman" w:eastAsia="Times New Roman" w:hAnsi="Times New Roman"/>
          <w:sz w:val="18"/>
          <w:szCs w:val="18"/>
          <w:color w:val="auto"/>
        </w:rPr>
      </w:pPr>
    </w:p>
    <w:p>
      <w:pPr>
        <w:ind w:left="1140" w:hanging="241"/>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$0.6 million from comparable properties due primarily to higher assessments, and</w:t>
      </w:r>
    </w:p>
    <w:p>
      <w:pPr>
        <w:spacing w:after="0" w:line="63" w:lineRule="exact"/>
        <w:rPr>
          <w:rFonts w:ascii="Times New Roman" w:cs="Times New Roman" w:eastAsia="Times New Roman" w:hAnsi="Times New Roman"/>
          <w:sz w:val="18"/>
          <w:szCs w:val="18"/>
          <w:color w:val="auto"/>
        </w:rPr>
      </w:pPr>
    </w:p>
    <w:p>
      <w:pPr>
        <w:ind w:left="1140" w:hanging="241"/>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$0.6 million from non-comparable properties due primarily to openings at Santana West,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63" w:lineRule="exact"/>
        <w:rPr>
          <w:sz w:val="20"/>
          <w:szCs w:val="20"/>
          <w:color w:val="auto"/>
        </w:rPr>
      </w:pPr>
    </w:p>
    <w:p>
      <w:pPr>
        <w:ind w:left="900"/>
        <w:spacing w:after="0"/>
        <w:tabs>
          <w:tab w:leader="none" w:pos="11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a decrease of $1.2 million from property dispositions.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Operating Income</w:t>
      </w:r>
    </w:p>
    <w:p>
      <w:pPr>
        <w:spacing w:after="0" w:line="10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Property operating income increased $22.6 million, or 11.1%, to $227.4 million in the three months ended March 31, 2026 compared to $204.8 million in the three months ended March 31, 2025. This increase is primarily driven by acquisitions, higher rental rates and average occupancy, and openings at Santana West and Pike &amp; Rose Phase IV, partially offset by property dispositions.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Operating</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 increased $1.1 million, or 9.7%, to $11.9 million in the three months ended March 31, 2026 compared to $10.9 million in the three months ended March 31, 2025. This increase is due primarily to higher personnel related costs.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0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increased $12.3 million, or 14.1%, to $99.2 million in the three months ended March 31, 2026 compared to $86.9 million in the three months ended March 31, 2025. This increase is due primarily to acquisitions, openings at Santana West and Pike &amp; Rose Phase IV, and our investment in comparable properties, partially offset by property dispositions.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Sale of Real Estate</w:t>
      </w:r>
    </w:p>
    <w:p>
      <w:pPr>
        <w:spacing w:after="0" w:line="9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$92.7 million gain on sale of real estate for the three months ended March 31, 2026 is primarily due to the sale of a residential building at our Santana Row property and the sale of our Courthouse Center retail property.</w:t>
      </w:r>
    </w:p>
    <w:p>
      <w:pPr>
        <w:spacing w:after="0" w:line="4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$1.2 million gain on sale of real estate for the three months ended March 31, 2025 is primarily due to the sale of a portion of our White Marsh Other property.</w:t>
      </w:r>
    </w:p>
    <w:p>
      <w:pPr>
        <w:spacing w:after="0" w:line="200" w:lineRule="exact"/>
        <w:rPr>
          <w:sz w:val="20"/>
          <w:szCs w:val="20"/>
          <w:color w:val="auto"/>
        </w:rPr>
      </w:pPr>
    </w:p>
    <w:p>
      <w:pPr>
        <w:spacing w:after="0" w:line="2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4" w:right="3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Operating income increased $100.9 million, or 93.3%, to $209.0 million in the three months ended March 31, 2026 compared to $108.1 million in the three months ended March 31, 2025. This increase is primarily driven by higher gains on sale of real estate, higher rental rates and average occupancy, and acquisitions, partially offset by property dispositions.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06"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Interest expense increased $6.6 million, or 15.6%, to $49.1 million in the three months ended March 31, 2026 compared to $42.5 million in the three months ended March 31, 2025. This increase is due primarily to the following:</w:t>
      </w:r>
    </w:p>
    <w:p>
      <w:pPr>
        <w:spacing w:after="0" w:line="27" w:lineRule="exact"/>
        <w:rPr>
          <w:sz w:val="20"/>
          <w:szCs w:val="20"/>
          <w:color w:val="auto"/>
        </w:rPr>
      </w:pPr>
    </w:p>
    <w:p>
      <w:pPr>
        <w:ind w:left="1140" w:hanging="241"/>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$4.4 million due to higher weighted average borrowings,</w:t>
      </w:r>
    </w:p>
    <w:p>
      <w:pPr>
        <w:spacing w:after="0" w:line="103" w:lineRule="exact"/>
        <w:rPr>
          <w:rFonts w:ascii="Times New Roman" w:cs="Times New Roman" w:eastAsia="Times New Roman" w:hAnsi="Times New Roman"/>
          <w:sz w:val="18"/>
          <w:szCs w:val="18"/>
          <w:color w:val="auto"/>
        </w:rPr>
      </w:pPr>
    </w:p>
    <w:p>
      <w:pPr>
        <w:ind w:left="1140" w:hanging="241"/>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$1.9 million in capitalized interest, and</w:t>
      </w:r>
    </w:p>
    <w:p>
      <w:pPr>
        <w:spacing w:after="0" w:line="103" w:lineRule="exact"/>
        <w:rPr>
          <w:rFonts w:ascii="Times New Roman" w:cs="Times New Roman" w:eastAsia="Times New Roman" w:hAnsi="Times New Roman"/>
          <w:sz w:val="18"/>
          <w:szCs w:val="18"/>
          <w:color w:val="auto"/>
        </w:rPr>
      </w:pPr>
    </w:p>
    <w:p>
      <w:pPr>
        <w:ind w:left="1140" w:hanging="241"/>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$0.4 million due to a higher overall weighted average borrowing rate.</w:t>
      </w:r>
    </w:p>
    <w:p>
      <w:pPr>
        <w:spacing w:after="0" w:line="9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Gross interest costs were $52.1 million and $47.3 million in the three months ended March 31, 2026 and 2025, respectively. Capitalized interest was $3.0 million and $4.8 million for the three months ended March 31, 2026 and 2025,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Due to the nature of our business and strategy, we typically generate significant amounts of cash from operations which is largely paid to our common and preferred shareholders in the form of dividends because as a REIT, the Trust is generally required to make annual distributions to shareholders of at least 90% of our taxable income (cash dividends paid in the three months ended March 31, 2026 were approximately $99.5 million). Remaining cash flow from operations after regular debt service requirements (including debt service relating to additional or replacement debt, as well as scheduled debt maturities) and dividend payments is used to fund recurring and non-recurring capital projects (such as tenant improvements and redevelopments). We maintain an unsecured $1.25 billion revolving credit facility to fund short term cash flow needs and also look to the public and private debt and equity markets, joint venture relationships, and property dispositions to fund capital expenditures on a long-term basis.</w:t>
      </w:r>
    </w:p>
    <w:p>
      <w:pPr>
        <w:spacing w:after="0" w:line="6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February 2026, we sold two properties for sales proceeds of $155.3 million. On April 14, 2026, we amended and restated our revolving credit facility increasing the borrowing capacity from $1.25 billion to $1.4 billion, lowering the spread over SOFR to 72.5 basis points based on our current credit rating, and extending the maturity date to April 12, 2030, plus two six-month extensions, at our option. In addition, we have an option to increase the credit facility through an accordion feature to $2.0 billion. In the next twelve months, we have $250.6 million of debt maturing, of which, $200.0 million is the mortgage loan secured by Bethesda Row, for which we have a one-year extension option to extend the maturity date to December 28, 2027.</w:t>
      </w:r>
    </w:p>
    <w:p>
      <w:pPr>
        <w:spacing w:after="0" w:line="4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March 31, 2026, we had cash and cash equivalents of $115.6 million and $369.1 million outstanding on our $1.25 billion revolving credit facility. We also have the capacity to issue up to $750.0 million in common shares under our ATM equity program.</w:t>
      </w:r>
    </w:p>
    <w:p>
      <w:pPr>
        <w:spacing w:after="0" w:line="4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the weighted average amount of borrowings outstanding on our revolving credit facility was $397.3 million, and the weighted average interest rate, before amortization of debt fees, was 4.4%.</w:t>
      </w:r>
    </w:p>
    <w:p>
      <w:pPr>
        <w:spacing w:after="0" w:line="4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overall capital requirements for the remainder of 2026 will depend on acquisition opportunities, the level and general timing of our redevelopment and development activities, and the overall economic environment. We currently have development and redevelopment projects in various stages of constructions with remaining costs of $301 million. We expect to incur the majority of these costs in the next two years. We expect overall capital costs (excluding acquisitions) to be at levels consistent with 2025. Year to date through April 2026, we've acquired two properties for $92.0 million, and continue to evaluate additional opportunities.</w:t>
      </w:r>
    </w:p>
    <w:p>
      <w:pPr>
        <w:spacing w:after="0" w:line="48"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 xml:space="preserve">We believe cash flow from operations, the cash </w:t>
      </w:r>
      <w:r>
        <w:rPr>
          <w:rFonts w:ascii="Times New Roman" w:cs="Times New Roman" w:eastAsia="Times New Roman" w:hAnsi="Times New Roman"/>
          <w:sz w:val="18"/>
          <w:szCs w:val="18"/>
          <w:color w:val="212529"/>
        </w:rPr>
        <w:t>on our balance sheet, and our amended</w:t>
      </w:r>
      <w:r>
        <w:rPr>
          <w:rFonts w:ascii="Times New Roman" w:cs="Times New Roman" w:eastAsia="Times New Roman" w:hAnsi="Times New Roman"/>
          <w:sz w:val="18"/>
          <w:szCs w:val="18"/>
          <w:color w:val="auto"/>
        </w:rPr>
        <w:t xml:space="preserve"> $1.4 billion </w:t>
      </w:r>
      <w:r>
        <w:rPr>
          <w:rFonts w:ascii="Times New Roman" w:cs="Times New Roman" w:eastAsia="Times New Roman" w:hAnsi="Times New Roman"/>
          <w:sz w:val="18"/>
          <w:szCs w:val="18"/>
          <w:color w:val="212529"/>
        </w:rPr>
        <w:t>revolving credit facility will allow us to continue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operate our business in the short-term. </w:t>
      </w:r>
      <w:r>
        <w:rPr>
          <w:rFonts w:ascii="Times New Roman" w:cs="Times New Roman" w:eastAsia="Times New Roman" w:hAnsi="Times New Roman"/>
          <w:sz w:val="18"/>
          <w:szCs w:val="18"/>
          <w:color w:val="000000"/>
        </w:rPr>
        <w:t>Given our ability to access the capital markets, we also expect debt or equity financing to be available to us,</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although newly issued debt would likely be at higher interest rates than the debt we are refinancing. We also have the ability to delay the timing of certain development and redevelopment projects as well as limit future acquisitions, reduce our operating expenditures, or re-evaluate our dividend policy. We expect these sources of liquidity and opportunities for operating flexibility to allow us to meet our financial obligations over the long term. We intend to operate with and to maintain our long term commitment to a conservative capital structure that will allow us to maintain strong debt service coverage and fixed-charge coverage ratios as part of our commitment to investment-grade debt ratings.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Cash Flows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6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6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184,594</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179,044</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w:t>
            </w:r>
          </w:p>
        </w:tc>
        <w:tc>
          <w:tcPr>
            <w:tcW w:w="0" w:type="dxa"/>
            <w:vAlign w:val="bottom"/>
          </w:tcPr>
          <w:p>
            <w:pPr>
              <w:spacing w:after="0"/>
              <w:rPr>
                <w:sz w:val="1"/>
                <w:szCs w:val="1"/>
                <w:color w:val="auto"/>
              </w:rPr>
            </w:pPr>
          </w:p>
        </w:tc>
      </w:tr>
      <w:tr>
        <w:trPr>
          <w:trHeight w:val="23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(181,766)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202,282</w:t>
            </w: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(198,923)</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(10,018)</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(188,905)</w:t>
            </w:r>
          </w:p>
        </w:tc>
        <w:tc>
          <w:tcPr>
            <w:tcW w:w="0" w:type="dxa"/>
            <w:vAlign w:val="bottom"/>
          </w:tcPr>
          <w:p>
            <w:pPr>
              <w:spacing w:after="0"/>
              <w:rPr>
                <w:sz w:val="1"/>
                <w:szCs w:val="1"/>
                <w:color w:val="auto"/>
              </w:rPr>
            </w:pPr>
          </w:p>
        </w:tc>
      </w:tr>
      <w:tr>
        <w:trPr>
          <w:trHeight w:val="22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18,927</w:t>
            </w: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117,706</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135,443</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(17,737)</w:t>
            </w:r>
          </w:p>
        </w:tc>
        <w:tc>
          <w:tcPr>
            <w:tcW w:w="0" w:type="dxa"/>
            <w:vAlign w:val="bottom"/>
          </w:tcPr>
          <w:p>
            <w:pPr>
              <w:spacing w:after="0"/>
              <w:rPr>
                <w:sz w:val="1"/>
                <w:szCs w:val="1"/>
                <w:color w:val="auto"/>
              </w:rPr>
            </w:pPr>
          </w:p>
        </w:tc>
      </w:tr>
      <w:tr>
        <w:trPr>
          <w:trHeight w:val="22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123,893</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122,703</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Net cash provided by operating activities increased $5.6 million to $184.6 million during the three months ended March 31, 2026 from $179.0 million during the three months ended March 31, 2025. The increase was primarily due to higher net income after adjusting for non-cash items and gain on sale of real estate, offset by the timing of collections related to year end recovery billings.</w:t>
      </w:r>
    </w:p>
    <w:p>
      <w:pPr>
        <w:spacing w:after="0" w:line="136"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8"/>
          <w:szCs w:val="18"/>
          <w:color w:val="auto"/>
        </w:rPr>
        <w:t>Net cash used in investing activities decreased $202.3 million to $20.5 million provided by investing activities during the three months ended March 31, 2026 from $181.8 million used in investing activities during the three months ended March 31, 2025. The change was primarily attributable to:</w:t>
      </w:r>
    </w:p>
    <w:p>
      <w:pPr>
        <w:spacing w:after="0" w:line="5" w:lineRule="exact"/>
        <w:rPr>
          <w:sz w:val="20"/>
          <w:szCs w:val="20"/>
          <w:color w:val="auto"/>
        </w:rPr>
      </w:pPr>
    </w:p>
    <w:p>
      <w:pPr>
        <w:ind w:left="1140" w:right="440" w:hanging="241"/>
        <w:spacing w:after="0" w:line="242" w:lineRule="auto"/>
        <w:tabs>
          <w:tab w:leader="none" w:pos="1135"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$151.5 million increase in net proceeds from the sale of real estate primarily due to $155.3 million of net proceeds from the sale of a residential building at our Santana Row property and the sale of our Courthouse Center retail property during the three months ended March 31, 2026, and</w:t>
      </w:r>
    </w:p>
    <w:p>
      <w:pPr>
        <w:spacing w:after="0" w:line="8" w:lineRule="exact"/>
        <w:rPr>
          <w:rFonts w:ascii="Times New Roman" w:cs="Times New Roman" w:eastAsia="Times New Roman" w:hAnsi="Times New Roman"/>
          <w:sz w:val="18"/>
          <w:szCs w:val="18"/>
          <w:b w:val="1"/>
          <w:bCs w:val="1"/>
          <w:color w:val="auto"/>
        </w:rPr>
      </w:pPr>
    </w:p>
    <w:p>
      <w:pPr>
        <w:ind w:left="1140" w:hanging="241"/>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$54.7 million decrease in acquisition of real estate,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36" w:lineRule="exact"/>
        <w:rPr>
          <w:sz w:val="20"/>
          <w:szCs w:val="20"/>
          <w:color w:val="auto"/>
        </w:rPr>
      </w:pPr>
    </w:p>
    <w:p>
      <w:pPr>
        <w:ind w:left="900"/>
        <w:spacing w:after="0"/>
        <w:tabs>
          <w:tab w:leader="none" w:pos="1120" w:val="left"/>
        </w:tabs>
        <w:rPr>
          <w:sz w:val="20"/>
          <w:szCs w:val="20"/>
          <w:color w:val="auto"/>
        </w:rPr>
      </w:pPr>
      <w:r>
        <w:rPr>
          <w:rFonts w:ascii="Times New Roman" w:cs="Times New Roman" w:eastAsia="Times New Roman" w:hAnsi="Times New Roman"/>
          <w:sz w:val="18"/>
          <w:szCs w:val="18"/>
          <w:color w:val="auto"/>
        </w:rPr>
        <w:t>•</w:t>
        <w:tab/>
        <w:t>a $5.9 increase in capital expenditures.</w:t>
      </w:r>
    </w:p>
    <w:p>
      <w:pPr>
        <w:spacing w:after="0" w:line="158"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Net cash used in financing activities increased $188.9 million to $198.9 million during the three months ended March 31, 2026 from $10.0 million during the three months ended March 31, 2025. The increase was primarily attributable to:</w:t>
      </w:r>
    </w:p>
    <w:p>
      <w:pPr>
        <w:spacing w:after="0" w:line="1" w:lineRule="exact"/>
        <w:rPr>
          <w:sz w:val="20"/>
          <w:szCs w:val="20"/>
          <w:color w:val="auto"/>
        </w:rPr>
      </w:pPr>
    </w:p>
    <w:p>
      <w:pPr>
        <w:ind w:left="1140" w:hanging="241"/>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 million from the February 2026 repayment of our $400.0 million 1.25% senior unsecured notes at maturity,</w:t>
      </w:r>
    </w:p>
    <w:p>
      <w:pPr>
        <w:spacing w:after="0" w:line="36" w:lineRule="exact"/>
        <w:rPr>
          <w:rFonts w:ascii="Times New Roman" w:cs="Times New Roman" w:eastAsia="Times New Roman" w:hAnsi="Times New Roman"/>
          <w:sz w:val="18"/>
          <w:szCs w:val="18"/>
          <w:color w:val="auto"/>
        </w:rPr>
      </w:pPr>
    </w:p>
    <w:p>
      <w:pPr>
        <w:ind w:left="1140" w:hanging="241"/>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$54.5 million in net proceeds from the issuance of common shares under our ATM program in 2025, and</w:t>
      </w:r>
    </w:p>
    <w:p>
      <w:pPr>
        <w:spacing w:after="0" w:line="49" w:lineRule="exact"/>
        <w:rPr>
          <w:rFonts w:ascii="Times New Roman" w:cs="Times New Roman" w:eastAsia="Times New Roman" w:hAnsi="Times New Roman"/>
          <w:sz w:val="18"/>
          <w:szCs w:val="18"/>
          <w:color w:val="auto"/>
        </w:rPr>
      </w:pPr>
    </w:p>
    <w:p>
      <w:pPr>
        <w:ind w:left="1140" w:right="180" w:hanging="241"/>
        <w:spacing w:after="0" w:line="250" w:lineRule="auto"/>
        <w:tabs>
          <w:tab w:leader="none" w:pos="11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$3.1 million increase in dividends paid to common and preferred shareholders due to an increase to the common share dividend rate and an increase in the number of outstanding shares,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50" w:lineRule="exact"/>
        <w:rPr>
          <w:sz w:val="20"/>
          <w:szCs w:val="20"/>
          <w:color w:val="auto"/>
        </w:rPr>
      </w:pPr>
    </w:p>
    <w:p>
      <w:pPr>
        <w:ind w:left="1140" w:hanging="241"/>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 million in borrowings under our unsecured term loan in 2026 that we entered into during November 2025, and</w:t>
      </w:r>
    </w:p>
    <w:p>
      <w:pPr>
        <w:spacing w:after="0" w:line="36" w:lineRule="exact"/>
        <w:rPr>
          <w:rFonts w:ascii="Times New Roman" w:cs="Times New Roman" w:eastAsia="Times New Roman" w:hAnsi="Times New Roman"/>
          <w:sz w:val="18"/>
          <w:szCs w:val="18"/>
          <w:color w:val="auto"/>
        </w:rPr>
      </w:pPr>
    </w:p>
    <w:p>
      <w:pPr>
        <w:ind w:left="1140" w:hanging="241"/>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$14.6 million increase in net borrowings on our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Financing Arrangements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our total debt outstanding as of March 31, 2026:</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1080" w:type="dxa"/>
            <w:vAlign w:val="bottom"/>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Original</w:t>
            </w:r>
          </w:p>
        </w:tc>
        <w:tc>
          <w:tcPr>
            <w:tcW w:w="120" w:type="dxa"/>
            <w:vAlign w:val="bottom"/>
          </w:tcPr>
          <w:p>
            <w:pPr>
              <w:spacing w:after="0"/>
              <w:rPr>
                <w:sz w:val="13"/>
                <w:szCs w:val="13"/>
                <w:color w:val="auto"/>
              </w:rPr>
            </w:pPr>
          </w:p>
        </w:tc>
        <w:tc>
          <w:tcPr>
            <w:tcW w:w="86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3"/>
                <w:szCs w:val="13"/>
                <w:color w:val="auto"/>
              </w:rPr>
            </w:pPr>
          </w:p>
        </w:tc>
        <w:tc>
          <w:tcPr>
            <w:tcW w:w="1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Stated Interest Rate as</w:t>
            </w: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Balance as of</w:t>
            </w:r>
          </w:p>
        </w:tc>
        <w:tc>
          <w:tcPr>
            <w:tcW w:w="1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 of Debt</w:t>
            </w:r>
          </w:p>
        </w:tc>
        <w:tc>
          <w:tcPr>
            <w:tcW w:w="1080" w:type="dxa"/>
            <w:vAlign w:val="bottom"/>
          </w:tcPr>
          <w:p>
            <w:pPr>
              <w:jc w:val="center"/>
              <w:ind w:right="20"/>
              <w:spacing w:after="0" w:line="137" w:lineRule="exact"/>
              <w:rPr>
                <w:sz w:val="20"/>
                <w:szCs w:val="20"/>
                <w:color w:val="auto"/>
              </w:rPr>
            </w:pPr>
            <w:r>
              <w:rPr>
                <w:rFonts w:ascii="Times New Roman" w:cs="Times New Roman" w:eastAsia="Times New Roman" w:hAnsi="Times New Roman"/>
                <w:sz w:val="14"/>
                <w:szCs w:val="14"/>
                <w:b w:val="1"/>
                <w:bCs w:val="1"/>
                <w:color w:val="auto"/>
              </w:rPr>
              <w:t>Debt</w:t>
            </w:r>
          </w:p>
        </w:tc>
        <w:tc>
          <w:tcPr>
            <w:tcW w:w="120" w:type="dxa"/>
            <w:vAlign w:val="bottom"/>
          </w:tcPr>
          <w:p>
            <w:pPr>
              <w:spacing w:after="0"/>
              <w:rPr>
                <w:sz w:val="11"/>
                <w:szCs w:val="11"/>
                <w:color w:val="auto"/>
              </w:rPr>
            </w:pPr>
          </w:p>
        </w:tc>
        <w:tc>
          <w:tcPr>
            <w:tcW w:w="860" w:type="dxa"/>
            <w:vAlign w:val="bottom"/>
          </w:tcPr>
          <w:p>
            <w:pPr>
              <w:jc w:val="center"/>
              <w:ind w:right="60"/>
              <w:spacing w:after="0" w:line="137"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1"/>
                <w:szCs w:val="11"/>
                <w:color w:val="auto"/>
              </w:rPr>
            </w:pPr>
          </w:p>
        </w:tc>
        <w:tc>
          <w:tcPr>
            <w:tcW w:w="162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of</w:t>
            </w:r>
          </w:p>
        </w:tc>
        <w:tc>
          <w:tcPr>
            <w:tcW w:w="1520" w:type="dxa"/>
            <w:vAlign w:val="bottom"/>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0" w:type="dxa"/>
            <w:vAlign w:val="bottom"/>
          </w:tcPr>
          <w:p>
            <w:pPr>
              <w:spacing w:after="0"/>
              <w:rPr>
                <w:sz w:val="1"/>
                <w:szCs w:val="1"/>
                <w:color w:val="auto"/>
              </w:rPr>
            </w:pPr>
          </w:p>
        </w:tc>
      </w:tr>
      <w:tr>
        <w:trPr>
          <w:trHeight w:val="190"/>
        </w:trPr>
        <w:tc>
          <w:tcPr>
            <w:tcW w:w="3460" w:type="dxa"/>
            <w:vAlign w:val="bottom"/>
            <w:vMerge w:val="continue"/>
          </w:tcPr>
          <w:p>
            <w:pPr>
              <w:spacing w:after="0"/>
              <w:rPr>
                <w:sz w:val="16"/>
                <w:szCs w:val="16"/>
                <w:color w:val="auto"/>
              </w:rPr>
            </w:pPr>
          </w:p>
        </w:tc>
        <w:tc>
          <w:tcPr>
            <w:tcW w:w="108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Issued</w:t>
            </w:r>
          </w:p>
        </w:tc>
        <w:tc>
          <w:tcPr>
            <w:tcW w:w="120" w:type="dxa"/>
            <w:vAlign w:val="bottom"/>
          </w:tcPr>
          <w:p>
            <w:pPr>
              <w:spacing w:after="0"/>
              <w:rPr>
                <w:sz w:val="16"/>
                <w:szCs w:val="16"/>
                <w:color w:val="auto"/>
              </w:rPr>
            </w:pPr>
          </w:p>
        </w:tc>
        <w:tc>
          <w:tcPr>
            <w:tcW w:w="86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60" w:type="dxa"/>
            <w:vAlign w:val="bottom"/>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460" w:type="dxa"/>
            <w:vAlign w:val="bottom"/>
          </w:tcPr>
          <w:p>
            <w:pPr>
              <w:spacing w:after="0"/>
              <w:rPr>
                <w:sz w:val="16"/>
                <w:szCs w:val="16"/>
                <w:color w:val="auto"/>
              </w:rPr>
            </w:pPr>
          </w:p>
        </w:tc>
        <w:tc>
          <w:tcPr>
            <w:tcW w:w="20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Mortgages payable</w:t>
            </w: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4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Bell Gardens</w:t>
            </w:r>
          </w:p>
        </w:tc>
        <w:tc>
          <w:tcPr>
            <w:tcW w:w="1080" w:type="dxa"/>
            <w:vAlign w:val="bottom"/>
          </w:tcPr>
          <w:p>
            <w:pPr>
              <w:jc w:val="center"/>
              <w:ind w:right="20"/>
              <w:spacing w:after="0"/>
              <w:rPr>
                <w:sz w:val="20"/>
                <w:szCs w:val="20"/>
                <w:color w:val="auto"/>
              </w:rPr>
            </w:pPr>
            <w:r>
              <w:rPr>
                <w:rFonts w:ascii="Times New Roman" w:cs="Times New Roman" w:eastAsia="Times New Roman" w:hAnsi="Times New Roman"/>
                <w:sz w:val="16"/>
                <w:szCs w:val="16"/>
                <w:color w:val="auto"/>
              </w:rPr>
              <w:t>Acquired</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4.06 %</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August 1, 2026</w:t>
            </w:r>
          </w:p>
        </w:tc>
        <w:tc>
          <w:tcPr>
            <w:tcW w:w="0" w:type="dxa"/>
            <w:vAlign w:val="bottom"/>
          </w:tcPr>
          <w:p>
            <w:pPr>
              <w:spacing w:after="0"/>
              <w:rPr>
                <w:sz w:val="1"/>
                <w:szCs w:val="1"/>
                <w:color w:val="auto"/>
              </w:rPr>
            </w:pPr>
          </w:p>
        </w:tc>
      </w:tr>
      <w:tr>
        <w:trPr>
          <w:trHeight w:val="219"/>
        </w:trPr>
        <w:tc>
          <w:tcPr>
            <w:tcW w:w="3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Bethesda Row (1)</w:t>
            </w:r>
          </w:p>
        </w:tc>
        <w:tc>
          <w:tcPr>
            <w:tcW w:w="1080" w:type="dxa"/>
            <w:vAlign w:val="bottom"/>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rPr>
              <w:t>200,000</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SOFR + 0.95%</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December 28, 2026</w:t>
            </w:r>
          </w:p>
        </w:tc>
        <w:tc>
          <w:tcPr>
            <w:tcW w:w="0" w:type="dxa"/>
            <w:vAlign w:val="bottom"/>
          </w:tcPr>
          <w:p>
            <w:pPr>
              <w:spacing w:after="0"/>
              <w:rPr>
                <w:sz w:val="1"/>
                <w:szCs w:val="1"/>
                <w:color w:val="auto"/>
              </w:rPr>
            </w:pPr>
          </w:p>
        </w:tc>
      </w:tr>
      <w:tr>
        <w:trPr>
          <w:trHeight w:val="213"/>
        </w:trPr>
        <w:tc>
          <w:tcPr>
            <w:tcW w:w="34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Plaza El Segundo</w:t>
            </w:r>
          </w:p>
        </w:tc>
        <w:tc>
          <w:tcPr>
            <w:tcW w:w="1080" w:type="dxa"/>
            <w:vAlign w:val="bottom"/>
          </w:tcPr>
          <w:p>
            <w:pPr>
              <w:jc w:val="center"/>
              <w:ind w:right="20"/>
              <w:spacing w:after="0"/>
              <w:rPr>
                <w:sz w:val="20"/>
                <w:szCs w:val="20"/>
                <w:color w:val="auto"/>
              </w:rPr>
            </w:pPr>
            <w:r>
              <w:rPr>
                <w:rFonts w:ascii="Times New Roman" w:cs="Times New Roman" w:eastAsia="Times New Roman" w:hAnsi="Times New Roman"/>
                <w:sz w:val="16"/>
                <w:szCs w:val="16"/>
                <w:color w:val="auto"/>
              </w:rPr>
              <w:t>125,000</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3.83 %</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June 5, 2027</w:t>
            </w:r>
          </w:p>
        </w:tc>
        <w:tc>
          <w:tcPr>
            <w:tcW w:w="0" w:type="dxa"/>
            <w:vAlign w:val="bottom"/>
          </w:tcPr>
          <w:p>
            <w:pPr>
              <w:spacing w:after="0"/>
              <w:rPr>
                <w:sz w:val="1"/>
                <w:szCs w:val="1"/>
                <w:color w:val="auto"/>
              </w:rPr>
            </w:pPr>
          </w:p>
        </w:tc>
      </w:tr>
      <w:tr>
        <w:trPr>
          <w:trHeight w:val="219"/>
        </w:trPr>
        <w:tc>
          <w:tcPr>
            <w:tcW w:w="3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The Grove at Shrewsbury (East)</w:t>
            </w:r>
          </w:p>
        </w:tc>
        <w:tc>
          <w:tcPr>
            <w:tcW w:w="1080" w:type="dxa"/>
            <w:vAlign w:val="bottom"/>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rPr>
              <w:t>43,600</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43,600</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September 1, 2027</w:t>
            </w:r>
          </w:p>
        </w:tc>
        <w:tc>
          <w:tcPr>
            <w:tcW w:w="0" w:type="dxa"/>
            <w:vAlign w:val="bottom"/>
          </w:tcPr>
          <w:p>
            <w:pPr>
              <w:spacing w:after="0"/>
              <w:rPr>
                <w:sz w:val="1"/>
                <w:szCs w:val="1"/>
                <w:color w:val="auto"/>
              </w:rPr>
            </w:pPr>
          </w:p>
        </w:tc>
      </w:tr>
      <w:tr>
        <w:trPr>
          <w:trHeight w:val="213"/>
        </w:trPr>
        <w:tc>
          <w:tcPr>
            <w:tcW w:w="34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Azalea (2)(3)</w:t>
            </w:r>
          </w:p>
        </w:tc>
        <w:tc>
          <w:tcPr>
            <w:tcW w:w="1080" w:type="dxa"/>
            <w:vAlign w:val="bottom"/>
          </w:tcPr>
          <w:p>
            <w:pPr>
              <w:jc w:val="center"/>
              <w:ind w:right="20"/>
              <w:spacing w:after="0"/>
              <w:rPr>
                <w:sz w:val="20"/>
                <w:szCs w:val="20"/>
                <w:color w:val="auto"/>
              </w:rPr>
            </w:pPr>
            <w:r>
              <w:rPr>
                <w:rFonts w:ascii="Times New Roman" w:cs="Times New Roman" w:eastAsia="Times New Roman" w:hAnsi="Times New Roman"/>
                <w:sz w:val="16"/>
                <w:szCs w:val="16"/>
                <w:color w:val="auto"/>
              </w:rPr>
              <w:t>55,000</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55,000</w:t>
            </w:r>
          </w:p>
        </w:tc>
        <w:tc>
          <w:tcPr>
            <w:tcW w:w="10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SOFR + 0.85%</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October 30, 2028</w:t>
            </w:r>
          </w:p>
        </w:tc>
        <w:tc>
          <w:tcPr>
            <w:tcW w:w="0" w:type="dxa"/>
            <w:vAlign w:val="bottom"/>
          </w:tcPr>
          <w:p>
            <w:pPr>
              <w:spacing w:after="0"/>
              <w:rPr>
                <w:sz w:val="1"/>
                <w:szCs w:val="1"/>
                <w:color w:val="auto"/>
              </w:rPr>
            </w:pPr>
          </w:p>
        </w:tc>
      </w:tr>
      <w:tr>
        <w:trPr>
          <w:trHeight w:val="219"/>
        </w:trPr>
        <w:tc>
          <w:tcPr>
            <w:tcW w:w="3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Brook 35</w:t>
            </w:r>
          </w:p>
        </w:tc>
        <w:tc>
          <w:tcPr>
            <w:tcW w:w="1080" w:type="dxa"/>
            <w:vAlign w:val="bottom"/>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w w:val="95"/>
              </w:rPr>
              <w:t>11,500</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11,500</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July 1, 2029</w:t>
            </w:r>
          </w:p>
        </w:tc>
        <w:tc>
          <w:tcPr>
            <w:tcW w:w="0" w:type="dxa"/>
            <w:vAlign w:val="bottom"/>
          </w:tcPr>
          <w:p>
            <w:pPr>
              <w:spacing w:after="0"/>
              <w:rPr>
                <w:sz w:val="1"/>
                <w:szCs w:val="1"/>
                <w:color w:val="auto"/>
              </w:rPr>
            </w:pPr>
          </w:p>
        </w:tc>
      </w:tr>
      <w:tr>
        <w:trPr>
          <w:trHeight w:val="213"/>
        </w:trPr>
        <w:tc>
          <w:tcPr>
            <w:tcW w:w="34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Hoboken (24 Buildings) (4)</w:t>
            </w:r>
          </w:p>
        </w:tc>
        <w:tc>
          <w:tcPr>
            <w:tcW w:w="1080" w:type="dxa"/>
            <w:vAlign w:val="bottom"/>
          </w:tcPr>
          <w:p>
            <w:pPr>
              <w:jc w:val="center"/>
              <w:ind w:right="20"/>
              <w:spacing w:after="0"/>
              <w:rPr>
                <w:sz w:val="20"/>
                <w:szCs w:val="20"/>
                <w:color w:val="auto"/>
              </w:rPr>
            </w:pPr>
            <w:r>
              <w:rPr>
                <w:rFonts w:ascii="Times New Roman" w:cs="Times New Roman" w:eastAsia="Times New Roman" w:hAnsi="Times New Roman"/>
                <w:sz w:val="16"/>
                <w:szCs w:val="16"/>
                <w:color w:val="auto"/>
              </w:rPr>
              <w:t>56,450</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50,165</w:t>
            </w:r>
          </w:p>
        </w:tc>
        <w:tc>
          <w:tcPr>
            <w:tcW w:w="10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SOFR + 1.95%</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December 15, 2029</w:t>
            </w:r>
          </w:p>
        </w:tc>
        <w:tc>
          <w:tcPr>
            <w:tcW w:w="0" w:type="dxa"/>
            <w:vAlign w:val="bottom"/>
          </w:tcPr>
          <w:p>
            <w:pPr>
              <w:spacing w:after="0"/>
              <w:rPr>
                <w:sz w:val="1"/>
                <w:szCs w:val="1"/>
                <w:color w:val="auto"/>
              </w:rPr>
            </w:pPr>
          </w:p>
        </w:tc>
      </w:tr>
      <w:tr>
        <w:trPr>
          <w:trHeight w:val="219"/>
        </w:trPr>
        <w:tc>
          <w:tcPr>
            <w:tcW w:w="3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Various Hoboken (10 Buildings) (5)</w:t>
            </w:r>
          </w:p>
        </w:tc>
        <w:tc>
          <w:tcPr>
            <w:tcW w:w="1080" w:type="dxa"/>
            <w:vAlign w:val="bottom"/>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rPr>
              <w:t>Acquired</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21,260</w:t>
            </w: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Various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Various through 2029</w:t>
            </w:r>
          </w:p>
        </w:tc>
        <w:tc>
          <w:tcPr>
            <w:tcW w:w="0" w:type="dxa"/>
            <w:vAlign w:val="bottom"/>
          </w:tcPr>
          <w:p>
            <w:pPr>
              <w:spacing w:after="0"/>
              <w:rPr>
                <w:sz w:val="1"/>
                <w:szCs w:val="1"/>
                <w:color w:val="auto"/>
              </w:rPr>
            </w:pPr>
          </w:p>
        </w:tc>
      </w:tr>
      <w:tr>
        <w:trPr>
          <w:trHeight w:val="213"/>
        </w:trPr>
        <w:tc>
          <w:tcPr>
            <w:tcW w:w="34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Chelsea</w:t>
            </w:r>
          </w:p>
        </w:tc>
        <w:tc>
          <w:tcPr>
            <w:tcW w:w="1080" w:type="dxa"/>
            <w:vAlign w:val="bottom"/>
            <w:tcBorders>
              <w:bottom w:val="single" w:sz="8" w:color="CCEEFF"/>
            </w:tcBorders>
          </w:tcPr>
          <w:p>
            <w:pPr>
              <w:jc w:val="center"/>
              <w:ind w:right="20"/>
              <w:spacing w:after="0"/>
              <w:rPr>
                <w:sz w:val="20"/>
                <w:szCs w:val="20"/>
                <w:color w:val="auto"/>
              </w:rPr>
            </w:pPr>
            <w:r>
              <w:rPr>
                <w:rFonts w:ascii="Times New Roman" w:cs="Times New Roman" w:eastAsia="Times New Roman" w:hAnsi="Times New Roman"/>
                <w:sz w:val="16"/>
                <w:szCs w:val="16"/>
                <w:color w:val="auto"/>
              </w:rPr>
              <w:t>Acquired</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2,955</w:t>
            </w:r>
          </w:p>
        </w:tc>
        <w:tc>
          <w:tcPr>
            <w:tcW w:w="16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5.36 %</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January 15, 2031</w:t>
            </w:r>
          </w:p>
        </w:tc>
        <w:tc>
          <w:tcPr>
            <w:tcW w:w="0" w:type="dxa"/>
            <w:vAlign w:val="bottom"/>
          </w:tcPr>
          <w:p>
            <w:pPr>
              <w:spacing w:after="0"/>
              <w:rPr>
                <w:sz w:val="1"/>
                <w:szCs w:val="1"/>
                <w:color w:val="auto"/>
              </w:rPr>
            </w:pPr>
          </w:p>
        </w:tc>
      </w:tr>
      <w:tr>
        <w:trPr>
          <w:trHeight w:val="212"/>
        </w:trPr>
        <w:tc>
          <w:tcPr>
            <w:tcW w:w="34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Subtotal</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520,280</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40" w:type="dxa"/>
            <w:vAlign w:val="bottom"/>
            <w:tcBorders>
              <w:bottom w:val="single" w:sz="8" w:color="CCEEFF"/>
            </w:tcBorders>
            <w:gridSpan w:val="2"/>
          </w:tcPr>
          <w:p>
            <w:pPr>
              <w:ind w:left="880"/>
              <w:spacing w:after="0"/>
              <w:rPr>
                <w:sz w:val="20"/>
                <w:szCs w:val="20"/>
                <w:color w:val="auto"/>
              </w:rPr>
            </w:pPr>
            <w:r>
              <w:rPr>
                <w:rFonts w:ascii="Times New Roman" w:cs="Times New Roman" w:eastAsia="Times New Roman" w:hAnsi="Times New Roman"/>
                <w:sz w:val="16"/>
                <w:szCs w:val="16"/>
                <w:color w:val="auto"/>
              </w:rPr>
              <w:t>Net unamortized debt issuance costs and discount</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(1,259)</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mortgages payable, net</w:t>
            </w:r>
          </w:p>
        </w:tc>
        <w:tc>
          <w:tcPr>
            <w:tcW w:w="10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519,021</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34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Notes payable</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Revolving credit facility (2)(6)(7)</w:t>
            </w:r>
          </w:p>
        </w:tc>
        <w:tc>
          <w:tcPr>
            <w:tcW w:w="1080" w:type="dxa"/>
            <w:vAlign w:val="bottom"/>
          </w:tcPr>
          <w:p>
            <w:pPr>
              <w:jc w:val="center"/>
              <w:ind w:right="20"/>
              <w:spacing w:after="0"/>
              <w:rPr>
                <w:sz w:val="20"/>
                <w:szCs w:val="20"/>
                <w:color w:val="auto"/>
              </w:rPr>
            </w:pPr>
            <w:r>
              <w:rPr>
                <w:rFonts w:ascii="Times New Roman" w:cs="Times New Roman" w:eastAsia="Times New Roman" w:hAnsi="Times New Roman"/>
                <w:sz w:val="16"/>
                <w:szCs w:val="16"/>
                <w:color w:val="auto"/>
                <w:w w:val="96"/>
              </w:rPr>
              <w:t>(8)</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369,100</w:t>
            </w:r>
          </w:p>
        </w:tc>
        <w:tc>
          <w:tcPr>
            <w:tcW w:w="10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SOFR + 0.775%</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April 5, 2027</w:t>
            </w:r>
          </w:p>
        </w:tc>
        <w:tc>
          <w:tcPr>
            <w:tcW w:w="0" w:type="dxa"/>
            <w:vAlign w:val="bottom"/>
          </w:tcPr>
          <w:p>
            <w:pPr>
              <w:spacing w:after="0"/>
              <w:rPr>
                <w:sz w:val="1"/>
                <w:szCs w:val="1"/>
                <w:color w:val="auto"/>
              </w:rPr>
            </w:pPr>
          </w:p>
        </w:tc>
      </w:tr>
      <w:tr>
        <w:trPr>
          <w:trHeight w:val="232"/>
        </w:trPr>
        <w:tc>
          <w:tcPr>
            <w:tcW w:w="3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$750 million term loan (2)(7)(9)</w:t>
            </w:r>
          </w:p>
        </w:tc>
        <w:tc>
          <w:tcPr>
            <w:tcW w:w="1080" w:type="dxa"/>
            <w:vAlign w:val="bottom"/>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750,000</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750,000</w:t>
            </w:r>
          </w:p>
        </w:tc>
        <w:tc>
          <w:tcPr>
            <w:tcW w:w="10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SOFR + 0.85%</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March 20, 2028</w:t>
            </w:r>
          </w:p>
        </w:tc>
        <w:tc>
          <w:tcPr>
            <w:tcW w:w="0" w:type="dxa"/>
            <w:vAlign w:val="bottom"/>
          </w:tcPr>
          <w:p>
            <w:pPr>
              <w:spacing w:after="0"/>
              <w:rPr>
                <w:sz w:val="1"/>
                <w:szCs w:val="1"/>
                <w:color w:val="auto"/>
              </w:rPr>
            </w:pPr>
          </w:p>
        </w:tc>
      </w:tr>
      <w:tr>
        <w:trPr>
          <w:trHeight w:val="229"/>
        </w:trPr>
        <w:tc>
          <w:tcPr>
            <w:tcW w:w="34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$250 million term loan (2)(7)</w:t>
            </w:r>
          </w:p>
        </w:tc>
        <w:tc>
          <w:tcPr>
            <w:tcW w:w="1080" w:type="dxa"/>
            <w:vAlign w:val="bottom"/>
          </w:tcPr>
          <w:p>
            <w:pPr>
              <w:jc w:val="center"/>
              <w:ind w:right="20"/>
              <w:spacing w:after="0"/>
              <w:rPr>
                <w:sz w:val="20"/>
                <w:szCs w:val="20"/>
                <w:color w:val="auto"/>
              </w:rPr>
            </w:pPr>
            <w:r>
              <w:rPr>
                <w:rFonts w:ascii="Times New Roman" w:cs="Times New Roman" w:eastAsia="Times New Roman" w:hAnsi="Times New Roman"/>
                <w:sz w:val="18"/>
                <w:szCs w:val="18"/>
                <w:color w:val="auto"/>
                <w:w w:val="99"/>
              </w:rPr>
              <w:t>250,000</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100" w:type="dxa"/>
            <w:vAlign w:val="bottom"/>
          </w:tcPr>
          <w:p>
            <w:pPr>
              <w:spacing w:after="0"/>
              <w:rPr>
                <w:sz w:val="19"/>
                <w:szCs w:val="19"/>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SOFR + 0.85%</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January 31, 2031</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Various</w:t>
            </w:r>
          </w:p>
        </w:tc>
        <w:tc>
          <w:tcPr>
            <w:tcW w:w="1080" w:type="dxa"/>
            <w:vAlign w:val="bottom"/>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rPr>
              <w:t>3,014</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Various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Various through 2059</w:t>
            </w:r>
          </w:p>
        </w:tc>
        <w:tc>
          <w:tcPr>
            <w:tcW w:w="0" w:type="dxa"/>
            <w:vAlign w:val="bottom"/>
          </w:tcPr>
          <w:p>
            <w:pPr>
              <w:spacing w:after="0"/>
              <w:rPr>
                <w:sz w:val="1"/>
                <w:szCs w:val="1"/>
                <w:color w:val="auto"/>
              </w:rPr>
            </w:pPr>
          </w:p>
        </w:tc>
      </w:tr>
      <w:tr>
        <w:trPr>
          <w:trHeight w:val="207"/>
        </w:trPr>
        <w:tc>
          <w:tcPr>
            <w:tcW w:w="34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Subtotal</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1,370,256</w:t>
            </w: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4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Net unamortized debt issuance costs</w:t>
            </w:r>
          </w:p>
        </w:tc>
        <w:tc>
          <w:tcPr>
            <w:tcW w:w="10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4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notes payable, net</w:t>
            </w:r>
          </w:p>
        </w:tc>
        <w:tc>
          <w:tcPr>
            <w:tcW w:w="10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1,365,333</w:t>
            </w: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34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Senior notes and debentures (7)</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Unsecured fixed rate</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7.48% debentures</w:t>
            </w:r>
          </w:p>
        </w:tc>
        <w:tc>
          <w:tcPr>
            <w:tcW w:w="1080" w:type="dxa"/>
            <w:vAlign w:val="bottom"/>
          </w:tcPr>
          <w:p>
            <w:pPr>
              <w:jc w:val="center"/>
              <w:ind w:right="20"/>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7.48 %</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August 15, 2026</w:t>
            </w:r>
          </w:p>
        </w:tc>
        <w:tc>
          <w:tcPr>
            <w:tcW w:w="0" w:type="dxa"/>
            <w:vAlign w:val="bottom"/>
          </w:tcPr>
          <w:p>
            <w:pPr>
              <w:spacing w:after="0"/>
              <w:rPr>
                <w:sz w:val="1"/>
                <w:szCs w:val="1"/>
                <w:color w:val="auto"/>
              </w:rPr>
            </w:pPr>
          </w:p>
        </w:tc>
      </w:tr>
      <w:tr>
        <w:trPr>
          <w:trHeight w:val="219"/>
        </w:trPr>
        <w:tc>
          <w:tcPr>
            <w:tcW w:w="3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3.25% notes</w:t>
            </w:r>
          </w:p>
        </w:tc>
        <w:tc>
          <w:tcPr>
            <w:tcW w:w="1080" w:type="dxa"/>
            <w:vAlign w:val="bottom"/>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rPr>
              <w:t>475,000</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475,000</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July 15, 2027</w:t>
            </w:r>
          </w:p>
        </w:tc>
        <w:tc>
          <w:tcPr>
            <w:tcW w:w="0" w:type="dxa"/>
            <w:vAlign w:val="bottom"/>
          </w:tcPr>
          <w:p>
            <w:pPr>
              <w:spacing w:after="0"/>
              <w:rPr>
                <w:sz w:val="1"/>
                <w:szCs w:val="1"/>
                <w:color w:val="auto"/>
              </w:rPr>
            </w:pPr>
          </w:p>
        </w:tc>
      </w:tr>
      <w:tr>
        <w:trPr>
          <w:trHeight w:val="213"/>
        </w:trPr>
        <w:tc>
          <w:tcPr>
            <w:tcW w:w="34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6.82% medium term notes</w:t>
            </w:r>
          </w:p>
        </w:tc>
        <w:tc>
          <w:tcPr>
            <w:tcW w:w="1080" w:type="dxa"/>
            <w:vAlign w:val="bottom"/>
          </w:tcPr>
          <w:p>
            <w:pPr>
              <w:jc w:val="center"/>
              <w:ind w:right="20"/>
              <w:spacing w:after="0"/>
              <w:rPr>
                <w:sz w:val="20"/>
                <w:szCs w:val="20"/>
                <w:color w:val="auto"/>
              </w:rPr>
            </w:pPr>
            <w:r>
              <w:rPr>
                <w:rFonts w:ascii="Times New Roman" w:cs="Times New Roman" w:eastAsia="Times New Roman" w:hAnsi="Times New Roman"/>
                <w:sz w:val="16"/>
                <w:szCs w:val="16"/>
                <w:color w:val="auto"/>
              </w:rPr>
              <w:t>40,000</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6.82 %</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August 1, 2027</w:t>
            </w:r>
          </w:p>
        </w:tc>
        <w:tc>
          <w:tcPr>
            <w:tcW w:w="0" w:type="dxa"/>
            <w:vAlign w:val="bottom"/>
          </w:tcPr>
          <w:p>
            <w:pPr>
              <w:spacing w:after="0"/>
              <w:rPr>
                <w:sz w:val="1"/>
                <w:szCs w:val="1"/>
                <w:color w:val="auto"/>
              </w:rPr>
            </w:pPr>
          </w:p>
        </w:tc>
      </w:tr>
      <w:tr>
        <w:trPr>
          <w:trHeight w:val="219"/>
        </w:trPr>
        <w:tc>
          <w:tcPr>
            <w:tcW w:w="3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5.375% notes</w:t>
            </w:r>
          </w:p>
        </w:tc>
        <w:tc>
          <w:tcPr>
            <w:tcW w:w="1080" w:type="dxa"/>
            <w:vAlign w:val="bottom"/>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rPr>
              <w:t>350,000</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5.375 %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May 1, 2028</w:t>
            </w:r>
          </w:p>
        </w:tc>
        <w:tc>
          <w:tcPr>
            <w:tcW w:w="0" w:type="dxa"/>
            <w:vAlign w:val="bottom"/>
          </w:tcPr>
          <w:p>
            <w:pPr>
              <w:spacing w:after="0"/>
              <w:rPr>
                <w:sz w:val="1"/>
                <w:szCs w:val="1"/>
                <w:color w:val="auto"/>
              </w:rPr>
            </w:pPr>
          </w:p>
        </w:tc>
      </w:tr>
      <w:tr>
        <w:trPr>
          <w:trHeight w:val="213"/>
        </w:trPr>
        <w:tc>
          <w:tcPr>
            <w:tcW w:w="34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3.25% exchangeable notes</w:t>
            </w:r>
          </w:p>
        </w:tc>
        <w:tc>
          <w:tcPr>
            <w:tcW w:w="1080" w:type="dxa"/>
            <w:vAlign w:val="bottom"/>
          </w:tcPr>
          <w:p>
            <w:pPr>
              <w:jc w:val="center"/>
              <w:ind w:right="20"/>
              <w:spacing w:after="0"/>
              <w:rPr>
                <w:sz w:val="20"/>
                <w:szCs w:val="20"/>
                <w:color w:val="auto"/>
              </w:rPr>
            </w:pPr>
            <w:r>
              <w:rPr>
                <w:rFonts w:ascii="Times New Roman" w:cs="Times New Roman" w:eastAsia="Times New Roman" w:hAnsi="Times New Roman"/>
                <w:sz w:val="16"/>
                <w:szCs w:val="16"/>
                <w:color w:val="auto"/>
              </w:rPr>
              <w:t>485,000</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485,000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3.25 %</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January 15, 2029</w:t>
            </w:r>
          </w:p>
        </w:tc>
        <w:tc>
          <w:tcPr>
            <w:tcW w:w="0" w:type="dxa"/>
            <w:vAlign w:val="bottom"/>
          </w:tcPr>
          <w:p>
            <w:pPr>
              <w:spacing w:after="0"/>
              <w:rPr>
                <w:sz w:val="1"/>
                <w:szCs w:val="1"/>
                <w:color w:val="auto"/>
              </w:rPr>
            </w:pPr>
          </w:p>
        </w:tc>
      </w:tr>
      <w:tr>
        <w:trPr>
          <w:trHeight w:val="219"/>
        </w:trPr>
        <w:tc>
          <w:tcPr>
            <w:tcW w:w="3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3.20% notes</w:t>
            </w:r>
          </w:p>
        </w:tc>
        <w:tc>
          <w:tcPr>
            <w:tcW w:w="1080" w:type="dxa"/>
            <w:vAlign w:val="bottom"/>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rPr>
              <w:t>400,000</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June 15, 2029</w:t>
            </w:r>
          </w:p>
        </w:tc>
        <w:tc>
          <w:tcPr>
            <w:tcW w:w="0" w:type="dxa"/>
            <w:vAlign w:val="bottom"/>
          </w:tcPr>
          <w:p>
            <w:pPr>
              <w:spacing w:after="0"/>
              <w:rPr>
                <w:sz w:val="1"/>
                <w:szCs w:val="1"/>
                <w:color w:val="auto"/>
              </w:rPr>
            </w:pPr>
          </w:p>
        </w:tc>
      </w:tr>
      <w:tr>
        <w:trPr>
          <w:trHeight w:val="213"/>
        </w:trPr>
        <w:tc>
          <w:tcPr>
            <w:tcW w:w="34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3.50% notes</w:t>
            </w:r>
          </w:p>
        </w:tc>
        <w:tc>
          <w:tcPr>
            <w:tcW w:w="1080" w:type="dxa"/>
            <w:vAlign w:val="bottom"/>
          </w:tcPr>
          <w:p>
            <w:pPr>
              <w:jc w:val="center"/>
              <w:ind w:right="20"/>
              <w:spacing w:after="0"/>
              <w:rPr>
                <w:sz w:val="20"/>
                <w:szCs w:val="20"/>
                <w:color w:val="auto"/>
              </w:rPr>
            </w:pPr>
            <w:r>
              <w:rPr>
                <w:rFonts w:ascii="Times New Roman" w:cs="Times New Roman" w:eastAsia="Times New Roman" w:hAnsi="Times New Roman"/>
                <w:sz w:val="16"/>
                <w:szCs w:val="16"/>
                <w:color w:val="auto"/>
              </w:rPr>
              <w:t>400,000</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3.50 %</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June 1, 2030</w:t>
            </w:r>
          </w:p>
        </w:tc>
        <w:tc>
          <w:tcPr>
            <w:tcW w:w="0" w:type="dxa"/>
            <w:vAlign w:val="bottom"/>
          </w:tcPr>
          <w:p>
            <w:pPr>
              <w:spacing w:after="0"/>
              <w:rPr>
                <w:sz w:val="1"/>
                <w:szCs w:val="1"/>
                <w:color w:val="auto"/>
              </w:rPr>
            </w:pPr>
          </w:p>
        </w:tc>
      </w:tr>
      <w:tr>
        <w:trPr>
          <w:trHeight w:val="219"/>
        </w:trPr>
        <w:tc>
          <w:tcPr>
            <w:tcW w:w="3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4.50% notes</w:t>
            </w:r>
          </w:p>
        </w:tc>
        <w:tc>
          <w:tcPr>
            <w:tcW w:w="1080" w:type="dxa"/>
            <w:vAlign w:val="bottom"/>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rPr>
              <w:t>550,000</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550,000</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December 1, 2044</w:t>
            </w:r>
          </w:p>
        </w:tc>
        <w:tc>
          <w:tcPr>
            <w:tcW w:w="0" w:type="dxa"/>
            <w:vAlign w:val="bottom"/>
          </w:tcPr>
          <w:p>
            <w:pPr>
              <w:spacing w:after="0"/>
              <w:rPr>
                <w:sz w:val="1"/>
                <w:szCs w:val="1"/>
                <w:color w:val="auto"/>
              </w:rPr>
            </w:pPr>
          </w:p>
        </w:tc>
      </w:tr>
      <w:tr>
        <w:trPr>
          <w:trHeight w:val="213"/>
        </w:trPr>
        <w:tc>
          <w:tcPr>
            <w:tcW w:w="34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3.625% notes</w:t>
            </w:r>
          </w:p>
        </w:tc>
        <w:tc>
          <w:tcPr>
            <w:tcW w:w="1080" w:type="dxa"/>
            <w:vAlign w:val="bottom"/>
            <w:tcBorders>
              <w:bottom w:val="single" w:sz="8" w:color="CCEEFF"/>
            </w:tcBorders>
          </w:tcPr>
          <w:p>
            <w:pPr>
              <w:jc w:val="center"/>
              <w:ind w:right="20"/>
              <w:spacing w:after="0"/>
              <w:rPr>
                <w:sz w:val="20"/>
                <w:szCs w:val="20"/>
                <w:color w:val="auto"/>
              </w:rPr>
            </w:pPr>
            <w:r>
              <w:rPr>
                <w:rFonts w:ascii="Times New Roman" w:cs="Times New Roman" w:eastAsia="Times New Roman" w:hAnsi="Times New Roman"/>
                <w:sz w:val="16"/>
                <w:szCs w:val="16"/>
                <w:color w:val="auto"/>
              </w:rPr>
              <w:t>250,000</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16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3.625 %</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August 1, 2046</w:t>
            </w:r>
          </w:p>
        </w:tc>
        <w:tc>
          <w:tcPr>
            <w:tcW w:w="0" w:type="dxa"/>
            <w:vAlign w:val="bottom"/>
          </w:tcPr>
          <w:p>
            <w:pPr>
              <w:spacing w:after="0"/>
              <w:rPr>
                <w:sz w:val="1"/>
                <w:szCs w:val="1"/>
                <w:color w:val="auto"/>
              </w:rPr>
            </w:pPr>
          </w:p>
        </w:tc>
      </w:tr>
      <w:tr>
        <w:trPr>
          <w:trHeight w:val="212"/>
        </w:trPr>
        <w:tc>
          <w:tcPr>
            <w:tcW w:w="34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Subtotal</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2,979,200</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40" w:type="dxa"/>
            <w:vAlign w:val="bottom"/>
            <w:tcBorders>
              <w:bottom w:val="single" w:sz="8" w:color="CCEEFF"/>
            </w:tcBorders>
            <w:gridSpan w:val="2"/>
          </w:tcPr>
          <w:p>
            <w:pPr>
              <w:ind w:left="880"/>
              <w:spacing w:after="0"/>
              <w:rPr>
                <w:sz w:val="20"/>
                <w:szCs w:val="20"/>
                <w:color w:val="auto"/>
              </w:rPr>
            </w:pPr>
            <w:r>
              <w:rPr>
                <w:rFonts w:ascii="Times New Roman" w:cs="Times New Roman" w:eastAsia="Times New Roman" w:hAnsi="Times New Roman"/>
                <w:sz w:val="16"/>
                <w:szCs w:val="16"/>
                <w:color w:val="auto"/>
              </w:rPr>
              <w:t>Net unamortized debt issuance costs and premium</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(13,786)</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senior notes and debentures, net</w:t>
            </w:r>
          </w:p>
        </w:tc>
        <w:tc>
          <w:tcPr>
            <w:tcW w:w="10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2,965,414</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34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debt, net</w:t>
            </w: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4,849,768</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w:t>
            </w: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3460" w:type="dxa"/>
            <w:vAlign w:val="bottom"/>
            <w:vMerge w:val="continue"/>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640" w:hanging="632"/>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one one-year extension, at our option to extend the maturity date of this mortgage loan to December 28, 2027.</w:t>
      </w:r>
    </w:p>
    <w:p>
      <w:pPr>
        <w:spacing w:after="0" w:line="63" w:lineRule="exact"/>
        <w:rPr>
          <w:rFonts w:ascii="Times New Roman" w:cs="Times New Roman" w:eastAsia="Times New Roman" w:hAnsi="Times New Roman"/>
          <w:sz w:val="18"/>
          <w:szCs w:val="18"/>
          <w:color w:val="auto"/>
        </w:rPr>
      </w:pPr>
    </w:p>
    <w:p>
      <w:pPr>
        <w:ind w:left="660" w:hanging="652"/>
        <w:spacing w:after="0" w:line="281" w:lineRule="auto"/>
        <w:tabs>
          <w:tab w:leader="none" w:pos="65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Azalea mortgage loan, revolving credit facility SOFR loans, and our unsecured term loans bear interest at Daily Simple SOFR, as defined in the respective credit agreements, plus a spread, based on our current credit rating.</w:t>
      </w:r>
    </w:p>
    <w:p>
      <w:pPr>
        <w:spacing w:after="0" w:line="1" w:lineRule="exact"/>
        <w:rPr>
          <w:rFonts w:ascii="Times New Roman" w:cs="Times New Roman" w:eastAsia="Times New Roman" w:hAnsi="Times New Roman"/>
          <w:sz w:val="18"/>
          <w:szCs w:val="18"/>
          <w:color w:val="auto"/>
        </w:rPr>
      </w:pPr>
    </w:p>
    <w:p>
      <w:pPr>
        <w:ind w:left="660" w:right="240" w:hanging="652"/>
        <w:spacing w:after="0" w:line="281" w:lineRule="auto"/>
        <w:tabs>
          <w:tab w:leader="none" w:pos="65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Partnership is a co-borrower on this mortgage loan. Additionally, we have two one-year extensions, at our option to extend the maturity date of this mortgage loan to October 30, 2030.</w:t>
      </w:r>
    </w:p>
    <w:p>
      <w:pPr>
        <w:spacing w:after="0" w:line="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on this mortgage loan is fixed at 3.67% through two interest rate swap agreements.</w:t>
      </w:r>
    </w:p>
    <w:p>
      <w:pPr>
        <w:spacing w:after="0" w:line="63"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rates on these mortgages range from 3.91% to 5.00%.</w:t>
      </w:r>
    </w:p>
    <w:p>
      <w:pPr>
        <w:spacing w:after="0" w:line="63" w:lineRule="exact"/>
        <w:rPr>
          <w:rFonts w:ascii="Times New Roman" w:cs="Times New Roman" w:eastAsia="Times New Roman" w:hAnsi="Times New Roman"/>
          <w:sz w:val="18"/>
          <w:szCs w:val="18"/>
          <w:color w:val="auto"/>
        </w:rPr>
      </w:pPr>
    </w:p>
    <w:p>
      <w:pPr>
        <w:ind w:left="660" w:right="280" w:hanging="652"/>
        <w:spacing w:after="0" w:line="282" w:lineRule="auto"/>
        <w:tabs>
          <w:tab w:leader="none" w:pos="65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14, 2026, we amended and restated our revolving credit facility, increasing the borrowing capacity to $1.4 billion and extending the maturity date to April 12, 2030. Additionally, the spread over SOFR was lowered to 72.5 basis points based on our current credit rating.</w:t>
      </w:r>
    </w:p>
    <w:p>
      <w:pPr>
        <w:sectPr>
          <w:pgSz w:w="11900" w:h="16838" w:orient="portrait"/>
          <w:cols w:equalWidth="0" w:num="1">
            <w:col w:w="11080"/>
          </w:cols>
          <w:pgMar w:left="320" w:top="124" w:right="49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4" w:right="49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60" w:right="480" w:hanging="652"/>
        <w:spacing w:after="0" w:line="281" w:lineRule="auto"/>
        <w:tabs>
          <w:tab w:leader="none" w:pos="65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Partnership is the named obligor under our revolving credit facility, term loans, senior notes and debentures. A wholly owned subsidiary of the Operating Partnership is also a co-obligor of the $750.0 million term loan.</w:t>
      </w:r>
    </w:p>
    <w:p>
      <w:pPr>
        <w:spacing w:after="0" w:line="1" w:lineRule="exact"/>
        <w:rPr>
          <w:rFonts w:ascii="Times New Roman" w:cs="Times New Roman" w:eastAsia="Times New Roman" w:hAnsi="Times New Roman"/>
          <w:sz w:val="18"/>
          <w:szCs w:val="18"/>
          <w:color w:val="auto"/>
        </w:rPr>
      </w:pPr>
    </w:p>
    <w:p>
      <w:pPr>
        <w:ind w:left="660" w:right="160" w:hanging="652"/>
        <w:spacing w:after="0" w:line="281" w:lineRule="auto"/>
        <w:tabs>
          <w:tab w:leader="none" w:pos="65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amount drawn under our $1.25 billion revolving credit facility during the three months ended March 31, 2026 was $699.5 million and the weighted average interest rate on borrowings under our revolving credit facility, before amortization of debt fees, was 4.4%.</w:t>
      </w:r>
    </w:p>
    <w:p>
      <w:pPr>
        <w:spacing w:after="0" w:line="1" w:lineRule="exact"/>
        <w:rPr>
          <w:rFonts w:ascii="Times New Roman" w:cs="Times New Roman" w:eastAsia="Times New Roman" w:hAnsi="Times New Roman"/>
          <w:sz w:val="18"/>
          <w:szCs w:val="18"/>
          <w:color w:val="auto"/>
        </w:rPr>
      </w:pPr>
    </w:p>
    <w:p>
      <w:pPr>
        <w:ind w:left="660" w:right="220" w:hanging="652"/>
        <w:spacing w:after="0" w:line="282" w:lineRule="auto"/>
        <w:tabs>
          <w:tab w:leader="none" w:pos="65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on $450.0 million of our term loan is fixed at a weighted average interest rate of 4.17% through March 1, 2028 through interest rate swap agreements.</w:t>
      </w:r>
    </w:p>
    <w:p>
      <w:pPr>
        <w:spacing w:after="0" w:line="108"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Our revolving credit facility, unsecured term loans, and other debt agreements include financial and other covenants that may limit our operating activities in the future. As of March 31, 2026, we were in compliance with all financial and other covenants related to our revolving credit facility, unsecured term loans, and senior notes. Additionally, we were in compliance with all of the financial and other covenants that could trigger a loan default on our mortgage loans. If we were to breach any of these financial and other covenants and did not cure the breach within an applicable cure period, our lenders could require us to repay the debt immediately and, if the debt is secured, could immediately begin proceedings to take possession of the property securing the loan. Many of our debt arrangements, including our public notes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 Our organizational documents do not limit the level or amount of debt that we may incur.</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our scheduled principal repayments as of March 31, 2026:</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Unsecured</w:t>
            </w: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Secured</w:t>
            </w: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0" w:type="dxa"/>
            <w:vAlign w:val="bottom"/>
          </w:tcPr>
          <w:p>
            <w:pPr>
              <w:spacing w:after="0"/>
              <w:rPr>
                <w:sz w:val="16"/>
                <w:szCs w:val="16"/>
                <w:color w:val="auto"/>
              </w:rPr>
            </w:pPr>
          </w:p>
        </w:tc>
      </w:tr>
      <w:tr>
        <w:trPr>
          <w:trHeight w:val="23"/>
        </w:trPr>
        <w:tc>
          <w:tcPr>
            <w:tcW w:w="5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r>
      <w:tr>
        <w:trPr>
          <w:trHeight w:val="190"/>
        </w:trPr>
        <w:tc>
          <w:tcPr>
            <w:tcW w:w="5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23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29,319</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223,310</w:t>
            </w:r>
          </w:p>
        </w:tc>
        <w:tc>
          <w:tcPr>
            <w:tcW w:w="4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252,629</w:t>
            </w:r>
          </w:p>
        </w:tc>
        <w:tc>
          <w:tcPr>
            <w:tcW w:w="400" w:type="dxa"/>
            <w:vAlign w:val="bottom"/>
            <w:shd w:val="clear" w:color="auto" w:fill="CCEEFF"/>
          </w:tcPr>
          <w:p>
            <w:pPr>
              <w:spacing w:after="0"/>
              <w:rPr>
                <w:sz w:val="20"/>
                <w:szCs w:val="20"/>
                <w:color w:val="auto"/>
              </w:rPr>
            </w:pP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884,137</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5"/>
              </w:rPr>
              <w:t>(2)</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178,282</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1,062,419</w:t>
            </w:r>
          </w:p>
        </w:tc>
        <w:tc>
          <w:tcPr>
            <w:tcW w:w="400" w:type="dxa"/>
            <w:vAlign w:val="bottom"/>
          </w:tcPr>
          <w:p>
            <w:pPr>
              <w:spacing w:after="0"/>
              <w:rPr>
                <w:sz w:val="19"/>
                <w:szCs w:val="19"/>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1,100,000</w:t>
            </w:r>
          </w:p>
        </w:tc>
        <w:tc>
          <w:tcPr>
            <w:tcW w:w="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5"/>
              </w:rPr>
              <w:t>(3)</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57,511</w:t>
            </w:r>
          </w:p>
        </w:tc>
        <w:tc>
          <w:tcPr>
            <w:tcW w:w="4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1,157,511</w:t>
            </w:r>
          </w:p>
        </w:tc>
        <w:tc>
          <w:tcPr>
            <w:tcW w:w="400" w:type="dxa"/>
            <w:vAlign w:val="bottom"/>
            <w:shd w:val="clear" w:color="auto" w:fill="CCEEFF"/>
          </w:tcPr>
          <w:p>
            <w:pPr>
              <w:spacing w:after="0"/>
              <w:rPr>
                <w:sz w:val="19"/>
                <w:szCs w:val="19"/>
                <w:color w:val="auto"/>
              </w:rPr>
            </w:pP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885,000</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60,434</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945,434</w:t>
            </w:r>
          </w:p>
        </w:tc>
        <w:tc>
          <w:tcPr>
            <w:tcW w:w="400" w:type="dxa"/>
            <w:vAlign w:val="bottom"/>
          </w:tcPr>
          <w:p>
            <w:pPr>
              <w:spacing w:after="0"/>
              <w:rPr>
                <w:sz w:val="19"/>
                <w:szCs w:val="19"/>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400,684</w:t>
            </w:r>
          </w:p>
        </w:tc>
        <w:tc>
          <w:tcPr>
            <w:tcW w:w="400" w:type="dxa"/>
            <w:vAlign w:val="bottom"/>
            <w:shd w:val="clear" w:color="auto" w:fill="CCEEFF"/>
          </w:tcPr>
          <w:p>
            <w:pPr>
              <w:spacing w:after="0"/>
              <w:rPr>
                <w:sz w:val="19"/>
                <w:szCs w:val="19"/>
                <w:color w:val="auto"/>
              </w:rPr>
            </w:pPr>
          </w:p>
        </w:tc>
      </w:tr>
      <w:tr>
        <w:trPr>
          <w:trHeight w:val="230"/>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1,051,000</w:t>
            </w:r>
          </w:p>
        </w:tc>
        <w:tc>
          <w:tcPr>
            <w:tcW w:w="4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4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1,051,059</w:t>
            </w:r>
          </w:p>
        </w:tc>
        <w:tc>
          <w:tcPr>
            <w:tcW w:w="400" w:type="dxa"/>
            <w:vAlign w:val="bottom"/>
            <w:tcBorders>
              <w:bottom w:val="single" w:sz="8" w:color="CCEEFF"/>
            </w:tcBorders>
          </w:tcPr>
          <w:p>
            <w:pPr>
              <w:spacing w:after="0"/>
              <w:rPr>
                <w:sz w:val="19"/>
                <w:szCs w:val="19"/>
                <w:color w:val="auto"/>
              </w:rPr>
            </w:pPr>
          </w:p>
        </w:tc>
      </w:tr>
      <w:tr>
        <w:trPr>
          <w:trHeight w:val="248"/>
        </w:trPr>
        <w:tc>
          <w:tcPr>
            <w:tcW w:w="58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4,349,456</w:t>
            </w:r>
          </w:p>
        </w:tc>
        <w:tc>
          <w:tcPr>
            <w:tcW w:w="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520,280</w:t>
            </w:r>
          </w:p>
        </w:tc>
        <w:tc>
          <w:tcPr>
            <w:tcW w:w="4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4,869,736</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5"/>
              </w:rPr>
              <w:t>(5)</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63" w:lineRule="exact"/>
        <w:rPr>
          <w:sz w:val="20"/>
          <w:szCs w:val="20"/>
          <w:color w:val="auto"/>
        </w:rPr>
      </w:pPr>
    </w:p>
    <w:p>
      <w:pPr>
        <w:ind w:left="580" w:right="260" w:hanging="572"/>
        <w:spacing w:after="0" w:line="281" w:lineRule="auto"/>
        <w:tabs>
          <w:tab w:leader="none" w:pos="57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$200.0 mortgage loan secured by Bethesda Row matures on December 28, 2026, plus one one-year extension at our option to December 28, 2027.</w:t>
      </w:r>
    </w:p>
    <w:p>
      <w:pPr>
        <w:spacing w:after="0" w:line="1" w:lineRule="exact"/>
        <w:rPr>
          <w:rFonts w:ascii="Times New Roman" w:cs="Times New Roman" w:eastAsia="Times New Roman" w:hAnsi="Times New Roman"/>
          <w:sz w:val="18"/>
          <w:szCs w:val="18"/>
          <w:color w:val="auto"/>
        </w:rPr>
      </w:pPr>
    </w:p>
    <w:p>
      <w:pPr>
        <w:ind w:left="580" w:right="260" w:hanging="572"/>
        <w:spacing w:after="0" w:line="281" w:lineRule="auto"/>
        <w:tabs>
          <w:tab w:leader="none" w:pos="57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2026, there was $369.1 million outstanding under our revolving credit facility. On April 14, 2026, we amended and restated our revolving credit facility extending the maturity date to April 12, 2030, plus two six-month extensions at our option.</w:t>
      </w:r>
    </w:p>
    <w:p>
      <w:pPr>
        <w:spacing w:after="0" w:line="1" w:lineRule="exact"/>
        <w:rPr>
          <w:rFonts w:ascii="Times New Roman" w:cs="Times New Roman" w:eastAsia="Times New Roman" w:hAnsi="Times New Roman"/>
          <w:sz w:val="18"/>
          <w:szCs w:val="18"/>
          <w:color w:val="auto"/>
        </w:rPr>
      </w:pPr>
    </w:p>
    <w:p>
      <w:pPr>
        <w:ind w:left="560" w:hanging="552"/>
        <w:spacing w:after="0"/>
        <w:tabs>
          <w:tab w:leader="none" w:pos="5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$750.0 million term loan matures on March 20, 2028, plus two one-year extensions at our option to March 20, 2030.</w:t>
      </w:r>
    </w:p>
    <w:p>
      <w:pPr>
        <w:spacing w:after="0" w:line="63" w:lineRule="exact"/>
        <w:rPr>
          <w:rFonts w:ascii="Times New Roman" w:cs="Times New Roman" w:eastAsia="Times New Roman" w:hAnsi="Times New Roman"/>
          <w:sz w:val="18"/>
          <w:szCs w:val="18"/>
          <w:color w:val="auto"/>
        </w:rPr>
      </w:pPr>
    </w:p>
    <w:p>
      <w:pPr>
        <w:ind w:left="560" w:hanging="552"/>
        <w:spacing w:after="0"/>
        <w:tabs>
          <w:tab w:leader="none" w:pos="5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$55.0 million mortgage loan secured by Azalea matures on October 30, 2028, plus two one-year extensions at our option to October 30, 2030.</w:t>
      </w:r>
    </w:p>
    <w:p>
      <w:pPr>
        <w:spacing w:after="0" w:line="63" w:lineRule="exact"/>
        <w:rPr>
          <w:rFonts w:ascii="Times New Roman" w:cs="Times New Roman" w:eastAsia="Times New Roman" w:hAnsi="Times New Roman"/>
          <w:sz w:val="18"/>
          <w:szCs w:val="18"/>
          <w:color w:val="auto"/>
        </w:rPr>
      </w:pPr>
    </w:p>
    <w:p>
      <w:pPr>
        <w:ind w:left="580" w:right="600" w:hanging="572"/>
        <w:spacing w:after="0" w:line="282" w:lineRule="auto"/>
        <w:tabs>
          <w:tab w:leader="none" w:pos="57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debt maturities differ from the total reported on the consolidated balance sheets due to the unamortized net debt issuance costs and premium/discount on mortgage loans, notes payable, and senior notes as of March 31, 2026.</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Hedging</w:t>
      </w:r>
    </w:p>
    <w:p>
      <w:pPr>
        <w:spacing w:after="0" w:line="10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spacing w:after="0" w:line="12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Interest rate swaps associated with cash flow hedges are recorded at fair value on a recurring basis. Effectiveness of cash flow hedges is assessed both at inception and on an ongoing basis. The effective portion of changes in fair value of the interest rate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swaps associated with cash flow hedges is recorded in other comprehensive income which is included in "accumulated other comprehensive income (loss)" on the balance sheet and statement of shareholders' equity. Cash flow hedges become ineffective if critical terms of the hedging instrument and the debt instrument do not perfectly match such as notional amounts, settlement dates, reset dates, calculation period and SOFR rate. In addition, we evaluate the default risk of the counterparty by monitoring the credit-worthiness of the counterparty which includes reviewing debt ratings and financial performance. If a cash flow hedge is deemed ineffective, the ineffective portion of changes in fair value of the interest rate swaps associated with cash flow hedges is recognized in earnings in the period affected.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we have interest rate swap agreements that effectively fix the rate on the following debt instruments: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Debt</w:t>
            </w:r>
          </w:p>
        </w:tc>
        <w:tc>
          <w:tcPr>
            <w:tcW w:w="100" w:type="dxa"/>
            <w:vAlign w:val="bottom"/>
            <w:vMerge w:val="restart"/>
          </w:tcPr>
          <w:p>
            <w:pPr>
              <w:spacing w:after="0"/>
              <w:rPr>
                <w:sz w:val="16"/>
                <w:szCs w:val="16"/>
                <w:color w:val="auto"/>
              </w:rPr>
            </w:pPr>
          </w:p>
        </w:tc>
        <w:tc>
          <w:tcPr>
            <w:tcW w:w="20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Notional Amount of Related</w:t>
            </w:r>
          </w:p>
        </w:tc>
        <w:tc>
          <w:tcPr>
            <w:tcW w:w="2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Weighted Average Fixed Rate</w:t>
            </w:r>
          </w:p>
        </w:tc>
        <w:tc>
          <w:tcPr>
            <w:tcW w:w="100" w:type="dxa"/>
            <w:vAlign w:val="bottom"/>
            <w:vMerge w:val="restart"/>
          </w:tcPr>
          <w:p>
            <w:pPr>
              <w:spacing w:after="0"/>
              <w:rPr>
                <w:sz w:val="16"/>
                <w:szCs w:val="16"/>
                <w:color w:val="auto"/>
              </w:rPr>
            </w:pPr>
          </w:p>
        </w:tc>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Maturity Date of Related</w:t>
            </w:r>
          </w:p>
        </w:tc>
        <w:tc>
          <w:tcPr>
            <w:tcW w:w="0" w:type="dxa"/>
            <w:vAlign w:val="bottom"/>
          </w:tcPr>
          <w:p>
            <w:pPr>
              <w:spacing w:after="0"/>
              <w:rPr>
                <w:sz w:val="1"/>
                <w:szCs w:val="1"/>
                <w:color w:val="auto"/>
              </w:rPr>
            </w:pPr>
          </w:p>
        </w:tc>
      </w:tr>
      <w:tr>
        <w:trPr>
          <w:trHeight w:val="214"/>
        </w:trPr>
        <w:tc>
          <w:tcPr>
            <w:tcW w:w="35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Swap Agreements</w:t>
            </w:r>
          </w:p>
        </w:tc>
        <w:tc>
          <w:tcPr>
            <w:tcW w:w="100" w:type="dxa"/>
            <w:vAlign w:val="bottom"/>
          </w:tcPr>
          <w:p>
            <w:pPr>
              <w:spacing w:after="0"/>
              <w:rPr>
                <w:sz w:val="18"/>
                <w:szCs w:val="18"/>
                <w:color w:val="auto"/>
              </w:rPr>
            </w:pPr>
          </w:p>
        </w:tc>
        <w:tc>
          <w:tcPr>
            <w:tcW w:w="21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9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6"/>
                <w:szCs w:val="16"/>
                <w:b w:val="1"/>
                <w:bCs w:val="1"/>
                <w:color w:val="auto"/>
              </w:rPr>
              <w:t>Swap Agreements</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Consolidated Debt</w:t>
            </w:r>
          </w:p>
        </w:tc>
        <w:tc>
          <w:tcPr>
            <w:tcW w:w="240" w:type="dxa"/>
            <w:vAlign w:val="bottom"/>
          </w:tcPr>
          <w:p>
            <w:pPr>
              <w:spacing w:after="0"/>
              <w:rPr>
                <w:sz w:val="17"/>
                <w:szCs w:val="17"/>
                <w:color w:val="auto"/>
              </w:rPr>
            </w:pPr>
          </w:p>
        </w:tc>
        <w:tc>
          <w:tcPr>
            <w:tcW w:w="1740" w:type="dxa"/>
            <w:vAlign w:val="bottom"/>
          </w:tcPr>
          <w:p>
            <w:pPr>
              <w:jc w:val="right"/>
              <w:ind w:right="513"/>
              <w:spacing w:after="0"/>
              <w:rPr>
                <w:sz w:val="20"/>
                <w:szCs w:val="20"/>
                <w:color w:val="auto"/>
              </w:rPr>
            </w:pPr>
            <w:r>
              <w:rPr>
                <w:rFonts w:ascii="Times New Roman" w:cs="Times New Roman" w:eastAsia="Times New Roman" w:hAnsi="Times New Roman"/>
                <w:sz w:val="16"/>
                <w:szCs w:val="16"/>
                <w:color w:val="auto"/>
              </w:rPr>
              <w:t>(in millions)</w:t>
            </w:r>
          </w:p>
        </w:tc>
        <w:tc>
          <w:tcPr>
            <w:tcW w:w="1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66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$750 million term loan</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4.17 %</w:t>
            </w:r>
          </w:p>
        </w:tc>
        <w:tc>
          <w:tcPr>
            <w:tcW w:w="100" w:type="dxa"/>
            <w:vAlign w:val="bottom"/>
            <w:shd w:val="clear" w:color="auto" w:fill="CCEEFF"/>
          </w:tcPr>
          <w:p>
            <w:pPr>
              <w:spacing w:after="0"/>
              <w:rPr>
                <w:sz w:val="19"/>
                <w:szCs w:val="19"/>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2028</w:t>
            </w:r>
          </w:p>
        </w:tc>
        <w:tc>
          <w:tcPr>
            <w:tcW w:w="0" w:type="dxa"/>
            <w:vAlign w:val="bottom"/>
          </w:tcPr>
          <w:p>
            <w:pPr>
              <w:spacing w:after="0"/>
              <w:rPr>
                <w:sz w:val="1"/>
                <w:szCs w:val="1"/>
                <w:color w:val="auto"/>
              </w:rPr>
            </w:pPr>
          </w:p>
        </w:tc>
      </w:tr>
      <w:tr>
        <w:trPr>
          <w:trHeight w:val="221"/>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Hoboken mortgage loan</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3.67 %</w:t>
            </w:r>
          </w:p>
        </w:tc>
        <w:tc>
          <w:tcPr>
            <w:tcW w:w="100" w:type="dxa"/>
            <w:vAlign w:val="bottom"/>
          </w:tcPr>
          <w:p>
            <w:pPr>
              <w:spacing w:after="0"/>
              <w:rPr>
                <w:sz w:val="19"/>
                <w:szCs w:val="19"/>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15, 2029</w:t>
            </w:r>
          </w:p>
        </w:tc>
        <w:tc>
          <w:tcPr>
            <w:tcW w:w="0" w:type="dxa"/>
            <w:vAlign w:val="bottom"/>
          </w:tcPr>
          <w:p>
            <w:pPr>
              <w:spacing w:after="0"/>
              <w:rPr>
                <w:sz w:val="1"/>
                <w:szCs w:val="1"/>
                <w:color w:val="auto"/>
              </w:rPr>
            </w:pPr>
          </w:p>
        </w:tc>
      </w:tr>
      <w:tr>
        <w:trPr>
          <w:trHeight w:val="238"/>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Unconsolidated Debt</w:t>
            </w:r>
          </w:p>
        </w:tc>
        <w:tc>
          <w:tcPr>
            <w:tcW w:w="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Assembly Row Hotel</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6.11 %</w:t>
            </w:r>
          </w:p>
        </w:tc>
        <w:tc>
          <w:tcPr>
            <w:tcW w:w="100" w:type="dxa"/>
            <w:vAlign w:val="bottom"/>
            <w:shd w:val="clear" w:color="auto" w:fill="CCEEFF"/>
          </w:tcPr>
          <w:p>
            <w:pPr>
              <w:spacing w:after="0"/>
              <w:rPr>
                <w:sz w:val="19"/>
                <w:szCs w:val="19"/>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30, 2028</w:t>
            </w:r>
          </w:p>
        </w:tc>
        <w:tc>
          <w:tcPr>
            <w:tcW w:w="0" w:type="dxa"/>
            <w:vAlign w:val="bottom"/>
          </w:tcPr>
          <w:p>
            <w:pPr>
              <w:spacing w:after="0"/>
              <w:rPr>
                <w:sz w:val="1"/>
                <w:szCs w:val="1"/>
                <w:color w:val="auto"/>
              </w:rPr>
            </w:pPr>
          </w:p>
        </w:tc>
      </w:tr>
      <w:tr>
        <w:trPr>
          <w:trHeight w:val="229"/>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Chandler Festival</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4.93 %</w:t>
            </w:r>
          </w:p>
        </w:tc>
        <w:tc>
          <w:tcPr>
            <w:tcW w:w="100" w:type="dxa"/>
            <w:vAlign w:val="bottom"/>
          </w:tcPr>
          <w:p>
            <w:pPr>
              <w:spacing w:after="0"/>
              <w:rPr>
                <w:sz w:val="19"/>
                <w:szCs w:val="19"/>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October 4, 2030</w:t>
            </w:r>
          </w:p>
        </w:tc>
        <w:tc>
          <w:tcPr>
            <w:tcW w:w="0" w:type="dxa"/>
            <w:vAlign w:val="bottom"/>
          </w:tcPr>
          <w:p>
            <w:pPr>
              <w:spacing w:after="0"/>
              <w:rPr>
                <w:sz w:val="1"/>
                <w:szCs w:val="1"/>
                <w:color w:val="auto"/>
              </w:rPr>
            </w:pPr>
          </w:p>
        </w:tc>
      </w:tr>
      <w:tr>
        <w:trPr>
          <w:trHeight w:val="230"/>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Chandler Gateway</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4.93 %</w:t>
            </w:r>
          </w:p>
        </w:tc>
        <w:tc>
          <w:tcPr>
            <w:tcW w:w="100" w:type="dxa"/>
            <w:vAlign w:val="bottom"/>
            <w:shd w:val="clear" w:color="auto" w:fill="CCEEFF"/>
          </w:tcPr>
          <w:p>
            <w:pPr>
              <w:spacing w:after="0"/>
              <w:rPr>
                <w:sz w:val="19"/>
                <w:szCs w:val="19"/>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4, 2030</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1740"/>
        <w:spacing w:after="0" w:line="391" w:lineRule="auto"/>
        <w:rPr>
          <w:sz w:val="20"/>
          <w:szCs w:val="20"/>
          <w:color w:val="auto"/>
        </w:rPr>
      </w:pPr>
      <w:r>
        <w:rPr>
          <w:rFonts w:ascii="Times New Roman" w:cs="Times New Roman" w:eastAsia="Times New Roman" w:hAnsi="Times New Roman"/>
          <w:sz w:val="18"/>
          <w:szCs w:val="18"/>
          <w:color w:val="auto"/>
        </w:rPr>
        <w:t xml:space="preserve">All swaps were designated and qualify as cash flow hedges. Hedge ineffectiveness has not impacted earnings as of March 31, 2026. </w:t>
      </w:r>
      <w:r>
        <w:rPr>
          <w:rFonts w:ascii="Times New Roman" w:cs="Times New Roman" w:eastAsia="Times New Roman" w:hAnsi="Times New Roman"/>
          <w:sz w:val="18"/>
          <w:szCs w:val="18"/>
          <w:i w:val="1"/>
          <w:iCs w:val="1"/>
          <w:color w:val="auto"/>
        </w:rPr>
        <w:t>REIT Qualification</w:t>
      </w:r>
    </w:p>
    <w:p>
      <w:pPr>
        <w:spacing w:after="0" w:line="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intend to maintain the Trust's qualification as a REIT under Section 856(c) of the Code. As a REIT, we generally will not be subject to corporate federal income taxes on income we distribute to our shareholders as long as we satisfy certain technical requirements of the Code, including the requirement to distribute at least 90% of our taxable income to our shareholders.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Funds From Operations</w:t>
      </w:r>
    </w:p>
    <w:p>
      <w:pPr>
        <w:spacing w:after="0" w:line="10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Nareit Funds From Operations (“Nareit FFO”) is a supplemental non-GAAP financial measure of real estate companies’ operating performance. The National Association of Real Estate Investment Trusts (“Nareit”) defines FFO as follows: net income, computed in accordance with U.S. GAAP, plus real estate related depreciation and amortization, and excluding gains and losses on the sale of real estate or changes in control, net of tax, and impairment write-downs of certain real estate assets and investments in entities when the impairment is directly attributable to decreases in the value of depreciable real estate held by the entity. We compute Nareit FFO in accordance with the Nareit definition, and we have historically reported our Nareit FFO available for common shareholders in addition to our net income and net cash provided by operating activities. It should be noted that Nareit FFO:</w:t>
      </w:r>
    </w:p>
    <w:p>
      <w:pPr>
        <w:spacing w:after="0" w:line="25" w:lineRule="exact"/>
        <w:rPr>
          <w:sz w:val="20"/>
          <w:szCs w:val="20"/>
          <w:color w:val="auto"/>
        </w:rPr>
      </w:pPr>
    </w:p>
    <w:p>
      <w:pPr>
        <w:ind w:left="1700" w:right="280" w:hanging="801"/>
        <w:spacing w:after="0" w:line="281" w:lineRule="auto"/>
        <w:tabs>
          <w:tab w:leader="none" w:pos="16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represent cash flows from operating activities in accordance with GAAP (which, unlike FFO, generally reflects all cash effects of transactions and other events in the determination of net income);</w:t>
      </w:r>
    </w:p>
    <w:p>
      <w:pPr>
        <w:spacing w:after="0" w:line="1"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not be considered an alternative to net income as an indication of our performance; and</w:t>
      </w:r>
    </w:p>
    <w:p>
      <w:pPr>
        <w:spacing w:after="0" w:line="63"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necessarily indicative of cash flow as a measure of liquidity or ability to fund cash needs, including the payment of dividends.</w:t>
      </w:r>
    </w:p>
    <w:p>
      <w:pPr>
        <w:spacing w:after="0" w:line="17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consider Nareit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Nareit FFO primarily as one of several means of assessing our operating performance in comparison with other REITs. Comparison of our presentation of Nareit FFO to similarly titled measures for other REITs may not necessarily be meaningful due to possible differences in the application of the Nareit definition used by such REITs.</w:t>
      </w:r>
    </w:p>
    <w:p>
      <w:pPr>
        <w:spacing w:after="0" w:line="1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An increase or decrease in Nareit FFO available for common shareholders does not necessarily result in an increase or decrease in aggregate distributions because our Board of Trustees is not required to increase distributions on a quarterly basis. However, we must distribute at least 90% of our annual taxable income to remain qualified as a REIT. Therefore, a significant increase in Nareit FFO will generally require an increase in distributions to shareholders although not necessarily on a proportionate basis.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Core Funds From Operations ("Core FFO") is a supplemental non-GAAP financial measure of performance that adjusts Nareit FFO to exclude the impact of certain items that management considers are not indicative of the Company’s ongoing operating and financial performance. These adjustments include, when applicable, (1) gains or losses on early extinguishment of debt, (2) new market tax credit transaction income, (3) executive transition costs, (4) collection of prior period rents which were contractually deferred or payments renegotiated related to the COVID-19 pandemic, and (5) other items as determined by management. Management believes Core FFO provides enhanced comparability across periods and additional insight into the Company’s underlying operating results, by excluding items that may reflect short-term fluctuations in net income and Nareit FFO. Core FFO is not intended to be a substitute for net income or Nareit FFO. Comparison of our presentation of Core FFO to similarly titled measures for other REITs may not be meaningful due to possible differences in the way Core FFO is defined or applied by other REITs.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net income to Nareit FFO and Core FFO available to common shareholders is as follows: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60" w:type="dxa"/>
            <w:vAlign w:val="bottom"/>
            <w:gridSpan w:val="4"/>
          </w:tcPr>
          <w:p>
            <w:pPr>
              <w:jc w:val="right"/>
              <w:ind w:right="73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03"/>
        </w:trPr>
        <w:tc>
          <w:tcPr>
            <w:tcW w:w="8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gridSpan w:val="3"/>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89"/>
        </w:trPr>
        <w:tc>
          <w:tcPr>
            <w:tcW w:w="8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w w:val="95"/>
              </w:rPr>
              <w:t>(In thousands, except</w:t>
            </w:r>
          </w:p>
        </w:tc>
        <w:tc>
          <w:tcPr>
            <w:tcW w:w="1420" w:type="dxa"/>
            <w:vAlign w:val="bottom"/>
            <w:gridSpan w:val="2"/>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per share data)</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net income to Nareit FFO available to common shareholders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161,070</w:t>
            </w:r>
          </w:p>
        </w:tc>
        <w:tc>
          <w:tcPr>
            <w:tcW w:w="100" w:type="dxa"/>
            <w:vAlign w:val="bottom"/>
          </w:tcPr>
          <w:p>
            <w:pPr>
              <w:spacing w:after="0"/>
              <w:rPr>
                <w:sz w:val="19"/>
                <w:szCs w:val="19"/>
                <w:color w:val="auto"/>
              </w:rPr>
            </w:pPr>
          </w:p>
        </w:tc>
        <w:tc>
          <w:tcPr>
            <w:tcW w:w="42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66,578</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(92,711)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of real estate assets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84,778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76,498</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initial direct costs of leases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9,077</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Funds from operations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164,399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148,172</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on preferred shares (1)</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attributable to downREIT operating partnership units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attributable to unvested shares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21"/>
        </w:trPr>
        <w:tc>
          <w:tcPr>
            <w:tcW w:w="8280" w:type="dxa"/>
            <w:vAlign w:val="bottom"/>
            <w:tcBorders>
              <w:bottom w:val="single" w:sz="8" w:color="CCEEFF"/>
            </w:tcBorders>
            <w:shd w:val="clear" w:color="auto" w:fill="CCEEFF"/>
          </w:tcPr>
          <w:p>
            <w:pPr>
              <w:ind w:left="360"/>
              <w:spacing w:after="0" w:line="196" w:lineRule="exact"/>
              <w:rPr>
                <w:sz w:val="20"/>
                <w:szCs w:val="20"/>
                <w:color w:val="auto"/>
              </w:rPr>
            </w:pPr>
            <w:r>
              <w:rPr>
                <w:rFonts w:ascii="Times New Roman" w:cs="Times New Roman" w:eastAsia="Times New Roman" w:hAnsi="Times New Roman"/>
                <w:sz w:val="18"/>
                <w:szCs w:val="18"/>
                <w:color w:val="auto"/>
              </w:rPr>
              <w:t>Nareit FFO</w:t>
            </w:r>
          </w:p>
        </w:tc>
        <w:tc>
          <w:tcPr>
            <w:tcW w:w="2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162,553</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13"/>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146,476</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diluted (1)(2)</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80" w:type="dxa"/>
            <w:vAlign w:val="bottom"/>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86,662</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86,177</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Nareit FFO, per diluted share (2)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19"/>
                <w:szCs w:val="19"/>
                <w:color w:val="auto"/>
              </w:rPr>
            </w:pPr>
          </w:p>
        </w:tc>
        <w:tc>
          <w:tcPr>
            <w:tcW w:w="42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70"/>
        </w:trPr>
        <w:tc>
          <w:tcPr>
            <w:tcW w:w="82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Nareit FFO to Core FFO</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Nareit FFO</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162,553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146,476</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Collection of prior period rents deferred during COVID</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23"/>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Core FFO</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162,553</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146,409</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Core FFO per diluted share (2)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20"/>
                <w:szCs w:val="20"/>
                <w:color w:val="auto"/>
              </w:rPr>
            </w:pPr>
          </w:p>
        </w:tc>
        <w:tc>
          <w:tcPr>
            <w:tcW w:w="42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92"/>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jc w:val="both"/>
        <w:ind w:left="660" w:right="400" w:hanging="652"/>
        <w:spacing w:after="0" w:line="298" w:lineRule="auto"/>
        <w:tabs>
          <w:tab w:leader="none" w:pos="654"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three months ended March 31, 2026 and 2025, dividends on our Series 1 preferred stock were not deducted in the calculation of FFO available to common shareholders, as the related shares were dilutive and included in "weighted average number of common shares, diluted."</w:t>
      </w:r>
    </w:p>
    <w:p>
      <w:pPr>
        <w:ind w:left="660" w:right="60" w:hanging="652"/>
        <w:spacing w:after="0" w:line="261" w:lineRule="auto"/>
        <w:tabs>
          <w:tab w:leader="none" w:pos="65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common shares used to compute Nareit and Core FFO per diluted common share includes downREIT operating partnership units that were excluded from the computation of diluted EPS. Conversion of these operating partnership units is dilutive in the computation of Nareit and Core FFO per diluted share for all periods presented but is anti-dilutive for the computation of diluted EPS for the three months ended March 31, 2025.</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9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spacing w:after="0" w:line="12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may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0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following discusses the effect of hypothetical changes in market rates of interest on interest expense for our variable rate debt and on the fair value of our total outstanding debt, including our fixed-rate debt. Interest rate risk amounts were determined by considering the impact of hypothetical interest rates on our debt. Quoted market prices were used to estimate the fair value of our marketable senior notes and debentures and discounted cash flow analysis is generally used to estimate the fair value of our mortgages and notes payable. Considerable judgment is necessary to estimate the fair value of financial instruments.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Fixed Interest Rate Debt</w:t>
      </w:r>
    </w:p>
    <w:p>
      <w:pPr>
        <w:spacing w:after="0" w:line="10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majority of our outstanding debt obligations (maturing at various times through 2059) have fixed interest rates which limit the risk of fluctuating interest rates. However, interest rate fluctuations may affect the fair value of our fixed rate debt instruments. At March 31, 2026, we had $3.7 billion of fixed-rate debt outstanding, including $450.0 million of our $750.0 million unsecured term loan and $50.2 million of mortgage payables for which the rate is effectively fixed by interest rate swap agreements. If market interest rates used to calculate the fair value on our fixed-rate debt instruments at March 31, 2026 had been 1.0% higher, the fair value of those debt instruments on that date would have decreased by approximately $127.9 million. If market interest rates used to calculate the fair value on our fixed-rate debt instruments at March 31, 2026 had been 1.0% lower, the fair value of those debt instruments on that date would have increased by approximately $142.6 million.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Interest Rate Debt</w:t>
      </w:r>
    </w:p>
    <w:p>
      <w:pPr>
        <w:spacing w:after="0" w:line="9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Generally, we believe that our primary interest rate risk is due to fluctuations in interest rates on our outstanding variable rate debt. At March 31, 2026, we had $1.2 billion of variable rate debt outstanding, comprised of $550.0 million of our unsecured term loans, $369.1 million outstanding on our revolving credit facility, our $200.0 million mortgage loan at Bethesda Row, and our $55.0 million mortgage loan at Azalea. Based upon this amount of variable rate debt and the specific terms, if market interest rates increased 1.0%, our annual interest expense would increase approximately $11.7 million with a corresponding decrease in our net income and cash flows for the year. Conversely, if market interest rates decreased 1.0%, our annual interest expense would decrease by approximately $11.7 million with a corresponding increase in our net income and cash flows for the year.</w:t>
      </w:r>
    </w:p>
    <w:p>
      <w:pPr>
        <w:spacing w:after="0" w:line="22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Controls and Procedures (Federal Realty Investment Trust)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Periodic Evaluation and Conclusion of Disclosure Controls and Procedures</w:t>
      </w:r>
    </w:p>
    <w:p>
      <w:pPr>
        <w:spacing w:after="0" w:line="1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 evaluation has been performed, under the supervision and with the participation of our management, including our Chief Executive Officer and Chief Financial Officer, of the effectiveness of the design and operation of the Trust's disclosure controls and procedures as of March 31, 2026. Based on this evaluation, our management, including our Chief Executive Officer and Chief Financial Officer, concluded that the Trust's disclosure controls and procedures were effective as of March 31, 2026 to provide reasonable assurance that information required to be disclosed in the Trust's reports filed or submitted under the Securities Exchange Act of 1934 is (i) recorded, processed, summarized and reported within the time periods specified in the rules and forms of the SEC and (ii) accumulated and communicated to the Trust’s management including its principal executive and principal financial officer as appropriate to allow timely decisions regarding required disclosure.</w:t>
      </w:r>
    </w:p>
    <w:p>
      <w:pPr>
        <w:spacing w:after="0" w:line="200" w:lineRule="exact"/>
        <w:rPr>
          <w:sz w:val="20"/>
          <w:szCs w:val="20"/>
          <w:color w:val="auto"/>
        </w:rPr>
      </w:pPr>
    </w:p>
    <w:p>
      <w:pPr>
        <w:spacing w:after="0" w:line="3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4" w:right="3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9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There has been no change in the Trust's internal control over financial reporting during the quarterly period covered by this report that materially affected, or is reasonably likely to materially affect, the Trust's internal control over financial reporting.</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Controls and Procedures (Federal Realty OP LP)</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Periodic Evaluation and Conclusion of Disclosure Controls and Procedures</w:t>
      </w:r>
    </w:p>
    <w:p>
      <w:pPr>
        <w:spacing w:after="0" w:line="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 evaluation has been performed, under the supervision and with the participation of our management, including our Chief Executive Officer and Chief Financial Officer, of the effectiveness of the design and operation of the Operating Partnership's disclosure controls and procedures as of March 31, 2026. Based on this evaluation, our management, including our Chief Executive Officer and Chief Financial Officer, concluded that the Operating Partnership's disclosure controls and procedures were effective as of March 31, 2026 to provide reasonable assurance that information required to be disclosed in our reports filed or submitted under the Securities Exchange Act of 1934 is (i) recorded, processed, summarized and reported within the time periods specified in the rules and forms of the SEC and (ii) accumulated and communicated to the Operating Partnership’s management including its principal executive and principal financial officer as appropriate to allow timely decisions regarding required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0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There has been no change in the Operating Partnership's internal control over financial reporting during the quarterly period covered by this report that materially affected, or is reasonably likely to materially affect, the Operating Partnership's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4" w:right="3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00" w:lineRule="exact"/>
        <w:rPr>
          <w:sz w:val="20"/>
          <w:szCs w:val="20"/>
          <w:color w:val="auto"/>
        </w:rPr>
      </w:pPr>
    </w:p>
    <w:p>
      <w:pPr>
        <w:spacing w:after="0" w:line="30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There have been no material developments in any of our legal proceedings since the disclosure contained in our Annual Report to Form 10-K for the fiscal year ended December 31, 2025 filed with the SEC on February 12, 2026.</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our Annual Report to our Form 10-K for the year ended December 31, 2025 filed with the SEC on February 12, 2026.</w:t>
      </w:r>
    </w:p>
    <w:p>
      <w:pPr>
        <w:spacing w:after="0" w:line="27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UNREGISTERED SALES OF EQUITY SECURITIES AND USE OF PROCEEDS</w:t>
      </w:r>
    </w:p>
    <w:p>
      <w:pPr>
        <w:spacing w:after="0" w:line="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 common share repurchase program, under which we may purchase up to $300.0 million of our outstanding common shares of beneficial interest, $0.01 par value per share from time to time using a variety of methods, including open market, privately negotiated transactions or otherwise. The specific timing and amount of common share repurchases, if any, will depend on a number of factors, including prevailing share prices, trading volume and general market conditions, along with our working capital requirements, cash flow, and other factors. The program does not require us to repurchase any dollar amount or number of common shares and may be suspended or discontinued at any time. As of March 31, 2026, no shares have been repurchased through the program.</w:t>
      </w:r>
    </w:p>
    <w:p>
      <w:pPr>
        <w:spacing w:after="0" w:line="6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Under the terms of various partnership agreements of certain of our affiliated limited partnerships, the interests of limited partners in those limited partnerships may be redeemed, subject to certain conditions, for cash or common shares, at our option. During the three months ended March 31, 2026, we redeemed 3,020 downREIT operating partnership units for cash.</w:t>
      </w:r>
    </w:p>
    <w:p>
      <w:pPr>
        <w:spacing w:after="0" w:line="54" w:lineRule="exact"/>
        <w:rPr>
          <w:sz w:val="20"/>
          <w:szCs w:val="20"/>
          <w:color w:val="auto"/>
        </w:rPr>
      </w:pPr>
    </w:p>
    <w:p>
      <w:pPr>
        <w:ind w:right="2080"/>
        <w:spacing w:after="0" w:line="282" w:lineRule="auto"/>
        <w:rPr>
          <w:sz w:val="20"/>
          <w:szCs w:val="20"/>
          <w:color w:val="auto"/>
        </w:rPr>
      </w:pPr>
      <w:r>
        <w:rPr>
          <w:rFonts w:ascii="Times New Roman" w:cs="Times New Roman" w:eastAsia="Times New Roman" w:hAnsi="Times New Roman"/>
          <w:sz w:val="18"/>
          <w:szCs w:val="18"/>
          <w:color w:val="auto"/>
        </w:rPr>
        <w:t>From time to time, we could be deemed to have repurchased shares as a result of shares withheld for tax purposes upon a stock compensation related vesting event.</w:t>
      </w:r>
    </w:p>
    <w:p>
      <w:pPr>
        <w:spacing w:after="0" w:line="18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list of exhibits to this Quarterly Report on Form 10-Q is set forth on the Exhibit Index immediately preceding such exhibits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40" w:type="dxa"/>
            <w:vAlign w:val="bottom"/>
          </w:tcPr>
          <w:p>
            <w:pPr>
              <w:ind w:left="27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28"/>
        </w:trPr>
        <w:tc>
          <w:tcPr>
            <w:tcW w:w="20" w:type="dxa"/>
            <w:vAlign w:val="bottom"/>
          </w:tcPr>
          <w:p>
            <w:pPr>
              <w:spacing w:after="0"/>
              <w:rPr>
                <w:sz w:val="24"/>
                <w:szCs w:val="24"/>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9040" w:type="dxa"/>
            <w:vAlign w:val="bottom"/>
          </w:tcPr>
          <w:p>
            <w:pPr>
              <w:spacing w:after="0"/>
              <w:rPr>
                <w:sz w:val="24"/>
                <w:szCs w:val="24"/>
                <w:color w:val="auto"/>
              </w:rPr>
            </w:pPr>
          </w:p>
        </w:tc>
      </w:tr>
      <w:tr>
        <w:trPr>
          <w:trHeight w:val="23"/>
        </w:trPr>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20" w:type="dxa"/>
            <w:vAlign w:val="bottom"/>
            <w:tcBorders>
              <w:bottom w:val="single" w:sz="8" w:color="auto"/>
            </w:tcBorders>
            <w:gridSpan w:val="2"/>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Rule 13a-14(a) Certification of Chief Executive Officer - Federal Realty Investment Trust (filed herewith)</w:t>
            </w:r>
          </w:p>
        </w:tc>
      </w:tr>
      <w:tr>
        <w:trPr>
          <w:trHeight w:val="263"/>
        </w:trPr>
        <w:tc>
          <w:tcPr>
            <w:tcW w:w="20" w:type="dxa"/>
            <w:vAlign w:val="bottom"/>
          </w:tcPr>
          <w:p>
            <w:pPr>
              <w:spacing w:after="0"/>
              <w:rPr>
                <w:sz w:val="22"/>
                <w:szCs w:val="22"/>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Rule 13a-14(a) Certification of Chief Financial Officer - Federal Realty Investment Trust (filed herewith)</w:t>
            </w:r>
          </w:p>
        </w:tc>
      </w:tr>
      <w:tr>
        <w:trPr>
          <w:trHeight w:val="263"/>
        </w:trPr>
        <w:tc>
          <w:tcPr>
            <w:tcW w:w="20" w:type="dxa"/>
            <w:vAlign w:val="bottom"/>
          </w:tcPr>
          <w:p>
            <w:pPr>
              <w:spacing w:after="0"/>
              <w:rPr>
                <w:sz w:val="22"/>
                <w:szCs w:val="22"/>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3</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Rule 13a-14(a) Certification of Chief Executive Officer - Federal Realty OP LP (filed herewith)</w:t>
            </w:r>
          </w:p>
        </w:tc>
      </w:tr>
      <w:tr>
        <w:trPr>
          <w:trHeight w:val="264"/>
        </w:trPr>
        <w:tc>
          <w:tcPr>
            <w:tcW w:w="20" w:type="dxa"/>
            <w:vAlign w:val="bottom"/>
          </w:tcPr>
          <w:p>
            <w:pPr>
              <w:spacing w:after="0"/>
              <w:rPr>
                <w:sz w:val="22"/>
                <w:szCs w:val="22"/>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4</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Rule 13a-14(a) Certification of Chief Financial Officer - Federal Realty OP LP (filed herewith)</w:t>
            </w:r>
          </w:p>
        </w:tc>
      </w:tr>
      <w:tr>
        <w:trPr>
          <w:trHeight w:val="263"/>
        </w:trPr>
        <w:tc>
          <w:tcPr>
            <w:tcW w:w="20" w:type="dxa"/>
            <w:vAlign w:val="bottom"/>
          </w:tcPr>
          <w:p>
            <w:pPr>
              <w:spacing w:after="0"/>
              <w:rPr>
                <w:sz w:val="22"/>
                <w:szCs w:val="22"/>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Section 1350 Certification of Chief Executive Officer - Federal Realty Investment Trust (filed herewith)</w:t>
            </w:r>
          </w:p>
        </w:tc>
      </w:tr>
      <w:tr>
        <w:trPr>
          <w:trHeight w:val="263"/>
        </w:trPr>
        <w:tc>
          <w:tcPr>
            <w:tcW w:w="20" w:type="dxa"/>
            <w:vAlign w:val="bottom"/>
          </w:tcPr>
          <w:p>
            <w:pPr>
              <w:spacing w:after="0"/>
              <w:rPr>
                <w:sz w:val="22"/>
                <w:szCs w:val="22"/>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2</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Section 1350</w:t>
            </w:r>
          </w:p>
        </w:tc>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Chief Financial Officer - Federal Realty Investment Trust (filed herewith)</w:t>
            </w:r>
          </w:p>
        </w:tc>
      </w:tr>
      <w:tr>
        <w:trPr>
          <w:trHeight w:val="263"/>
        </w:trPr>
        <w:tc>
          <w:tcPr>
            <w:tcW w:w="20" w:type="dxa"/>
            <w:vAlign w:val="bottom"/>
          </w:tcPr>
          <w:p>
            <w:pPr>
              <w:spacing w:after="0"/>
              <w:rPr>
                <w:sz w:val="22"/>
                <w:szCs w:val="22"/>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3</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Section 1350</w:t>
            </w:r>
          </w:p>
        </w:tc>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Chief Executive Officer - Federal Realty OP LP (filed herewith)</w:t>
            </w:r>
          </w:p>
        </w:tc>
      </w:tr>
      <w:tr>
        <w:trPr>
          <w:trHeight w:val="263"/>
        </w:trPr>
        <w:tc>
          <w:tcPr>
            <w:tcW w:w="20" w:type="dxa"/>
            <w:vAlign w:val="bottom"/>
          </w:tcPr>
          <w:p>
            <w:pPr>
              <w:spacing w:after="0"/>
              <w:rPr>
                <w:sz w:val="22"/>
                <w:szCs w:val="22"/>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4</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Section 1350</w:t>
            </w:r>
          </w:p>
        </w:tc>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Chief Financial Officer - Federal Realty OP LP (filed herewith)</w:t>
            </w:r>
          </w:p>
        </w:tc>
      </w:tr>
    </w:tbl>
    <w:p>
      <w:pPr>
        <w:spacing w:after="0" w:line="76" w:lineRule="exact"/>
        <w:rPr>
          <w:sz w:val="20"/>
          <w:szCs w:val="20"/>
          <w:color w:val="auto"/>
        </w:rPr>
      </w:pPr>
    </w:p>
    <w:p>
      <w:pPr>
        <w:ind w:left="1140" w:right="40" w:hanging="1114"/>
        <w:spacing w:after="0" w:line="224"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Federal Realty Investment Trust and Federal Realty OP LP’s Quarterly Report on Form 10-Q for the quarter ended March 31, 2026, formatted in XBRL (Extensible Business Reporting Language): (1) the Consolidated Balance Sheets, (2) the Consolidated Statements of Comprehensive Income, (3) the Consolidated Statement of Shareholders’ Equity, (4) the Consolidated Statements of Cash Flows, and (5) Notes to Consolidated Financial Statements that have been detail tagged.</w:t>
      </w:r>
    </w:p>
    <w:p>
      <w:pPr>
        <w:spacing w:after="0" w:line="51" w:lineRule="exact"/>
        <w:rPr>
          <w:sz w:val="20"/>
          <w:szCs w:val="20"/>
          <w:color w:val="auto"/>
        </w:rPr>
      </w:pPr>
    </w:p>
    <w:p>
      <w:pPr>
        <w:ind w:left="1140" w:hanging="1114"/>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6"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4"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each of the Registrants has duly caused this report to be signed on its behalf by the undersigned thereunto authorized.</w:t>
      </w:r>
    </w:p>
    <w:p>
      <w:pPr>
        <w:spacing w:after="0" w:line="32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b w:val="1"/>
          <w:bCs w:val="1"/>
          <w:color w:val="auto"/>
        </w:rPr>
        <w:t>FEDERAL REALTY OP LP</w:t>
      </w:r>
    </w:p>
    <w:p>
      <w:pPr>
        <w:spacing w:after="0" w:line="72" w:lineRule="exact"/>
        <w:rPr>
          <w:sz w:val="20"/>
          <w:szCs w:val="20"/>
          <w:color w:val="auto"/>
        </w:rPr>
      </w:pPr>
    </w:p>
    <w:p>
      <w:pPr>
        <w:ind w:left="20"/>
        <w:spacing w:after="0"/>
        <w:tabs>
          <w:tab w:leader="none" w:pos="7780" w:val="left"/>
        </w:tabs>
        <w:rPr>
          <w:sz w:val="20"/>
          <w:szCs w:val="20"/>
          <w:color w:val="auto"/>
        </w:rPr>
      </w:pPr>
      <w:r>
        <w:rPr>
          <w:rFonts w:ascii="Times New Roman" w:cs="Times New Roman" w:eastAsia="Times New Roman" w:hAnsi="Times New Roman"/>
          <w:sz w:val="18"/>
          <w:szCs w:val="18"/>
          <w:color w:val="auto"/>
        </w:rPr>
        <w:t>May 1, 2026</w:t>
      </w:r>
      <w:r>
        <w:rPr>
          <w:sz w:val="20"/>
          <w:szCs w:val="20"/>
          <w:color w:val="auto"/>
        </w:rPr>
        <w:tab/>
      </w:r>
      <w:r>
        <w:rPr>
          <w:rFonts w:ascii="Times New Roman" w:cs="Times New Roman" w:eastAsia="Times New Roman" w:hAnsi="Times New Roman"/>
          <w:sz w:val="17"/>
          <w:szCs w:val="17"/>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2"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Donald C. Wood,</w:t>
      </w:r>
    </w:p>
    <w:p>
      <w:pPr>
        <w:spacing w:after="0" w:line="31"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Chief Executive Officer and Trustee</w:t>
      </w:r>
    </w:p>
    <w:p>
      <w:pPr>
        <w:spacing w:after="0" w:line="23"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0" w:lineRule="exact"/>
        <w:rPr>
          <w:sz w:val="20"/>
          <w:szCs w:val="20"/>
          <w:color w:val="auto"/>
        </w:rPr>
      </w:pPr>
    </w:p>
    <w:p>
      <w:pPr>
        <w:spacing w:after="0" w:line="31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b w:val="1"/>
          <w:bCs w:val="1"/>
          <w:color w:val="auto"/>
        </w:rPr>
        <w:t>FEDERAL REALTY OP LP</w:t>
      </w:r>
    </w:p>
    <w:p>
      <w:pPr>
        <w:spacing w:after="0" w:line="72" w:lineRule="exact"/>
        <w:rPr>
          <w:sz w:val="20"/>
          <w:szCs w:val="20"/>
          <w:color w:val="auto"/>
        </w:rPr>
      </w:pPr>
    </w:p>
    <w:p>
      <w:pPr>
        <w:ind w:left="20"/>
        <w:spacing w:after="0"/>
        <w:tabs>
          <w:tab w:leader="none" w:pos="7640" w:val="left"/>
        </w:tabs>
        <w:rPr>
          <w:sz w:val="20"/>
          <w:szCs w:val="20"/>
          <w:color w:val="auto"/>
        </w:rPr>
      </w:pPr>
      <w:r>
        <w:rPr>
          <w:rFonts w:ascii="Times New Roman" w:cs="Times New Roman" w:eastAsia="Times New Roman" w:hAnsi="Times New Roman"/>
          <w:sz w:val="18"/>
          <w:szCs w:val="18"/>
          <w:color w:val="auto"/>
        </w:rPr>
        <w:t>May 1, 2026</w:t>
      </w:r>
      <w:r>
        <w:rPr>
          <w:sz w:val="20"/>
          <w:szCs w:val="20"/>
          <w:color w:val="auto"/>
        </w:rPr>
        <w:tab/>
      </w:r>
      <w:r>
        <w:rPr>
          <w:rFonts w:ascii="Times New Roman" w:cs="Times New Roman" w:eastAsia="Times New Roman" w:hAnsi="Times New Roman"/>
          <w:sz w:val="17"/>
          <w:szCs w:val="17"/>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12"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Daniel Guglielmone,</w:t>
      </w:r>
    </w:p>
    <w:p>
      <w:pPr>
        <w:spacing w:after="0" w:line="31"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Executive Vice President</w:t>
      </w:r>
    </w:p>
    <w:p>
      <w:pPr>
        <w:spacing w:after="0" w:line="23"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pacing w:after="0" w:line="23"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980"/>
          </w:cols>
          <w:pgMar w:left="320" w:top="124" w:right="59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i w:val="1"/>
          <w:iCs w:val="1"/>
          <w:color w:val="auto"/>
        </w:rPr>
        <w:t>Donald C. Wood</w:t>
      </w:r>
      <w:r>
        <w:rPr>
          <w:rFonts w:ascii="Times New Roman" w:cs="Times New Roman" w:eastAsia="Times New Roman" w:hAnsi="Times New Roman"/>
          <w:sz w:val="18"/>
          <w:szCs w:val="18"/>
          <w:color w:val="auto"/>
        </w:rPr>
        <w:t>, certify that:</w:t>
      </w:r>
    </w:p>
    <w:p>
      <w:pPr>
        <w:spacing w:after="0" w:line="92" w:lineRule="exact"/>
        <w:rPr>
          <w:sz w:val="20"/>
          <w:szCs w:val="20"/>
          <w:color w:val="auto"/>
        </w:rPr>
      </w:pPr>
    </w:p>
    <w:p>
      <w:pPr>
        <w:ind w:left="780" w:hanging="327"/>
        <w:spacing w:after="0"/>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Federal Realty Investment Trust;</w:t>
      </w:r>
    </w:p>
    <w:p>
      <w:pPr>
        <w:spacing w:after="0" w:line="90" w:lineRule="exact"/>
        <w:rPr>
          <w:rFonts w:ascii="Times New Roman" w:cs="Times New Roman" w:eastAsia="Times New Roman" w:hAnsi="Times New Roman"/>
          <w:sz w:val="18"/>
          <w:szCs w:val="18"/>
          <w:color w:val="auto"/>
        </w:rPr>
      </w:pPr>
    </w:p>
    <w:p>
      <w:pPr>
        <w:ind w:left="860" w:right="200" w:hanging="407"/>
        <w:spacing w:after="0" w:line="266" w:lineRule="auto"/>
        <w:tabs>
          <w:tab w:leader="none" w:pos="78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860" w:right="220" w:hanging="407"/>
        <w:spacing w:after="0" w:line="282" w:lineRule="auto"/>
        <w:tabs>
          <w:tab w:leader="none" w:pos="78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center"/>
        <w:ind w:left="860" w:right="200" w:hanging="407"/>
        <w:spacing w:after="0" w:line="276" w:lineRule="auto"/>
        <w:tabs>
          <w:tab w:leader="none" w:pos="782"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71" w:lineRule="exact"/>
        <w:rPr>
          <w:rFonts w:ascii="Times New Roman" w:cs="Times New Roman" w:eastAsia="Times New Roman" w:hAnsi="Times New Roman"/>
          <w:sz w:val="17"/>
          <w:szCs w:val="17"/>
          <w:color w:val="auto"/>
        </w:rPr>
      </w:pPr>
    </w:p>
    <w:p>
      <w:pPr>
        <w:ind w:left="1420" w:hanging="400"/>
        <w:spacing w:after="0" w:line="266" w:lineRule="auto"/>
        <w:tabs>
          <w:tab w:leader="none" w:pos="133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1420" w:right="120" w:hanging="400"/>
        <w:spacing w:after="0" w:line="266" w:lineRule="auto"/>
        <w:tabs>
          <w:tab w:leader="none" w:pos="134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ind w:left="1420" w:right="80" w:hanging="400"/>
        <w:spacing w:after="0" w:line="282" w:lineRule="auto"/>
        <w:tabs>
          <w:tab w:leader="none" w:pos="133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1420" w:right="240" w:hanging="400"/>
        <w:spacing w:after="0" w:line="266" w:lineRule="auto"/>
        <w:tabs>
          <w:tab w:leader="none" w:pos="134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Times New Roman" w:cs="Times New Roman" w:eastAsia="Times New Roman" w:hAnsi="Times New Roman"/>
          <w:sz w:val="18"/>
          <w:szCs w:val="18"/>
          <w:color w:val="auto"/>
        </w:rPr>
      </w:pPr>
    </w:p>
    <w:p>
      <w:pPr>
        <w:ind w:left="860" w:right="160" w:hanging="407"/>
        <w:spacing w:after="0" w:line="282" w:lineRule="auto"/>
        <w:tabs>
          <w:tab w:leader="none" w:pos="78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1420" w:right="460" w:hanging="400"/>
        <w:spacing w:after="0" w:line="282" w:lineRule="auto"/>
        <w:tabs>
          <w:tab w:leader="none" w:pos="133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420" w:right="160" w:hanging="400"/>
        <w:spacing w:after="0" w:line="282" w:lineRule="auto"/>
        <w:tabs>
          <w:tab w:leader="none" w:pos="134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20"/>
        <w:spacing w:after="0"/>
        <w:tabs>
          <w:tab w:leader="none" w:pos="7760" w:val="left"/>
        </w:tabs>
        <w:rPr>
          <w:sz w:val="20"/>
          <w:szCs w:val="20"/>
          <w:color w:val="auto"/>
        </w:rPr>
      </w:pPr>
      <w:r>
        <w:rPr>
          <w:rFonts w:ascii="Times New Roman" w:cs="Times New Roman" w:eastAsia="Times New Roman" w:hAnsi="Times New Roman"/>
          <w:sz w:val="18"/>
          <w:szCs w:val="18"/>
          <w:color w:val="auto"/>
        </w:rPr>
        <w:t>May 1, 2026</w:t>
      </w:r>
      <w:r>
        <w:rPr>
          <w:sz w:val="20"/>
          <w:szCs w:val="20"/>
          <w:color w:val="auto"/>
        </w:rPr>
        <w:tab/>
      </w:r>
      <w:r>
        <w:rPr>
          <w:rFonts w:ascii="Times New Roman" w:cs="Times New Roman" w:eastAsia="Times New Roman" w:hAnsi="Times New Roman"/>
          <w:sz w:val="17"/>
          <w:szCs w:val="17"/>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544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2"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Donald C. Wood,</w:t>
      </w:r>
    </w:p>
    <w:p>
      <w:pPr>
        <w:spacing w:after="0" w:line="31"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Chief Executive Officer and Trustee</w:t>
      </w:r>
    </w:p>
    <w:p>
      <w:pPr>
        <w:spacing w:after="0" w:line="23"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240"/>
          </w:cols>
          <w:pgMar w:left="320" w:top="88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i w:val="1"/>
          <w:iCs w:val="1"/>
          <w:color w:val="auto"/>
        </w:rPr>
        <w:t>Daniel Guglielmone</w:t>
      </w:r>
      <w:r>
        <w:rPr>
          <w:rFonts w:ascii="Times New Roman" w:cs="Times New Roman" w:eastAsia="Times New Roman" w:hAnsi="Times New Roman"/>
          <w:sz w:val="18"/>
          <w:szCs w:val="18"/>
          <w:color w:val="auto"/>
        </w:rPr>
        <w:t>, certify that:</w:t>
      </w:r>
    </w:p>
    <w:p>
      <w:pPr>
        <w:spacing w:after="0" w:line="92" w:lineRule="exact"/>
        <w:rPr>
          <w:sz w:val="20"/>
          <w:szCs w:val="20"/>
          <w:color w:val="auto"/>
        </w:rPr>
      </w:pPr>
    </w:p>
    <w:p>
      <w:pPr>
        <w:ind w:left="780" w:hanging="327"/>
        <w:spacing w:after="0"/>
        <w:tabs>
          <w:tab w:leader="none" w:pos="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Federal Realty Investment Trust;</w:t>
      </w:r>
    </w:p>
    <w:p>
      <w:pPr>
        <w:spacing w:after="0" w:line="90" w:lineRule="exact"/>
        <w:rPr>
          <w:rFonts w:ascii="Times New Roman" w:cs="Times New Roman" w:eastAsia="Times New Roman" w:hAnsi="Times New Roman"/>
          <w:sz w:val="18"/>
          <w:szCs w:val="18"/>
          <w:color w:val="auto"/>
        </w:rPr>
      </w:pPr>
    </w:p>
    <w:p>
      <w:pPr>
        <w:ind w:left="860" w:right="200" w:hanging="407"/>
        <w:spacing w:after="0" w:line="266" w:lineRule="auto"/>
        <w:tabs>
          <w:tab w:leader="none" w:pos="78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860" w:right="220" w:hanging="407"/>
        <w:spacing w:after="0" w:line="282" w:lineRule="auto"/>
        <w:tabs>
          <w:tab w:leader="none" w:pos="78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center"/>
        <w:ind w:left="860" w:right="200" w:hanging="407"/>
        <w:spacing w:after="0" w:line="276" w:lineRule="auto"/>
        <w:tabs>
          <w:tab w:leader="none" w:pos="782"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71" w:lineRule="exact"/>
        <w:rPr>
          <w:rFonts w:ascii="Times New Roman" w:cs="Times New Roman" w:eastAsia="Times New Roman" w:hAnsi="Times New Roman"/>
          <w:sz w:val="17"/>
          <w:szCs w:val="17"/>
          <w:color w:val="auto"/>
        </w:rPr>
      </w:pPr>
    </w:p>
    <w:p>
      <w:pPr>
        <w:ind w:left="1420" w:hanging="400"/>
        <w:spacing w:after="0" w:line="266" w:lineRule="auto"/>
        <w:tabs>
          <w:tab w:leader="none" w:pos="133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1420" w:right="120" w:hanging="400"/>
        <w:spacing w:after="0" w:line="266" w:lineRule="auto"/>
        <w:tabs>
          <w:tab w:leader="none" w:pos="134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ind w:left="1420" w:right="80" w:hanging="400"/>
        <w:spacing w:after="0" w:line="282" w:lineRule="auto"/>
        <w:tabs>
          <w:tab w:leader="none" w:pos="133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1420" w:right="240" w:hanging="400"/>
        <w:spacing w:after="0" w:line="266" w:lineRule="auto"/>
        <w:tabs>
          <w:tab w:leader="none" w:pos="134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Times New Roman" w:cs="Times New Roman" w:eastAsia="Times New Roman" w:hAnsi="Times New Roman"/>
          <w:sz w:val="18"/>
          <w:szCs w:val="18"/>
          <w:color w:val="auto"/>
        </w:rPr>
      </w:pPr>
    </w:p>
    <w:p>
      <w:pPr>
        <w:ind w:left="860" w:right="160" w:hanging="407"/>
        <w:spacing w:after="0" w:line="282" w:lineRule="auto"/>
        <w:tabs>
          <w:tab w:leader="none" w:pos="78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1420" w:right="460" w:hanging="400"/>
        <w:spacing w:after="0" w:line="282" w:lineRule="auto"/>
        <w:tabs>
          <w:tab w:leader="none" w:pos="133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420" w:right="160" w:hanging="400"/>
        <w:spacing w:after="0" w:line="282" w:lineRule="auto"/>
        <w:tabs>
          <w:tab w:leader="none" w:pos="134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20"/>
        <w:spacing w:after="0"/>
        <w:tabs>
          <w:tab w:leader="none" w:pos="7640" w:val="left"/>
        </w:tabs>
        <w:rPr>
          <w:sz w:val="20"/>
          <w:szCs w:val="20"/>
          <w:color w:val="auto"/>
        </w:rPr>
      </w:pPr>
      <w:r>
        <w:rPr>
          <w:rFonts w:ascii="Times New Roman" w:cs="Times New Roman" w:eastAsia="Times New Roman" w:hAnsi="Times New Roman"/>
          <w:sz w:val="18"/>
          <w:szCs w:val="18"/>
          <w:color w:val="auto"/>
        </w:rPr>
        <w:t>May 1, 2026</w:t>
      </w:r>
      <w:r>
        <w:rPr>
          <w:sz w:val="20"/>
          <w:szCs w:val="20"/>
          <w:color w:val="auto"/>
        </w:rPr>
        <w:tab/>
      </w:r>
      <w:r>
        <w:rPr>
          <w:rFonts w:ascii="Times New Roman" w:cs="Times New Roman" w:eastAsia="Times New Roman" w:hAnsi="Times New Roman"/>
          <w:sz w:val="17"/>
          <w:szCs w:val="17"/>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544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2"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Daniel Guglielmone</w:t>
      </w:r>
    </w:p>
    <w:p>
      <w:pPr>
        <w:spacing w:after="0" w:line="15"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b w:val="1"/>
          <w:bCs w:val="1"/>
          <w:color w:val="auto"/>
        </w:rPr>
        <w:t>Executive Vice President -</w:t>
      </w: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pacing w:after="0" w:line="12"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ectPr>
          <w:pgSz w:w="11900" w:h="16838" w:orient="portrait"/>
          <w:cols w:equalWidth="0" w:num="1">
            <w:col w:w="11240"/>
          </w:cols>
          <w:pgMar w:left="320" w:top="887"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i w:val="1"/>
          <w:iCs w:val="1"/>
          <w:color w:val="auto"/>
        </w:rPr>
        <w:t>Donald C. Wood</w:t>
      </w:r>
      <w:r>
        <w:rPr>
          <w:rFonts w:ascii="Times New Roman" w:cs="Times New Roman" w:eastAsia="Times New Roman" w:hAnsi="Times New Roman"/>
          <w:sz w:val="18"/>
          <w:szCs w:val="18"/>
          <w:color w:val="auto"/>
        </w:rPr>
        <w:t>, certify that:</w:t>
      </w:r>
    </w:p>
    <w:p>
      <w:pPr>
        <w:spacing w:after="0" w:line="92" w:lineRule="exact"/>
        <w:rPr>
          <w:sz w:val="20"/>
          <w:szCs w:val="20"/>
          <w:color w:val="auto"/>
        </w:rPr>
      </w:pPr>
    </w:p>
    <w:p>
      <w:pPr>
        <w:ind w:left="780" w:hanging="327"/>
        <w:spacing w:after="0"/>
        <w:tabs>
          <w:tab w:leader="none" w:pos="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Federal Realty OP LP;</w:t>
      </w:r>
    </w:p>
    <w:p>
      <w:pPr>
        <w:spacing w:after="0" w:line="90" w:lineRule="exact"/>
        <w:rPr>
          <w:rFonts w:ascii="Times New Roman" w:cs="Times New Roman" w:eastAsia="Times New Roman" w:hAnsi="Times New Roman"/>
          <w:sz w:val="18"/>
          <w:szCs w:val="18"/>
          <w:color w:val="auto"/>
        </w:rPr>
      </w:pPr>
    </w:p>
    <w:p>
      <w:pPr>
        <w:ind w:left="860" w:right="200" w:hanging="407"/>
        <w:spacing w:after="0" w:line="266" w:lineRule="auto"/>
        <w:tabs>
          <w:tab w:leader="none" w:pos="78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860" w:right="220" w:hanging="407"/>
        <w:spacing w:after="0" w:line="282" w:lineRule="auto"/>
        <w:tabs>
          <w:tab w:leader="none" w:pos="78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center"/>
        <w:ind w:left="860" w:right="200" w:hanging="407"/>
        <w:spacing w:after="0" w:line="276" w:lineRule="auto"/>
        <w:tabs>
          <w:tab w:leader="none" w:pos="782"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71" w:lineRule="exact"/>
        <w:rPr>
          <w:rFonts w:ascii="Times New Roman" w:cs="Times New Roman" w:eastAsia="Times New Roman" w:hAnsi="Times New Roman"/>
          <w:sz w:val="17"/>
          <w:szCs w:val="17"/>
          <w:color w:val="auto"/>
        </w:rPr>
      </w:pPr>
    </w:p>
    <w:p>
      <w:pPr>
        <w:ind w:left="1420" w:hanging="400"/>
        <w:spacing w:after="0" w:line="266" w:lineRule="auto"/>
        <w:tabs>
          <w:tab w:leader="none" w:pos="133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1420" w:right="120" w:hanging="400"/>
        <w:spacing w:after="0" w:line="266" w:lineRule="auto"/>
        <w:tabs>
          <w:tab w:leader="none" w:pos="134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ind w:left="1420" w:right="80" w:hanging="400"/>
        <w:spacing w:after="0" w:line="282" w:lineRule="auto"/>
        <w:tabs>
          <w:tab w:leader="none" w:pos="133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1420" w:right="240" w:hanging="400"/>
        <w:spacing w:after="0" w:line="266" w:lineRule="auto"/>
        <w:tabs>
          <w:tab w:leader="none" w:pos="134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Times New Roman" w:cs="Times New Roman" w:eastAsia="Times New Roman" w:hAnsi="Times New Roman"/>
          <w:sz w:val="18"/>
          <w:szCs w:val="18"/>
          <w:color w:val="auto"/>
        </w:rPr>
      </w:pPr>
    </w:p>
    <w:p>
      <w:pPr>
        <w:ind w:left="860" w:right="160" w:hanging="407"/>
        <w:spacing w:after="0" w:line="282" w:lineRule="auto"/>
        <w:tabs>
          <w:tab w:leader="none" w:pos="78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1420" w:right="460" w:hanging="400"/>
        <w:spacing w:after="0" w:line="282" w:lineRule="auto"/>
        <w:tabs>
          <w:tab w:leader="none" w:pos="133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420" w:right="160" w:hanging="400"/>
        <w:spacing w:after="0" w:line="282" w:lineRule="auto"/>
        <w:tabs>
          <w:tab w:leader="none" w:pos="134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p>
      <w:pPr>
        <w:ind w:left="20"/>
        <w:spacing w:after="0"/>
        <w:tabs>
          <w:tab w:leader="none" w:pos="7740" w:val="left"/>
        </w:tabs>
        <w:rPr>
          <w:sz w:val="20"/>
          <w:szCs w:val="20"/>
          <w:color w:val="auto"/>
        </w:rPr>
      </w:pPr>
      <w:r>
        <w:rPr>
          <w:rFonts w:ascii="Times New Roman" w:cs="Times New Roman" w:eastAsia="Times New Roman" w:hAnsi="Times New Roman"/>
          <w:sz w:val="18"/>
          <w:szCs w:val="18"/>
          <w:color w:val="auto"/>
        </w:rPr>
        <w:t>May 1, 2026</w:t>
      </w:r>
      <w:r>
        <w:rPr>
          <w:sz w:val="20"/>
          <w:szCs w:val="20"/>
          <w:color w:val="auto"/>
        </w:rPr>
        <w:tab/>
      </w:r>
      <w:r>
        <w:rPr>
          <w:rFonts w:ascii="Times New Roman" w:cs="Times New Roman" w:eastAsia="Times New Roman" w:hAnsi="Times New Roman"/>
          <w:sz w:val="17"/>
          <w:szCs w:val="17"/>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544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2"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Donald C. Wood,</w:t>
      </w:r>
    </w:p>
    <w:p>
      <w:pPr>
        <w:spacing w:after="0" w:line="31"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Chief Executive Officer and Trustee</w:t>
      </w:r>
    </w:p>
    <w:p>
      <w:pPr>
        <w:spacing w:after="0" w:line="23"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240"/>
          </w:cols>
          <w:pgMar w:left="320" w:top="88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31.4</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i w:val="1"/>
          <w:iCs w:val="1"/>
          <w:color w:val="auto"/>
        </w:rPr>
        <w:t>Daniel Guglielmone</w:t>
      </w:r>
      <w:r>
        <w:rPr>
          <w:rFonts w:ascii="Times New Roman" w:cs="Times New Roman" w:eastAsia="Times New Roman" w:hAnsi="Times New Roman"/>
          <w:sz w:val="18"/>
          <w:szCs w:val="18"/>
          <w:color w:val="auto"/>
        </w:rPr>
        <w:t>, certify that:</w:t>
      </w:r>
    </w:p>
    <w:p>
      <w:pPr>
        <w:spacing w:after="0" w:line="92" w:lineRule="exact"/>
        <w:rPr>
          <w:sz w:val="20"/>
          <w:szCs w:val="20"/>
          <w:color w:val="auto"/>
        </w:rPr>
      </w:pPr>
    </w:p>
    <w:p>
      <w:pPr>
        <w:ind w:left="780" w:hanging="327"/>
        <w:spacing w:after="0"/>
        <w:tabs>
          <w:tab w:leader="none" w:pos="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Federal Realty OP LP;</w:t>
      </w:r>
    </w:p>
    <w:p>
      <w:pPr>
        <w:spacing w:after="0" w:line="90" w:lineRule="exact"/>
        <w:rPr>
          <w:rFonts w:ascii="Times New Roman" w:cs="Times New Roman" w:eastAsia="Times New Roman" w:hAnsi="Times New Roman"/>
          <w:sz w:val="18"/>
          <w:szCs w:val="18"/>
          <w:color w:val="auto"/>
        </w:rPr>
      </w:pPr>
    </w:p>
    <w:p>
      <w:pPr>
        <w:ind w:left="860" w:right="200" w:hanging="407"/>
        <w:spacing w:after="0" w:line="266" w:lineRule="auto"/>
        <w:tabs>
          <w:tab w:leader="none" w:pos="78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860" w:right="220" w:hanging="407"/>
        <w:spacing w:after="0" w:line="282" w:lineRule="auto"/>
        <w:tabs>
          <w:tab w:leader="none" w:pos="78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center"/>
        <w:ind w:left="860" w:right="200" w:hanging="407"/>
        <w:spacing w:after="0" w:line="276" w:lineRule="auto"/>
        <w:tabs>
          <w:tab w:leader="none" w:pos="782"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71" w:lineRule="exact"/>
        <w:rPr>
          <w:rFonts w:ascii="Times New Roman" w:cs="Times New Roman" w:eastAsia="Times New Roman" w:hAnsi="Times New Roman"/>
          <w:sz w:val="17"/>
          <w:szCs w:val="17"/>
          <w:color w:val="auto"/>
        </w:rPr>
      </w:pPr>
    </w:p>
    <w:p>
      <w:pPr>
        <w:ind w:left="1420" w:hanging="400"/>
        <w:spacing w:after="0" w:line="266" w:lineRule="auto"/>
        <w:tabs>
          <w:tab w:leader="none" w:pos="133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1420" w:right="120" w:hanging="400"/>
        <w:spacing w:after="0" w:line="266" w:lineRule="auto"/>
        <w:tabs>
          <w:tab w:leader="none" w:pos="134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ind w:left="1420" w:right="80" w:hanging="400"/>
        <w:spacing w:after="0" w:line="282" w:lineRule="auto"/>
        <w:tabs>
          <w:tab w:leader="none" w:pos="133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1420" w:right="240" w:hanging="400"/>
        <w:spacing w:after="0" w:line="266" w:lineRule="auto"/>
        <w:tabs>
          <w:tab w:leader="none" w:pos="134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Times New Roman" w:cs="Times New Roman" w:eastAsia="Times New Roman" w:hAnsi="Times New Roman"/>
          <w:sz w:val="18"/>
          <w:szCs w:val="18"/>
          <w:color w:val="auto"/>
        </w:rPr>
      </w:pPr>
    </w:p>
    <w:p>
      <w:pPr>
        <w:ind w:left="860" w:right="160" w:hanging="407"/>
        <w:spacing w:after="0" w:line="282" w:lineRule="auto"/>
        <w:tabs>
          <w:tab w:leader="none" w:pos="78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1420" w:right="460" w:hanging="400"/>
        <w:spacing w:after="0" w:line="282" w:lineRule="auto"/>
        <w:tabs>
          <w:tab w:leader="none" w:pos="133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420" w:right="160" w:hanging="400"/>
        <w:spacing w:after="0" w:line="282" w:lineRule="auto"/>
        <w:tabs>
          <w:tab w:leader="none" w:pos="134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p>
      <w:pPr>
        <w:ind w:left="20"/>
        <w:spacing w:after="0"/>
        <w:tabs>
          <w:tab w:leader="none" w:pos="7620" w:val="left"/>
        </w:tabs>
        <w:rPr>
          <w:sz w:val="20"/>
          <w:szCs w:val="20"/>
          <w:color w:val="auto"/>
        </w:rPr>
      </w:pPr>
      <w:r>
        <w:rPr>
          <w:rFonts w:ascii="Times New Roman" w:cs="Times New Roman" w:eastAsia="Times New Roman" w:hAnsi="Times New Roman"/>
          <w:sz w:val="18"/>
          <w:szCs w:val="18"/>
          <w:color w:val="auto"/>
        </w:rPr>
        <w:t>May 1, 2026</w:t>
      </w:r>
      <w:r>
        <w:rPr>
          <w:sz w:val="20"/>
          <w:szCs w:val="20"/>
          <w:color w:val="auto"/>
        </w:rPr>
        <w:tab/>
      </w:r>
      <w:r>
        <w:rPr>
          <w:rFonts w:ascii="Times New Roman" w:cs="Times New Roman" w:eastAsia="Times New Roman" w:hAnsi="Times New Roman"/>
          <w:sz w:val="17"/>
          <w:szCs w:val="17"/>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544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2"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b w:val="1"/>
          <w:bCs w:val="1"/>
          <w:color w:val="auto"/>
        </w:rPr>
        <w:t>Daniel Guglielmone,</w:t>
      </w:r>
    </w:p>
    <w:p>
      <w:pPr>
        <w:spacing w:after="0" w:line="15"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b w:val="1"/>
          <w:bCs w:val="1"/>
          <w:color w:val="auto"/>
        </w:rPr>
        <w:t>Executive Vice President -</w:t>
      </w: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pacing w:after="0" w:line="12"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ectPr>
          <w:pgSz w:w="11900" w:h="16838" w:orient="portrait"/>
          <w:cols w:equalWidth="0" w:num="1">
            <w:col w:w="11240"/>
          </w:cols>
          <w:pgMar w:left="320" w:top="887"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The undersigned, Donald C. Wood, the President and Chief Executive Officer of Federal Realty Investment Trust (the “Company”), has executed this certification in connection with the filing with the Securities and Exchange Commission of the Company’s Quarterly Report on Form 10-Q for the period ended March 31, 2026 (the “Report”). The undersigned hereby certifies, to the best of his knowledge, that:</w:t>
      </w:r>
    </w:p>
    <w:p>
      <w:pPr>
        <w:spacing w:after="0" w:line="68" w:lineRule="exact"/>
        <w:rPr>
          <w:sz w:val="20"/>
          <w:szCs w:val="20"/>
          <w:color w:val="auto"/>
        </w:rPr>
      </w:pPr>
    </w:p>
    <w:p>
      <w:pPr>
        <w:ind w:left="1300" w:hanging="887"/>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300" w:right="340" w:hanging="887"/>
        <w:spacing w:after="0" w:line="282" w:lineRule="auto"/>
        <w:tabs>
          <w:tab w:leader="none" w:pos="129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24" w:lineRule="exact"/>
        <w:rPr>
          <w:sz w:val="20"/>
          <w:szCs w:val="20"/>
          <w:color w:val="auto"/>
        </w:rPr>
      </w:pPr>
    </w:p>
    <w:p>
      <w:pPr>
        <w:ind w:left="20"/>
        <w:spacing w:after="0"/>
        <w:tabs>
          <w:tab w:leader="none" w:pos="7760" w:val="left"/>
        </w:tabs>
        <w:rPr>
          <w:sz w:val="20"/>
          <w:szCs w:val="20"/>
          <w:color w:val="auto"/>
        </w:rPr>
      </w:pPr>
      <w:r>
        <w:rPr>
          <w:rFonts w:ascii="Times New Roman" w:cs="Times New Roman" w:eastAsia="Times New Roman" w:hAnsi="Times New Roman"/>
          <w:sz w:val="18"/>
          <w:szCs w:val="18"/>
          <w:color w:val="auto"/>
        </w:rPr>
        <w:t>May 1, 2026</w:t>
      </w:r>
      <w:r>
        <w:rPr>
          <w:sz w:val="20"/>
          <w:szCs w:val="20"/>
          <w:color w:val="auto"/>
        </w:rPr>
        <w:tab/>
      </w:r>
      <w:r>
        <w:rPr>
          <w:rFonts w:ascii="Times New Roman" w:cs="Times New Roman" w:eastAsia="Times New Roman" w:hAnsi="Times New Roman"/>
          <w:sz w:val="17"/>
          <w:szCs w:val="17"/>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544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2"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Donald C. Wood,</w:t>
      </w:r>
    </w:p>
    <w:p>
      <w:pPr>
        <w:spacing w:after="0" w:line="31"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Chief Executive Officer and Trustee</w:t>
      </w:r>
    </w:p>
    <w:p>
      <w:pPr>
        <w:spacing w:after="0" w:line="23"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240"/>
          </w:cols>
          <w:pgMar w:left="320" w:top="887"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jc w:val="both"/>
        <w:ind w:right="220" w:firstLine="445"/>
        <w:spacing w:after="0" w:line="289" w:lineRule="auto"/>
        <w:rPr>
          <w:sz w:val="20"/>
          <w:szCs w:val="20"/>
          <w:color w:val="auto"/>
        </w:rPr>
      </w:pPr>
      <w:r>
        <w:rPr>
          <w:rFonts w:ascii="Times New Roman" w:cs="Times New Roman" w:eastAsia="Times New Roman" w:hAnsi="Times New Roman"/>
          <w:sz w:val="17"/>
          <w:szCs w:val="17"/>
          <w:color w:val="auto"/>
        </w:rPr>
        <w:t>The undersigned, Daniel Guglielmone, the Executive Vice President and Chief Financial Officer and Treasurer of Federal Realty Investment Trust (the “Company”), has executed this certification in connection with the filing with the Securities and Exchange Commission of the Company’s Quarterly Report on Form 10-Q for the period ended March 31, 2026 (the “Report”). The undersigned hereby certifies, to the best of his knowledge, that:</w:t>
      </w:r>
    </w:p>
    <w:p>
      <w:pPr>
        <w:spacing w:after="0" w:line="50" w:lineRule="exact"/>
        <w:rPr>
          <w:sz w:val="20"/>
          <w:szCs w:val="20"/>
          <w:color w:val="auto"/>
        </w:rPr>
      </w:pPr>
    </w:p>
    <w:p>
      <w:pPr>
        <w:ind w:left="1300" w:hanging="887"/>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300" w:right="340" w:hanging="887"/>
        <w:spacing w:after="0" w:line="282" w:lineRule="auto"/>
        <w:tabs>
          <w:tab w:leader="none" w:pos="129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24" w:lineRule="exact"/>
        <w:rPr>
          <w:sz w:val="20"/>
          <w:szCs w:val="20"/>
          <w:color w:val="auto"/>
        </w:rPr>
      </w:pPr>
    </w:p>
    <w:p>
      <w:pPr>
        <w:ind w:left="20"/>
        <w:spacing w:after="0"/>
        <w:tabs>
          <w:tab w:leader="none" w:pos="7640" w:val="left"/>
        </w:tabs>
        <w:rPr>
          <w:sz w:val="20"/>
          <w:szCs w:val="20"/>
          <w:color w:val="auto"/>
        </w:rPr>
      </w:pPr>
      <w:r>
        <w:rPr>
          <w:rFonts w:ascii="Times New Roman" w:cs="Times New Roman" w:eastAsia="Times New Roman" w:hAnsi="Times New Roman"/>
          <w:sz w:val="18"/>
          <w:szCs w:val="18"/>
          <w:color w:val="auto"/>
        </w:rPr>
        <w:t>May 1, 2026</w:t>
      </w:r>
      <w:r>
        <w:rPr>
          <w:sz w:val="20"/>
          <w:szCs w:val="20"/>
          <w:color w:val="auto"/>
        </w:rPr>
        <w:tab/>
      </w:r>
      <w:r>
        <w:rPr>
          <w:rFonts w:ascii="Times New Roman" w:cs="Times New Roman" w:eastAsia="Times New Roman" w:hAnsi="Times New Roman"/>
          <w:sz w:val="17"/>
          <w:szCs w:val="17"/>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544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2"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Daniel Guglielmone</w:t>
      </w:r>
    </w:p>
    <w:p>
      <w:pPr>
        <w:spacing w:after="0" w:line="15"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b w:val="1"/>
          <w:bCs w:val="1"/>
          <w:color w:val="auto"/>
        </w:rPr>
        <w:t>Executive Vice President -</w:t>
      </w: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pacing w:after="0" w:line="12"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ectPr>
          <w:pgSz w:w="11900" w:h="16838" w:orient="portrait"/>
          <w:cols w:equalWidth="0" w:num="1">
            <w:col w:w="11240"/>
          </w:cols>
          <w:pgMar w:left="320" w:top="887"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32.3</w:t>
      </w:r>
    </w:p>
    <w:p>
      <w:pPr>
        <w:spacing w:after="0" w:line="17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180" w:firstLine="445"/>
        <w:spacing w:after="0" w:line="266" w:lineRule="auto"/>
        <w:rPr>
          <w:sz w:val="20"/>
          <w:szCs w:val="20"/>
          <w:color w:val="auto"/>
        </w:rPr>
      </w:pPr>
      <w:r>
        <w:rPr>
          <w:rFonts w:ascii="Times New Roman" w:cs="Times New Roman" w:eastAsia="Times New Roman" w:hAnsi="Times New Roman"/>
          <w:sz w:val="18"/>
          <w:szCs w:val="18"/>
          <w:color w:val="auto"/>
        </w:rPr>
        <w:t>The undersigned, Donald C. Wood, the President and Chief Executive Officer of Federal Realty OP LP (the “Company”), has executed this certification in connection with the filing with the Securities and Exchange Commission of the Company’s Quarterly Report on Form 10-Q for the period ended March 31, 2026 (the “Report”). The undersigned hereby certifies, to the best of his knowledge, that:</w:t>
      </w:r>
    </w:p>
    <w:p>
      <w:pPr>
        <w:spacing w:after="0" w:line="68" w:lineRule="exact"/>
        <w:rPr>
          <w:sz w:val="20"/>
          <w:szCs w:val="20"/>
          <w:color w:val="auto"/>
        </w:rPr>
      </w:pPr>
    </w:p>
    <w:p>
      <w:pPr>
        <w:ind w:left="1300" w:hanging="887"/>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300" w:right="340" w:hanging="887"/>
        <w:spacing w:after="0" w:line="282" w:lineRule="auto"/>
        <w:tabs>
          <w:tab w:leader="none" w:pos="129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37" w:lineRule="exact"/>
        <w:rPr>
          <w:sz w:val="20"/>
          <w:szCs w:val="20"/>
          <w:color w:val="auto"/>
        </w:rPr>
      </w:pPr>
    </w:p>
    <w:p>
      <w:pPr>
        <w:ind w:left="20"/>
        <w:spacing w:after="0"/>
        <w:tabs>
          <w:tab w:leader="none" w:pos="7740" w:val="left"/>
        </w:tabs>
        <w:rPr>
          <w:sz w:val="20"/>
          <w:szCs w:val="20"/>
          <w:color w:val="auto"/>
        </w:rPr>
      </w:pPr>
      <w:r>
        <w:rPr>
          <w:rFonts w:ascii="Times New Roman" w:cs="Times New Roman" w:eastAsia="Times New Roman" w:hAnsi="Times New Roman"/>
          <w:sz w:val="18"/>
          <w:szCs w:val="18"/>
          <w:color w:val="auto"/>
        </w:rPr>
        <w:t>May 1, 2026</w:t>
      </w:r>
      <w:r>
        <w:rPr>
          <w:sz w:val="20"/>
          <w:szCs w:val="20"/>
          <w:color w:val="auto"/>
        </w:rPr>
        <w:tab/>
      </w:r>
      <w:r>
        <w:rPr>
          <w:rFonts w:ascii="Times New Roman" w:cs="Times New Roman" w:eastAsia="Times New Roman" w:hAnsi="Times New Roman"/>
          <w:sz w:val="17"/>
          <w:szCs w:val="17"/>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544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2"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Donald C. Wood,</w:t>
      </w:r>
    </w:p>
    <w:p>
      <w:pPr>
        <w:spacing w:after="0" w:line="31"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President, Chief Executive Officer and Trustee</w:t>
      </w:r>
    </w:p>
    <w:p>
      <w:pPr>
        <w:spacing w:after="0" w:line="23"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240"/>
          </w:cols>
          <w:pgMar w:left="320" w:top="887"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32.4</w:t>
      </w:r>
    </w:p>
    <w:p>
      <w:pPr>
        <w:spacing w:after="0" w:line="17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The undersigned, Daniel Guglielmone, the Executive Vice President and Chief Financial Officer and Treasurer of Federal Realty OP LP (the “Company”), has executed this certification in connection with the filing with the Securities and Exchange Commission of the Company’s Quarterly Report on Form 10-Q for the period ended March 31, 2026 (the “Report”). The undersigned hereby certifies, to the best of his knowledge, that:</w:t>
      </w:r>
    </w:p>
    <w:p>
      <w:pPr>
        <w:spacing w:after="0" w:line="68" w:lineRule="exact"/>
        <w:rPr>
          <w:sz w:val="20"/>
          <w:szCs w:val="20"/>
          <w:color w:val="auto"/>
        </w:rPr>
      </w:pPr>
    </w:p>
    <w:p>
      <w:pPr>
        <w:ind w:left="1300" w:hanging="887"/>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300" w:right="340" w:hanging="887"/>
        <w:spacing w:after="0" w:line="282" w:lineRule="auto"/>
        <w:tabs>
          <w:tab w:leader="none" w:pos="129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37" w:lineRule="exact"/>
        <w:rPr>
          <w:sz w:val="20"/>
          <w:szCs w:val="20"/>
          <w:color w:val="auto"/>
        </w:rPr>
      </w:pPr>
    </w:p>
    <w:p>
      <w:pPr>
        <w:ind w:left="20"/>
        <w:spacing w:after="0"/>
        <w:tabs>
          <w:tab w:leader="none" w:pos="7620" w:val="left"/>
        </w:tabs>
        <w:rPr>
          <w:sz w:val="20"/>
          <w:szCs w:val="20"/>
          <w:color w:val="auto"/>
        </w:rPr>
      </w:pPr>
      <w:r>
        <w:rPr>
          <w:rFonts w:ascii="Times New Roman" w:cs="Times New Roman" w:eastAsia="Times New Roman" w:hAnsi="Times New Roman"/>
          <w:sz w:val="18"/>
          <w:szCs w:val="18"/>
          <w:color w:val="auto"/>
        </w:rPr>
        <w:t>May 1, 2026</w:t>
      </w:r>
      <w:r>
        <w:rPr>
          <w:sz w:val="20"/>
          <w:szCs w:val="20"/>
          <w:color w:val="auto"/>
        </w:rPr>
        <w:tab/>
      </w:r>
      <w:r>
        <w:rPr>
          <w:rFonts w:ascii="Times New Roman" w:cs="Times New Roman" w:eastAsia="Times New Roman" w:hAnsi="Times New Roman"/>
          <w:sz w:val="17"/>
          <w:szCs w:val="17"/>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544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2"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b w:val="1"/>
          <w:bCs w:val="1"/>
          <w:color w:val="auto"/>
        </w:rPr>
        <w:t>Daniel Guglielmone,</w:t>
      </w:r>
    </w:p>
    <w:p>
      <w:pPr>
        <w:spacing w:after="0" w:line="15"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b w:val="1"/>
          <w:bCs w:val="1"/>
          <w:color w:val="auto"/>
        </w:rPr>
        <w:t>Executive Vice President -</w:t>
      </w: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pacing w:after="0" w:line="12"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1)"/>
      <w:numFmt w:val="decimal"/>
      <w:start w:val="7"/>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1)"/>
      <w:numFmt w:val="decimal"/>
      <w:start w:val="1"/>
    </w:lvl>
  </w:abstractNum>
  <w:abstractNum w:abstractNumId="21">
    <w:nsid w:val="189A769B"/>
    <w:multiLevelType w:val="hybridMultilevel"/>
    <w:lvl w:ilvl="0">
      <w:lvlJc w:val="left"/>
      <w:lvlText w:val="%1"/>
      <w:numFmt w:val="decimal"/>
      <w:start w:val="101"/>
    </w:lvl>
  </w:abstractNum>
  <w:abstractNum w:abstractNumId="22">
    <w:nsid w:val="54E49EB4"/>
    <w:multiLevelType w:val="hybridMultilevel"/>
    <w:lvl w:ilvl="0">
      <w:lvlJc w:val="left"/>
      <w:lvlText w:val="%1"/>
      <w:numFmt w:val="decimal"/>
      <w:start w:val="104"/>
    </w:lvl>
  </w:abstractNum>
  <w:abstractNum w:abstractNumId="23">
    <w:nsid w:val="71F32454"/>
    <w:multiLevelType w:val="hybridMultilevel"/>
    <w:lvl w:ilvl="0">
      <w:lvlJc w:val="left"/>
      <w:lvlText w:val="%1)"/>
      <w:numFmt w:val="decimal"/>
      <w:start w:val="1"/>
    </w:lvl>
    <w:lvl w:ilvl="1">
      <w:lvlJc w:val="left"/>
      <w:lvlText w:val="%2)"/>
      <w:numFmt w:val="lowerLetter"/>
      <w:start w:val="1"/>
    </w:lvl>
  </w:abstractNum>
  <w:abstractNum w:abstractNumId="24">
    <w:nsid w:val="2CA88611"/>
    <w:multiLevelType w:val="hybridMultilevel"/>
    <w:lvl w:ilvl="0">
      <w:lvlJc w:val="left"/>
      <w:lvlText w:val="%1)"/>
      <w:numFmt w:val="decimal"/>
      <w:start w:val="1"/>
    </w:lvl>
    <w:lvl w:ilvl="1">
      <w:lvlJc w:val="left"/>
      <w:lvlText w:val="%2)"/>
      <w:numFmt w:val="lowerLetter"/>
      <w:start w:val="1"/>
    </w:lvl>
  </w:abstractNum>
  <w:abstractNum w:abstractNumId="25">
    <w:nsid w:val="836C40E"/>
    <w:multiLevelType w:val="hybridMultilevel"/>
    <w:lvl w:ilvl="0">
      <w:lvlJc w:val="left"/>
      <w:lvlText w:val="%1)"/>
      <w:numFmt w:val="decimal"/>
      <w:start w:val="1"/>
    </w:lvl>
    <w:lvl w:ilvl="1">
      <w:lvlJc w:val="left"/>
      <w:lvlText w:val="%2)"/>
      <w:numFmt w:val="lowerLetter"/>
      <w:start w:val="1"/>
    </w:lvl>
  </w:abstractNum>
  <w:abstractNum w:abstractNumId="26">
    <w:nsid w:val="2901D82"/>
    <w:multiLevelType w:val="hybridMultilevel"/>
    <w:lvl w:ilvl="0">
      <w:lvlJc w:val="left"/>
      <w:lvlText w:val="%1)"/>
      <w:numFmt w:val="decimal"/>
      <w:start w:val="1"/>
    </w:lvl>
    <w:lvl w:ilvl="1">
      <w:lvlJc w:val="left"/>
      <w:lvlText w:val="%2)"/>
      <w:numFmt w:val="lowerLetter"/>
      <w:start w:val="1"/>
    </w:lvl>
  </w:abstractNum>
  <w:abstractNum w:abstractNumId="27">
    <w:nsid w:val="3A95F874"/>
    <w:multiLevelType w:val="hybridMultilevel"/>
    <w:lvl w:ilvl="0">
      <w:lvlJc w:val="left"/>
      <w:lvlText w:val="(%1)"/>
      <w:numFmt w:val="decimal"/>
      <w:start w:val="1"/>
    </w:lvl>
  </w:abstractNum>
  <w:abstractNum w:abstractNumId="28">
    <w:nsid w:val="8138641"/>
    <w:multiLevelType w:val="hybridMultilevel"/>
    <w:lvl w:ilvl="0">
      <w:lvlJc w:val="left"/>
      <w:lvlText w:val="(%1)"/>
      <w:numFmt w:val="decimal"/>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41" Type="http://schemas.openxmlformats.org/officeDocument/2006/relationships/hyperlink" Target="https://www.sec.gov/ix?doc=/Archives/edgar/data/34903/000003490326000017/frt-2025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2026-05-01T11:03:32Z</dcterms:created>
  <dcterms:modified xsi:type="dcterms:W3CDTF">2026-05-01T11:03:32Z</dcterms:modified>
</cp:coreProperties>
</file>