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2019</w:t>
      </w:r>
    </w:p>
    <w:p>
      <w:pPr>
        <w:spacing w:after="0" w:line="1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36"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5120" w:type="dxa"/>
            <w:vAlign w:val="bottom"/>
            <w:gridSpan w:val="3"/>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1-07533</w:t>
            </w:r>
          </w:p>
        </w:tc>
        <w:tc>
          <w:tcPr>
            <w:tcW w:w="600" w:type="dxa"/>
            <w:vAlign w:val="bottom"/>
          </w:tcPr>
          <w:p>
            <w:pPr>
              <w:spacing w:after="0"/>
              <w:rPr>
                <w:sz w:val="20"/>
                <w:szCs w:val="20"/>
                <w:color w:val="auto"/>
              </w:rPr>
            </w:pPr>
          </w:p>
        </w:tc>
        <w:tc>
          <w:tcPr>
            <w:tcW w:w="3820" w:type="dxa"/>
            <w:vAlign w:val="bottom"/>
            <w:gridSpan w:val="2"/>
          </w:tcPr>
          <w:p>
            <w:pPr>
              <w:jc w:val="center"/>
              <w:ind w:left="1413"/>
              <w:spacing w:after="0"/>
              <w:rPr>
                <w:sz w:val="20"/>
                <w:szCs w:val="20"/>
                <w:color w:val="auto"/>
              </w:rPr>
            </w:pPr>
            <w:r>
              <w:rPr>
                <w:rFonts w:ascii="Times New Roman" w:cs="Times New Roman" w:eastAsia="Times New Roman" w:hAnsi="Times New Roman"/>
                <w:sz w:val="18"/>
                <w:szCs w:val="18"/>
                <w:b w:val="1"/>
                <w:bCs w:val="1"/>
                <w:color w:val="auto"/>
              </w:rPr>
              <w:t>52-0782497</w:t>
            </w:r>
          </w:p>
        </w:tc>
      </w:tr>
      <w:tr>
        <w:trPr>
          <w:trHeight w:val="169"/>
        </w:trPr>
        <w:tc>
          <w:tcPr>
            <w:tcW w:w="5120" w:type="dxa"/>
            <w:vAlign w:val="bottom"/>
            <w:gridSpan w:val="3"/>
          </w:tcPr>
          <w:p>
            <w:pPr>
              <w:jc w:val="center"/>
              <w:ind w:right="1430"/>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2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600" w:type="dxa"/>
            <w:vAlign w:val="bottom"/>
          </w:tcPr>
          <w:p>
            <w:pPr>
              <w:spacing w:after="0"/>
              <w:rPr>
                <w:sz w:val="14"/>
                <w:szCs w:val="14"/>
                <w:color w:val="auto"/>
              </w:rPr>
            </w:pPr>
          </w:p>
        </w:tc>
        <w:tc>
          <w:tcPr>
            <w:tcW w:w="3220" w:type="dxa"/>
            <w:vAlign w:val="bottom"/>
          </w:tcPr>
          <w:p>
            <w:pPr>
              <w:jc w:val="center"/>
              <w:ind w:left="850"/>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5120" w:type="dxa"/>
            <w:vAlign w:val="bottom"/>
            <w:gridSpan w:val="3"/>
          </w:tcPr>
          <w:p>
            <w:pPr>
              <w:jc w:val="center"/>
              <w:ind w:right="1430"/>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20" w:type="dxa"/>
            <w:vAlign w:val="bottom"/>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600" w:type="dxa"/>
            <w:vAlign w:val="bottom"/>
          </w:tcPr>
          <w:p>
            <w:pPr>
              <w:spacing w:after="0"/>
              <w:rPr>
                <w:sz w:val="14"/>
                <w:szCs w:val="14"/>
                <w:color w:val="auto"/>
              </w:rPr>
            </w:pPr>
          </w:p>
        </w:tc>
        <w:tc>
          <w:tcPr>
            <w:tcW w:w="3220" w:type="dxa"/>
            <w:vAlign w:val="bottom"/>
          </w:tcPr>
          <w:p>
            <w:pPr>
              <w:jc w:val="center"/>
              <w:ind w:left="830"/>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597"/>
        </w:trPr>
        <w:tc>
          <w:tcPr>
            <w:tcW w:w="5120" w:type="dxa"/>
            <w:vAlign w:val="bottom"/>
            <w:gridSpan w:val="3"/>
          </w:tcPr>
          <w:p>
            <w:pPr>
              <w:jc w:val="center"/>
              <w:ind w:left="341"/>
              <w:spacing w:after="0"/>
              <w:rPr>
                <w:sz w:val="20"/>
                <w:szCs w:val="20"/>
                <w:color w:val="auto"/>
              </w:rPr>
            </w:pPr>
            <w:r>
              <w:rPr>
                <w:rFonts w:ascii="Times New Roman" w:cs="Times New Roman" w:eastAsia="Times New Roman" w:hAnsi="Times New Roman"/>
                <w:sz w:val="18"/>
                <w:szCs w:val="18"/>
                <w:b w:val="1"/>
                <w:bCs w:val="1"/>
                <w:color w:val="auto"/>
                <w:w w:val="99"/>
              </w:rPr>
              <w:t>1626 East Jefferson Street, Rockville, Maryland</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2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20852-4041</w:t>
            </w:r>
          </w:p>
        </w:tc>
      </w:tr>
      <w:tr>
        <w:trPr>
          <w:trHeight w:val="200"/>
        </w:trPr>
        <w:tc>
          <w:tcPr>
            <w:tcW w:w="1660" w:type="dxa"/>
            <w:vAlign w:val="bottom"/>
          </w:tcPr>
          <w:p>
            <w:pPr>
              <w:spacing w:after="0"/>
              <w:rPr>
                <w:sz w:val="17"/>
                <w:szCs w:val="17"/>
                <w:color w:val="auto"/>
              </w:rPr>
            </w:pPr>
          </w:p>
        </w:tc>
        <w:tc>
          <w:tcPr>
            <w:tcW w:w="3460" w:type="dxa"/>
            <w:vAlign w:val="bottom"/>
            <w:gridSpan w:val="2"/>
          </w:tcPr>
          <w:p>
            <w:pPr>
              <w:jc w:val="center"/>
              <w:ind w:right="115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Pr>
          <w:p>
            <w:pPr>
              <w:ind w:left="860"/>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394"/>
        </w:trPr>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700" w:type="dxa"/>
            <w:vAlign w:val="bottom"/>
            <w:gridSpan w:val="5"/>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301/998-8100</w:t>
            </w:r>
          </w:p>
        </w:tc>
      </w:tr>
      <w:tr>
        <w:trPr>
          <w:trHeight w:val="689"/>
        </w:trPr>
        <w:tc>
          <w:tcPr>
            <w:tcW w:w="166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2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63"/>
        </w:trPr>
        <w:tc>
          <w:tcPr>
            <w:tcW w:w="5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Shares of Beneficial Interest, $.01 par value per share, with</w:t>
            </w: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6"/>
              </w:rPr>
              <w:t>FRT</w:t>
            </w:r>
          </w:p>
        </w:tc>
        <w:tc>
          <w:tcPr>
            <w:tcW w:w="600" w:type="dxa"/>
            <w:vAlign w:val="bottom"/>
          </w:tcPr>
          <w:p>
            <w:pPr>
              <w:spacing w:after="0"/>
              <w:rPr>
                <w:sz w:val="22"/>
                <w:szCs w:val="22"/>
                <w:color w:val="auto"/>
              </w:rPr>
            </w:pPr>
          </w:p>
        </w:tc>
        <w:tc>
          <w:tcPr>
            <w:tcW w:w="32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0"/>
        </w:trPr>
        <w:tc>
          <w:tcPr>
            <w:tcW w:w="5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associated Common Share Purchase Rights</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49"/>
        </w:trPr>
        <w:tc>
          <w:tcPr>
            <w:tcW w:w="5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Depositary Shares, each representing 1/1000 of a share of 5.00%</w:t>
            </w: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3"/>
              </w:rPr>
              <w:t>FRT-C</w:t>
            </w:r>
          </w:p>
        </w:tc>
        <w:tc>
          <w:tcPr>
            <w:tcW w:w="600" w:type="dxa"/>
            <w:vAlign w:val="bottom"/>
          </w:tcPr>
          <w:p>
            <w:pPr>
              <w:spacing w:after="0"/>
              <w:rPr>
                <w:sz w:val="21"/>
                <w:szCs w:val="21"/>
                <w:color w:val="auto"/>
              </w:rPr>
            </w:pPr>
          </w:p>
        </w:tc>
        <w:tc>
          <w:tcPr>
            <w:tcW w:w="32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5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Series C Cumulative Redeemable Preferred Stock, $.01 par value per</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10"/>
        </w:trPr>
        <w:tc>
          <w:tcPr>
            <w:tcW w:w="5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r>
    </w:tbl>
    <w:p>
      <w:pPr>
        <w:spacing w:after="0" w:line="200" w:lineRule="exact"/>
        <w:rPr>
          <w:sz w:val="24"/>
          <w:szCs w:val="24"/>
          <w:color w:val="auto"/>
        </w:rPr>
      </w:pP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0" w:right="5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300"/>
          </w:cols>
          <w:pgMar w:left="240" w:top="673" w:right="359" w:bottom="1440" w:gutter="0" w:footer="0" w:header="0"/>
        </w:sectPr>
      </w:pPr>
    </w:p>
    <w:p>
      <w:pPr>
        <w:spacing w:after="0" w:line="29" w:lineRule="exact"/>
        <w:rPr>
          <w:sz w:val="24"/>
          <w:szCs w:val="24"/>
          <w:color w:val="auto"/>
        </w:rPr>
      </w:pPr>
    </w:p>
    <w:p>
      <w:pPr>
        <w:ind w:left="886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10820" w:space="240"/>
            <w:col w:w="240"/>
          </w:cols>
          <w:pgMar w:left="240" w:top="673" w:right="359" w:bottom="1440" w:gutter="0" w:footer="0" w:header="0"/>
          <w:type w:val="continuous"/>
        </w:sectPr>
      </w:pPr>
    </w:p>
    <w:p>
      <w:pPr>
        <w:spacing w:after="0" w:line="28" w:lineRule="exact"/>
        <w:rPr>
          <w:sz w:val="24"/>
          <w:szCs w:val="24"/>
          <w:color w:val="auto"/>
        </w:rPr>
      </w:pPr>
    </w:p>
    <w:p>
      <w:pPr>
        <w:jc w:val="right"/>
        <w:ind w:left="3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820" w:space="240"/>
            <w:col w:w="240"/>
          </w:cols>
          <w:pgMar w:left="240" w:top="673" w:right="35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301"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The annual meeting of shareholders of the Trust was held on May 1, 2019 in North Bethesda, Maryland. The following table sets forth the matters presented for a vote by the shareholders and the voting results with respect to such matters: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2"/>
              </w:rPr>
              <w:t>Votes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Broker</w:t>
            </w:r>
          </w:p>
        </w:tc>
      </w:tr>
      <w:tr>
        <w:trPr>
          <w:trHeight w:val="262"/>
        </w:trPr>
        <w:tc>
          <w:tcPr>
            <w:tcW w:w="5000" w:type="dxa"/>
            <w:vAlign w:val="bottom"/>
            <w:gridSpan w:val="2"/>
          </w:tcPr>
          <w:p>
            <w:pPr>
              <w:ind w:left="2280"/>
              <w:spacing w:after="0"/>
              <w:rPr>
                <w:sz w:val="20"/>
                <w:szCs w:val="20"/>
                <w:color w:val="auto"/>
              </w:rPr>
            </w:pPr>
            <w:r>
              <w:rPr>
                <w:rFonts w:ascii="Times New Roman" w:cs="Times New Roman" w:eastAsia="Times New Roman" w:hAnsi="Times New Roman"/>
                <w:sz w:val="20"/>
                <w:szCs w:val="20"/>
                <w:b w:val="1"/>
                <w:bCs w:val="1"/>
                <w:color w:val="auto"/>
              </w:rPr>
              <w:t>Matter</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Abstentions</w:t>
            </w:r>
          </w:p>
        </w:tc>
        <w:tc>
          <w:tcPr>
            <w:tcW w:w="148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Non-Votes</w:t>
            </w:r>
          </w:p>
        </w:tc>
      </w:tr>
      <w:tr>
        <w:trPr>
          <w:trHeight w:val="21"/>
        </w:trPr>
        <w:tc>
          <w:tcPr>
            <w:tcW w:w="4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6"/>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Proposal 1: Election of Trustees</w:t>
            </w: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4"/>
        </w:trPr>
        <w:tc>
          <w:tcPr>
            <w:tcW w:w="50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Jon E. Bortz</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61,821,898</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3,278,607</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62,001</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3,588,635</w:t>
            </w:r>
          </w:p>
        </w:tc>
      </w:tr>
      <w:tr>
        <w:trPr>
          <w:trHeight w:val="284"/>
        </w:trPr>
        <w:tc>
          <w:tcPr>
            <w:tcW w:w="50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David W. Faeder</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61,794,665</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3,305,201</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62,641</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3,588,635</w:t>
            </w:r>
          </w:p>
        </w:tc>
      </w:tr>
      <w:tr>
        <w:trPr>
          <w:trHeight w:val="284"/>
        </w:trPr>
        <w:tc>
          <w:tcPr>
            <w:tcW w:w="50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Elizabeth I. Holland</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64,381,734</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718,602</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62,170</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3,588,635</w:t>
            </w:r>
          </w:p>
        </w:tc>
      </w:tr>
      <w:tr>
        <w:trPr>
          <w:trHeight w:val="284"/>
        </w:trPr>
        <w:tc>
          <w:tcPr>
            <w:tcW w:w="50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Mark S. Ordan</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62,416,824</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2,680,448</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65,235</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3,588,635</w:t>
            </w:r>
          </w:p>
        </w:tc>
      </w:tr>
      <w:tr>
        <w:trPr>
          <w:trHeight w:val="284"/>
        </w:trPr>
        <w:tc>
          <w:tcPr>
            <w:tcW w:w="50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Gail P. Steinel</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62,403,708</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2,699,437</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59,361</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3,588,635</w:t>
            </w:r>
          </w:p>
        </w:tc>
      </w:tr>
      <w:tr>
        <w:trPr>
          <w:trHeight w:val="284"/>
        </w:trPr>
        <w:tc>
          <w:tcPr>
            <w:tcW w:w="50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Warren M. Thompson</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62,956,503</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2,145,768</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60,236</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3,588,635</w:t>
            </w:r>
          </w:p>
        </w:tc>
      </w:tr>
      <w:tr>
        <w:trPr>
          <w:trHeight w:val="284"/>
        </w:trPr>
        <w:tc>
          <w:tcPr>
            <w:tcW w:w="50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Joseph S. Vassalluzzo</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61,710,230</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3,384,766</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67,509</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3,588,635</w:t>
            </w:r>
          </w:p>
        </w:tc>
      </w:tr>
      <w:tr>
        <w:trPr>
          <w:trHeight w:val="284"/>
        </w:trPr>
        <w:tc>
          <w:tcPr>
            <w:tcW w:w="50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Donald C. Wood</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63,089,342</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2,008,177</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64,987</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3,588,635</w:t>
            </w:r>
          </w:p>
        </w:tc>
      </w:tr>
      <w:tr>
        <w:trPr>
          <w:trHeight w:val="534"/>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Proposal 2: Advisory vote on the compensation of our</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60,224,312</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4,808,236</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129,958</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3,588,635</w:t>
            </w:r>
          </w:p>
        </w:tc>
      </w:tr>
      <w:tr>
        <w:trPr>
          <w:trHeight w:val="262"/>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named executive officers</w:t>
            </w: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521"/>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Proposal 3: Ratification of the appointment of Grant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68,014,515</w:t>
            </w:r>
          </w:p>
        </w:tc>
        <w:tc>
          <w:tcPr>
            <w:tcW w:w="160" w:type="dxa"/>
            <w:vAlign w:val="bottom"/>
          </w:tcPr>
          <w:p>
            <w:pPr>
              <w:spacing w:after="0"/>
              <w:rPr>
                <w:sz w:val="24"/>
                <w:szCs w:val="24"/>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662,771</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73,855</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Thornton LLP as the Trust’s independent registered</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public accounting firm for the year ending December</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62"/>
        </w:trPr>
        <w:tc>
          <w:tcPr>
            <w:tcW w:w="48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31, 2019</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ectPr>
          <w:pgSz w:w="11900" w:h="16838" w:orient="portrait"/>
          <w:cols w:equalWidth="0" w:num="1">
            <w:col w:w="11420"/>
          </w:cols>
          <w:pgMar w:left="240" w:top="57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0" w:lineRule="exact"/>
        <w:rPr>
          <w:sz w:val="20"/>
          <w:szCs w:val="20"/>
          <w:color w:val="auto"/>
        </w:rPr>
      </w:pPr>
    </w:p>
    <w:p>
      <w:pPr>
        <w:spacing w:after="0" w:line="23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FEDERAL REALTY INVESTMENT TRUST</w:t>
      </w:r>
    </w:p>
    <w:p>
      <w:pPr>
        <w:spacing w:after="0" w:line="382" w:lineRule="exact"/>
        <w:rPr>
          <w:sz w:val="20"/>
          <w:szCs w:val="20"/>
          <w:color w:val="auto"/>
        </w:rPr>
      </w:pPr>
    </w:p>
    <w:p>
      <w:pPr>
        <w:ind w:left="40"/>
        <w:spacing w:after="0"/>
        <w:tabs>
          <w:tab w:leader="none" w:pos="820" w:val="left"/>
          <w:tab w:leader="none" w:pos="43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May 3, 2019</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u w:val="single" w:color="auto"/>
          <w:color w:val="auto"/>
        </w:rPr>
        <w:t>/s/ Dawn M. Becker</w:t>
      </w:r>
    </w:p>
    <w:p>
      <w:pPr>
        <w:spacing w:after="0" w:line="37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Dawn M. Becker</w:t>
      </w:r>
    </w:p>
    <w:p>
      <w:pPr>
        <w:spacing w:after="0" w:line="5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Executive Vice President-General Counsel and Secretary</w:t>
      </w:r>
    </w:p>
    <w:sectPr>
      <w:pgSz w:w="11900" w:h="16838" w:orient="portrait"/>
      <w:cols w:equalWidth="0" w:num="1">
        <w:col w:w="11420"/>
      </w:cols>
      <w:pgMar w:left="240" w:top="5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2019-12-04T23:13:04Z</dcterms:created>
  <dcterms:modified xsi:type="dcterms:W3CDTF">2019-12-04T23:13:04Z</dcterms:modified>
</cp:coreProperties>
</file>