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48"/>
        <w:spacing w:after="0"/>
        <w:rPr>
          <w:sz w:val="20"/>
          <w:szCs w:val="20"/>
          <w:color w:val="auto"/>
        </w:rPr>
      </w:pPr>
      <w:r>
        <w:rPr>
          <w:rFonts w:ascii="Arial" w:cs="Arial" w:eastAsia="Arial" w:hAnsi="Arial"/>
          <w:sz w:val="22"/>
          <w:szCs w:val="22"/>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4330700</wp:posOffset>
            </wp:positionH>
            <wp:positionV relativeFrom="paragraph">
              <wp:posOffset>-154940</wp:posOffset>
            </wp:positionV>
            <wp:extent cx="159512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97560"/>
                    </a:xfrm>
                    <a:prstGeom prst="rect">
                      <a:avLst/>
                    </a:prstGeom>
                    <a:noFill/>
                  </pic:spPr>
                </pic:pic>
              </a:graphicData>
            </a:graphic>
          </wp:anchor>
        </w:drawing>
      </w:r>
    </w:p>
    <w:p>
      <w:pPr>
        <w:spacing w:after="0" w:line="2" w:lineRule="exact"/>
        <w:rPr>
          <w:sz w:val="24"/>
          <w:szCs w:val="24"/>
          <w:color w:val="auto"/>
        </w:rPr>
      </w:pPr>
    </w:p>
    <w:p>
      <w:pPr>
        <w:ind w:left="6888"/>
        <w:spacing w:after="0"/>
        <w:rPr>
          <w:sz w:val="20"/>
          <w:szCs w:val="20"/>
          <w:color w:val="auto"/>
        </w:rPr>
      </w:pPr>
      <w:r>
        <w:rPr>
          <w:rFonts w:ascii="Arial" w:cs="Arial" w:eastAsia="Arial" w:hAnsi="Arial"/>
          <w:sz w:val="21"/>
          <w:szCs w:val="21"/>
          <w:color w:val="auto"/>
        </w:rPr>
        <w:t>OMB Number: 3235-0145</w:t>
      </w:r>
    </w:p>
    <w:p>
      <w:pPr>
        <w:spacing w:after="0" w:line="2" w:lineRule="exact"/>
        <w:rPr>
          <w:sz w:val="24"/>
          <w:szCs w:val="24"/>
          <w:color w:val="auto"/>
        </w:rPr>
      </w:pPr>
    </w:p>
    <w:p>
      <w:pPr>
        <w:ind w:left="6888"/>
        <w:spacing w:after="0"/>
        <w:rPr>
          <w:sz w:val="20"/>
          <w:szCs w:val="20"/>
          <w:color w:val="auto"/>
        </w:rPr>
      </w:pPr>
      <w:r>
        <w:rPr>
          <w:rFonts w:ascii="Arial" w:cs="Arial" w:eastAsia="Arial" w:hAnsi="Arial"/>
          <w:sz w:val="19"/>
          <w:szCs w:val="19"/>
          <w:color w:val="auto"/>
        </w:rPr>
        <w:t>Expires: February 28, 2009</w:t>
      </w:r>
    </w:p>
    <w:p>
      <w:pPr>
        <w:spacing w:after="0" w:line="25" w:lineRule="exact"/>
        <w:rPr>
          <w:sz w:val="24"/>
          <w:szCs w:val="24"/>
          <w:color w:val="auto"/>
        </w:rPr>
      </w:pPr>
    </w:p>
    <w:p>
      <w:pPr>
        <w:ind w:left="6888"/>
        <w:spacing w:after="0"/>
        <w:rPr>
          <w:sz w:val="20"/>
          <w:szCs w:val="20"/>
          <w:color w:val="auto"/>
        </w:rPr>
      </w:pPr>
      <w:r>
        <w:rPr>
          <w:rFonts w:ascii="Arial" w:cs="Arial" w:eastAsia="Arial" w:hAnsi="Arial"/>
          <w:sz w:val="19"/>
          <w:szCs w:val="19"/>
          <w:color w:val="auto"/>
        </w:rPr>
        <w:t>Estimated average burden</w:t>
      </w:r>
    </w:p>
    <w:p>
      <w:pPr>
        <w:spacing w:after="0" w:line="25" w:lineRule="exact"/>
        <w:rPr>
          <w:sz w:val="24"/>
          <w:szCs w:val="24"/>
          <w:color w:val="auto"/>
        </w:rPr>
      </w:pPr>
    </w:p>
    <w:p>
      <w:pPr>
        <w:ind w:left="6888"/>
        <w:spacing w:after="0"/>
        <w:rPr>
          <w:sz w:val="20"/>
          <w:szCs w:val="20"/>
          <w:color w:val="auto"/>
        </w:rPr>
      </w:pPr>
      <w:r>
        <w:rPr>
          <w:rFonts w:ascii="Arial" w:cs="Arial" w:eastAsia="Arial" w:hAnsi="Arial"/>
          <w:sz w:val="21"/>
          <w:szCs w:val="21"/>
          <w:color w:val="auto"/>
        </w:rPr>
        <w:t>hours per response...10.4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258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27"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ind w:left="3548"/>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ind w:left="3448"/>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(Amendment No. 2)*</w:t>
      </w:r>
    </w:p>
    <w:p>
      <w:pPr>
        <w:spacing w:after="0" w:line="259" w:lineRule="exact"/>
        <w:rPr>
          <w:sz w:val="24"/>
          <w:szCs w:val="24"/>
          <w:color w:val="auto"/>
        </w:rPr>
      </w:pPr>
    </w:p>
    <w:p>
      <w:pPr>
        <w:jc w:val="center"/>
        <w:ind w:right="551"/>
        <w:spacing w:after="0"/>
        <w:rPr>
          <w:sz w:val="20"/>
          <w:szCs w:val="20"/>
          <w:color w:val="auto"/>
        </w:rPr>
      </w:pPr>
      <w:r>
        <w:rPr>
          <w:rFonts w:ascii="Arial" w:cs="Arial" w:eastAsia="Arial" w:hAnsi="Arial"/>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2" w:lineRule="exact"/>
        <w:rPr>
          <w:sz w:val="24"/>
          <w:szCs w:val="24"/>
          <w:color w:val="auto"/>
        </w:rPr>
      </w:pPr>
    </w:p>
    <w:p>
      <w:pPr>
        <w:ind w:left="4048"/>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Ordinary Shares</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72"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313747206</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85"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December 31, 2008</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64"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8"/>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428" w:hanging="203"/>
        <w:spacing w:after="0"/>
        <w:tabs>
          <w:tab w:leader="none" w:pos="4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5" w:lineRule="exact"/>
        <w:rPr>
          <w:sz w:val="24"/>
          <w:szCs w:val="24"/>
          <w:color w:val="auto"/>
        </w:rPr>
      </w:pPr>
    </w:p>
    <w:p>
      <w:pPr>
        <w:ind w:left="228"/>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left="8" w:right="599" w:hanging="8"/>
        <w:spacing w:after="0" w:line="264"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4" w:lineRule="exact"/>
        <w:rPr>
          <w:sz w:val="24"/>
          <w:szCs w:val="24"/>
          <w:color w:val="auto"/>
        </w:rPr>
      </w:pPr>
    </w:p>
    <w:p>
      <w:pPr>
        <w:ind w:left="8" w:right="559"/>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285115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483"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right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0"/>
              </w:rPr>
              <w:t>313747206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ING Groep N.V.</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74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 xml:space="preserve">2,330,794 </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4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4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 xml:space="preserve">2,330,794 </w:t>
            </w:r>
            <w:r>
              <w:rPr>
                <w:rFonts w:ascii="Arial" w:cs="Arial" w:eastAsia="Arial" w:hAnsi="Arial"/>
                <w:sz w:val="15"/>
                <w:szCs w:val="15"/>
                <w:color w:val="auto"/>
              </w:rPr>
              <w:t>1 2</w:t>
            </w: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2,330,794</w:t>
            </w: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0" w:type="dxa"/>
            <w:vAlign w:val="bottom"/>
          </w:tcPr>
          <w:p>
            <w:pPr>
              <w:spacing w:after="0"/>
              <w:rPr>
                <w:sz w:val="1"/>
                <w:szCs w:val="1"/>
                <w:color w:val="auto"/>
              </w:rPr>
            </w:pPr>
          </w:p>
        </w:tc>
      </w:tr>
      <w:tr>
        <w:trPr>
          <w:trHeight w:val="448"/>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31,600 shares held as custodian</w:t>
            </w:r>
          </w:p>
        </w:tc>
        <w:tc>
          <w:tcPr>
            <w:tcW w:w="0" w:type="dxa"/>
            <w:vAlign w:val="bottom"/>
          </w:tcPr>
          <w:p>
            <w:pPr>
              <w:spacing w:after="0"/>
              <w:rPr>
                <w:sz w:val="1"/>
                <w:szCs w:val="1"/>
                <w:color w:val="auto"/>
              </w:rPr>
            </w:pPr>
          </w:p>
        </w:tc>
      </w:tr>
      <w:tr>
        <w:trPr>
          <w:trHeight w:val="28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3.95%</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HC</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679" w:hanging="8"/>
        <w:spacing w:after="0" w:line="277" w:lineRule="auto"/>
        <w:tabs>
          <w:tab w:leader="none" w:pos="141" w:val="left"/>
        </w:tabs>
        <w:numPr>
          <w:ilvl w:val="0"/>
          <w:numId w:val="3"/>
        </w:numPr>
        <w:rPr>
          <w:rFonts w:ascii="Arial" w:cs="Arial" w:eastAsia="Arial" w:hAnsi="Arial"/>
          <w:sz w:val="15"/>
          <w:szCs w:val="15"/>
          <w:color w:val="auto"/>
        </w:rPr>
      </w:pPr>
      <w:r>
        <w:rPr>
          <w:rFonts w:ascii="Arial" w:cs="Arial" w:eastAsia="Arial" w:hAnsi="Arial"/>
          <w:sz w:val="18"/>
          <w:szCs w:val="18"/>
          <w:color w:val="auto"/>
        </w:rPr>
        <w:t>1,562,314 of these shares are held by indirect subsidiaries of ING Groep N.V. in their role as a discretionary manager of client portfolios.</w:t>
      </w:r>
    </w:p>
    <w:p>
      <w:pPr>
        <w:spacing w:after="0" w:line="8" w:lineRule="exact"/>
        <w:rPr>
          <w:sz w:val="20"/>
          <w:szCs w:val="20"/>
          <w:color w:val="auto"/>
        </w:rPr>
      </w:pPr>
    </w:p>
    <w:p>
      <w:pPr>
        <w:ind w:left="4640" w:right="2759" w:hanging="4628"/>
        <w:spacing w:after="0" w:line="496" w:lineRule="auto"/>
        <w:tabs>
          <w:tab w:leader="none" w:pos="139" w:val="left"/>
        </w:tabs>
        <w:numPr>
          <w:ilvl w:val="0"/>
          <w:numId w:val="4"/>
        </w:numPr>
        <w:rPr>
          <w:rFonts w:ascii="Arial" w:cs="Arial" w:eastAsia="Arial" w:hAnsi="Arial"/>
          <w:sz w:val="15"/>
          <w:szCs w:val="15"/>
          <w:color w:val="auto"/>
        </w:rPr>
      </w:pPr>
      <w:r>
        <w:rPr>
          <w:rFonts w:ascii="Arial" w:cs="Arial" w:eastAsia="Arial" w:hAnsi="Arial"/>
          <w:sz w:val="18"/>
          <w:szCs w:val="18"/>
          <w:color w:val="auto"/>
        </w:rPr>
        <w:t>11,480 of these shares are held by indirect subsidiaries of ING Groep N.V. in their role as trustee.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313747206</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Federal Realty Investment Trust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Rockville, MD 20852-4041</w:t>
      </w:r>
    </w:p>
    <w:p>
      <w:pPr>
        <w:spacing w:after="0" w:line="166" w:lineRule="exact"/>
        <w:rPr>
          <w:sz w:val="20"/>
          <w:szCs w:val="20"/>
          <w:color w:val="auto"/>
        </w:rPr>
      </w:pPr>
    </w:p>
    <w:p>
      <w:pPr>
        <w:jc w:val="center"/>
        <w:ind w:right="7279"/>
        <w:spacing w:after="0"/>
        <w:rPr>
          <w:sz w:val="20"/>
          <w:szCs w:val="20"/>
          <w:color w:val="auto"/>
        </w:rPr>
      </w:pPr>
      <w:r>
        <w:rPr>
          <w:rFonts w:ascii="Arial" w:cs="Arial" w:eastAsia="Arial" w:hAnsi="Arial"/>
          <w:sz w:val="16"/>
          <w:szCs w:val="16"/>
          <w:b w:val="1"/>
          <w:bCs w:val="1"/>
          <w:color w:val="auto"/>
        </w:rPr>
        <w:t>Item 2(a). Name of Person Filing:</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ING Groep N.V.</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Amstelveenseweg 500</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1081 KL Amsterdam</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P.O. Box 810</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1000 AV Amsterdam</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Netherlands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02" w:lineRule="exact"/>
        <w:rPr>
          <w:sz w:val="20"/>
          <w:szCs w:val="20"/>
          <w:color w:val="auto"/>
        </w:rPr>
      </w:pPr>
    </w:p>
    <w:p>
      <w:pPr>
        <w:jc w:val="center"/>
        <w:ind w:right="6919"/>
        <w:spacing w:after="0"/>
        <w:rPr>
          <w:sz w:val="20"/>
          <w:szCs w:val="20"/>
          <w:color w:val="auto"/>
        </w:rPr>
      </w:pPr>
      <w:r>
        <w:rPr>
          <w:rFonts w:ascii="Arial" w:cs="Arial" w:eastAsia="Arial" w:hAnsi="Arial"/>
          <w:sz w:val="18"/>
          <w:szCs w:val="18"/>
          <w:color w:val="auto"/>
        </w:rPr>
        <w:t>See item 4 on Page 2</w:t>
      </w:r>
    </w:p>
    <w:p>
      <w:pPr>
        <w:spacing w:after="0" w:line="181" w:lineRule="exact"/>
        <w:rPr>
          <w:sz w:val="20"/>
          <w:szCs w:val="20"/>
          <w:color w:val="auto"/>
        </w:rPr>
      </w:pPr>
    </w:p>
    <w:p>
      <w:pPr>
        <w:jc w:val="center"/>
        <w:ind w:right="6979"/>
        <w:spacing w:after="0"/>
        <w:rPr>
          <w:sz w:val="20"/>
          <w:szCs w:val="20"/>
          <w:color w:val="auto"/>
        </w:rPr>
      </w:pPr>
      <w:r>
        <w:rPr>
          <w:rFonts w:ascii="Arial" w:cs="Arial" w:eastAsia="Arial" w:hAnsi="Arial"/>
          <w:sz w:val="16"/>
          <w:szCs w:val="16"/>
          <w:b w:val="1"/>
          <w:bCs w:val="1"/>
          <w:color w:val="auto"/>
        </w:rPr>
        <w:t>Item 2(d). Title of Class of Securities: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Ordinary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313747206</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ind w:left="1080" w:right="619" w:hanging="345"/>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 or dealer registered under Section 15 of the Securities Exchange Act of 1934, as amended (the “Exchange Act”);</w:t>
      </w:r>
    </w:p>
    <w:p>
      <w:pPr>
        <w:spacing w:after="0" w:line="102" w:lineRule="exact"/>
        <w:rPr>
          <w:rFonts w:ascii="Arial" w:cs="Arial" w:eastAsia="Arial" w:hAnsi="Arial"/>
          <w:sz w:val="18"/>
          <w:szCs w:val="18"/>
          <w:color w:val="auto"/>
        </w:rPr>
      </w:pPr>
    </w:p>
    <w:p>
      <w:pPr>
        <w:ind w:left="1080" w:hanging="34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 as defined in Section 3(a)(6) of the Exchange Act;</w:t>
      </w:r>
    </w:p>
    <w:p>
      <w:pPr>
        <w:spacing w:after="0" w:line="157" w:lineRule="exact"/>
        <w:rPr>
          <w:rFonts w:ascii="Arial" w:cs="Arial" w:eastAsia="Arial" w:hAnsi="Arial"/>
          <w:sz w:val="18"/>
          <w:szCs w:val="18"/>
          <w:color w:val="auto"/>
        </w:rPr>
      </w:pPr>
    </w:p>
    <w:p>
      <w:pPr>
        <w:ind w:left="1080" w:hanging="34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Insurance company as defined in Section 3(a)(19) of the Exchange Act;</w:t>
      </w:r>
    </w:p>
    <w:p>
      <w:pPr>
        <w:spacing w:after="0" w:line="157" w:lineRule="exact"/>
        <w:rPr>
          <w:rFonts w:ascii="Arial" w:cs="Arial" w:eastAsia="Arial" w:hAnsi="Arial"/>
          <w:sz w:val="18"/>
          <w:szCs w:val="18"/>
          <w:color w:val="auto"/>
        </w:rPr>
      </w:pPr>
    </w:p>
    <w:p>
      <w:pPr>
        <w:ind w:left="1080" w:right="1139" w:hanging="345"/>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company registered under Section 8 of the Investment Company Act of 1940, as amended (the “Investment Company Act”);</w:t>
      </w:r>
    </w:p>
    <w:p>
      <w:pPr>
        <w:spacing w:after="0" w:line="102" w:lineRule="exact"/>
        <w:rPr>
          <w:rFonts w:ascii="Arial" w:cs="Arial" w:eastAsia="Arial" w:hAnsi="Arial"/>
          <w:sz w:val="18"/>
          <w:szCs w:val="18"/>
          <w:color w:val="auto"/>
        </w:rPr>
      </w:pPr>
    </w:p>
    <w:p>
      <w:pPr>
        <w:ind w:left="1080" w:hanging="34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adviser in accordance with Rule 13d-1(b)(1)(ii)(E) under the Exchange Act;</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313747206</w:t>
            </w:r>
          </w:p>
        </w:tc>
      </w:tr>
    </w:tbl>
    <w:p>
      <w:pPr>
        <w:spacing w:after="0" w:line="171" w:lineRule="exact"/>
        <w:rPr>
          <w:sz w:val="20"/>
          <w:szCs w:val="20"/>
          <w:color w:val="auto"/>
        </w:rPr>
      </w:pPr>
    </w:p>
    <w:p>
      <w:pPr>
        <w:ind w:left="1080" w:hanging="345"/>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 benefit plan or endowment fund in accordance with Rule 13d-1(b)(1)(ii)(F) under the Exchange Act;</w:t>
      </w:r>
    </w:p>
    <w:p>
      <w:pPr>
        <w:spacing w:after="0" w:line="180" w:lineRule="exact"/>
        <w:rPr>
          <w:rFonts w:ascii="Arial" w:cs="Arial" w:eastAsia="Arial" w:hAnsi="Arial"/>
          <w:sz w:val="16"/>
          <w:szCs w:val="16"/>
          <w:color w:val="auto"/>
        </w:rPr>
      </w:pPr>
    </w:p>
    <w:p>
      <w:pPr>
        <w:ind w:left="1080" w:hanging="345"/>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Parent holding company or control person in accordance with Rule 13d-1(b)(ii)(G) under the Exchange Act;</w:t>
      </w:r>
    </w:p>
    <w:p>
      <w:pPr>
        <w:spacing w:after="0" w:line="180" w:lineRule="exact"/>
        <w:rPr>
          <w:rFonts w:ascii="Arial" w:cs="Arial" w:eastAsia="Arial" w:hAnsi="Arial"/>
          <w:sz w:val="16"/>
          <w:szCs w:val="16"/>
          <w:color w:val="auto"/>
        </w:rPr>
      </w:pPr>
    </w:p>
    <w:p>
      <w:pPr>
        <w:ind w:left="1080" w:hanging="345"/>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Savings association as defined in Section 3(b) of the Federal Deposit Insurance Act;</w:t>
      </w:r>
    </w:p>
    <w:p>
      <w:pPr>
        <w:spacing w:after="0" w:line="157" w:lineRule="exact"/>
        <w:rPr>
          <w:rFonts w:ascii="Arial" w:cs="Arial" w:eastAsia="Arial" w:hAnsi="Arial"/>
          <w:sz w:val="18"/>
          <w:szCs w:val="18"/>
          <w:color w:val="auto"/>
        </w:rPr>
      </w:pPr>
    </w:p>
    <w:p>
      <w:pPr>
        <w:ind w:left="1080" w:right="1239" w:hanging="345"/>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Church plan that is excluded from the definition of an investment company under Section 3(c)(14) of the Investment Company Act;</w:t>
      </w:r>
    </w:p>
    <w:p>
      <w:pPr>
        <w:spacing w:after="0" w:line="102" w:lineRule="exact"/>
        <w:rPr>
          <w:rFonts w:ascii="Arial" w:cs="Arial" w:eastAsia="Arial" w:hAnsi="Arial"/>
          <w:sz w:val="18"/>
          <w:szCs w:val="18"/>
          <w:color w:val="auto"/>
        </w:rPr>
      </w:pPr>
    </w:p>
    <w:p>
      <w:pPr>
        <w:ind w:left="1080" w:hanging="345"/>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Group in accordance with Rule 13d-1(b)(1)(ii)(J) under the Exchange Act.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89" w:lineRule="exact"/>
        <w:rPr>
          <w:sz w:val="20"/>
          <w:szCs w:val="20"/>
          <w:color w:val="auto"/>
        </w:rPr>
      </w:pPr>
    </w:p>
    <w:p>
      <w:pPr>
        <w:ind w:left="1080" w:right="6739" w:hanging="345"/>
        <w:spacing w:after="0" w:line="475"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See item 9 on Page 2</w:t>
      </w:r>
    </w:p>
    <w:p>
      <w:pPr>
        <w:spacing w:after="0" w:line="1" w:lineRule="exact"/>
        <w:rPr>
          <w:rFonts w:ascii="Arial" w:cs="Arial" w:eastAsia="Arial" w:hAnsi="Arial"/>
          <w:sz w:val="16"/>
          <w:szCs w:val="16"/>
          <w:color w:val="auto"/>
        </w:rPr>
      </w:pPr>
    </w:p>
    <w:p>
      <w:pPr>
        <w:ind w:left="1080" w:hanging="345"/>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5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See item 11 on Page 2</w:t>
      </w:r>
    </w:p>
    <w:p>
      <w:pPr>
        <w:spacing w:after="0" w:line="157" w:lineRule="exact"/>
        <w:rPr>
          <w:rFonts w:ascii="Arial" w:cs="Arial" w:eastAsia="Arial" w:hAnsi="Arial"/>
          <w:sz w:val="18"/>
          <w:szCs w:val="18"/>
          <w:color w:val="auto"/>
        </w:rPr>
      </w:pPr>
    </w:p>
    <w:p>
      <w:pPr>
        <w:ind w:left="1080" w:hanging="345"/>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98" w:lineRule="exact"/>
        <w:rPr>
          <w:rFonts w:ascii="Arial" w:cs="Arial" w:eastAsia="Arial" w:hAnsi="Arial"/>
          <w:sz w:val="18"/>
          <w:szCs w:val="18"/>
          <w:color w:val="auto"/>
        </w:rPr>
      </w:pPr>
    </w:p>
    <w:p>
      <w:pPr>
        <w:ind w:left="1460" w:right="5559" w:hanging="360"/>
        <w:spacing w:after="0" w:line="422"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spacing w:after="0" w:line="1" w:lineRule="exact"/>
        <w:rPr>
          <w:rFonts w:ascii="Arial" w:cs="Arial" w:eastAsia="Arial" w:hAnsi="Arial"/>
          <w:sz w:val="18"/>
          <w:szCs w:val="18"/>
          <w:color w:val="auto"/>
        </w:rPr>
      </w:pPr>
    </w:p>
    <w:p>
      <w:pPr>
        <w:ind w:left="1460" w:right="5399" w:hanging="360"/>
        <w:spacing w:after="0" w:line="422"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 2</w:t>
      </w:r>
    </w:p>
    <w:p>
      <w:pPr>
        <w:spacing w:after="0" w:line="1" w:lineRule="exact"/>
        <w:rPr>
          <w:rFonts w:ascii="Arial" w:cs="Arial" w:eastAsia="Arial" w:hAnsi="Arial"/>
          <w:sz w:val="18"/>
          <w:szCs w:val="18"/>
          <w:color w:val="auto"/>
        </w:rPr>
      </w:pPr>
    </w:p>
    <w:p>
      <w:pPr>
        <w:ind w:left="1460" w:right="4659" w:hanging="360"/>
        <w:spacing w:after="0" w:line="422"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 2</w:t>
      </w:r>
    </w:p>
    <w:p>
      <w:pPr>
        <w:spacing w:after="0" w:line="1" w:lineRule="exact"/>
        <w:rPr>
          <w:rFonts w:ascii="Arial" w:cs="Arial" w:eastAsia="Arial" w:hAnsi="Arial"/>
          <w:sz w:val="18"/>
          <w:szCs w:val="18"/>
          <w:color w:val="auto"/>
        </w:rPr>
      </w:pPr>
    </w:p>
    <w:p>
      <w:pPr>
        <w:ind w:left="1460" w:right="4479" w:hanging="360"/>
        <w:spacing w:after="0" w:line="436"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on Page 2</w:t>
      </w: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56"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313747206</w:t>
            </w:r>
          </w:p>
        </w:tc>
      </w:tr>
    </w:tbl>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720" w:right="1059" w:hanging="728"/>
        <w:spacing w:after="0" w:line="282"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89" w:lineRule="exact"/>
        <w:rPr>
          <w:sz w:val="20"/>
          <w:szCs w:val="20"/>
          <w:color w:val="auto"/>
        </w:rPr>
      </w:pPr>
    </w:p>
    <w:p>
      <w:pPr>
        <w:ind w:left="720" w:right="659"/>
        <w:spacing w:after="0" w:line="257" w:lineRule="auto"/>
        <w:rPr>
          <w:sz w:val="20"/>
          <w:szCs w:val="20"/>
          <w:color w:val="auto"/>
        </w:rPr>
      </w:pPr>
      <w:r>
        <w:rPr>
          <w:rFonts w:ascii="Arial" w:cs="Arial" w:eastAsia="Arial" w:hAnsi="Arial"/>
          <w:sz w:val="18"/>
          <w:szCs w:val="18"/>
          <w:color w:val="auto"/>
        </w:rPr>
        <w:t>ING Groep N.V. and ING Clarion Real Estate Securities L.P. previously filed Schedule 13G, as amended, as members of a group with respect to transactions in securities of the issuer. As of August 28, 2008, ING Clarion Real Estate Securities L.P. disaggregated from ING Groep N.V. for Schedule 13G purposes. All further filings with respect to transactions by ING Groep N.V. in the securities of the issuer will be filed, if required, by ING Groep N.V. in its individual capacity.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2" w:lineRule="exact"/>
        <w:rPr>
          <w:sz w:val="20"/>
          <w:szCs w:val="20"/>
          <w:color w:val="auto"/>
        </w:rPr>
      </w:pPr>
    </w:p>
    <w:p>
      <w:pPr>
        <w:ind w:left="720" w:right="559"/>
        <w:spacing w:after="0" w:line="259" w:lineRule="auto"/>
        <w:rPr>
          <w:sz w:val="20"/>
          <w:szCs w:val="20"/>
          <w:color w:val="auto"/>
        </w:rPr>
      </w:pPr>
      <w:r>
        <w:rPr>
          <w:rFonts w:ascii="Arial" w:cs="Arial" w:eastAsia="Arial" w:hAnsi="Arial"/>
          <w:sz w:val="18"/>
          <w:szCs w:val="18"/>
          <w:color w:val="auto"/>
        </w:rPr>
        <w:t>By signing below we certify that, to the best of our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313747206</w:t>
            </w:r>
          </w:p>
        </w:tc>
      </w:tr>
    </w:tbl>
    <w:p>
      <w:pPr>
        <w:spacing w:after="0" w:line="17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right="599" w:firstLine="37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February 17, 2009</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ING GROEP N.V.</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Just A.M. Emke-Petrelluzzi Bojanic</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-130810</wp:posOffset>
            </wp:positionV>
            <wp:extent cx="2084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Just A.M. Emke-Petrelluzzi Bojanic</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Compliance Officer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(Name/Title)</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Rob M. Fischmann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-130810</wp:posOffset>
            </wp:positionV>
            <wp:extent cx="2084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Rob M. Fischmann</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Manager Compliance Netherlands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sectPr>
      <w:pgSz w:w="11900" w:h="16838" w:orient="portrait"/>
      <w:cols w:equalWidth="0" w:num="1">
        <w:col w:w="9879"/>
      </w:cols>
      <w:pgMar w:left="580" w:top="11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6"/>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2019-12-10T00:36:35Z</dcterms:created>
  <dcterms:modified xsi:type="dcterms:W3CDTF">2019-12-10T00:36:35Z</dcterms:modified>
</cp:coreProperties>
</file>