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Date of Report (Date of earliest event reported) May 26,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840"/>
          </w:cols>
          <w:pgMar w:left="240" w:top="301"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540" w:space="720"/>
            <w:col w:w="2760"/>
          </w:cols>
          <w:pgMar w:left="240" w:top="301"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01" w:right="639" w:bottom="1440" w:gutter="0" w:footer="0" w:header="0"/>
          <w:type w:val="continuous"/>
        </w:sectPr>
      </w:pPr>
    </w:p>
    <w:p>
      <w:pPr>
        <w:ind w:left="32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On May 26, 2009, Federal Realty Investment Trust (the “Trust”) issued a press release announcing that it had commenced a tender offer (the “Tender Offer”) to purchase any and all of its outstanding 8.75% Senior Notes due 2009 (the “Notes”). The outstanding principal amount of the Notes is $163,855,000.</w:t>
      </w:r>
    </w:p>
    <w:p>
      <w:pPr>
        <w:spacing w:after="0" w:line="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terms of the Tender Offer include a consideration payable of $1,020 per $1,000 in principal amount of such Notes that are validly tendered and accepted for purchase, plus accrued and unpaid interest to, but not including, the date on which the Notes are purchased. The Tender Offer will expire at 5:00 p.m., New York City time, on Wednesday, June 3, 2009, unless extended by the Trust (the “Expiration Date”). Any such extension will be followed by a public announcement no later than 9:00 a.m., New York City time, on the first business day after the previously scheduled Expiration Date. Tendered Notes may be withdrawn prior to, but not after, the Expiration Date. The Trust intends to pay for all of the Notes purchased pursuant to the Tender Offer by utilizing cash on hand and its revolving credit facility.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copy of the press release issued by the Trust on May 26, 2009 is attached as Exhibit 99.1.</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1480" w:hanging="567"/>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The following Exhibits are included in the Form 8-K:</w:t>
      </w:r>
    </w:p>
    <w:p>
      <w:pPr>
        <w:spacing w:after="0" w:line="207"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1497330</wp:posOffset>
            </wp:positionH>
            <wp:positionV relativeFrom="paragraph">
              <wp:posOffset>8890</wp:posOffset>
            </wp:positionV>
            <wp:extent cx="48107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pacing w:after="0" w:line="7"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by the Trust on May 26, 2009</w:t>
      </w:r>
    </w:p>
    <w:p>
      <w:pPr>
        <w:sectPr>
          <w:pgSz w:w="11900" w:h="16838" w:orient="portrait"/>
          <w:cols w:equalWidth="0" w:num="1">
            <w:col w:w="11180"/>
          </w:cols>
          <w:pgMar w:left="240" w:top="274" w:right="4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May 27, 2009</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118110</wp:posOffset>
            </wp:positionV>
            <wp:extent cx="5831840" cy="12261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31840"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5020" w:type="dxa"/>
            <w:vAlign w:val="bottom"/>
          </w:tcPr>
          <w:p>
            <w:pPr>
              <w:spacing w:after="0"/>
              <w:rPr>
                <w:sz w:val="19"/>
                <w:szCs w:val="19"/>
                <w:color w:val="auto"/>
              </w:rPr>
            </w:pPr>
          </w:p>
        </w:tc>
      </w:tr>
      <w:tr>
        <w:trPr>
          <w:trHeight w:val="380"/>
        </w:trPr>
        <w:tc>
          <w:tcPr>
            <w:tcW w:w="5120" w:type="dxa"/>
            <w:vAlign w:val="bottom"/>
            <w:gridSpan w:val="2"/>
          </w:tcPr>
          <w:p>
            <w:pPr>
              <w:spacing w:after="0"/>
              <w:rPr>
                <w:sz w:val="20"/>
                <w:szCs w:val="20"/>
                <w:color w:val="auto"/>
              </w:rPr>
            </w:pPr>
            <w:r>
              <w:rPr>
                <w:rFonts w:ascii="Arial" w:cs="Arial" w:eastAsia="Arial" w:hAnsi="Arial"/>
                <w:sz w:val="18"/>
                <w:szCs w:val="18"/>
                <w:i w:val="1"/>
                <w:iCs w:val="1"/>
                <w:color w:val="auto"/>
              </w:rPr>
              <w:t>Investor and Media Inquiries</w:t>
            </w:r>
          </w:p>
        </w:tc>
        <w:tc>
          <w:tcPr>
            <w:tcW w:w="5020" w:type="dxa"/>
            <w:vAlign w:val="bottom"/>
          </w:tcPr>
          <w:p>
            <w:pPr>
              <w:spacing w:after="0"/>
              <w:rPr>
                <w:sz w:val="24"/>
                <w:szCs w:val="24"/>
                <w:color w:val="auto"/>
              </w:rPr>
            </w:pPr>
          </w:p>
        </w:tc>
      </w:tr>
      <w:tr>
        <w:trPr>
          <w:trHeight w:val="228"/>
        </w:trPr>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Gina Birdsall</w:t>
            </w:r>
          </w:p>
        </w:tc>
        <w:tc>
          <w:tcPr>
            <w:tcW w:w="3060" w:type="dxa"/>
            <w:vAlign w:val="bottom"/>
          </w:tcPr>
          <w:p>
            <w:pPr>
              <w:spacing w:after="0"/>
              <w:rPr>
                <w:sz w:val="19"/>
                <w:szCs w:val="19"/>
                <w:color w:val="auto"/>
              </w:rPr>
            </w:pPr>
          </w:p>
        </w:tc>
        <w:tc>
          <w:tcPr>
            <w:tcW w:w="5020" w:type="dxa"/>
            <w:vAlign w:val="bottom"/>
          </w:tcPr>
          <w:p>
            <w:pPr>
              <w:ind w:left="2780"/>
              <w:spacing w:after="0"/>
              <w:rPr>
                <w:sz w:val="20"/>
                <w:szCs w:val="20"/>
                <w:color w:val="auto"/>
              </w:rPr>
            </w:pPr>
            <w:r>
              <w:rPr>
                <w:rFonts w:ascii="Arial" w:cs="Arial" w:eastAsia="Arial" w:hAnsi="Arial"/>
                <w:sz w:val="18"/>
                <w:szCs w:val="18"/>
                <w:color w:val="auto"/>
              </w:rPr>
              <w:t>Janelle Stevenson</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5020" w:type="dxa"/>
            <w:vAlign w:val="bottom"/>
          </w:tcPr>
          <w:p>
            <w:pPr>
              <w:ind w:left="2780"/>
              <w:spacing w:after="0"/>
              <w:rPr>
                <w:sz w:val="20"/>
                <w:szCs w:val="20"/>
                <w:color w:val="auto"/>
              </w:rPr>
            </w:pPr>
            <w:r>
              <w:rPr>
                <w:rFonts w:ascii="Arial" w:cs="Arial" w:eastAsia="Arial" w:hAnsi="Arial"/>
                <w:sz w:val="18"/>
                <w:szCs w:val="18"/>
                <w:color w:val="auto"/>
              </w:rPr>
              <w:t>Corporate Communications</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301/998-8265</w:t>
            </w:r>
          </w:p>
        </w:tc>
        <w:tc>
          <w:tcPr>
            <w:tcW w:w="3060" w:type="dxa"/>
            <w:vAlign w:val="bottom"/>
          </w:tcPr>
          <w:p>
            <w:pPr>
              <w:spacing w:after="0"/>
              <w:rPr>
                <w:sz w:val="18"/>
                <w:szCs w:val="18"/>
                <w:color w:val="auto"/>
              </w:rPr>
            </w:pPr>
          </w:p>
        </w:tc>
        <w:tc>
          <w:tcPr>
            <w:tcW w:w="5020" w:type="dxa"/>
            <w:vAlign w:val="bottom"/>
          </w:tcPr>
          <w:p>
            <w:pPr>
              <w:ind w:left="2780"/>
              <w:spacing w:after="0"/>
              <w:rPr>
                <w:sz w:val="20"/>
                <w:szCs w:val="20"/>
                <w:color w:val="auto"/>
              </w:rPr>
            </w:pPr>
            <w:r>
              <w:rPr>
                <w:rFonts w:ascii="Arial" w:cs="Arial" w:eastAsia="Arial" w:hAnsi="Arial"/>
                <w:sz w:val="18"/>
                <w:szCs w:val="18"/>
                <w:color w:val="auto"/>
              </w:rPr>
              <w:t>301/998-8185</w:t>
            </w:r>
          </w:p>
        </w:tc>
      </w:tr>
      <w:tr>
        <w:trPr>
          <w:trHeight w:val="222"/>
        </w:trPr>
        <w:tc>
          <w:tcPr>
            <w:tcW w:w="5120" w:type="dxa"/>
            <w:vAlign w:val="bottom"/>
            <w:gridSpan w:val="2"/>
          </w:tcPr>
          <w:p>
            <w:pPr>
              <w:spacing w:after="0"/>
              <w:rPr>
                <w:sz w:val="20"/>
                <w:szCs w:val="20"/>
                <w:color w:val="auto"/>
              </w:rPr>
            </w:pPr>
            <w:r>
              <w:rPr>
                <w:rFonts w:ascii="Arial" w:cs="Arial" w:eastAsia="Arial" w:hAnsi="Arial"/>
                <w:sz w:val="18"/>
                <w:szCs w:val="18"/>
                <w:i w:val="1"/>
                <w:iCs w:val="1"/>
                <w:color w:val="auto"/>
              </w:rPr>
              <w:t>gbirdsall@federalrealty.com</w:t>
            </w:r>
          </w:p>
        </w:tc>
        <w:tc>
          <w:tcPr>
            <w:tcW w:w="5020" w:type="dxa"/>
            <w:vAlign w:val="bottom"/>
          </w:tcPr>
          <w:p>
            <w:pPr>
              <w:ind w:left="2780"/>
              <w:spacing w:after="0"/>
              <w:rPr>
                <w:sz w:val="20"/>
                <w:szCs w:val="20"/>
                <w:color w:val="auto"/>
              </w:rPr>
            </w:pPr>
            <w:r>
              <w:rPr>
                <w:rFonts w:ascii="Arial" w:cs="Arial" w:eastAsia="Arial" w:hAnsi="Arial"/>
                <w:sz w:val="18"/>
                <w:szCs w:val="18"/>
                <w:i w:val="1"/>
                <w:iCs w:val="1"/>
                <w:color w:val="auto"/>
                <w:w w:val="86"/>
              </w:rPr>
              <w:t>jmstevenson@federalrealty.com</w:t>
            </w:r>
          </w:p>
        </w:tc>
      </w:tr>
    </w:tbl>
    <w:p>
      <w:pPr>
        <w:spacing w:after="0" w:line="231" w:lineRule="exact"/>
        <w:rPr>
          <w:sz w:val="20"/>
          <w:szCs w:val="20"/>
          <w:color w:val="auto"/>
        </w:rPr>
      </w:pPr>
    </w:p>
    <w:p>
      <w:pPr>
        <w:ind w:right="4860"/>
        <w:spacing w:after="0" w:line="275" w:lineRule="auto"/>
        <w:rPr>
          <w:sz w:val="20"/>
          <w:szCs w:val="20"/>
          <w:color w:val="auto"/>
        </w:rPr>
      </w:pPr>
      <w:r>
        <w:rPr>
          <w:rFonts w:ascii="Arial" w:cs="Arial" w:eastAsia="Arial" w:hAnsi="Arial"/>
          <w:sz w:val="18"/>
          <w:szCs w:val="18"/>
          <w:b w:val="1"/>
          <w:bCs w:val="1"/>
          <w:color w:val="auto"/>
        </w:rPr>
        <w:t>FEDERAL REALTY INVESTMENT TRUST ANNOUNCES CASH TENDER OFFER FOR ANY AND ALL OF ITS 8.75% NOTES DUE 2009</w:t>
      </w:r>
    </w:p>
    <w:p>
      <w:pPr>
        <w:spacing w:after="0" w:line="4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ROCKVILLE, Md. (May 26, 2009) – Federal Realty Investment Trust (NYSE: FRT) today announced that it has commenced a cash tender offer for any and all of its $163,855,000 principal amount of outstanding 8.75% Notes due 2009 (CUSIP No. 313747AG2) (the “Securities”). The Trust intends to pay for all of the Securities purchased pursuant to the tender offer by utilizing cash on hand and its revolving credit facility. The Offer to Purchase, dated today, and the related letter of transmittal, set forth the terms of the tender offer.</w:t>
      </w:r>
    </w:p>
    <w:p>
      <w:pPr>
        <w:spacing w:after="0" w:line="14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Upon the terms and subject to the conditions of the tender offer, the Securities will be purchased at a purchase price of $1,020 per $1,000 in principal amount of such Securities that are validly tendered and accepted for purchase, plus accrued and unpaid interest to, but not including, the date on which the Securities are purchased. The tender offer will expire at 5:00 p.m., New York City time, on Wednesday, June 3, 2009, unless extended by the Company (the “Expiration Date”). Any such extension will be followed by a public announcement no later than 9:00 a.m., New York City time, on the first business day after the previously scheduled Expiration Date. Tendered Securities may be withdrawn prior to, but not after, the Expiration Date.</w:t>
      </w:r>
    </w:p>
    <w:p>
      <w:pPr>
        <w:spacing w:after="0" w:line="1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tender offer is conditioned upon the satisfaction of certain customary conditions described in the Offer to Purchase. The tender offer is not conditioned upon the tender of any minimum principal amount of Securities. Subject to applicable law, the Trust may, at its sole discretion, waive any condition applicable to the tender offer and may extend the tender offer. Under certain conditions and as more fully described in the Offer to Purchase, the Trust may terminate the tender offer before the Expiration Date.</w:t>
      </w:r>
    </w:p>
    <w:p>
      <w:pPr>
        <w:spacing w:after="0" w:line="143" w:lineRule="exact"/>
        <w:rPr>
          <w:sz w:val="20"/>
          <w:szCs w:val="20"/>
          <w:color w:val="auto"/>
        </w:rPr>
      </w:pPr>
    </w:p>
    <w:p>
      <w:pPr>
        <w:ind w:right="260"/>
        <w:spacing w:after="0" w:line="305" w:lineRule="auto"/>
        <w:rPr>
          <w:sz w:val="20"/>
          <w:szCs w:val="20"/>
          <w:color w:val="auto"/>
        </w:rPr>
      </w:pPr>
      <w:r>
        <w:rPr>
          <w:rFonts w:ascii="Arial" w:cs="Arial" w:eastAsia="Arial" w:hAnsi="Arial"/>
          <w:sz w:val="15"/>
          <w:szCs w:val="15"/>
          <w:color w:val="auto"/>
        </w:rPr>
        <w:t>The Company has retained Citi and Wachovia Securities to serve as Dealer Managers and has retained Global Bondholder Services Corporation to serve as the information agent for the tender offer. Requests for documents may be directed to Global Bondholder Services Corporation by telephone at (212) 430-3774 or</w:t>
      </w:r>
    </w:p>
    <w:p>
      <w:pPr>
        <w:ind w:right="380" w:firstLine="8"/>
        <w:spacing w:after="0" w:line="323"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470-3900, or in writing at 65 Broadway—Suite 723, New York, NY, 10006, Attention: Corporate Actions. Questions regarding the tender offer may be directed to Citi at (800) 558-3745 (toll free) and to Wachovia Securities at (704) 715-8341 (collect) or (866) 309-6316 (toll-free).</w:t>
      </w:r>
    </w:p>
    <w:p>
      <w:pPr>
        <w:spacing w:after="0" w:line="79" w:lineRule="exact"/>
        <w:rPr>
          <w:rFonts w:ascii="Arial" w:cs="Arial" w:eastAsia="Arial" w:hAnsi="Arial"/>
          <w:sz w:val="16"/>
          <w:szCs w:val="16"/>
          <w:color w:val="auto"/>
        </w:rPr>
      </w:pPr>
    </w:p>
    <w:p>
      <w:pPr>
        <w:ind w:left="5320"/>
        <w:spacing w:after="0"/>
        <w:rPr>
          <w:rFonts w:ascii="Arial" w:cs="Arial" w:eastAsia="Arial" w:hAnsi="Arial"/>
          <w:sz w:val="16"/>
          <w:szCs w:val="16"/>
          <w:color w:val="auto"/>
        </w:rPr>
      </w:pPr>
      <w:r>
        <w:rPr>
          <w:rFonts w:ascii="Arial" w:cs="Arial" w:eastAsia="Arial" w:hAnsi="Arial"/>
          <w:sz w:val="18"/>
          <w:szCs w:val="18"/>
          <w:color w:val="auto"/>
        </w:rPr>
        <w:t>– MORE –</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 CASH TENDER OFFER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ANY AND ALL OF ITS 8.75% NOTES DUE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26,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Neither the Trust, the board of trustees of the Trust, the information agent nor either of the Dealer Managers makes any recommendation as to whether holders of the Securities should tender or refrain from tendering Securities. This press release is neither an offer to purchase nor a solicitation of an offer to sell the Securities or any other securities. The offer is made only by the Offer to Purchase and the related letter of transmittal.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96"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and redevelopment of high quality retail assets. Federal Realty’s portfolio (excluding joint venture properties) contains approximately 18.1 million square feet located primarily in strategically selected metropolitan markets in the Northeast, Mid-Atlantic, and California. In addition, the Trust has an ownership interest in approximately 1.0 million square feet of retail space through a joint venture in which the Trust has a 30% interest. Our operating portfolio (excluding joint venture properties) was 94.2% leased to national, regional, and local retailers as of March 31, 2009, with no single tenant accounting for more than approximately 2.6% of annualized base rent. Federal Realty has paid quarterly dividends to its shareholders continuously since its founding in 1962, and has increased its dividend rate for 41 consecutive years, the longest record in the REIT industry. Federal Realty is an S&amp;P MidCap 400 company and its shares are traded on the NYSE under the symbol FRT.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26, 2009 and include the following:</w:t>
      </w:r>
    </w:p>
    <w:p>
      <w:pPr>
        <w:spacing w:after="0" w:line="62"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our tenants will not pay rent or that we may be unable to renew leases or re-let space at favorable rents as leases expire;</w:t>
      </w:r>
    </w:p>
    <w:p>
      <w:pPr>
        <w:spacing w:after="0" w:line="90" w:lineRule="exact"/>
        <w:rPr>
          <w:rFonts w:ascii="Arial" w:cs="Arial" w:eastAsia="Arial" w:hAnsi="Arial"/>
          <w:sz w:val="18"/>
          <w:szCs w:val="18"/>
          <w:color w:val="auto"/>
        </w:rPr>
      </w:pPr>
    </w:p>
    <w:p>
      <w:pPr>
        <w:ind w:left="900" w:right="38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4"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118" w:lineRule="exact"/>
        <w:rPr>
          <w:rFonts w:ascii="Arial" w:cs="Arial" w:eastAsia="Arial" w:hAnsi="Arial"/>
          <w:sz w:val="18"/>
          <w:szCs w:val="18"/>
          <w:color w:val="auto"/>
        </w:rPr>
      </w:pPr>
    </w:p>
    <w:p>
      <w:pPr>
        <w:ind w:left="5320"/>
        <w:spacing w:after="0"/>
        <w:rPr>
          <w:rFonts w:ascii="Arial" w:cs="Arial" w:eastAsia="Arial" w:hAnsi="Arial"/>
          <w:sz w:val="18"/>
          <w:szCs w:val="18"/>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 CASH TENDER OFFER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ANY AND ALL OF ITS 8.75% NOTES DUE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26,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left="900" w:right="20" w:hanging="325"/>
        <w:spacing w:after="0" w:line="298"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900" w:right="120" w:hanging="325"/>
        <w:spacing w:after="0" w:line="30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risks of financing, such as our ability to consummate additional financings or obtain replacement financing on terms which are acceptable to us, our ability to close any pending financing activities, our ability to meet existing financial covenants and the limitations imposed on our operations by those covenants, and the possibility of increases in interest rates that would result in increased interest expense; and</w:t>
      </w:r>
    </w:p>
    <w:p>
      <w:pPr>
        <w:spacing w:after="0" w:line="25" w:lineRule="exact"/>
        <w:rPr>
          <w:rFonts w:ascii="Arial" w:cs="Arial" w:eastAsia="Arial" w:hAnsi="Arial"/>
          <w:sz w:val="16"/>
          <w:szCs w:val="16"/>
          <w:color w:val="auto"/>
        </w:rPr>
      </w:pPr>
    </w:p>
    <w:p>
      <w:pPr>
        <w:ind w:left="900" w:right="10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February 26, 2009.</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866"/>
    </w:lvl>
    <w:lvl w:ilvl="1">
      <w:lvlJc w:val="left"/>
      <w:lvlText w:val="\endash "/>
      <w:numFmt w:val="bullet"/>
      <w:start w:val="1"/>
    </w:lvl>
  </w:abstractNum>
  <w:abstractNum w:abstractNumId="3">
    <w:nsid w:val="238E1F29"/>
    <w:multiLevelType w:val="hybridMultilevel"/>
    <w:lvl w:ilvl="0">
      <w:lvlJc w:val="left"/>
      <w:lvlText w:val="•"/>
      <w:numFmt w:val="bullet"/>
      <w:start w:val="1"/>
    </w:lvl>
    <w:lvl w:ilvl="1">
      <w:lvlJc w:val="left"/>
      <w:lvlText w:val="\endash "/>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2019-12-09T23:53:22Z</dcterms:created>
  <dcterms:modified xsi:type="dcterms:W3CDTF">2019-12-09T23:53:22Z</dcterms:modified>
</cp:coreProperties>
</file>