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2017</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13, 2018, Federal Realty Investment Trust issued supplemental data pertaining to its operations, as well as a press release, to report its financial results for the quarter ended December 31, 2017.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9"/>
          <w:szCs w:val="19"/>
          <w:color w:val="auto"/>
        </w:rPr>
        <w:t>Supplemental information at December 31, 2017 (including press release dated February 13, 2018)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13, 2018</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rFonts w:ascii="Arial" w:cs="Arial" w:eastAsia="Arial" w:hAnsi="Arial"/>
          <w:sz w:val="16"/>
          <w:szCs w:val="16"/>
          <w:u w:val="single" w:color="auto"/>
          <w:color w:val="0000FF"/>
        </w:rPr>
      </w:pPr>
      <w:r>
        <w:rPr>
          <w:rFonts w:ascii="Arial" w:cs="Arial" w:eastAsia="Arial" w:hAnsi="Arial"/>
          <w:sz w:val="22"/>
          <w:szCs w:val="22"/>
          <w:color w:val="auto"/>
        </w:rPr>
        <w:t>99.1</w:t>
      </w:r>
      <w:r>
        <w:rPr>
          <w:sz w:val="20"/>
          <w:szCs w:val="20"/>
          <w:color w:val="auto"/>
        </w:rPr>
        <w:tab/>
      </w:r>
      <w:hyperlink w:anchor="page4">
        <w:r>
          <w:rPr>
            <w:rFonts w:ascii="Arial" w:cs="Arial" w:eastAsia="Arial" w:hAnsi="Arial"/>
            <w:sz w:val="16"/>
            <w:szCs w:val="16"/>
            <w:u w:val="single" w:color="auto"/>
            <w:color w:val="0000FF"/>
          </w:rPr>
          <w:t>Supplemental Information at December 31, 2017</w:t>
        </w:r>
      </w:hyperlink>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Full Year 2017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16</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and Pike &amp; Rose Site Plans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2017 Significant Acquisitions and Dispositions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22</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31</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243205</wp:posOffset>
            </wp:positionV>
            <wp:extent cx="219519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9"/>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580" w:type="dxa"/>
            <w:vAlign w:val="bottom"/>
          </w:tcPr>
          <w:p>
            <w:pPr>
              <w:spacing w:after="0"/>
              <w:rPr>
                <w:sz w:val="24"/>
                <w:szCs w:val="24"/>
                <w:color w:val="auto"/>
              </w:rPr>
            </w:pPr>
          </w:p>
        </w:tc>
      </w:tr>
      <w:tr>
        <w:trPr>
          <w:trHeight w:val="486"/>
        </w:trPr>
        <w:tc>
          <w:tcPr>
            <w:tcW w:w="55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5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Leah Andress</w:t>
            </w:r>
          </w:p>
        </w:tc>
        <w:tc>
          <w:tcPr>
            <w:tcW w:w="55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Investor Relations Associate</w:t>
            </w:r>
          </w:p>
        </w:tc>
        <w:tc>
          <w:tcPr>
            <w:tcW w:w="55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5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landress@federalrealty.com</w:t>
            </w:r>
          </w:p>
        </w:tc>
        <w:tc>
          <w:tcPr>
            <w:tcW w:w="5580" w:type="dxa"/>
            <w:vAlign w:val="bottom"/>
          </w:tcPr>
          <w:p>
            <w:pPr>
              <w:jc w:val="right"/>
              <w:spacing w:after="0"/>
              <w:rPr>
                <w:sz w:val="20"/>
                <w:szCs w:val="20"/>
                <w:color w:val="auto"/>
              </w:rPr>
            </w:pPr>
            <w:r>
              <w:rPr>
                <w:rFonts w:ascii="Arial" w:cs="Arial" w:eastAsia="Arial" w:hAnsi="Arial"/>
                <w:sz w:val="18"/>
                <w:szCs w:val="18"/>
                <w:color w:val="auto"/>
              </w:rPr>
              <w:t>asimpson@federalrealty.com</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w:t>
      </w:r>
    </w:p>
    <w:p>
      <w:pPr>
        <w:spacing w:after="0" w:line="6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December 31,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Reports 13% comparable lease rollover and 3.4% same-center POI growth for the year -</w:t>
      </w:r>
    </w:p>
    <w:p>
      <w:pPr>
        <w:spacing w:after="0" w:line="239"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ROCKVILLE, Md. (February 13, 2018) - Federal Realty Investment Trust (NYSE:FRT) today reported operating results for its year and quarter ended December 31, 2017. Highlights of the full year and quarter include:</w:t>
      </w:r>
    </w:p>
    <w:p>
      <w:pPr>
        <w:spacing w:after="0" w:line="292" w:lineRule="exact"/>
        <w:rPr>
          <w:sz w:val="20"/>
          <w:szCs w:val="20"/>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$3.97 for the year compared to $3.50 in 2016. For the fourth quarter, generated earnings per diluted share of $0.67 compared to $0.80 for the fourth quarter 2016.</w:t>
      </w:r>
    </w:p>
    <w:p>
      <w:pPr>
        <w:ind w:left="660" w:right="4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$5.74 for the year ($5.91 excluding prepayment premium) compared to $5.65 in 2016. For the fourth quarter, generated FFO per diluted share of $1.30 ($1.47 excluding prepayment premium) compared to $1.45 for the fourth quarter 2016.</w:t>
      </w:r>
    </w:p>
    <w:p>
      <w:pPr>
        <w:ind w:left="660" w:right="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same-center property operating income growth of 3.4% for the year ended 2017. For the fourth quarter, same-center growth was 2.6%.</w:t>
      </w:r>
    </w:p>
    <w:p>
      <w:pPr>
        <w:ind w:left="660" w:right="5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300,511 sf of comparable space in the fourth quarter at an average rent of $34.75 psf and achieved cash basis rollover growth on those comparable spaces of 15%.</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2018 FFO per diluted share guidance range of $6.08 to $6.24.</w:t>
      </w:r>
    </w:p>
    <w:p>
      <w:pPr>
        <w:spacing w:after="0" w:line="200" w:lineRule="exact"/>
        <w:rPr>
          <w:sz w:val="20"/>
          <w:szCs w:val="20"/>
          <w:color w:val="auto"/>
        </w:rPr>
      </w:pPr>
    </w:p>
    <w:p>
      <w:pPr>
        <w:spacing w:after="0" w:line="21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 remain focused on the future as we navigate through this transitional time in the retail real estate space,” said Donald C. Wood, President and Chief Executive Officer of Federal Realty. “Through thoughtful positioning of our portfolio over the last decade, there are more arrows in our quiver than ever before. Federal Realty is the only shopping center company to grow NAREIT-defined FFO year-over-year for the entirety of the current real estate cycle, and we remain confident that retail-based real estate in the best locations, with flexible formats and carefully created environments will be the future of retail and will thrive in the years to 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t>Financial Results</w:t>
      </w:r>
    </w:p>
    <w:p>
      <w:pPr>
        <w:spacing w:after="0" w:line="22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full year 2017, Federal Realty reported net income available for common shareholders of $287.5 million and earnings per diluted share of $3.97. This compares to net income available for common shareholders of $249.4 million and earnings per diluted share of $3.50 for the full year 2016. Net income available for common shareholders was $48.6 million and earnings per diluted share was $0.67 for the fourth quarter 2017 versus $57.9 million and $0.80, respectively, for the fourth quarter 2016.</w:t>
      </w:r>
    </w:p>
    <w:p>
      <w:pPr>
        <w:spacing w:after="0" w:line="122"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full year 2017, Federal Realty generated funds from operations available for common shareholders (FFO) of $420.0 million, or $5.74 per diluted share. Excluding the $12.3 million early extinguishment of debt charge in the fourth quarter 2017, FFO per diluted share for the full year 2017 would have been $5.91. This compares to FFO of $406.4 million, or $5.65 per diluted share, for the full year 2016. For the fourth quarter 2017, FFO was $95.5 million, or $1.30 per diluted share ($1.47 if the early extinguishment of debt charge was excluded), compared to $104.9 million, or $1.45 per diluted share for the fourth quarter 2016.</w:t>
      </w:r>
    </w:p>
    <w:p>
      <w:pPr>
        <w:spacing w:after="0" w:line="123"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year 2017, same-center property operating income increased 3.4% when including properties that are being redeveloped and 0.7% when excluding those properties. In fourth quarter 2017, same-center property operating income increased 2.6% when including properties that are being redeveloped and 1.0% when excluding those properties. As anticipated, the Trust’s proactive releasing initiatives throughout the portfolio negatively impacted the year end and quarterly results.</w:t>
      </w:r>
    </w:p>
    <w:p>
      <w:pPr>
        <w:spacing w:after="0" w:line="122"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The overall portfolio was 95.3% leased as of December 31, 2017, compared to 94.4% on December 31, 2016. Federal Realty’s same center portfolio was 96.3% leased on December 31, 2017, compared to 95.9% on December 31, 2016.</w:t>
      </w:r>
    </w:p>
    <w:p>
      <w:pPr>
        <w:spacing w:after="0" w:line="11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For the year 2017, Federal Realty signed 406 leases for 1.8 million square feet of retail space. On a comparable basis (i.e., spaces for which there was a former tenant), Federal Realty leased 1.6 million square feet at an average cash-basis contractual rent increase (i.e., excluding the impact of straight-line rents) of 13%. The average contractual rent on this comparable space for the first year of the new leases is $38.31 per square foot compared to the average contractual rent of $33.79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for comparable retail space averaged 26% for the year ended 2017.</w:t>
      </w:r>
    </w:p>
    <w:p>
      <w:pPr>
        <w:spacing w:after="0" w:line="12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During fourth quarter 2017, Federal Realty signed 91 leases for 344,768 square feet of retail space. On a comparable space basis, Federal Realty leased 300,511 square feet at an average cash basis contractual rent increase of 15% and 27% on a GAAP basis. The average contractual rent on this comparable space for the first year of the new leases is$34.75 per square foot compared to the average contractual rent of $30.19 per square foot for the last year of the prior leases.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t>Regular Quarterly Dividends</w:t>
      </w:r>
    </w:p>
    <w:p>
      <w:pPr>
        <w:spacing w:after="0" w:line="261"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$1.00 per common share, resulting in an indicated annual rate of $4.00 per common share. The regular common dividend will be payable on April 16, 2018 to common shareholders of record as of March 14, 2018.</w:t>
      </w:r>
    </w:p>
    <w:p>
      <w:pPr>
        <w:spacing w:after="0" w:line="123"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Federal Realty’s Board of Trustees also declared a quarterly cash dividend with respect to the Trust’s Series C Preferred Shares. All dividends on the preferred shares will be payable on April 16, 2018 to preferred shareholders of record as of April 2, 2018.</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20"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February 12, 2018 - Federal Realty announced promotions within its finance, operating and development Ranks. Melissa Solis was promoted to Senior Vice President - Chief Accounting Officer. Christian Fleming was promoted to Vice President - Asset Management. Patrick McMahon was promoted to Vice President - Development.</w:t>
      </w:r>
    </w:p>
    <w:p>
      <w:pPr>
        <w:spacing w:after="0" w:line="136"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December 21, 2017 - Federal Realty issued $175 million aggregate principal amount of 3.25% senior unsecured notes due 2027. The notes were offered at 99.404% of the principal amount with a re-offer yield of 3.323%. The notes have the same terms and are of the same series as the notes that Federal Realty issued on June 23, 2017. Federal Realty has a total of $475 million of such notes outstanding. Federal Realty used the net proceeds from the offering to redeem all of its outstanding 5.90% Notes due 2020, incurring a $12.3 million prepayment charge, and for general corporate purposes.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introduced 2018 guidance for FFO per diluted share of $6.08 to $6.24 and 2018 earnings per diluted share guidance of $3.01 to $3.17.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61" w:lineRule="exact"/>
        <w:rPr>
          <w:sz w:val="20"/>
          <w:szCs w:val="20"/>
          <w:color w:val="auto"/>
        </w:rPr>
      </w:pPr>
    </w:p>
    <w:p>
      <w:pPr>
        <w:ind w:right="120"/>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 end 2017 earnings conference call, which is scheduled for Wednesday, February 14, 2018 at 9:00AM ET. To participate, please call 877.445.3230 five to ten minutes prior to the call start time and use the passcode 5292449 (required). A replay of the webcast will be available on Federal Realty’s website at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A telephonic replay of the conference call will also be available through February 21, 2018 by dialing 855.859.2056; Passcode: 5292449.</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73" w:right="239" w:bottom="1440" w:gutter="0" w:footer="0" w:header="0"/>
        </w:sectPr>
      </w:pPr>
    </w:p>
    <w:bookmarkStart w:id="8" w:name="page9"/>
    <w:bookmarkEnd w:id="8"/>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61"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approximately 24 million square feet, and over 2,300 residential units. Federal Realty has paid quarterly dividends to its shareholders continuously since its founding in 1962, and has increased its dividend rate for 50 consecutive years, the longest record in the REIT industry. Federal Realty shares are traded on the NYSE under the symbol FRT. For additional information about Federal Realty and its properties, visit www.FederalRealty.com.</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2018.</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220,720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200,871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841,461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786,583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857,348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801,591</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158,326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95,286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33,399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216,050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193,585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525,060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480,596</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83,157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83,477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332,288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320,995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(94,994)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income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226,425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0" w:type="dxa"/>
            <w:vAlign w:val="bottom"/>
          </w:tcPr>
          <w:p>
            <w:pPr>
              <w:spacing w:after="0"/>
              <w:rPr>
                <w:sz w:val="1"/>
                <w:szCs w:val="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249,910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57,902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287,456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249,369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72,515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71,628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72,117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70,877</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71,049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89"/>
              </w:rPr>
              <w:t>(in thousands, except share and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$1,639,486 and $1,211,605 of consolidated variable interest entities,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6,950,188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$43,393 and $15,313 of consolidated variable interest entities,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684,873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7,635,061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$247,410 and $209,239 of consolidated variable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(1,876,544)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5,758,517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237,803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6,275,755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3"/>
              </w:rPr>
              <w:t>Mortgages payable (including $460,372 and $439,120 of consolidated variable interest entities,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491,505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320,265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2,401,440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196,332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3,743,084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141,157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and 0 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Common shares of beneficial interest, $.01 par, 100,000,000 shares authorized, 73,090,877 and 71,995,897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2,855,321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2,266,706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2,391,514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6,275,755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52,785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59,724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297,870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258,883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(8,973)</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(77,632)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(31,133)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188,719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169,198</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19,124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16,875</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96,884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420,125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404,850</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Dividends on preferred shares (2)</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3,145</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(1,095)</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FFO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95,486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104,921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419,977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406,359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2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Weighted average number of common shares, diluted (2)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73,481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72,549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73,122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71,869</w:t>
            </w:r>
          </w:p>
        </w:tc>
      </w:tr>
      <w:tr>
        <w:trPr>
          <w:trHeight w:val="251"/>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5.65</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419,471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428,669</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10,206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44,632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34,610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106,376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464,103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463,279</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14,776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32,695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29,357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121,152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156,569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496,798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492,636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73,052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70,512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287,006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274,402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 (3)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500" w:hanging="465"/>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500" w:right="320" w:hanging="465"/>
        <w:spacing w:after="0" w:line="29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and year ended December 31, 2017, dividends on our Series 1 preferred stock are not deducted in the calculation of FFO available to common shareholders, as the related shares are dilutive and included in "weighted average common shares, diluted."</w:t>
      </w:r>
    </w:p>
    <w:p>
      <w:pPr>
        <w:spacing w:after="0" w:line="9" w:lineRule="exact"/>
        <w:rPr>
          <w:rFonts w:ascii="Arial" w:cs="Arial" w:eastAsia="Arial" w:hAnsi="Arial"/>
          <w:sz w:val="16"/>
          <w:szCs w:val="16"/>
          <w:color w:val="auto"/>
        </w:rPr>
      </w:pPr>
    </w:p>
    <w:p>
      <w:pPr>
        <w:ind w:left="500" w:right="40" w:hanging="465"/>
        <w:spacing w:after="0" w:line="29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$12.3 million early extinguishment of debt charge incurred in the fourth quarter of 2017 was excluded, our FFO, FFO per diluted share, and dividend payout ratio as a percentage of FFO would have been: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6"/>
                <w:szCs w:val="16"/>
                <w:color w:val="auto"/>
              </w:rPr>
            </w:pPr>
          </w:p>
        </w:tc>
        <w:tc>
          <w:tcPr>
            <w:tcW w:w="1640" w:type="dxa"/>
            <w:vAlign w:val="bottom"/>
          </w:tcPr>
          <w:p>
            <w:pPr>
              <w:jc w:val="right"/>
              <w:ind w:right="497"/>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7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8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107,719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432,210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9"/>
              <w:spacing w:after="0"/>
              <w:rPr>
                <w:sz w:val="20"/>
                <w:szCs w:val="20"/>
                <w:color w:val="auto"/>
              </w:rPr>
            </w:pPr>
            <w:r>
              <w:rPr>
                <w:rFonts w:ascii="Arial" w:cs="Arial" w:eastAsia="Arial" w:hAnsi="Arial"/>
                <w:sz w:val="18"/>
                <w:szCs w:val="18"/>
                <w:color w:val="auto"/>
              </w:rPr>
              <w:t>1.47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7"/>
              <w:spacing w:after="0"/>
              <w:rPr>
                <w:sz w:val="20"/>
                <w:szCs w:val="20"/>
                <w:color w:val="auto"/>
              </w:rPr>
            </w:pPr>
            <w:r>
              <w:rPr>
                <w:rFonts w:ascii="Arial" w:cs="Arial" w:eastAsia="Arial" w:hAnsi="Arial"/>
                <w:sz w:val="18"/>
                <w:szCs w:val="18"/>
                <w:color w:val="auto"/>
              </w:rPr>
              <w:t>5.91</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73,879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72,760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142.11</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9,811,870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3"/>
              </w:rPr>
              <w:t>10,339,924</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C preferred shares outstanding</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C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C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9,971,870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w w:val="93"/>
              </w:rPr>
              <w:t>10,349,924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3,284,766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2,798,452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13,256,636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13,148,376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include 787,962 and 763,797 operating partnership units outstanding at December 31, 2017 and 2016,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5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premiums/discounts and debt issuance costs from our consolidated balance sheet.</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150,788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140,525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585,178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549,552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55,416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46,531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39,038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171,528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158,042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5,142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18,547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220,720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200,871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841,461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786,583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$1.6 million and $1.9 million for the three months ended December 31, 2017 and 2016, respectively, and $12.9 million and $8.1 million for the years ended December 31, 2017 and 2016, respectively, to recognize minimum rents on a straight-line basis. In addition, minimum rents include $1.4 million and $0.6 million for the three months ended December 31, 2017 and 2016, respectively, and $4.7 million and $1.8 million for the years ended December 31, 2017 and 2016, respectively, to recognize income from the amortization of in-place leases.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2017</w:t>
      </w:r>
    </w:p>
    <w:p>
      <w:pPr>
        <w:spacing w:after="0" w:line="334" w:lineRule="exact"/>
        <w:rPr>
          <w:sz w:val="20"/>
          <w:szCs w:val="20"/>
          <w:color w:val="auto"/>
        </w:rPr>
      </w:pPr>
    </w:p>
    <w:p>
      <w:pPr>
        <w:ind w:left="20" w:right="160"/>
        <w:spacing w:after="0" w:line="272"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500 Santana Row, Assembly Row - Phase 2, CocoWalk, Pike &amp; Rose, The Point at Plaza El Segundo, The Shops at Sunset Place, Towson Residential, and all properties acquired or disposed of from Q4 2016 to Q4 2017. Comparable Property property operating income (“Comparable Property POI”) is a non-GAAP measure used by management in evaluating the operating performance of our properties period over period.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6"/>
                <w:szCs w:val="16"/>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spacing w:after="0"/>
              <w:rPr>
                <w:sz w:val="22"/>
                <w:szCs w:val="22"/>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83,157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83,477</w:t>
            </w:r>
          </w:p>
        </w:tc>
        <w:tc>
          <w:tcPr>
            <w:tcW w:w="1080" w:type="dxa"/>
            <w:vAlign w:val="bottom"/>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56,394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48,448</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8,121</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149,819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140,046</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4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(1,002)</w:t>
            </w: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(10,477)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(8,844)</w:t>
            </w:r>
          </w:p>
        </w:tc>
        <w:tc>
          <w:tcPr>
            <w:tcW w:w="1080" w:type="dxa"/>
            <w:vAlign w:val="bottom"/>
          </w:tcPr>
          <w:p>
            <w:pPr>
              <w:spacing w:after="0"/>
              <w:rPr>
                <w:sz w:val="23"/>
                <w:szCs w:val="23"/>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132,431</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130,200</w:t>
            </w:r>
          </w:p>
        </w:tc>
        <w:tc>
          <w:tcPr>
            <w:tcW w:w="1080" w:type="dxa"/>
            <w:vAlign w:val="bottom"/>
          </w:tcPr>
          <w:p>
            <w:pPr>
              <w:spacing w:after="0"/>
              <w:rPr>
                <w:sz w:val="20"/>
                <w:szCs w:val="20"/>
                <w:color w:val="auto"/>
              </w:rPr>
            </w:pPr>
          </w:p>
        </w:tc>
      </w:tr>
      <w:tr>
        <w:trPr>
          <w:trHeight w:val="459"/>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24"/>
                <w:szCs w:val="24"/>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189,611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183,668</w:t>
            </w: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Non-rental income</w:t>
            </w:r>
          </w:p>
        </w:tc>
        <w:tc>
          <w:tcPr>
            <w:tcW w:w="34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2,505</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191,925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186,173</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(33,703)</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(23,460)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(22,270)</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(59,494)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(55,973)</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132,431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130,200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432"/>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Comparable Property - Occupancy Statistics (1)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2"/>
              </w:rPr>
              <w:t>At 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spacing w:after="0"/>
              <w:rPr>
                <w:sz w:val="22"/>
                <w:szCs w:val="2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GLA - comparable retail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21,048,000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0"/>
              </w:rPr>
              <w:t>21,034,000</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Leased % - comparable retail properties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w:t>
            </w: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 % - comparable retail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80" w:type="dxa"/>
            <w:vAlign w:val="bottom"/>
          </w:tcPr>
          <w:p>
            <w:pPr>
              <w:spacing w:after="0"/>
              <w:rPr>
                <w:sz w:val="21"/>
                <w:szCs w:val="21"/>
                <w:color w:val="auto"/>
              </w:rPr>
            </w:pPr>
          </w:p>
        </w:tc>
      </w:tr>
      <w:tr>
        <w:trPr>
          <w:trHeight w:val="432"/>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Comparable Property - Summary of Capital Expenditures (2)</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24"/>
                <w:szCs w:val="24"/>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spacing w:after="0"/>
              <w:rPr>
                <w:sz w:val="22"/>
                <w:szCs w:val="22"/>
                <w:color w:val="auto"/>
              </w:rPr>
            </w:pPr>
          </w:p>
        </w:tc>
      </w:tr>
      <w:tr>
        <w:trPr>
          <w:trHeight w:val="244"/>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7080" w:type="dxa"/>
            <w:vAlign w:val="bottom"/>
          </w:tcPr>
          <w:p>
            <w:pPr>
              <w:ind w:left="380"/>
              <w:spacing w:after="0"/>
              <w:rPr>
                <w:sz w:val="20"/>
                <w:szCs w:val="20"/>
                <w:color w:val="auto"/>
              </w:rPr>
            </w:pPr>
            <w:r>
              <w:rPr>
                <w:rFonts w:ascii="Arial" w:cs="Arial" w:eastAsia="Arial" w:hAnsi="Arial"/>
                <w:sz w:val="18"/>
                <w:szCs w:val="18"/>
                <w:color w:val="auto"/>
              </w:rPr>
              <w:t>Redevelopment and tenant improvements and incentives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29,493</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34,185</w:t>
            </w:r>
          </w:p>
        </w:tc>
        <w:tc>
          <w:tcPr>
            <w:tcW w:w="108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13,423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11,703</w:t>
            </w:r>
          </w:p>
        </w:tc>
        <w:tc>
          <w:tcPr>
            <w:tcW w:w="1080" w:type="dxa"/>
            <w:vAlign w:val="bottom"/>
          </w:tcPr>
          <w:p>
            <w:pPr>
              <w:spacing w:after="0"/>
              <w:rPr>
                <w:sz w:val="23"/>
                <w:szCs w:val="23"/>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42,916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45,888</w:t>
            </w:r>
          </w:p>
        </w:tc>
        <w:tc>
          <w:tcPr>
            <w:tcW w:w="1080" w:type="dxa"/>
            <w:vAlign w:val="bottom"/>
          </w:tcPr>
          <w:p>
            <w:pPr>
              <w:spacing w:after="0"/>
              <w:rPr>
                <w:sz w:val="20"/>
                <w:szCs w:val="20"/>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7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page 28 for entire portfolio occupancy statistics.</w:t>
      </w:r>
    </w:p>
    <w:p>
      <w:pPr>
        <w:spacing w:after="0" w:line="72" w:lineRule="exact"/>
        <w:rPr>
          <w:rFonts w:ascii="Arial" w:cs="Arial" w:eastAsia="Arial" w:hAnsi="Arial"/>
          <w:sz w:val="16"/>
          <w:szCs w:val="16"/>
          <w:color w:val="auto"/>
        </w:rPr>
      </w:pPr>
    </w:p>
    <w:p>
      <w:pPr>
        <w:ind w:left="600" w:hanging="57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ectPr>
          <w:pgSz w:w="11900" w:h="16838" w:orient="portrait"/>
          <w:cols w:equalWidth="0" w:num="1">
            <w:col w:w="11360"/>
          </w:cols>
          <w:pgMar w:left="280" w:top="742" w:right="25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December 31,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effective rate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Mortgages Payable</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Grove at Shrewsbury (West)</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Rollingwood Apartments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20,820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Shops at Sunset Place</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29th Place</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4,341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Sylmar Towne Center</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Plaza Del Sol</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12/1/2021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AVENUE at White Marsh</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Montrose Crossing</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71,054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Azalea</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Bell Gardens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8/1/2026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El Segundo</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The Grove at Shrewsbury (East)</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9/1/2027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Brook 35</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6,268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491,561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8"/>
          </w:tcPr>
          <w:p>
            <w:pPr>
              <w:ind w:left="900"/>
              <w:spacing w:after="0"/>
              <w:rPr>
                <w:sz w:val="20"/>
                <w:szCs w:val="20"/>
                <w:color w:val="auto"/>
              </w:rPr>
            </w:pPr>
            <w:r>
              <w:rPr>
                <w:rFonts w:ascii="Arial" w:cs="Arial" w:eastAsia="Arial" w:hAnsi="Arial"/>
                <w:sz w:val="16"/>
                <w:szCs w:val="16"/>
                <w:color w:val="auto"/>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(1)</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Various</w:t>
            </w:r>
          </w:p>
        </w:tc>
        <w:tc>
          <w:tcPr>
            <w:tcW w:w="20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Various through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4,819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Revolving Credit Facility (2)</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LIBOR + 0.825%</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320,819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900"/>
              <w:spacing w:after="0"/>
              <w:rPr>
                <w:sz w:val="20"/>
                <w:szCs w:val="20"/>
                <w:color w:val="auto"/>
              </w:rPr>
            </w:pPr>
            <w:r>
              <w:rPr>
                <w:rFonts w:ascii="Arial" w:cs="Arial" w:eastAsia="Arial" w:hAnsi="Arial"/>
                <w:sz w:val="16"/>
                <w:szCs w:val="16"/>
                <w:color w:val="auto"/>
              </w:rPr>
              <w:t>Net unamortized debt issuance costs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320,265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74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6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2.55%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3.00%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2.75%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3.95%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7.48% debentures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3.25%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7/15/2027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4.50%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3.625%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8/1/2046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w w:val="90"/>
              </w:rPr>
              <w:t>Net unamortized discount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2,401,440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Capital lease obligations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center"/>
              <w:ind w:right="183"/>
              <w:spacing w:after="0"/>
              <w:rPr>
                <w:sz w:val="20"/>
                <w:szCs w:val="20"/>
                <w:color w:val="auto"/>
              </w:rPr>
            </w:pPr>
            <w:r>
              <w:rPr>
                <w:rFonts w:ascii="Arial" w:cs="Arial" w:eastAsia="Arial" w:hAnsi="Arial"/>
                <w:sz w:val="16"/>
                <w:szCs w:val="16"/>
                <w:color w:val="auto"/>
                <w:w w:val="90"/>
                <w:shd w:val="clear" w:color="auto" w:fill="CCEEFF"/>
              </w:rPr>
              <w:t>Various through 2106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Various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71,556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Total debt and capital lease obligations</w:t>
            </w:r>
          </w:p>
        </w:tc>
        <w:tc>
          <w:tcPr>
            <w:tcW w:w="2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3,284,766</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fixed rate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3,243,766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Total variable rate debt</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41,000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3,284,766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747" w:right="29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36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Year Ended</w:t>
            </w: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960" w:type="dxa"/>
            <w:vAlign w:val="bottom"/>
            <w:gridSpan w:val="3"/>
          </w:tcPr>
          <w:p>
            <w:pPr>
              <w:ind w:left="50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060" w:type="dxa"/>
            <w:vAlign w:val="bottom"/>
          </w:tcPr>
          <w:p>
            <w:pPr>
              <w:ind w:left="320"/>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(5)(6)</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4.13x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4.84x</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6"/>
              </w:rPr>
              <w:t>4.76x</w:t>
            </w:r>
          </w:p>
        </w:tc>
      </w:tr>
      <w:tr>
        <w:trPr>
          <w:trHeight w:val="224"/>
        </w:trPr>
        <w:tc>
          <w:tcPr>
            <w:tcW w:w="4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(5)(6)</w:t>
            </w:r>
          </w:p>
        </w:tc>
        <w:tc>
          <w:tcPr>
            <w:tcW w:w="1060" w:type="dxa"/>
            <w:vAlign w:val="bottom"/>
          </w:tcPr>
          <w:p>
            <w:pPr>
              <w:ind w:left="540"/>
              <w:spacing w:after="0"/>
              <w:rPr>
                <w:sz w:val="20"/>
                <w:szCs w:val="20"/>
                <w:color w:val="auto"/>
              </w:rPr>
            </w:pPr>
            <w:r>
              <w:rPr>
                <w:rFonts w:ascii="Arial" w:cs="Arial" w:eastAsia="Arial" w:hAnsi="Arial"/>
                <w:sz w:val="16"/>
                <w:szCs w:val="16"/>
                <w:color w:val="auto"/>
              </w:rPr>
              <w:t>3.93x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tcPr>
          <w:p>
            <w:pPr>
              <w:ind w:left="500"/>
              <w:spacing w:after="0"/>
              <w:rPr>
                <w:sz w:val="20"/>
                <w:szCs w:val="20"/>
                <w:color w:val="auto"/>
              </w:rPr>
            </w:pPr>
            <w:r>
              <w:rPr>
                <w:rFonts w:ascii="Arial" w:cs="Arial" w:eastAsia="Arial" w:hAnsi="Arial"/>
                <w:sz w:val="16"/>
                <w:szCs w:val="16"/>
                <w:color w:val="auto"/>
              </w:rPr>
              <w:t>4.22x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4.48x</w:t>
            </w: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(5)</w:t>
            </w:r>
          </w:p>
        </w:tc>
        <w:tc>
          <w:tcPr>
            <w:tcW w:w="1060" w:type="dxa"/>
            <w:vAlign w:val="bottom"/>
          </w:tcPr>
          <w:p>
            <w:pPr>
              <w:ind w:left="540"/>
              <w:spacing w:after="0"/>
              <w:rPr>
                <w:sz w:val="20"/>
                <w:szCs w:val="20"/>
                <w:color w:val="auto"/>
              </w:rPr>
            </w:pPr>
            <w:r>
              <w:rPr>
                <w:rFonts w:ascii="Arial" w:cs="Arial" w:eastAsia="Arial" w:hAnsi="Arial"/>
                <w:sz w:val="16"/>
                <w:szCs w:val="16"/>
                <w:color w:val="auto"/>
              </w:rPr>
              <w:t>3.08x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tcPr>
          <w:p>
            <w:pPr>
              <w:ind w:left="500"/>
              <w:spacing w:after="0"/>
              <w:rPr>
                <w:sz w:val="20"/>
                <w:szCs w:val="20"/>
                <w:color w:val="auto"/>
              </w:rPr>
            </w:pPr>
            <w:r>
              <w:rPr>
                <w:rFonts w:ascii="Arial" w:cs="Arial" w:eastAsia="Arial" w:hAnsi="Arial"/>
                <w:sz w:val="16"/>
                <w:szCs w:val="16"/>
                <w:color w:val="auto"/>
              </w:rPr>
              <w:t>4.42x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4.76x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(5)</w:t>
            </w:r>
          </w:p>
        </w:tc>
        <w:tc>
          <w:tcPr>
            <w:tcW w:w="1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2.92x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3.86x</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4.48x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jc w:val="both"/>
        <w:ind w:left="660" w:right="20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$275.0 million term loan is subject to a one year extension, at our option, which would extend the maturity date to November 21, 2019. We also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23" w:lineRule="exact"/>
        <w:rPr>
          <w:rFonts w:ascii="Arial" w:cs="Arial" w:eastAsia="Arial" w:hAnsi="Arial"/>
          <w:sz w:val="14"/>
          <w:szCs w:val="14"/>
          <w:color w:val="auto"/>
        </w:rPr>
      </w:pPr>
    </w:p>
    <w:p>
      <w:pPr>
        <w:ind w:left="660" w:right="1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and year ended December 31, 2017 was $123.0 million and $344.0 million, respectively. The weighted average effective interest rate on borrowings under our revolving credit facility, before amortization of debt fees, for the three months and year ended December 31, 2017 was 2.1% and 1.9%, respectively.</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4.</w:t>
      </w:r>
    </w:p>
    <w:p>
      <w:pPr>
        <w:spacing w:after="0" w:line="55" w:lineRule="exact"/>
        <w:rPr>
          <w:rFonts w:ascii="Arial" w:cs="Arial" w:eastAsia="Arial" w:hAnsi="Arial"/>
          <w:sz w:val="14"/>
          <w:szCs w:val="14"/>
          <w:color w:val="auto"/>
        </w:rPr>
      </w:pPr>
    </w:p>
    <w:p>
      <w:pPr>
        <w:ind w:left="660" w:right="26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debt fee amortization on our revolving credit facility which had $41.0 million outstanding on December 31, 2017.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jc w:val="both"/>
        <w:ind w:left="660" w:right="40" w:hanging="652"/>
        <w:spacing w:after="0" w:line="286"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and the portion of rent expense representing an interest factor. EBITDA includes a gain on sale of real estate and change in control of interests of $7.4 million and $79.3 million for the three months and year ended December 31, 2017, respectively, and $32.5 million for the year ended December 31, 2016. Adjusted EBITDA is reconciled to net income in the Glossary of Terms.</w:t>
      </w:r>
    </w:p>
    <w:p>
      <w:pPr>
        <w:spacing w:after="0" w:line="5" w:lineRule="exact"/>
        <w:rPr>
          <w:rFonts w:ascii="Arial" w:cs="Arial" w:eastAsia="Arial" w:hAnsi="Arial"/>
          <w:sz w:val="13"/>
          <w:szCs w:val="13"/>
          <w:color w:val="auto"/>
        </w:rPr>
      </w:pPr>
    </w:p>
    <w:p>
      <w:pPr>
        <w:ind w:left="660" w:right="1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three months and year ended December 31, 2017 exclude the $12.3 million early extinguishment of debt charge related to the make-whole premium paid as part of the early redemption of the 5.90% senior notes in the fourth quarter of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(4)</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6,273</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291,775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6,265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26,425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101,593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107,209</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3,740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277,546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281,286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367,845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42.6%</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301,333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40,904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53.0%</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39,886</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683,600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684,173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74.9%</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18,552</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830,052</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47,016</w:t>
            </w:r>
          </w:p>
        </w:tc>
        <w:tc>
          <w:tcPr>
            <w:tcW w:w="3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3,256,120</w:t>
            </w:r>
          </w:p>
        </w:tc>
        <w:tc>
          <w:tcPr>
            <w:tcW w:w="34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3,303,136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4749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December 31, 2017, there was $41.0 million outstanding balance under this credit facility.</w:t>
      </w:r>
    </w:p>
    <w:p>
      <w:pPr>
        <w:spacing w:after="0" w:line="10"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 payable, and senior notes as of December 31, 2017.</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$0.5 million</w:t>
      </w:r>
      <w:r>
        <w:rPr>
          <w:rFonts w:ascii="Arial" w:cs="Arial" w:eastAsia="Arial" w:hAnsi="Arial"/>
          <w:sz w:val="16"/>
          <w:szCs w:val="16"/>
          <w:color w:val="auto"/>
        </w:rPr>
        <w:t xml:space="preserve"> in quarterly financing fees and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1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460" w:type="dxa"/>
            <w:vAlign w:val="bottom"/>
          </w:tcPr>
          <w:p>
            <w:pPr>
              <w:spacing w:after="0"/>
              <w:rPr>
                <w:sz w:val="14"/>
                <w:szCs w:val="14"/>
                <w:color w:val="auto"/>
              </w:rPr>
            </w:pPr>
          </w:p>
        </w:tc>
        <w:tc>
          <w:tcPr>
            <w:tcW w:w="36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Projects Stabilized in 2017</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The Point</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El Segundo, CA</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Addition of 90,000 square feet of retail and 25,000 square feet of office space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Tower Shops</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Davie, FL</w:t>
            </w:r>
          </w:p>
        </w:tc>
        <w:tc>
          <w:tcPr>
            <w:tcW w:w="5080" w:type="dxa"/>
            <w:vAlign w:val="bottom"/>
            <w:gridSpan w:val="2"/>
          </w:tcPr>
          <w:p>
            <w:pPr>
              <w:spacing w:after="0"/>
              <w:rPr>
                <w:sz w:val="20"/>
                <w:szCs w:val="20"/>
                <w:color w:val="auto"/>
              </w:rPr>
            </w:pPr>
            <w:r>
              <w:rPr>
                <w:rFonts w:ascii="Arial" w:cs="Arial" w:eastAsia="Arial" w:hAnsi="Arial"/>
                <w:sz w:val="14"/>
                <w:szCs w:val="14"/>
                <w:color w:val="auto"/>
              </w:rPr>
              <w:t>Addition of 50,000 square foot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Plaza Del Mercado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Silver Spring, MD</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Demolition of former grocery anchor space to construct spaces for new grocery anchor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74"/>
        </w:trPr>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and fitness center tenants</w:t>
            </w:r>
          </w:p>
        </w:tc>
        <w:tc>
          <w:tcPr>
            <w:tcW w:w="3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Santana Row</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San Jose, CA</w:t>
            </w:r>
          </w:p>
        </w:tc>
        <w:tc>
          <w:tcPr>
            <w:tcW w:w="5080" w:type="dxa"/>
            <w:vAlign w:val="bottom"/>
            <w:gridSpan w:val="2"/>
          </w:tcPr>
          <w:p>
            <w:pPr>
              <w:spacing w:after="0"/>
              <w:rPr>
                <w:sz w:val="20"/>
                <w:szCs w:val="20"/>
                <w:color w:val="auto"/>
              </w:rPr>
            </w:pPr>
            <w:r>
              <w:rPr>
                <w:rFonts w:ascii="Arial" w:cs="Arial" w:eastAsia="Arial" w:hAnsi="Arial"/>
                <w:sz w:val="14"/>
                <w:szCs w:val="14"/>
                <w:color w:val="auto"/>
              </w:rPr>
              <w:t>Addition of two retail kiosks and open air plaza upgrades</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The AVENUE at White</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White Marsh, MD</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shd w:val="clear" w:color="auto" w:fill="CCEEFF"/>
              </w:rPr>
              <w:t>Addition of two new pad sites totaling 13,000 square feet, a new 3,600 square foot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74"/>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7"/>
                <w:shd w:val="clear" w:color="auto" w:fill="CCEEFF"/>
              </w:rPr>
              <w:t>Marsh</w:t>
            </w:r>
          </w:p>
        </w:tc>
        <w:tc>
          <w:tcPr>
            <w:tcW w:w="1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restaurant building, and a drive up ATM</w:t>
            </w: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4"/>
              </w:rPr>
              <w:t>Free State Shopping Center</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Bowie, MD</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rPr>
              <w:t>Demolition of 26,000 square foot vacant building to allow for construction of new</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12,500 square foot pad building for new daycare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Eastgate Crossing</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Chapel Hill, NC</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7,400 square foot multi-tenant pad building on site of existing gas station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4"/>
        </w:trPr>
        <w:tc>
          <w:tcPr>
            <w:tcW w:w="286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Total Projects Stabilized in 2017 (3) (4)</w:t>
            </w:r>
          </w:p>
        </w:tc>
        <w:tc>
          <w:tcPr>
            <w:tcW w:w="14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0"/>
                <w:shd w:val="clear" w:color="auto" w:fill="CCEEFF"/>
              </w:rPr>
              <w:t>Active Redevelopment Projects</w:t>
            </w:r>
          </w:p>
        </w:tc>
        <w:tc>
          <w:tcPr>
            <w:tcW w:w="9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Cocowalk</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Coconut Grove,</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7"/>
              </w:rPr>
              <w:t>Shopping center redevelopment to include demolition of three story east wing of the</w:t>
            </w:r>
          </w:p>
        </w:tc>
        <w:tc>
          <w:tcPr>
            <w:tcW w:w="8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$73 - $77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FL</w:t>
            </w: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construction of a 77,000 square foot 5-story office building with an</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additional 13,000 square feet of ground floor retail</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Towson Residential</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Towson, MD</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105 unit 5-story apartment building with above grade parking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2018</w:t>
            </w: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Boca Raton, FL</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3"/>
              </w:rPr>
              <w:t>Demolition of small shop spaces and relocation of tenants to accommodate new 37,000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square foot fitness center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Montrose Crossing</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Rockville, MD</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Demolition of 10,000 square foot restaurant building to construct an 18,000 square foot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2018</w:t>
            </w:r>
          </w:p>
        </w:tc>
        <w:tc>
          <w:tcPr>
            <w:tcW w:w="0" w:type="dxa"/>
            <w:vAlign w:val="bottom"/>
          </w:tcPr>
          <w:p>
            <w:pPr>
              <w:spacing w:after="0"/>
              <w:rPr>
                <w:sz w:val="1"/>
                <w:szCs w:val="1"/>
                <w:color w:val="auto"/>
              </w:rPr>
            </w:pPr>
          </w:p>
        </w:tc>
      </w:tr>
      <w:tr>
        <w:trPr>
          <w:trHeight w:val="174"/>
        </w:trPr>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multi-tenant pad building</w:t>
            </w:r>
          </w:p>
        </w:tc>
        <w:tc>
          <w:tcPr>
            <w:tcW w:w="3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Richmond, VA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5"/>
              </w:rPr>
              <w:t>Demolition of small shop and mini anchor spaces to construct new 49,000 square foot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w w:val="93"/>
              </w:rPr>
              <w:t>anchor space to accommodate new sporting goods retailer and new 17,000 square foot</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building for relocation of existing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Pike 7 Plaza</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Vienna, VA</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Addition of 8,300 square foot multi-tenant retail pad building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2019</w:t>
            </w: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Mercer Mall</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Lawrenceville, NJ</w:t>
            </w:r>
          </w:p>
        </w:tc>
        <w:tc>
          <w:tcPr>
            <w:tcW w:w="5080" w:type="dxa"/>
            <w:vAlign w:val="bottom"/>
            <w:gridSpan w:val="2"/>
          </w:tcPr>
          <w:p>
            <w:pPr>
              <w:spacing w:after="0"/>
              <w:rPr>
                <w:sz w:val="20"/>
                <w:szCs w:val="20"/>
                <w:color w:val="auto"/>
              </w:rPr>
            </w:pPr>
            <w:r>
              <w:rPr>
                <w:rFonts w:ascii="Arial" w:cs="Arial" w:eastAsia="Arial" w:hAnsi="Arial"/>
                <w:sz w:val="14"/>
                <w:szCs w:val="14"/>
                <w:color w:val="auto"/>
                <w:w w:val="96"/>
              </w:rPr>
              <w:t>Redevelopment of recently acquired office building pre-leased to a single tenant user</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Wildwood</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Bethesda, MD</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4,900 square foot south end building expansion and site improvements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2019</w:t>
            </w: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Dedham Plaza</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Dedham, MA</w:t>
            </w:r>
          </w:p>
        </w:tc>
        <w:tc>
          <w:tcPr>
            <w:tcW w:w="5080" w:type="dxa"/>
            <w:vAlign w:val="bottom"/>
            <w:gridSpan w:val="2"/>
          </w:tcPr>
          <w:p>
            <w:pPr>
              <w:spacing w:after="0"/>
              <w:rPr>
                <w:sz w:val="20"/>
                <w:szCs w:val="20"/>
                <w:color w:val="auto"/>
              </w:rPr>
            </w:pPr>
            <w:r>
              <w:rPr>
                <w:rFonts w:ascii="Arial" w:cs="Arial" w:eastAsia="Arial" w:hAnsi="Arial"/>
                <w:sz w:val="14"/>
                <w:szCs w:val="14"/>
                <w:color w:val="auto"/>
              </w:rPr>
              <w:t>New 4,000 square foot pad site for restaurant tenant</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Willow Lawn</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Richmond, VA</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Conversion of vacant 5,000 square foot pad building to retail use to accommodate new</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2019</w:t>
            </w: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3,500 square foot fast casual restaurant tenant. Remainder of pad building to be</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demolished to construct new 2,200 square foot Starbucks pad site</w:t>
            </w:r>
          </w:p>
        </w:tc>
        <w:tc>
          <w:tcPr>
            <w:tcW w:w="8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4"/>
          </w:tcPr>
          <w:p>
            <w:pPr>
              <w:ind w:left="380"/>
              <w:spacing w:after="0"/>
              <w:rPr>
                <w:sz w:val="20"/>
                <w:szCs w:val="20"/>
                <w:color w:val="auto"/>
              </w:rPr>
            </w:pPr>
            <w:r>
              <w:rPr>
                <w:rFonts w:ascii="Arial" w:cs="Arial" w:eastAsia="Arial" w:hAnsi="Arial"/>
                <w:sz w:val="14"/>
                <w:szCs w:val="14"/>
                <w:b w:val="1"/>
                <w:bCs w:val="1"/>
                <w:color w:val="auto"/>
                <w:w w:val="92"/>
              </w:rPr>
              <w:t>Total Active Redevelopment projects (4)</w:t>
            </w:r>
          </w:p>
        </w:tc>
        <w:tc>
          <w:tcPr>
            <w:tcW w:w="14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$153 - $157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33655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50800</wp:posOffset>
            </wp:positionV>
            <wp:extent cx="1551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Projected POI Delivered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(as a % of 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For Year Ended December 31,</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20" w:type="dxa"/>
            <w:vAlign w:val="bottom"/>
          </w:tcPr>
          <w:p>
            <w:pPr>
              <w:jc w:val="right"/>
              <w:ind w:right="115"/>
              <w:spacing w:after="0"/>
              <w:rPr>
                <w:sz w:val="20"/>
                <w:szCs w:val="20"/>
                <w:color w:val="auto"/>
              </w:rPr>
            </w:pPr>
            <w:r>
              <w:rPr>
                <w:rFonts w:ascii="Arial" w:cs="Arial" w:eastAsia="Arial" w:hAnsi="Arial"/>
                <w:sz w:val="13"/>
                <w:szCs w:val="13"/>
                <w:b w:val="1"/>
                <w:bCs w:val="1"/>
                <w:color w:val="auto"/>
              </w:rPr>
              <w:t>Projected</w:t>
            </w:r>
          </w:p>
        </w:tc>
        <w:tc>
          <w:tcPr>
            <w:tcW w:w="160" w:type="dxa"/>
            <w:vAlign w:val="bottom"/>
          </w:tcPr>
          <w:p>
            <w:pPr>
              <w:spacing w:after="0"/>
              <w:rPr>
                <w:sz w:val="15"/>
                <w:szCs w:val="15"/>
                <w:color w:val="auto"/>
              </w:rPr>
            </w:pPr>
          </w:p>
        </w:tc>
        <w:tc>
          <w:tcPr>
            <w:tcW w:w="680" w:type="dxa"/>
            <w:vAlign w:val="bottom"/>
          </w:tcPr>
          <w:p>
            <w:pPr>
              <w:jc w:val="center"/>
              <w:ind w:left="16"/>
              <w:spacing w:after="0"/>
              <w:rPr>
                <w:sz w:val="20"/>
                <w:szCs w:val="20"/>
                <w:color w:val="auto"/>
              </w:rPr>
            </w:pPr>
            <w:r>
              <w:rPr>
                <w:rFonts w:ascii="Arial" w:cs="Arial" w:eastAsia="Arial" w:hAnsi="Arial"/>
                <w:sz w:val="13"/>
                <w:szCs w:val="13"/>
                <w:b w:val="1"/>
                <w:bCs w:val="1"/>
                <w:color w:val="auto"/>
                <w:w w:val="89"/>
              </w:rPr>
              <w:t>Total</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Costs to</w:t>
            </w: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35"/>
              <w:spacing w:after="0"/>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3"/>
                <w:szCs w:val="13"/>
                <w:b w:val="1"/>
                <w:bCs w:val="1"/>
                <w:color w:val="auto"/>
              </w:rPr>
              <w:t>Property</w:t>
            </w:r>
          </w:p>
        </w:tc>
        <w:tc>
          <w:tcPr>
            <w:tcW w:w="1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Location</w:t>
            </w:r>
          </w:p>
        </w:tc>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Opportunity</w:t>
            </w:r>
          </w:p>
        </w:tc>
        <w:tc>
          <w:tcPr>
            <w:tcW w:w="13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ROI (3)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(4)</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2018</w:t>
            </w: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3"/>
                <w:szCs w:val="13"/>
                <w:color w:val="auto"/>
              </w:rPr>
              <w:t>(in</w:t>
            </w:r>
          </w:p>
        </w:tc>
        <w:tc>
          <w:tcPr>
            <w:tcW w:w="82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(in</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millions)</w:t>
            </w: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millions)</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1"/>
              </w:rPr>
              <w:t>Assembly</w:t>
            </w: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Somerville, MA</w:t>
            </w:r>
          </w:p>
        </w:tc>
        <w:tc>
          <w:tcPr>
            <w:tcW w:w="2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Row</w:t>
            </w:r>
          </w:p>
        </w:tc>
        <w:tc>
          <w:tcPr>
            <w:tcW w:w="120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77"/>
                <w:shd w:val="clear" w:color="auto" w:fill="CCEEFF"/>
              </w:rPr>
              <w:t>Phase II</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- 161,000 SF of retail</w:t>
            </w:r>
          </w:p>
        </w:tc>
        <w:tc>
          <w:tcPr>
            <w:tcW w:w="1320" w:type="dxa"/>
            <w:vAlign w:val="bottom"/>
            <w:vMerge w:val="restart"/>
            <w:shd w:val="clear" w:color="auto" w:fill="CCEEFF"/>
          </w:tcPr>
          <w:p>
            <w:pPr>
              <w:jc w:val="right"/>
              <w:ind w:right="295"/>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(5)</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$280 - 295</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$274</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6"/>
              <w:spacing w:after="0"/>
              <w:rPr>
                <w:sz w:val="20"/>
                <w:szCs w:val="20"/>
                <w:color w:val="auto"/>
              </w:rPr>
            </w:pPr>
            <w:r>
              <w:rPr>
                <w:rFonts w:ascii="Arial" w:cs="Arial" w:eastAsia="Arial" w:hAnsi="Arial"/>
                <w:sz w:val="14"/>
                <w:szCs w:val="14"/>
                <w:color w:val="auto"/>
              </w:rPr>
              <w:t>50%</w:t>
            </w:r>
          </w:p>
        </w:tc>
        <w:tc>
          <w:tcPr>
            <w:tcW w:w="1100" w:type="dxa"/>
            <w:vAlign w:val="bottom"/>
            <w:vMerge w:val="restart"/>
            <w:shd w:val="clear" w:color="auto" w:fill="CCEEFF"/>
          </w:tcPr>
          <w:p>
            <w:pPr>
              <w:jc w:val="right"/>
              <w:ind w:right="25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514340" cy="848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4340" cy="848995"/>
                    </a:xfrm>
                    <a:prstGeom prst="rect">
                      <a:avLst/>
                    </a:prstGeom>
                    <a:noFill/>
                  </pic:spPr>
                </pic:pic>
              </a:graphicData>
            </a:graphic>
          </wp:anchor>
        </w:drawing>
      </w:r>
    </w:p>
    <w:p>
      <w:pPr>
        <w:spacing w:after="0" w:line="64"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- 447 residential units</w:t>
      </w:r>
    </w:p>
    <w:p>
      <w:pPr>
        <w:spacing w:after="0" w:line="109"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- 158 boutique hotel rooms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Expected Opening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457200</wp:posOffset>
            </wp:positionV>
            <wp:extent cx="1732280" cy="848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84899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19685</wp:posOffset>
            </wp:positionV>
            <wp:extent cx="1732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20"/>
        <w:spacing w:after="0" w:line="233" w:lineRule="auto"/>
        <w:rPr>
          <w:sz w:val="20"/>
          <w:szCs w:val="20"/>
          <w:color w:val="auto"/>
        </w:rPr>
      </w:pPr>
      <w:r>
        <w:rPr>
          <w:rFonts w:ascii="Arial" w:cs="Arial" w:eastAsia="Arial" w:hAnsi="Arial"/>
          <w:sz w:val="14"/>
          <w:szCs w:val="14"/>
          <w:color w:val="auto"/>
          <w:shd w:val="clear" w:color="auto" w:fill="CCEEFF"/>
        </w:rPr>
        <w:t>49,000 square feet of retail has opened, remaining tenants projected to open through 2018</w:t>
      </w:r>
    </w:p>
    <w:p>
      <w:pPr>
        <w:spacing w:after="0" w:line="71" w:lineRule="exact"/>
        <w:rPr>
          <w:sz w:val="20"/>
          <w:szCs w:val="20"/>
          <w:color w:val="auto"/>
        </w:rPr>
      </w:pPr>
    </w:p>
    <w:p>
      <w:pPr>
        <w:ind w:right="140"/>
        <w:spacing w:after="0" w:line="318" w:lineRule="auto"/>
        <w:rPr>
          <w:sz w:val="20"/>
          <w:szCs w:val="20"/>
          <w:color w:val="auto"/>
        </w:rPr>
      </w:pPr>
      <w:r>
        <w:rPr>
          <w:rFonts w:ascii="Arial" w:cs="Arial" w:eastAsia="Arial" w:hAnsi="Arial"/>
          <w:sz w:val="12"/>
          <w:szCs w:val="12"/>
          <w:color w:val="auto"/>
          <w:shd w:val="clear" w:color="auto" w:fill="CCEEFF"/>
        </w:rPr>
        <w:t>Residential building opened in September 2017 with deliveries expected through 2Q 2018.</w:t>
      </w:r>
    </w:p>
    <w:p>
      <w:pPr>
        <w:spacing w:after="0" w:line="80" w:lineRule="exact"/>
        <w:rPr>
          <w:sz w:val="20"/>
          <w:szCs w:val="20"/>
          <w:color w:val="auto"/>
        </w:rPr>
      </w:pPr>
    </w:p>
    <w:p>
      <w:pPr>
        <w:ind w:right="300"/>
        <w:spacing w:after="0" w:line="302" w:lineRule="auto"/>
        <w:rPr>
          <w:sz w:val="20"/>
          <w:szCs w:val="20"/>
          <w:color w:val="auto"/>
        </w:rPr>
      </w:pPr>
      <w:r>
        <w:rPr>
          <w:rFonts w:ascii="Arial" w:cs="Arial" w:eastAsia="Arial" w:hAnsi="Arial"/>
          <w:sz w:val="12"/>
          <w:szCs w:val="12"/>
          <w:color w:val="auto"/>
          <w:shd w:val="clear" w:color="auto" w:fill="CCEEFF"/>
        </w:rPr>
        <w:t>741,500 SF Partners Healthcare office space (built by Partners) opened in 2016</w:t>
      </w:r>
    </w:p>
    <w:p>
      <w:pPr>
        <w:spacing w:after="0" w:line="1" w:lineRule="exact"/>
        <w:rPr>
          <w:sz w:val="20"/>
          <w:szCs w:val="20"/>
          <w:color w:val="auto"/>
        </w:rPr>
      </w:pPr>
    </w:p>
    <w:p>
      <w:pPr>
        <w:sectPr>
          <w:pgSz w:w="11900" w:h="16838" w:orient="portrait"/>
          <w:cols w:equalWidth="0" w:num="2">
            <w:col w:w="8700" w:space="20"/>
            <w:col w:w="2700"/>
          </w:cols>
          <w:pgMar w:left="240" w:top="760"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20" w:type="dxa"/>
            <w:vAlign w:val="bottom"/>
          </w:tcPr>
          <w:p>
            <w:pPr>
              <w:ind w:left="1320"/>
              <w:spacing w:after="0"/>
              <w:rPr>
                <w:sz w:val="20"/>
                <w:szCs w:val="20"/>
                <w:color w:val="auto"/>
              </w:rPr>
            </w:pPr>
            <w:r>
              <w:rPr>
                <w:rFonts w:ascii="Arial" w:cs="Arial" w:eastAsia="Arial" w:hAnsi="Arial"/>
                <w:sz w:val="14"/>
                <w:szCs w:val="14"/>
                <w:color w:val="auto"/>
              </w:rPr>
              <w:t>- 122 for-sale condominium units</w:t>
            </w:r>
          </w:p>
        </w:tc>
        <w:tc>
          <w:tcPr>
            <w:tcW w:w="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$74 - 79</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rPr>
              <w:t>$64</w:t>
            </w: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Projected closings to commence 2Q 2018</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Future</w:t>
            </w:r>
          </w:p>
        </w:tc>
        <w:tc>
          <w:tcPr>
            <w:tcW w:w="26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1"/>
                <w:shd w:val="clear" w:color="auto" w:fill="CCEEFF"/>
              </w:rPr>
              <w:t>Phases</w:t>
            </w:r>
          </w:p>
        </w:tc>
        <w:tc>
          <w:tcPr>
            <w:tcW w:w="260" w:type="dxa"/>
            <w:vAlign w:val="bottom"/>
            <w:shd w:val="clear" w:color="auto" w:fill="CCEEFF"/>
          </w:tcPr>
          <w:p>
            <w:pPr>
              <w:spacing w:after="0"/>
              <w:rPr>
                <w:sz w:val="12"/>
                <w:szCs w:val="12"/>
                <w:color w:val="auto"/>
              </w:rPr>
            </w:pPr>
          </w:p>
        </w:tc>
        <w:tc>
          <w:tcPr>
            <w:tcW w:w="3820" w:type="dxa"/>
            <w:vAlign w:val="bottom"/>
            <w:shd w:val="clear" w:color="auto" w:fill="CCEEFF"/>
          </w:tcPr>
          <w:p>
            <w:pPr>
              <w:ind w:left="1320"/>
              <w:spacing w:after="0" w:line="149" w:lineRule="exact"/>
              <w:rPr>
                <w:sz w:val="20"/>
                <w:szCs w:val="20"/>
                <w:color w:val="auto"/>
              </w:rPr>
            </w:pPr>
            <w:r>
              <w:rPr>
                <w:rFonts w:ascii="Arial" w:cs="Arial" w:eastAsia="Arial" w:hAnsi="Arial"/>
                <w:sz w:val="14"/>
                <w:szCs w:val="14"/>
                <w:color w:val="auto"/>
              </w:rPr>
              <w:t>- 2M SF of commercial</w:t>
            </w:r>
          </w:p>
        </w:tc>
        <w:tc>
          <w:tcPr>
            <w:tcW w:w="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2"/>
                <w:shd w:val="clear" w:color="auto" w:fill="CCEEFF"/>
              </w:rPr>
              <w:t>TBD</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shd w:val="clear" w:color="auto" w:fill="CCEEFF"/>
              </w:rPr>
              <w:t>TBD</w:t>
            </w: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2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- 826 residential units</w:t>
            </w: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Pike &amp;</w:t>
            </w:r>
          </w:p>
        </w:tc>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Bethesda, MD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Rose</w:t>
            </w:r>
          </w:p>
        </w:tc>
        <w:tc>
          <w:tcPr>
            <w:tcW w:w="260" w:type="dxa"/>
            <w:vAlign w:val="bottom"/>
          </w:tcPr>
          <w:p>
            <w:pPr>
              <w:spacing w:after="0"/>
              <w:rPr>
                <w:sz w:val="11"/>
                <w:szCs w:val="11"/>
                <w:color w:val="auto"/>
              </w:rPr>
            </w:pPr>
          </w:p>
        </w:tc>
        <w:tc>
          <w:tcPr>
            <w:tcW w:w="3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Phase I</w:t>
            </w:r>
          </w:p>
        </w:tc>
        <w:tc>
          <w:tcPr>
            <w:tcW w:w="260" w:type="dxa"/>
            <w:vAlign w:val="bottom"/>
            <w:shd w:val="clear" w:color="auto" w:fill="CCEEFF"/>
          </w:tcPr>
          <w:p>
            <w:pPr>
              <w:spacing w:after="0"/>
              <w:rPr>
                <w:sz w:val="21"/>
                <w:szCs w:val="21"/>
                <w:color w:val="auto"/>
              </w:rPr>
            </w:pPr>
          </w:p>
        </w:tc>
        <w:tc>
          <w:tcPr>
            <w:tcW w:w="382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- 159,000 SF of retail</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shd w:val="clear" w:color="auto" w:fill="CCEEFF"/>
              </w:rPr>
              <w:t>6-7%</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$270</w:t>
            </w:r>
          </w:p>
        </w:tc>
        <w:tc>
          <w:tcPr>
            <w:tcW w:w="860" w:type="dxa"/>
            <w:vAlign w:val="bottom"/>
            <w:shd w:val="clear" w:color="auto" w:fill="CCEEFF"/>
          </w:tcPr>
          <w:p>
            <w:pPr>
              <w:jc w:val="center"/>
              <w:ind w:right="92"/>
              <w:spacing w:after="0"/>
              <w:rPr>
                <w:sz w:val="20"/>
                <w:szCs w:val="20"/>
                <w:color w:val="auto"/>
              </w:rPr>
            </w:pPr>
            <w:r>
              <w:rPr>
                <w:rFonts w:ascii="Arial" w:cs="Arial" w:eastAsia="Arial" w:hAnsi="Arial"/>
                <w:sz w:val="14"/>
                <w:szCs w:val="14"/>
                <w:color w:val="auto"/>
                <w:w w:val="90"/>
              </w:rPr>
              <w:t>Complete</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95%</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100%</w:t>
            </w: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Retail &amp; office open</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82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- 80,000 SF of office</w:t>
            </w: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Residential opened in 2014 (174 units) and</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82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- 493 residential units</w:t>
            </w: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2015/16 (319 units)</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760"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Phase II</w:t>
            </w:r>
          </w:p>
        </w:tc>
        <w:tc>
          <w:tcPr>
            <w:tcW w:w="3580" w:type="dxa"/>
            <w:vAlign w:val="bottom"/>
          </w:tcPr>
          <w:p>
            <w:pPr>
              <w:ind w:left="1320"/>
              <w:spacing w:after="0"/>
              <w:rPr>
                <w:sz w:val="20"/>
                <w:szCs w:val="20"/>
                <w:color w:val="auto"/>
              </w:rPr>
            </w:pPr>
            <w:r>
              <w:rPr>
                <w:rFonts w:ascii="Arial" w:cs="Arial" w:eastAsia="Arial" w:hAnsi="Arial"/>
                <w:sz w:val="14"/>
                <w:szCs w:val="14"/>
                <w:color w:val="auto"/>
              </w:rPr>
              <w:t>- 216,000 SF of retail</w:t>
            </w:r>
          </w:p>
        </w:tc>
        <w:tc>
          <w:tcPr>
            <w:tcW w:w="760" w:type="dxa"/>
            <w:vAlign w:val="bottom"/>
          </w:tcPr>
          <w:p>
            <w:pPr>
              <w:jc w:val="center"/>
              <w:spacing w:after="0"/>
              <w:rPr>
                <w:sz w:val="20"/>
                <w:szCs w:val="20"/>
                <w:color w:val="auto"/>
              </w:rPr>
            </w:pPr>
            <w:r>
              <w:rPr>
                <w:rFonts w:ascii="Arial" w:cs="Arial" w:eastAsia="Arial" w:hAnsi="Arial"/>
                <w:sz w:val="14"/>
                <w:szCs w:val="14"/>
                <w:color w:val="auto"/>
                <w:w w:val="91"/>
              </w:rPr>
              <w:t>6-7%</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60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$200 - 207</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color w:val="auto"/>
                <w:w w:val="83"/>
              </w:rPr>
              <w:t>$180</w:t>
            </w:r>
          </w:p>
        </w:tc>
        <w:tc>
          <w:tcPr>
            <w:tcW w:w="900" w:type="dxa"/>
            <w:vAlign w:val="bottom"/>
          </w:tcPr>
          <w:p>
            <w:pPr>
              <w:jc w:val="right"/>
              <w:ind w:right="252"/>
              <w:spacing w:after="0"/>
              <w:rPr>
                <w:sz w:val="20"/>
                <w:szCs w:val="20"/>
                <w:color w:val="auto"/>
              </w:rPr>
            </w:pPr>
            <w:r>
              <w:rPr>
                <w:rFonts w:ascii="Arial" w:cs="Arial" w:eastAsia="Arial" w:hAnsi="Arial"/>
                <w:sz w:val="14"/>
                <w:szCs w:val="14"/>
                <w:color w:val="auto"/>
              </w:rPr>
              <w:t>60%</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w w:val="92"/>
              </w:rPr>
              <w:t>85%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80" w:type="dxa"/>
            <w:vAlign w:val="bottom"/>
          </w:tcPr>
          <w:p>
            <w:pPr>
              <w:ind w:left="1320"/>
              <w:spacing w:after="0"/>
              <w:rPr>
                <w:sz w:val="20"/>
                <w:szCs w:val="20"/>
                <w:color w:val="auto"/>
              </w:rPr>
            </w:pPr>
            <w:r>
              <w:rPr>
                <w:rFonts w:ascii="Arial" w:cs="Arial" w:eastAsia="Arial" w:hAnsi="Arial"/>
                <w:sz w:val="14"/>
                <w:szCs w:val="14"/>
                <w:color w:val="auto"/>
              </w:rPr>
              <w:t>- 272 residential units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80" w:type="dxa"/>
            <w:vAlign w:val="bottom"/>
          </w:tcPr>
          <w:p>
            <w:pPr>
              <w:ind w:left="1320"/>
              <w:spacing w:after="0"/>
              <w:rPr>
                <w:sz w:val="20"/>
                <w:szCs w:val="20"/>
                <w:color w:val="auto"/>
              </w:rPr>
            </w:pPr>
            <w:r>
              <w:rPr>
                <w:rFonts w:ascii="Arial" w:cs="Arial" w:eastAsia="Arial" w:hAnsi="Arial"/>
                <w:sz w:val="14"/>
                <w:szCs w:val="14"/>
                <w:color w:val="auto"/>
              </w:rPr>
              <w:t>- 177 boutique hotel rooms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vMerge w:val="restart"/>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Future</w:t>
            </w:r>
          </w:p>
        </w:tc>
        <w:tc>
          <w:tcPr>
            <w:tcW w:w="3580" w:type="dxa"/>
            <w:vAlign w:val="bottom"/>
            <w:vMerge w:val="restart"/>
          </w:tcPr>
          <w:p>
            <w:pPr>
              <w:ind w:left="1320"/>
              <w:spacing w:after="0" w:line="149" w:lineRule="exact"/>
              <w:rPr>
                <w:sz w:val="20"/>
                <w:szCs w:val="20"/>
                <w:color w:val="auto"/>
              </w:rPr>
            </w:pPr>
            <w:r>
              <w:rPr>
                <w:rFonts w:ascii="Arial" w:cs="Arial" w:eastAsia="Arial" w:hAnsi="Arial"/>
                <w:sz w:val="14"/>
                <w:szCs w:val="14"/>
                <w:color w:val="auto"/>
              </w:rPr>
              <w:t>- 99 for-sale condominium units</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vMerge w:val="continue"/>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89"/>
                <w:shd w:val="clear" w:color="auto" w:fill="CCEEFF"/>
              </w:rPr>
              <w:t>$53 - 58</w:t>
            </w: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76"/>
                <w:shd w:val="clear" w:color="auto" w:fill="CCEEFF"/>
              </w:rPr>
              <w:t>$54</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3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Phases</w:t>
            </w:r>
          </w:p>
        </w:tc>
        <w:tc>
          <w:tcPr>
            <w:tcW w:w="3580" w:type="dxa"/>
            <w:vAlign w:val="bottom"/>
          </w:tcPr>
          <w:p>
            <w:pPr>
              <w:ind w:left="1320"/>
              <w:spacing w:after="0"/>
              <w:rPr>
                <w:sz w:val="20"/>
                <w:szCs w:val="20"/>
                <w:color w:val="auto"/>
              </w:rPr>
            </w:pPr>
            <w:r>
              <w:rPr>
                <w:rFonts w:ascii="Arial" w:cs="Arial" w:eastAsia="Arial" w:hAnsi="Arial"/>
                <w:sz w:val="14"/>
                <w:szCs w:val="14"/>
                <w:color w:val="auto"/>
              </w:rPr>
              <w:t>- 1M SF of commercial</w:t>
            </w:r>
          </w:p>
        </w:tc>
        <w:tc>
          <w:tcPr>
            <w:tcW w:w="760" w:type="dxa"/>
            <w:vAlign w:val="bottom"/>
          </w:tcPr>
          <w:p>
            <w:pPr>
              <w:ind w:left="260"/>
              <w:spacing w:after="0"/>
              <w:rPr>
                <w:sz w:val="20"/>
                <w:szCs w:val="20"/>
                <w:color w:val="auto"/>
              </w:rPr>
            </w:pPr>
            <w:r>
              <w:rPr>
                <w:rFonts w:ascii="Arial" w:cs="Arial" w:eastAsia="Arial" w:hAnsi="Arial"/>
                <w:sz w:val="14"/>
                <w:szCs w:val="14"/>
                <w:color w:val="auto"/>
              </w:rPr>
              <w:t>TBD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TBD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80" w:type="dxa"/>
            <w:vAlign w:val="bottom"/>
          </w:tcPr>
          <w:p>
            <w:pPr>
              <w:ind w:left="1320"/>
              <w:spacing w:after="0"/>
              <w:rPr>
                <w:sz w:val="20"/>
                <w:szCs w:val="20"/>
                <w:color w:val="auto"/>
              </w:rPr>
            </w:pPr>
            <w:r>
              <w:rPr>
                <w:rFonts w:ascii="Arial" w:cs="Arial" w:eastAsia="Arial" w:hAnsi="Arial"/>
                <w:sz w:val="14"/>
                <w:szCs w:val="14"/>
                <w:color w:val="auto"/>
              </w:rPr>
              <w:t>- 741 residential units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4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Santana</w:t>
            </w:r>
          </w:p>
        </w:tc>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San Jose, CA</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Row</w:t>
            </w:r>
          </w:p>
        </w:tc>
        <w:tc>
          <w:tcPr>
            <w:tcW w:w="200" w:type="dxa"/>
            <w:vAlign w:val="bottom"/>
          </w:tcPr>
          <w:p>
            <w:pPr>
              <w:spacing w:after="0"/>
              <w:rPr>
                <w:sz w:val="11"/>
                <w:szCs w:val="11"/>
                <w:color w:val="auto"/>
              </w:rPr>
            </w:pPr>
          </w:p>
        </w:tc>
        <w:tc>
          <w:tcPr>
            <w:tcW w:w="35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700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4"/>
                <w:shd w:val="clear" w:color="auto" w:fill="CCEEFF"/>
              </w:rPr>
              <w:t>Santana</w:t>
            </w:r>
          </w:p>
        </w:tc>
        <w:tc>
          <w:tcPr>
            <w:tcW w:w="200" w:type="dxa"/>
            <w:vAlign w:val="bottom"/>
            <w:shd w:val="clear" w:color="auto" w:fill="CCEEFF"/>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shd w:val="clear" w:color="auto" w:fill="CCEEFF"/>
              </w:rPr>
              <w:t>Row</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580" w:type="dxa"/>
            <w:vAlign w:val="bottom"/>
          </w:tcPr>
          <w:p>
            <w:pPr>
              <w:ind w:left="1320"/>
              <w:spacing w:after="0" w:line="149" w:lineRule="exact"/>
              <w:rPr>
                <w:sz w:val="20"/>
                <w:szCs w:val="20"/>
                <w:color w:val="auto"/>
              </w:rPr>
            </w:pPr>
            <w:r>
              <w:rPr>
                <w:rFonts w:ascii="Arial" w:cs="Arial" w:eastAsia="Arial" w:hAnsi="Arial"/>
                <w:sz w:val="14"/>
                <w:szCs w:val="14"/>
                <w:color w:val="auto"/>
              </w:rPr>
              <w:t>- 284,000 SF of office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shd w:val="clear" w:color="auto" w:fill="CCEEFF"/>
              </w:rPr>
              <w:t>$205 - 215</w:t>
            </w:r>
          </w:p>
        </w:tc>
        <w:tc>
          <w:tcPr>
            <w:tcW w:w="280" w:type="dxa"/>
            <w:vAlign w:val="bottom"/>
          </w:tcPr>
          <w:p>
            <w:pPr>
              <w:spacing w:after="0"/>
              <w:rPr>
                <w:sz w:val="12"/>
                <w:szCs w:val="12"/>
                <w:color w:val="auto"/>
              </w:rPr>
            </w:pPr>
          </w:p>
        </w:tc>
        <w:tc>
          <w:tcPr>
            <w:tcW w:w="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shd w:val="clear" w:color="auto" w:fill="CCEEFF"/>
              </w:rPr>
              <w:t>$61</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TBD</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580" w:type="dxa"/>
            <w:vAlign w:val="bottom"/>
          </w:tcPr>
          <w:p>
            <w:pPr>
              <w:ind w:left="1320"/>
              <w:spacing w:after="0"/>
              <w:rPr>
                <w:sz w:val="20"/>
                <w:szCs w:val="20"/>
                <w:color w:val="auto"/>
              </w:rPr>
            </w:pPr>
            <w:r>
              <w:rPr>
                <w:rFonts w:ascii="Arial" w:cs="Arial" w:eastAsia="Arial" w:hAnsi="Arial"/>
                <w:sz w:val="14"/>
                <w:szCs w:val="14"/>
                <w:color w:val="auto"/>
                <w:w w:val="99"/>
              </w:rPr>
              <w:t>- 29,000 SF of retail &amp; 1,300 parking</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580" w:type="dxa"/>
            <w:vAlign w:val="bottom"/>
          </w:tcPr>
          <w:p>
            <w:pPr>
              <w:ind w:left="1280"/>
              <w:spacing w:after="0"/>
              <w:rPr>
                <w:sz w:val="20"/>
                <w:szCs w:val="20"/>
                <w:color w:val="auto"/>
              </w:rPr>
            </w:pPr>
            <w:r>
              <w:rPr>
                <w:rFonts w:ascii="Arial" w:cs="Arial" w:eastAsia="Arial" w:hAnsi="Arial"/>
                <w:sz w:val="14"/>
                <w:szCs w:val="14"/>
                <w:color w:val="auto"/>
              </w:rPr>
              <w:t>spaces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Future</w:t>
            </w:r>
          </w:p>
        </w:tc>
        <w:tc>
          <w:tcPr>
            <w:tcW w:w="3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Phases</w:t>
            </w:r>
          </w:p>
        </w:tc>
        <w:tc>
          <w:tcPr>
            <w:tcW w:w="3580" w:type="dxa"/>
            <w:vAlign w:val="bottom"/>
          </w:tcPr>
          <w:p>
            <w:pPr>
              <w:ind w:left="1320"/>
              <w:spacing w:after="0"/>
              <w:rPr>
                <w:sz w:val="20"/>
                <w:szCs w:val="20"/>
                <w:color w:val="auto"/>
              </w:rPr>
            </w:pPr>
            <w:r>
              <w:rPr>
                <w:rFonts w:ascii="Arial" w:cs="Arial" w:eastAsia="Arial" w:hAnsi="Arial"/>
                <w:sz w:val="14"/>
                <w:szCs w:val="14"/>
                <w:color w:val="auto"/>
              </w:rPr>
              <w:t>- 321,000 SF of commercial</w:t>
            </w:r>
          </w:p>
        </w:tc>
        <w:tc>
          <w:tcPr>
            <w:tcW w:w="760" w:type="dxa"/>
            <w:vAlign w:val="bottom"/>
          </w:tcPr>
          <w:p>
            <w:pPr>
              <w:ind w:left="260"/>
              <w:spacing w:after="0"/>
              <w:rPr>
                <w:sz w:val="20"/>
                <w:szCs w:val="20"/>
                <w:color w:val="auto"/>
              </w:rPr>
            </w:pPr>
            <w:r>
              <w:rPr>
                <w:rFonts w:ascii="Arial" w:cs="Arial" w:eastAsia="Arial" w:hAnsi="Arial"/>
                <w:sz w:val="14"/>
                <w:szCs w:val="14"/>
                <w:color w:val="auto"/>
              </w:rPr>
              <w:t>TBD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TBD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-1688465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78"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- 395 residential units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0" w:lineRule="exact"/>
        <w:rPr>
          <w:sz w:val="20"/>
          <w:szCs w:val="20"/>
          <w:color w:val="auto"/>
        </w:rPr>
      </w:pPr>
      <w:r>
        <w:rPr>
          <w:sz w:val="20"/>
          <w:szCs w:val="20"/>
          <w:color w:val="auto"/>
        </w:rPr>
        <w:br w:type="column"/>
      </w:r>
    </w:p>
    <w:p>
      <w:pPr>
        <w:ind w:right="320"/>
        <w:spacing w:after="0" w:line="233" w:lineRule="auto"/>
        <w:rPr>
          <w:sz w:val="20"/>
          <w:szCs w:val="20"/>
          <w:color w:val="auto"/>
        </w:rPr>
      </w:pPr>
      <w:r>
        <w:rPr>
          <w:rFonts w:ascii="Arial" w:cs="Arial" w:eastAsia="Arial" w:hAnsi="Arial"/>
          <w:sz w:val="14"/>
          <w:szCs w:val="14"/>
          <w:color w:val="auto"/>
        </w:rPr>
        <w:t>151,000 square feet of retail has opened, remaining tenants projected to open through 2018</w:t>
      </w:r>
    </w:p>
    <w:p>
      <w:pPr>
        <w:spacing w:after="0" w:line="71" w:lineRule="exact"/>
        <w:rPr>
          <w:sz w:val="20"/>
          <w:szCs w:val="20"/>
          <w:color w:val="auto"/>
        </w:rPr>
      </w:pPr>
    </w:p>
    <w:p>
      <w:pPr>
        <w:ind w:right="40"/>
        <w:spacing w:after="0" w:line="318" w:lineRule="auto"/>
        <w:rPr>
          <w:sz w:val="20"/>
          <w:szCs w:val="20"/>
          <w:color w:val="auto"/>
        </w:rPr>
      </w:pPr>
      <w:r>
        <w:rPr>
          <w:rFonts w:ascii="Arial" w:cs="Arial" w:eastAsia="Arial" w:hAnsi="Arial"/>
          <w:sz w:val="12"/>
          <w:szCs w:val="12"/>
          <w:color w:val="auto"/>
        </w:rPr>
        <w:t>Residential building opened in August 2017 with deliveries expected through 2Q 2018</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shd w:val="clear" w:color="auto" w:fill="CCEEFF"/>
        </w:rPr>
        <w:t>Projected closings to commence 2Q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20"/>
        <w:spacing w:after="0" w:line="318" w:lineRule="auto"/>
        <w:rPr>
          <w:sz w:val="20"/>
          <w:szCs w:val="20"/>
          <w:color w:val="auto"/>
        </w:rPr>
      </w:pPr>
      <w:r>
        <w:rPr>
          <w:rFonts w:ascii="Arial" w:cs="Arial" w:eastAsia="Arial" w:hAnsi="Arial"/>
          <w:sz w:val="14"/>
          <w:szCs w:val="14"/>
          <w:color w:val="auto"/>
          <w:shd w:val="clear" w:color="auto" w:fill="CCEEFF"/>
        </w:rPr>
        <w:t>Commenced construction 4Q 2016 Opening projected 2019</w:t>
      </w:r>
    </w:p>
    <w:p>
      <w:pPr>
        <w:spacing w:after="0" w:line="1207" w:lineRule="exact"/>
        <w:rPr>
          <w:sz w:val="20"/>
          <w:szCs w:val="20"/>
          <w:color w:val="auto"/>
        </w:rPr>
      </w:pPr>
    </w:p>
    <w:p>
      <w:pPr>
        <w:sectPr>
          <w:pgSz w:w="11900" w:h="16838" w:orient="portrait"/>
          <w:cols w:equalWidth="0" w:num="2">
            <w:col w:w="8280" w:space="440"/>
            <w:col w:w="2700"/>
          </w:cols>
          <w:pgMar w:left="240" w:top="760" w:right="239" w:bottom="1440" w:gutter="0" w:footer="0" w:header="0"/>
          <w:type w:val="continuous"/>
        </w:sectPr>
      </w:pPr>
    </w:p>
    <w:p>
      <w:pPr>
        <w:ind w:left="260" w:right="40" w:hanging="225"/>
        <w:spacing w:after="0" w:line="305" w:lineRule="auto"/>
        <w:tabs>
          <w:tab w:leader="none" w:pos="2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Anticipated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260" w:right="100" w:hanging="225"/>
        <w:spacing w:after="0" w:line="239"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figures reflect (i) the projected POI (herein defined) for the stated year divided by (ii) the current projected annual stabilized POI for the Property. These percentages are projections only and we cannot give any assurances that these amounts will actually be achieved.</w:t>
      </w:r>
    </w:p>
    <w:p>
      <w:pPr>
        <w:spacing w:after="0" w:line="30"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include our share of the costs in the hotel.</w:t>
      </w:r>
    </w:p>
    <w:p>
      <w:pPr>
        <w:spacing w:after="0" w:line="4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58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Pike &amp; Rose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5676900" cy="7495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6900" cy="749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580"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CA</w:t>
            </w:r>
          </w:p>
        </w:tc>
        <w:tc>
          <w:tcPr>
            <w:tcW w:w="2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Huntington, NY</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40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4700" w:type="dxa"/>
            <w:vAlign w:val="bottom"/>
          </w:tcPr>
          <w:p>
            <w:pPr>
              <w:ind w:left="860"/>
              <w:spacing w:after="0"/>
              <w:rPr>
                <w:sz w:val="20"/>
                <w:szCs w:val="20"/>
                <w:color w:val="auto"/>
              </w:rPr>
            </w:pPr>
            <w:r>
              <w:rPr>
                <w:rFonts w:ascii="Arial" w:cs="Arial" w:eastAsia="Arial" w:hAnsi="Arial"/>
                <w:sz w:val="16"/>
                <w:szCs w:val="16"/>
                <w:color w:val="auto"/>
              </w:rPr>
              <w:t>Lawrenceville, NJ</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Flourtown, PA</w:t>
            </w:r>
          </w:p>
        </w:tc>
        <w:tc>
          <w:tcPr>
            <w:tcW w:w="2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Pan Am</w:t>
            </w: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020" w:type="dxa"/>
            <w:vAlign w:val="bottom"/>
          </w:tcPr>
          <w:p>
            <w:pPr>
              <w:ind w:left="380"/>
              <w:spacing w:after="0"/>
              <w:rPr>
                <w:sz w:val="20"/>
                <w:szCs w:val="20"/>
                <w:color w:val="auto"/>
              </w:rPr>
            </w:pPr>
            <w:r>
              <w:rPr>
                <w:rFonts w:ascii="Arial" w:cs="Arial" w:eastAsia="Arial" w:hAnsi="Arial"/>
                <w:sz w:val="16"/>
                <w:szCs w:val="16"/>
                <w:color w:val="auto"/>
              </w:rPr>
              <w:t>Queens, NY</w:t>
            </w:r>
          </w:p>
        </w:tc>
        <w:tc>
          <w:tcPr>
            <w:tcW w:w="240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70"/>
        </w:trPr>
        <w:tc>
          <w:tcPr>
            <w:tcW w:w="2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470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Charlottesville, VA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Fresh Meadows</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Queens, NY</w:t>
            </w:r>
          </w:p>
        </w:tc>
      </w:tr>
      <w:tr>
        <w:trPr>
          <w:trHeight w:val="237"/>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2380" w:type="dxa"/>
            <w:vAlign w:val="bottom"/>
          </w:tcPr>
          <w:p>
            <w:pPr>
              <w:ind w:left="620"/>
              <w:spacing w:after="0"/>
              <w:rPr>
                <w:sz w:val="20"/>
                <w:szCs w:val="20"/>
                <w:color w:val="auto"/>
              </w:rPr>
            </w:pPr>
            <w:r>
              <w:rPr>
                <w:rFonts w:ascii="Arial" w:cs="Arial" w:eastAsia="Arial" w:hAnsi="Arial"/>
                <w:sz w:val="16"/>
                <w:szCs w:val="16"/>
                <w:color w:val="auto"/>
              </w:rPr>
              <w:t>Bethesda, MD</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4260" w:type="dxa"/>
            <w:vAlign w:val="bottom"/>
          </w:tcPr>
          <w:p>
            <w:pPr>
              <w:ind w:left="420"/>
              <w:spacing w:after="0"/>
              <w:rPr>
                <w:sz w:val="20"/>
                <w:szCs w:val="20"/>
                <w:color w:val="auto"/>
              </w:rPr>
            </w:pPr>
            <w:r>
              <w:rPr>
                <w:rFonts w:ascii="Arial" w:cs="Arial" w:eastAsia="Arial" w:hAnsi="Arial"/>
                <w:sz w:val="16"/>
                <w:szCs w:val="16"/>
                <w:color w:val="auto"/>
              </w:rPr>
              <w:t>Pasadena, CA</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Brick Plaza</w:t>
            </w:r>
          </w:p>
        </w:tc>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Brick, NJ</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Philadelphia, PA</w:t>
            </w:r>
          </w:p>
        </w:tc>
      </w:tr>
      <w:tr>
        <w:trPr>
          <w:trHeight w:val="237"/>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380" w:type="dxa"/>
            <w:vAlign w:val="bottom"/>
          </w:tcPr>
          <w:p>
            <w:pPr>
              <w:ind w:left="620"/>
              <w:spacing w:after="0"/>
              <w:rPr>
                <w:sz w:val="20"/>
                <w:szCs w:val="20"/>
                <w:color w:val="auto"/>
              </w:rPr>
            </w:pPr>
            <w:r>
              <w:rPr>
                <w:rFonts w:ascii="Arial" w:cs="Arial" w:eastAsia="Arial" w:hAnsi="Arial"/>
                <w:sz w:val="16"/>
                <w:szCs w:val="16"/>
                <w:color w:val="auto"/>
              </w:rPr>
              <w:t>Highland Park, IL</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Riverpoint Center</w:t>
            </w:r>
          </w:p>
        </w:tc>
        <w:tc>
          <w:tcPr>
            <w:tcW w:w="4260" w:type="dxa"/>
            <w:vAlign w:val="bottom"/>
          </w:tcPr>
          <w:p>
            <w:pPr>
              <w:ind w:left="420"/>
              <w:spacing w:after="0"/>
              <w:rPr>
                <w:sz w:val="20"/>
                <w:szCs w:val="20"/>
                <w:color w:val="auto"/>
              </w:rPr>
            </w:pPr>
            <w:r>
              <w:rPr>
                <w:rFonts w:ascii="Arial" w:cs="Arial" w:eastAsia="Arial" w:hAnsi="Arial"/>
                <w:sz w:val="16"/>
                <w:szCs w:val="16"/>
                <w:color w:val="auto"/>
              </w:rPr>
              <w:t>Chicago, IL</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Darien, CT</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South Miami, FL</w:t>
            </w:r>
          </w:p>
        </w:tc>
      </w:tr>
      <w:tr>
        <w:trPr>
          <w:trHeight w:val="237"/>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380" w:type="dxa"/>
            <w:vAlign w:val="bottom"/>
          </w:tcPr>
          <w:p>
            <w:pPr>
              <w:ind w:left="620"/>
              <w:spacing w:after="0"/>
              <w:rPr>
                <w:sz w:val="20"/>
                <w:szCs w:val="20"/>
                <w:color w:val="auto"/>
              </w:rPr>
            </w:pPr>
            <w:r>
              <w:rPr>
                <w:rFonts w:ascii="Arial" w:cs="Arial" w:eastAsia="Arial" w:hAnsi="Arial"/>
                <w:sz w:val="16"/>
                <w:szCs w:val="16"/>
                <w:color w:val="auto"/>
              </w:rPr>
              <w:t>Dedham, MA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260" w:type="dxa"/>
            <w:vAlign w:val="bottom"/>
          </w:tcPr>
          <w:p>
            <w:pPr>
              <w:ind w:left="420"/>
              <w:spacing w:after="0"/>
              <w:rPr>
                <w:sz w:val="20"/>
                <w:szCs w:val="20"/>
                <w:color w:val="auto"/>
              </w:rPr>
            </w:pPr>
            <w:r>
              <w:rPr>
                <w:rFonts w:ascii="Arial" w:cs="Arial" w:eastAsia="Arial" w:hAnsi="Arial"/>
                <w:sz w:val="16"/>
                <w:szCs w:val="16"/>
                <w:color w:val="auto"/>
              </w:rPr>
              <w:t>Santa Monica, CA</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20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Fourth Street</w:t>
            </w:r>
          </w:p>
        </w:tc>
        <w:tc>
          <w:tcPr>
            <w:tcW w:w="23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Berkeley, CA</w:t>
            </w:r>
          </w:p>
        </w:tc>
        <w:tc>
          <w:tcPr>
            <w:tcW w:w="272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0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2340" w:type="dxa"/>
            <w:vAlign w:val="bottom"/>
          </w:tcPr>
          <w:p>
            <w:pPr>
              <w:ind w:left="520"/>
              <w:spacing w:after="0"/>
              <w:rPr>
                <w:sz w:val="20"/>
                <w:szCs w:val="20"/>
                <w:color w:val="auto"/>
              </w:rPr>
            </w:pPr>
            <w:r>
              <w:rPr>
                <w:rFonts w:ascii="Arial" w:cs="Arial" w:eastAsia="Arial" w:hAnsi="Arial"/>
                <w:sz w:val="16"/>
                <w:szCs w:val="16"/>
                <w:color w:val="auto"/>
              </w:rPr>
              <w:t>Charlottesville,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940" w:type="dxa"/>
            <w:vAlign w:val="bottom"/>
          </w:tcPr>
          <w:p>
            <w:pPr>
              <w:ind w:left="10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4040" w:type="dxa"/>
            <w:vAlign w:val="bottom"/>
            <w:gridSpan w:val="2"/>
          </w:tcPr>
          <w:p>
            <w:pPr>
              <w:spacing w:after="0"/>
              <w:rPr>
                <w:sz w:val="23"/>
                <w:szCs w:val="23"/>
                <w:color w:val="auto"/>
              </w:rPr>
            </w:pPr>
          </w:p>
        </w:tc>
        <w:tc>
          <w:tcPr>
            <w:tcW w:w="29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37"/>
        </w:trPr>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9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Assembly Row (1)</w:t>
            </w:r>
          </w:p>
        </w:tc>
        <w:tc>
          <w:tcPr>
            <w:tcW w:w="2340" w:type="dxa"/>
            <w:vAlign w:val="bottom"/>
          </w:tcPr>
          <w:p>
            <w:pPr>
              <w:ind w:left="520"/>
              <w:spacing w:after="0"/>
              <w:rPr>
                <w:sz w:val="20"/>
                <w:szCs w:val="20"/>
                <w:color w:val="auto"/>
              </w:rPr>
            </w:pPr>
            <w:r>
              <w:rPr>
                <w:rFonts w:ascii="Arial" w:cs="Arial" w:eastAsia="Arial" w:hAnsi="Arial"/>
                <w:sz w:val="16"/>
                <w:szCs w:val="16"/>
                <w:color w:val="auto"/>
              </w:rPr>
              <w:t>Somerville, MA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94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w w:val="94"/>
              </w:rPr>
              <w:t>Santana Row - Winchester Theater</w:t>
            </w:r>
          </w:p>
        </w:tc>
        <w:tc>
          <w:tcPr>
            <w:tcW w:w="39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7 Plaza</w:t>
            </w:r>
          </w:p>
        </w:tc>
        <w:tc>
          <w:tcPr>
            <w:tcW w:w="2340" w:type="dxa"/>
            <w:vAlign w:val="bottom"/>
          </w:tcPr>
          <w:p>
            <w:pPr>
              <w:ind w:left="520"/>
              <w:spacing w:after="0"/>
              <w:rPr>
                <w:sz w:val="20"/>
                <w:szCs w:val="20"/>
                <w:color w:val="auto"/>
              </w:rPr>
            </w:pPr>
            <w:r>
              <w:rPr>
                <w:rFonts w:ascii="Arial" w:cs="Arial" w:eastAsia="Arial" w:hAnsi="Arial"/>
                <w:sz w:val="16"/>
                <w:szCs w:val="16"/>
                <w:color w:val="auto"/>
              </w:rPr>
              <w:t>Vienna,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site</w:t>
            </w:r>
          </w:p>
        </w:tc>
        <w:tc>
          <w:tcPr>
            <w:tcW w:w="394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&amp; Rose (2)</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North Bethesda, MD</w:t>
            </w:r>
          </w:p>
        </w:tc>
        <w:tc>
          <w:tcPr>
            <w:tcW w:w="298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3"/>
        </w:trPr>
        <w:tc>
          <w:tcPr>
            <w:tcW w:w="21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34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3940" w:type="dxa"/>
            <w:vAlign w:val="bottom"/>
            <w:tcBorders>
              <w:top w:val="single" w:sz="8" w:color="CCEEFF"/>
            </w:tcBorders>
            <w:shd w:val="clear" w:color="auto" w:fill="CCEEFF"/>
          </w:tcPr>
          <w:p>
            <w:pPr>
              <w:spacing w:after="0"/>
              <w:rPr>
                <w:sz w:val="4"/>
                <w:szCs w:val="4"/>
                <w:color w:val="auto"/>
              </w:rPr>
            </w:pPr>
          </w:p>
        </w:tc>
      </w:tr>
      <w:tr>
        <w:trPr>
          <w:trHeight w:val="224"/>
        </w:trPr>
        <w:tc>
          <w:tcPr>
            <w:tcW w:w="30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1860" w:type="dxa"/>
            <w:vAlign w:val="bottom"/>
            <w:gridSpan w:val="2"/>
          </w:tcPr>
          <w:p>
            <w:pPr>
              <w:ind w:left="80"/>
              <w:spacing w:after="0"/>
              <w:rPr>
                <w:sz w:val="20"/>
                <w:szCs w:val="20"/>
                <w:color w:val="auto"/>
              </w:rPr>
            </w:pPr>
            <w:r>
              <w:rPr>
                <w:rFonts w:ascii="Arial" w:cs="Arial" w:eastAsia="Arial" w:hAnsi="Arial"/>
                <w:sz w:val="16"/>
                <w:szCs w:val="16"/>
                <w:color w:val="auto"/>
              </w:rPr>
              <w:t>Assembly Row</w:t>
            </w:r>
          </w:p>
        </w:tc>
        <w:tc>
          <w:tcPr>
            <w:tcW w:w="9260" w:type="dxa"/>
            <w:vAlign w:val="bottom"/>
            <w:gridSpan w:val="3"/>
          </w:tcPr>
          <w:p>
            <w:pPr>
              <w:ind w:left="52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826 residential units.</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60" w:type="dxa"/>
            <w:vAlign w:val="bottom"/>
            <w:gridSpan w:val="3"/>
          </w:tcPr>
          <w:p>
            <w:pPr>
              <w:spacing w:after="0"/>
              <w:rPr>
                <w:sz w:val="2"/>
                <w:szCs w:val="2"/>
                <w:color w:val="auto"/>
              </w:rPr>
            </w:pPr>
          </w:p>
        </w:tc>
      </w:tr>
      <w:tr>
        <w:trPr>
          <w:trHeight w:val="237"/>
        </w:trPr>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1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Pike &amp; Rose</w:t>
            </w:r>
          </w:p>
        </w:tc>
        <w:tc>
          <w:tcPr>
            <w:tcW w:w="92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741 residential units.</w:t>
            </w:r>
          </w:p>
        </w:tc>
      </w:tr>
      <w:tr>
        <w:trPr>
          <w:trHeight w:val="224"/>
        </w:trPr>
        <w:tc>
          <w:tcPr>
            <w:tcW w:w="300" w:type="dxa"/>
            <w:vAlign w:val="bottom"/>
            <w:gridSpan w:val="2"/>
          </w:tcPr>
          <w:p>
            <w:pPr>
              <w:ind w:left="40"/>
              <w:spacing w:after="0"/>
              <w:rPr>
                <w:sz w:val="20"/>
                <w:szCs w:val="20"/>
                <w:color w:val="auto"/>
              </w:rPr>
            </w:pPr>
            <w:r>
              <w:rPr>
                <w:rFonts w:ascii="Arial" w:cs="Arial" w:eastAsia="Arial" w:hAnsi="Arial"/>
                <w:sz w:val="16"/>
                <w:szCs w:val="16"/>
                <w:color w:val="auto"/>
              </w:rPr>
              <w:t>(3)</w:t>
            </w:r>
          </w:p>
        </w:tc>
        <w:tc>
          <w:tcPr>
            <w:tcW w:w="1860" w:type="dxa"/>
            <w:vAlign w:val="bottom"/>
            <w:gridSpan w:val="2"/>
          </w:tcPr>
          <w:p>
            <w:pPr>
              <w:ind w:left="80"/>
              <w:spacing w:after="0"/>
              <w:rPr>
                <w:sz w:val="20"/>
                <w:szCs w:val="20"/>
                <w:color w:val="auto"/>
              </w:rPr>
            </w:pPr>
            <w:r>
              <w:rPr>
                <w:rFonts w:ascii="Arial" w:cs="Arial" w:eastAsia="Arial" w:hAnsi="Arial"/>
                <w:sz w:val="16"/>
                <w:szCs w:val="16"/>
                <w:color w:val="auto"/>
              </w:rPr>
              <w:t>Santana Row</w:t>
            </w:r>
          </w:p>
        </w:tc>
        <w:tc>
          <w:tcPr>
            <w:tcW w:w="9260" w:type="dxa"/>
            <w:vAlign w:val="bottom"/>
            <w:gridSpan w:val="3"/>
          </w:tcPr>
          <w:p>
            <w:pPr>
              <w:ind w:left="520"/>
              <w:spacing w:after="0"/>
              <w:rPr>
                <w:sz w:val="20"/>
                <w:szCs w:val="20"/>
                <w:color w:val="auto"/>
              </w:rPr>
            </w:pPr>
            <w:r>
              <w:rPr>
                <w:rFonts w:ascii="Arial" w:cs="Arial" w:eastAsia="Arial" w:hAnsi="Arial"/>
                <w:sz w:val="14"/>
                <w:szCs w:val="14"/>
                <w:color w:val="auto"/>
              </w:rPr>
              <w:t>Remaining entitlements include approximately 321,000 square feet of commercial space and 395 residential units.</w:t>
            </w:r>
          </w:p>
        </w:tc>
      </w:tr>
      <w:tr>
        <w:trPr>
          <w:trHeight w:val="492"/>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ind w:left="1120"/>
              <w:spacing w:after="0"/>
              <w:rPr>
                <w:sz w:val="20"/>
                <w:szCs w:val="20"/>
                <w:color w:val="auto"/>
              </w:rPr>
            </w:pPr>
            <w:r>
              <w:rPr>
                <w:rFonts w:ascii="Arial" w:cs="Arial" w:eastAsia="Arial" w:hAnsi="Arial"/>
                <w:sz w:val="18"/>
                <w:szCs w:val="18"/>
                <w:color w:val="auto"/>
              </w:rPr>
              <w:t>20</w:t>
            </w:r>
          </w:p>
        </w:tc>
        <w:tc>
          <w:tcPr>
            <w:tcW w:w="394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2017 Significant Acquisitions and Dispositions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2017 Significant Acquisitions</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Property</w:t>
            </w: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City/State</w:t>
            </w:r>
          </w:p>
        </w:tc>
        <w:tc>
          <w:tcPr>
            <w:tcW w:w="1440" w:type="dxa"/>
            <w:vAlign w:val="bottom"/>
            <w:tcBorders>
              <w:bottom w:val="single" w:sz="8" w:color="auto"/>
            </w:tcBorders>
          </w:tcPr>
          <w:p>
            <w:pPr>
              <w:jc w:val="center"/>
              <w:ind w:left="163"/>
              <w:spacing w:after="0"/>
              <w:rPr>
                <w:sz w:val="20"/>
                <w:szCs w:val="20"/>
                <w:color w:val="auto"/>
              </w:rPr>
            </w:pPr>
            <w:r>
              <w:rPr>
                <w:rFonts w:ascii="Arial" w:cs="Arial" w:eastAsia="Arial" w:hAnsi="Arial"/>
                <w:sz w:val="14"/>
                <w:szCs w:val="14"/>
                <w:b w:val="1"/>
                <w:bCs w:val="1"/>
                <w:color w:val="auto"/>
              </w:rPr>
              <w:t>GLA</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4"/>
              </w:rPr>
              <w:t>Purchase Price</w:t>
            </w:r>
          </w:p>
        </w:tc>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Principal Tenants</w:t>
            </w:r>
          </w:p>
        </w:tc>
        <w:tc>
          <w:tcPr>
            <w:tcW w:w="400" w:type="dxa"/>
            <w:vAlign w:val="bottom"/>
            <w:tcBorders>
              <w:bottom w:val="single" w:sz="8" w:color="auto"/>
            </w:tcBorders>
          </w:tcPr>
          <w:p>
            <w:pPr>
              <w:spacing w:after="0"/>
              <w:rPr>
                <w:sz w:val="16"/>
                <w:szCs w:val="16"/>
                <w:color w:val="auto"/>
              </w:rPr>
            </w:pPr>
          </w:p>
        </w:tc>
      </w:tr>
      <w:tr>
        <w:trPr>
          <w:trHeight w:val="217"/>
        </w:trPr>
        <w:tc>
          <w:tcPr>
            <w:tcW w:w="1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jc w:val="center"/>
              <w:ind w:left="163"/>
              <w:spacing w:after="0"/>
              <w:rPr>
                <w:sz w:val="20"/>
                <w:szCs w:val="20"/>
                <w:color w:val="auto"/>
              </w:rPr>
            </w:pPr>
            <w:r>
              <w:rPr>
                <w:rFonts w:ascii="Arial" w:cs="Arial" w:eastAsia="Arial" w:hAnsi="Arial"/>
                <w:sz w:val="14"/>
                <w:szCs w:val="14"/>
                <w:b w:val="1"/>
                <w:bCs w:val="1"/>
                <w:color w:val="auto"/>
                <w:w w:val="91"/>
              </w:rPr>
              <w:t>(in square feet)</w:t>
            </w:r>
          </w:p>
        </w:tc>
        <w:tc>
          <w:tcPr>
            <w:tcW w:w="280" w:type="dxa"/>
            <w:vAlign w:val="bottom"/>
          </w:tcPr>
          <w:p>
            <w:pPr>
              <w:spacing w:after="0"/>
              <w:rPr>
                <w:sz w:val="18"/>
                <w:szCs w:val="18"/>
                <w:color w:val="auto"/>
              </w:rPr>
            </w:pPr>
          </w:p>
        </w:tc>
        <w:tc>
          <w:tcPr>
            <w:tcW w:w="1220" w:type="dxa"/>
            <w:vAlign w:val="bottom"/>
          </w:tcPr>
          <w:p>
            <w:pPr>
              <w:jc w:val="right"/>
              <w:ind w:right="243"/>
              <w:spacing w:after="0"/>
              <w:rPr>
                <w:sz w:val="20"/>
                <w:szCs w:val="20"/>
                <w:color w:val="auto"/>
              </w:rPr>
            </w:pPr>
            <w:r>
              <w:rPr>
                <w:rFonts w:ascii="Arial" w:cs="Arial" w:eastAsia="Arial" w:hAnsi="Arial"/>
                <w:sz w:val="14"/>
                <w:szCs w:val="14"/>
                <w:b w:val="1"/>
                <w:bCs w:val="1"/>
                <w:color w:val="auto"/>
              </w:rPr>
              <w:t>(in millions)</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53"/>
        </w:trPr>
        <w:tc>
          <w:tcPr>
            <w:tcW w:w="18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20"/>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2017</w:t>
            </w:r>
          </w:p>
        </w:tc>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Hastings Ranch Plaza</w:t>
            </w:r>
          </w:p>
        </w:tc>
        <w:tc>
          <w:tcPr>
            <w:tcW w:w="2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Pasadena, California</w:t>
            </w:r>
          </w:p>
        </w:tc>
        <w:tc>
          <w:tcPr>
            <w:tcW w:w="1440" w:type="dxa"/>
            <w:vAlign w:val="bottom"/>
            <w:shd w:val="clear" w:color="auto" w:fill="CCEEFF"/>
          </w:tcPr>
          <w:p>
            <w:pPr>
              <w:jc w:val="center"/>
              <w:ind w:left="163"/>
              <w:spacing w:after="0"/>
              <w:rPr>
                <w:sz w:val="20"/>
                <w:szCs w:val="20"/>
                <w:color w:val="auto"/>
              </w:rPr>
            </w:pPr>
            <w:r>
              <w:rPr>
                <w:rFonts w:ascii="Arial" w:cs="Arial" w:eastAsia="Arial" w:hAnsi="Arial"/>
                <w:sz w:val="16"/>
                <w:szCs w:val="16"/>
                <w:color w:val="auto"/>
                <w:w w:val="89"/>
              </w:rPr>
              <w:t>274,000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w:t>
            </w:r>
          </w:p>
        </w:tc>
        <w:tc>
          <w:tcPr>
            <w:tcW w:w="2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Marshalls / HomeGoods / CVS /</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19"/>
        </w:trPr>
        <w:tc>
          <w:tcPr>
            <w:tcW w:w="18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Sears</w:t>
            </w:r>
          </w:p>
        </w:tc>
        <w:tc>
          <w:tcPr>
            <w:tcW w:w="400" w:type="dxa"/>
            <w:vAlign w:val="bottom"/>
            <w:tcBorders>
              <w:bottom w:val="single" w:sz="8" w:color="CCEEFF"/>
            </w:tcBorders>
            <w:shd w:val="clear" w:color="auto" w:fill="CCEEFF"/>
          </w:tcPr>
          <w:p>
            <w:pPr>
              <w:spacing w:after="0"/>
              <w:rPr>
                <w:sz w:val="19"/>
                <w:szCs w:val="19"/>
                <w:color w:val="auto"/>
              </w:rPr>
            </w:pPr>
          </w:p>
        </w:tc>
      </w:tr>
      <w:tr>
        <w:trPr>
          <w:trHeight w:val="220"/>
        </w:trPr>
        <w:tc>
          <w:tcPr>
            <w:tcW w:w="1820" w:type="dxa"/>
            <w:vAlign w:val="bottom"/>
          </w:tcPr>
          <w:p>
            <w:pPr>
              <w:ind w:left="20"/>
              <w:spacing w:after="0"/>
              <w:rPr>
                <w:sz w:val="20"/>
                <w:szCs w:val="20"/>
                <w:color w:val="auto"/>
              </w:rPr>
            </w:pPr>
            <w:r>
              <w:rPr>
                <w:rFonts w:ascii="Arial" w:cs="Arial" w:eastAsia="Arial" w:hAnsi="Arial"/>
                <w:sz w:val="16"/>
                <w:szCs w:val="16"/>
                <w:color w:val="auto"/>
              </w:rPr>
              <w:t>March 31, 2017</w:t>
            </w:r>
          </w:p>
        </w:tc>
        <w:tc>
          <w:tcPr>
            <w:tcW w:w="1880" w:type="dxa"/>
            <w:vAlign w:val="bottom"/>
          </w:tcPr>
          <w:p>
            <w:pPr>
              <w:ind w:left="140"/>
              <w:spacing w:after="0"/>
              <w:rPr>
                <w:sz w:val="20"/>
                <w:szCs w:val="20"/>
                <w:color w:val="auto"/>
              </w:rPr>
            </w:pPr>
            <w:r>
              <w:rPr>
                <w:rFonts w:ascii="Arial" w:cs="Arial" w:eastAsia="Arial" w:hAnsi="Arial"/>
                <w:sz w:val="16"/>
                <w:szCs w:val="16"/>
                <w:color w:val="auto"/>
              </w:rPr>
              <w:t>Riverpoint Center</w:t>
            </w:r>
          </w:p>
        </w:tc>
        <w:tc>
          <w:tcPr>
            <w:tcW w:w="2020" w:type="dxa"/>
            <w:vAlign w:val="bottom"/>
          </w:tcPr>
          <w:p>
            <w:pPr>
              <w:ind w:left="320"/>
              <w:spacing w:after="0"/>
              <w:rPr>
                <w:sz w:val="20"/>
                <w:szCs w:val="20"/>
                <w:color w:val="auto"/>
              </w:rPr>
            </w:pPr>
            <w:r>
              <w:rPr>
                <w:rFonts w:ascii="Arial" w:cs="Arial" w:eastAsia="Arial" w:hAnsi="Arial"/>
                <w:sz w:val="16"/>
                <w:szCs w:val="16"/>
                <w:color w:val="auto"/>
              </w:rPr>
              <w:t>Chicago, Illinois</w:t>
            </w:r>
          </w:p>
        </w:tc>
        <w:tc>
          <w:tcPr>
            <w:tcW w:w="1440" w:type="dxa"/>
            <w:vAlign w:val="bottom"/>
          </w:tcPr>
          <w:p>
            <w:pPr>
              <w:jc w:val="center"/>
              <w:ind w:left="163"/>
              <w:spacing w:after="0"/>
              <w:rPr>
                <w:sz w:val="20"/>
                <w:szCs w:val="20"/>
                <w:color w:val="auto"/>
              </w:rPr>
            </w:pPr>
            <w:r>
              <w:rPr>
                <w:rFonts w:ascii="Arial" w:cs="Arial" w:eastAsia="Arial" w:hAnsi="Arial"/>
                <w:sz w:val="16"/>
                <w:szCs w:val="16"/>
                <w:color w:val="auto"/>
                <w:w w:val="89"/>
              </w:rPr>
              <w:t>211,000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107.0</w:t>
            </w:r>
          </w:p>
        </w:tc>
        <w:tc>
          <w:tcPr>
            <w:tcW w:w="2300" w:type="dxa"/>
            <w:vAlign w:val="bottom"/>
          </w:tcPr>
          <w:p>
            <w:pPr>
              <w:ind w:left="120"/>
              <w:spacing w:after="0"/>
              <w:rPr>
                <w:sz w:val="20"/>
                <w:szCs w:val="20"/>
                <w:color w:val="auto"/>
              </w:rPr>
            </w:pPr>
            <w:r>
              <w:rPr>
                <w:rFonts w:ascii="Arial" w:cs="Arial" w:eastAsia="Arial" w:hAnsi="Arial"/>
                <w:sz w:val="16"/>
                <w:szCs w:val="16"/>
                <w:color w:val="auto"/>
              </w:rPr>
              <w:t>Jewel Osco / Marshalls / Old</w:t>
            </w:r>
          </w:p>
        </w:tc>
        <w:tc>
          <w:tcPr>
            <w:tcW w:w="400" w:type="dxa"/>
            <w:vAlign w:val="bottom"/>
          </w:tcPr>
          <w:p>
            <w:pPr>
              <w:spacing w:after="0"/>
              <w:rPr>
                <w:sz w:val="19"/>
                <w:szCs w:val="19"/>
                <w:color w:val="auto"/>
              </w:rPr>
            </w:pPr>
          </w:p>
        </w:tc>
      </w:tr>
      <w:tr>
        <w:trPr>
          <w:trHeight w:val="206"/>
        </w:trPr>
        <w:tc>
          <w:tcPr>
            <w:tcW w:w="1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00" w:type="dxa"/>
            <w:vAlign w:val="bottom"/>
          </w:tcPr>
          <w:p>
            <w:pPr>
              <w:ind w:left="120"/>
              <w:spacing w:after="0"/>
              <w:rPr>
                <w:sz w:val="20"/>
                <w:szCs w:val="20"/>
                <w:color w:val="auto"/>
              </w:rPr>
            </w:pPr>
            <w:r>
              <w:rPr>
                <w:rFonts w:ascii="Arial" w:cs="Arial" w:eastAsia="Arial" w:hAnsi="Arial"/>
                <w:sz w:val="16"/>
                <w:szCs w:val="16"/>
                <w:color w:val="auto"/>
              </w:rPr>
              <w:t>Navy</w:t>
            </w:r>
          </w:p>
        </w:tc>
        <w:tc>
          <w:tcPr>
            <w:tcW w:w="400" w:type="dxa"/>
            <w:vAlign w:val="bottom"/>
          </w:tcPr>
          <w:p>
            <w:pPr>
              <w:spacing w:after="0"/>
              <w:rPr>
                <w:sz w:val="17"/>
                <w:szCs w:val="17"/>
                <w:color w:val="auto"/>
              </w:rPr>
            </w:pPr>
          </w:p>
        </w:tc>
      </w:tr>
      <w:tr>
        <w:trPr>
          <w:trHeight w:val="33"/>
        </w:trPr>
        <w:tc>
          <w:tcPr>
            <w:tcW w:w="1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 19, 2017</w:t>
            </w:r>
          </w:p>
        </w:tc>
        <w:tc>
          <w:tcPr>
            <w:tcW w:w="1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Fourth Street</w:t>
            </w:r>
          </w:p>
        </w:tc>
        <w:tc>
          <w:tcPr>
            <w:tcW w:w="2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Berkeley, California</w:t>
            </w:r>
          </w:p>
        </w:tc>
        <w:tc>
          <w:tcPr>
            <w:tcW w:w="1440" w:type="dxa"/>
            <w:vAlign w:val="bottom"/>
            <w:tcBorders>
              <w:bottom w:val="single" w:sz="8" w:color="CCEEFF"/>
            </w:tcBorders>
            <w:shd w:val="clear" w:color="auto" w:fill="CCEEFF"/>
          </w:tcPr>
          <w:p>
            <w:pPr>
              <w:jc w:val="center"/>
              <w:ind w:left="163"/>
              <w:spacing w:after="0"/>
              <w:rPr>
                <w:sz w:val="20"/>
                <w:szCs w:val="20"/>
                <w:color w:val="auto"/>
              </w:rPr>
            </w:pPr>
            <w:r>
              <w:rPr>
                <w:rFonts w:ascii="Arial" w:cs="Arial" w:eastAsia="Arial" w:hAnsi="Arial"/>
                <w:sz w:val="16"/>
                <w:szCs w:val="16"/>
                <w:color w:val="auto"/>
                <w:w w:val="89"/>
              </w:rPr>
              <w:t>71,000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23.9</w:t>
            </w:r>
          </w:p>
        </w:tc>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CB2 / Ingram Book Group</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0"/>
        </w:trPr>
        <w:tc>
          <w:tcPr>
            <w:tcW w:w="18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40"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acquired the leasehold interest in Hastings Ranch Plaza. The land is controlled under a long-term ground lease that expires on April 30, 2054.</w:t>
      </w:r>
    </w:p>
    <w:p>
      <w:pPr>
        <w:spacing w:after="0" w:line="74" w:lineRule="exact"/>
        <w:rPr>
          <w:rFonts w:ascii="Arial" w:cs="Arial" w:eastAsia="Arial" w:hAnsi="Arial"/>
          <w:sz w:val="17"/>
          <w:szCs w:val="17"/>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 was completed through a newly formed entity for which we own a 90% interest.</w:t>
      </w:r>
    </w:p>
    <w:p>
      <w:pPr>
        <w:spacing w:after="0" w:line="3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2, 2017, we acquired an approximately 90% interest in a joint venture that owns six shopping centers in Los Angeles County, California based on a gross value of $357 million, including the assumption of $79.4 million of mortgage debt. That joint venture also acquired a 24.5% interest in La Alameda, a shopping center in Walnut Park, California for $19.8 million. The property has $41.0 million of mortgage debt, of which the joint venture's share is approximately $10 million. Additional information on the properties is listed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Property</w:t>
            </w: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GLA</w:t>
            </w:r>
          </w:p>
        </w:tc>
        <w:tc>
          <w:tcPr>
            <w:tcW w:w="4340" w:type="dxa"/>
            <w:vAlign w:val="bottom"/>
          </w:tcPr>
          <w:p>
            <w:pPr>
              <w:spacing w:after="0"/>
              <w:rPr>
                <w:sz w:val="18"/>
                <w:szCs w:val="18"/>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8"/>
        </w:trPr>
        <w:tc>
          <w:tcPr>
            <w:tcW w:w="24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(in square feet)</w:t>
            </w:r>
          </w:p>
        </w:tc>
        <w:tc>
          <w:tcPr>
            <w:tcW w:w="4340" w:type="dxa"/>
            <w:vAlign w:val="bottom"/>
          </w:tcPr>
          <w:p>
            <w:pPr>
              <w:spacing w:after="0"/>
              <w:rPr>
                <w:sz w:val="22"/>
                <w:szCs w:val="22"/>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222,000</w:t>
            </w: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Marshalls / Ross Dress for Less / Ulta / CVS</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330,000</w:t>
            </w:r>
          </w:p>
        </w:tc>
        <w:tc>
          <w:tcPr>
            <w:tcW w:w="4340" w:type="dxa"/>
            <w:vAlign w:val="bottom"/>
          </w:tcPr>
          <w:p>
            <w:pPr>
              <w:ind w:left="40"/>
              <w:spacing w:after="0"/>
              <w:rPr>
                <w:sz w:val="20"/>
                <w:szCs w:val="20"/>
                <w:color w:val="auto"/>
              </w:rPr>
            </w:pPr>
            <w:r>
              <w:rPr>
                <w:rFonts w:ascii="Arial" w:cs="Arial" w:eastAsia="Arial" w:hAnsi="Arial"/>
                <w:sz w:val="16"/>
                <w:szCs w:val="16"/>
                <w:color w:val="auto"/>
              </w:rPr>
              <w:t>Marshalls / Ross Dress for Less / Petco / Food4Less</w:t>
            </w: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245,000</w:t>
            </w: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Marshalls / Ross Dress for Less / CVS / Petco</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4340" w:type="dxa"/>
            <w:vAlign w:val="bottom"/>
          </w:tcPr>
          <w:p>
            <w:pPr>
              <w:ind w:left="40"/>
              <w:spacing w:after="0"/>
              <w:rPr>
                <w:sz w:val="20"/>
                <w:szCs w:val="20"/>
                <w:color w:val="auto"/>
              </w:rPr>
            </w:pPr>
            <w:r>
              <w:rPr>
                <w:rFonts w:ascii="Arial" w:cs="Arial" w:eastAsia="Arial" w:hAnsi="Arial"/>
                <w:sz w:val="16"/>
                <w:szCs w:val="16"/>
                <w:color w:val="auto"/>
              </w:rPr>
              <w:t>Target / 24 Hour Fitness / Ross Dress for Less (Pre-leased)</w:t>
            </w:r>
          </w:p>
        </w:tc>
      </w:tr>
      <w:tr>
        <w:trPr>
          <w:trHeight w:val="47"/>
        </w:trPr>
        <w:tc>
          <w:tcPr>
            <w:tcW w:w="24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340" w:type="dxa"/>
            <w:vAlign w:val="bottom"/>
          </w:tcPr>
          <w:p>
            <w:pPr>
              <w:spacing w:after="0"/>
              <w:rPr>
                <w:sz w:val="4"/>
                <w:szCs w:val="4"/>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48,000</w:t>
            </w: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Marshalls / Starbucks</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204,000</w:t>
            </w:r>
          </w:p>
        </w:tc>
        <w:tc>
          <w:tcPr>
            <w:tcW w:w="4340" w:type="dxa"/>
            <w:vAlign w:val="bottom"/>
          </w:tcPr>
          <w:p>
            <w:pPr>
              <w:ind w:left="40"/>
              <w:spacing w:after="0"/>
              <w:rPr>
                <w:sz w:val="20"/>
                <w:szCs w:val="20"/>
                <w:color w:val="auto"/>
              </w:rPr>
            </w:pPr>
            <w:r>
              <w:rPr>
                <w:rFonts w:ascii="Arial" w:cs="Arial" w:eastAsia="Arial" w:hAnsi="Arial"/>
                <w:sz w:val="16"/>
                <w:szCs w:val="16"/>
                <w:color w:val="auto"/>
              </w:rPr>
              <w:t>Costco / Best Buy</w:t>
            </w: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148,000</w:t>
            </w: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CVS / Food4Less</w:t>
            </w:r>
          </w:p>
        </w:tc>
      </w:tr>
      <w:tr>
        <w:trPr>
          <w:trHeight w:val="217"/>
        </w:trPr>
        <w:tc>
          <w:tcPr>
            <w:tcW w:w="2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1,352,000</w:t>
            </w:r>
          </w:p>
        </w:tc>
        <w:tc>
          <w:tcPr>
            <w:tcW w:w="434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24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right="340" w:hanging="5"/>
        <w:spacing w:after="0" w:line="293"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Property is currently being redeveloped. GLA reflects approximate square footage once the property is fully open and operating. Approximately 105,000 square feet is currently occupied.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2017 Significant Dispositions</w:t>
      </w:r>
    </w:p>
    <w:p>
      <w:pPr>
        <w:spacing w:after="0" w:line="30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4, 2017 and June 28, 2017, the sale transactions at our Assembly Row property in Somerville, Massachusetts related to the purchase options on our Partners HealthCare and AvalonBay ground lease parcels, respectively, closed. The total sales price was $53.3 million, which resulted in a gain of $15.4 million. During the third quarter of 2017, the following sale transactions closed: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2080" w:type="dxa"/>
            <w:vAlign w:val="bottom"/>
          </w:tcPr>
          <w:p>
            <w:pPr>
              <w:ind w:left="220"/>
              <w:spacing w:after="0"/>
              <w:rPr>
                <w:sz w:val="20"/>
                <w:szCs w:val="20"/>
                <w:color w:val="auto"/>
              </w:rPr>
            </w:pPr>
            <w:r>
              <w:rPr>
                <w:rFonts w:ascii="Arial" w:cs="Arial" w:eastAsia="Arial" w:hAnsi="Arial"/>
                <w:sz w:val="16"/>
                <w:szCs w:val="16"/>
                <w:b w:val="1"/>
                <w:bCs w:val="1"/>
                <w:color w:val="auto"/>
              </w:rPr>
              <w:t>Property</w:t>
            </w:r>
          </w:p>
        </w:tc>
        <w:tc>
          <w:tcPr>
            <w:tcW w:w="2580" w:type="dxa"/>
            <w:vAlign w:val="bottom"/>
          </w:tcPr>
          <w:p>
            <w:pPr>
              <w:ind w:left="1200"/>
              <w:spacing w:after="0"/>
              <w:rPr>
                <w:sz w:val="20"/>
                <w:szCs w:val="20"/>
                <w:color w:val="auto"/>
              </w:rPr>
            </w:pPr>
            <w:r>
              <w:rPr>
                <w:rFonts w:ascii="Arial" w:cs="Arial" w:eastAsia="Arial" w:hAnsi="Arial"/>
                <w:sz w:val="16"/>
                <w:szCs w:val="16"/>
                <w:b w:val="1"/>
                <w:bCs w:val="1"/>
                <w:color w:val="auto"/>
              </w:rPr>
              <w:t>City/State</w:t>
            </w:r>
          </w:p>
        </w:tc>
        <w:tc>
          <w:tcPr>
            <w:tcW w:w="1640" w:type="dxa"/>
            <w:vAlign w:val="bottom"/>
          </w:tcPr>
          <w:p>
            <w:pPr>
              <w:jc w:val="center"/>
              <w:ind w:left="221"/>
              <w:spacing w:after="0"/>
              <w:rPr>
                <w:sz w:val="20"/>
                <w:szCs w:val="20"/>
                <w:color w:val="auto"/>
              </w:rPr>
            </w:pPr>
            <w:r>
              <w:rPr>
                <w:rFonts w:ascii="Arial" w:cs="Arial" w:eastAsia="Arial" w:hAnsi="Arial"/>
                <w:sz w:val="16"/>
                <w:szCs w:val="16"/>
                <w:b w:val="1"/>
                <w:bCs w:val="1"/>
                <w:color w:val="auto"/>
              </w:rPr>
              <w:t>GLA</w:t>
            </w:r>
          </w:p>
        </w:tc>
        <w:tc>
          <w:tcPr>
            <w:tcW w:w="480" w:type="dxa"/>
            <w:vAlign w:val="bottom"/>
          </w:tcPr>
          <w:p>
            <w:pPr>
              <w:spacing w:after="0"/>
              <w:rPr>
                <w:sz w:val="18"/>
                <w:szCs w:val="18"/>
                <w:color w:val="auto"/>
              </w:rPr>
            </w:pPr>
          </w:p>
        </w:tc>
        <w:tc>
          <w:tcPr>
            <w:tcW w:w="1380" w:type="dxa"/>
            <w:vAlign w:val="bottom"/>
          </w:tcPr>
          <w:p>
            <w:pPr>
              <w:jc w:val="right"/>
              <w:ind w:right="361"/>
              <w:spacing w:after="0"/>
              <w:rPr>
                <w:sz w:val="20"/>
                <w:szCs w:val="20"/>
                <w:color w:val="auto"/>
              </w:rPr>
            </w:pPr>
            <w:r>
              <w:rPr>
                <w:rFonts w:ascii="Arial" w:cs="Arial" w:eastAsia="Arial" w:hAnsi="Arial"/>
                <w:sz w:val="16"/>
                <w:szCs w:val="16"/>
                <w:b w:val="1"/>
                <w:bCs w:val="1"/>
                <w:color w:val="auto"/>
              </w:rPr>
              <w:t>Sales Price</w:t>
            </w:r>
          </w:p>
        </w:tc>
        <w:tc>
          <w:tcPr>
            <w:tcW w:w="320" w:type="dxa"/>
            <w:vAlign w:val="bottom"/>
          </w:tcPr>
          <w:p>
            <w:pPr>
              <w:spacing w:after="0"/>
              <w:rPr>
                <w:sz w:val="18"/>
                <w:szCs w:val="18"/>
                <w:color w:val="auto"/>
              </w:rPr>
            </w:pPr>
          </w:p>
        </w:tc>
        <w:tc>
          <w:tcPr>
            <w:tcW w:w="1400" w:type="dxa"/>
            <w:vAlign w:val="bottom"/>
          </w:tcPr>
          <w:p>
            <w:pPr>
              <w:jc w:val="right"/>
              <w:ind w:right="401"/>
              <w:spacing w:after="0"/>
              <w:rPr>
                <w:sz w:val="20"/>
                <w:szCs w:val="20"/>
                <w:color w:val="auto"/>
              </w:rPr>
            </w:pPr>
            <w:r>
              <w:rPr>
                <w:rFonts w:ascii="Arial" w:cs="Arial" w:eastAsia="Arial" w:hAnsi="Arial"/>
                <w:sz w:val="16"/>
                <w:szCs w:val="16"/>
                <w:b w:val="1"/>
                <w:bCs w:val="1"/>
                <w:color w:val="auto"/>
              </w:rPr>
              <w:t>Total Gain</w:t>
            </w:r>
          </w:p>
        </w:tc>
      </w:tr>
      <w:tr>
        <w:trPr>
          <w:trHeight w:val="33"/>
        </w:trPr>
        <w:tc>
          <w:tcPr>
            <w:tcW w:w="15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1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40" w:type="dxa"/>
            <w:vAlign w:val="bottom"/>
          </w:tcPr>
          <w:p>
            <w:pPr>
              <w:jc w:val="center"/>
              <w:ind w:left="241"/>
              <w:spacing w:after="0"/>
              <w:rPr>
                <w:sz w:val="20"/>
                <w:szCs w:val="20"/>
                <w:color w:val="auto"/>
              </w:rPr>
            </w:pPr>
            <w:r>
              <w:rPr>
                <w:rFonts w:ascii="Arial" w:cs="Arial" w:eastAsia="Arial" w:hAnsi="Arial"/>
                <w:sz w:val="14"/>
                <w:szCs w:val="14"/>
                <w:b w:val="1"/>
                <w:bCs w:val="1"/>
                <w:color w:val="auto"/>
                <w:w w:val="91"/>
              </w:rPr>
              <w:t>(in square feet)</w:t>
            </w:r>
          </w:p>
        </w:tc>
        <w:tc>
          <w:tcPr>
            <w:tcW w:w="480" w:type="dxa"/>
            <w:vAlign w:val="bottom"/>
          </w:tcPr>
          <w:p>
            <w:pPr>
              <w:spacing w:after="0"/>
              <w:rPr>
                <w:sz w:val="22"/>
                <w:szCs w:val="22"/>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2"/>
                <w:szCs w:val="22"/>
                <w:color w:val="auto"/>
              </w:rPr>
            </w:pPr>
          </w:p>
        </w:tc>
        <w:tc>
          <w:tcPr>
            <w:tcW w:w="1400" w:type="dxa"/>
            <w:vAlign w:val="bottom"/>
          </w:tcPr>
          <w:p>
            <w:pPr>
              <w:jc w:val="right"/>
              <w:ind w:right="401"/>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25, 2017</w:t>
            </w:r>
          </w:p>
        </w:tc>
        <w:tc>
          <w:tcPr>
            <w:tcW w:w="2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150 Post Street</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 Francisco, California</w:t>
            </w:r>
          </w:p>
        </w:tc>
        <w:tc>
          <w:tcPr>
            <w:tcW w:w="1640" w:type="dxa"/>
            <w:vAlign w:val="bottom"/>
            <w:tcBorders>
              <w:bottom w:val="single" w:sz="8" w:color="CCEEFF"/>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105,000</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69.3</w:t>
            </w:r>
          </w:p>
        </w:tc>
        <w:tc>
          <w:tcPr>
            <w:tcW w:w="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September 25, 2017</w:t>
            </w:r>
          </w:p>
        </w:tc>
        <w:tc>
          <w:tcPr>
            <w:tcW w:w="2080" w:type="dxa"/>
            <w:vAlign w:val="bottom"/>
          </w:tcPr>
          <w:p>
            <w:pPr>
              <w:ind w:left="220"/>
              <w:spacing w:after="0"/>
              <w:rPr>
                <w:sz w:val="20"/>
                <w:szCs w:val="20"/>
                <w:color w:val="auto"/>
              </w:rPr>
            </w:pPr>
            <w:r>
              <w:rPr>
                <w:rFonts w:ascii="Arial" w:cs="Arial" w:eastAsia="Arial" w:hAnsi="Arial"/>
                <w:sz w:val="16"/>
                <w:szCs w:val="16"/>
                <w:color w:val="auto"/>
              </w:rPr>
              <w:t>North Lake Commons</w:t>
            </w:r>
          </w:p>
        </w:tc>
        <w:tc>
          <w:tcPr>
            <w:tcW w:w="2580" w:type="dxa"/>
            <w:vAlign w:val="bottom"/>
          </w:tcPr>
          <w:p>
            <w:pPr>
              <w:ind w:left="420"/>
              <w:spacing w:after="0"/>
              <w:rPr>
                <w:sz w:val="20"/>
                <w:szCs w:val="20"/>
                <w:color w:val="auto"/>
              </w:rPr>
            </w:pPr>
            <w:r>
              <w:rPr>
                <w:rFonts w:ascii="Arial" w:cs="Arial" w:eastAsia="Arial" w:hAnsi="Arial"/>
                <w:sz w:val="16"/>
                <w:szCs w:val="16"/>
                <w:color w:val="auto"/>
              </w:rPr>
              <w:t>Lake Zurich, Illinois</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3"/>
              </w:rPr>
              <w:t>129,000</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4.9</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Rent PSF</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MSA Description</w:t>
            </w: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7"/>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7"/>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Barcroft Plaza</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2"/>
              </w:rPr>
              <w:t>Washington, DC-MD- $</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45,499</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115,000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$24.18</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46,000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w w:val="94"/>
              </w:rPr>
              <w:t>Harris Teeter</w:t>
            </w:r>
          </w:p>
        </w:tc>
        <w:tc>
          <w:tcPr>
            <w:tcW w:w="2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Bethesda Row</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226,074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51.05</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40,000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Apple / Equinox / Multiple Restaurants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Congressional Plaza</w:t>
            </w:r>
          </w:p>
        </w:tc>
        <w:tc>
          <w:tcPr>
            <w:tcW w:w="3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9"/>
              </w:rPr>
              <w:t>102,321</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41.07</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194</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The Fresh</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1"/>
              </w:rPr>
              <w:t>Buy Buy Baby / Saks Fifth Avenue Off 5th</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VA</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Neiman Marcus</w:t>
            </w: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 Center</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5,151</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Falls Plaza/Falls Plaza-</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14,011</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35.09</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51,000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420" w:type="dxa"/>
            <w:vAlign w:val="bottom"/>
            <w:gridSpan w:val="3"/>
          </w:tcPr>
          <w:p>
            <w:pPr>
              <w:ind w:left="40"/>
              <w:spacing w:after="0"/>
              <w:rPr>
                <w:sz w:val="20"/>
                <w:szCs w:val="20"/>
                <w:color w:val="auto"/>
              </w:rPr>
            </w:pPr>
            <w:r>
              <w:rPr>
                <w:rFonts w:ascii="Arial" w:cs="Arial" w:eastAsia="Arial" w:hAnsi="Arial"/>
                <w:sz w:val="13"/>
                <w:szCs w:val="13"/>
                <w:color w:val="auto"/>
              </w:rPr>
              <w:t>East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Federal Plaza</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69,880</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36.50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14,000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Trader Joe's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TJ Maxx / Micro Center / Ross Dress For</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w:t>
            </w: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Free State Shopping</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64,777</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17.57</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73,000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7"/>
              </w:rPr>
              <w:t>TJ Maxx / Ross Dress For Less / Office</w:t>
            </w:r>
          </w:p>
        </w:tc>
      </w:tr>
      <w:tr>
        <w:trPr>
          <w:trHeight w:val="168"/>
        </w:trPr>
        <w:tc>
          <w:tcPr>
            <w:tcW w:w="142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Depot</w:t>
            </w: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38,115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29.71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Nordstrom Rack / DSW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w:t>
            </w: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27,440</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27.98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88"/>
              </w:rPr>
              <w:t>Bed, Bath &amp; Beyond / Ross Dress For Less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 Ashley Furniture HomeStore</w:t>
            </w: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35,207</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Stein Mart</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Idylwood Plaza</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16,913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47.24</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30,000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w w:val="93"/>
              </w:rPr>
              <w:t>Whole Foods</w:t>
            </w:r>
          </w:p>
        </w:tc>
        <w:tc>
          <w:tcPr>
            <w:tcW w:w="2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57,327</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61,000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Leesburg Plaza</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36,488</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22.80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Petsmart / Gold's Gym / Office Depot</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160,121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71,054</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30.33</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73,000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Marshalls / Old Navy / Barnes &amp; Noble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Bob's Discount Furniture</w:t>
            </w: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3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84,701</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570,000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17.91</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62,000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Shoppers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42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 Richmond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VA</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Food</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Beyond / Results Fitness</w:t>
            </w:r>
          </w:p>
        </w:tc>
      </w:tr>
      <w:tr>
        <w:trPr>
          <w:trHeight w:val="168"/>
        </w:trPr>
        <w:tc>
          <w:tcPr>
            <w:tcW w:w="142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7,848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39.08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24,000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Whole Foods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 / Planet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Pan Am</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29,233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25.37</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65,000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Safeway</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Micro Center / CVS / Michaels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103,324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36.25</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Harris Teeter</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Bed, Bath &amp; Beyond / DSW</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&amp; Rose</w:t>
            </w:r>
          </w:p>
        </w:tc>
        <w:tc>
          <w:tcPr>
            <w:tcW w:w="3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9"/>
              </w:rPr>
              <w:t>585,290</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402,000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36.81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690</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iPic Theater / Porsche / H &amp; M / REI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Pinstripes / Multiple Restaurants</w:t>
            </w: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44,698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46.10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TJ Maxx / DSW / Crunch Fitness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del Mercado</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46,187</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117,000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30.30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Aldi</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38,918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19,000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Aldi</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L.A. Fitness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Rockville Town Square</w:t>
            </w:r>
          </w:p>
        </w:tc>
        <w:tc>
          <w:tcPr>
            <w:tcW w:w="3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51,102</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4,455</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27.93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Dawson's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3"/>
              </w:rPr>
              <w:t>CVS / Gold's Gym / Multiple Restaurants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Market</w:t>
            </w: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Rollingwood Apartments</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10,786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20,820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N/A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Sam's Park &amp; Shop</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12,838</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83%</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45.02</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Petco</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9"/>
              </w:rPr>
              <w:t>Tower Shopping Center</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21,928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25.73</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26,000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Mart</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Tyson's Station</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4,666</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46.32</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11,000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 Shirlington</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DC-MD-</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64,987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6,646</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38.57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28,000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Harris Teeter</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Carlyle Grand Café</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Wildwood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Washington, DC-MD-</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20,463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99.04</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20,000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Balducci's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70"/>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96"/>
        </w:trPr>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340" w:type="dxa"/>
            <w:vAlign w:val="bottom"/>
            <w:tcBorders>
              <w:top w:val="single" w:sz="8" w:color="CCEEFF"/>
              <w:bottom w:val="single" w:sz="8" w:color="CCEEFF"/>
            </w:tcBorders>
            <w:gridSpan w:val="4"/>
            <w:shd w:val="clear" w:color="auto" w:fill="CCEEFF"/>
          </w:tcPr>
          <w:p>
            <w:pPr>
              <w:ind w:left="340"/>
              <w:spacing w:after="0"/>
              <w:rPr>
                <w:sz w:val="20"/>
                <w:szCs w:val="20"/>
                <w:color w:val="auto"/>
              </w:rPr>
            </w:pPr>
            <w:r>
              <w:rPr>
                <w:rFonts w:ascii="Arial" w:cs="Arial" w:eastAsia="Arial" w:hAnsi="Arial"/>
                <w:sz w:val="13"/>
                <w:szCs w:val="13"/>
                <w:b w:val="1"/>
                <w:bCs w:val="1"/>
                <w:color w:val="auto"/>
                <w:w w:val="88"/>
              </w:rPr>
              <w:t>Total Washington Metropolitan Area</w:t>
            </w:r>
          </w:p>
        </w:tc>
        <w:tc>
          <w:tcPr>
            <w:tcW w:w="660" w:type="dxa"/>
            <w:vAlign w:val="bottom"/>
            <w:tcBorders>
              <w:top w:val="single" w:sz="8" w:color="auto"/>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w w:val="89"/>
              </w:rPr>
              <w:t>2,026,293</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451</w:t>
            </w:r>
          </w:p>
        </w:tc>
        <w:tc>
          <w:tcPr>
            <w:tcW w:w="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6,200,000</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32.64</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rPr>
              <w:t>California</w:t>
            </w: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Azalea</w:t>
            </w:r>
          </w:p>
        </w:tc>
        <w:tc>
          <w:tcPr>
            <w:tcW w:w="3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9"/>
              </w:rPr>
              <w:t>107,340</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40,000</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27.43</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7"/>
              </w:rPr>
              <w:t>Marshalls / Ross Dress for Less / Ulta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Beach-Anaheim, CA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Bell Gardens</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100,650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13,184</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67,000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Food 4 Less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Marshalls / Ross Dress for Less / Petco</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19,517</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45.04</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Beach-Anaheim, CA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Crow Canyon Commons</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San Ramon, CA</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90,345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32,000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Sprouts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Orchard Supply Hardware / Rite Aid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Wine &amp; More</w:t>
            </w:r>
          </w:p>
        </w:tc>
      </w:tr>
      <w:tr>
        <w:trPr>
          <w:trHeight w:val="148"/>
        </w:trPr>
        <w:tc>
          <w:tcPr>
            <w:tcW w:w="1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San Francisco-</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9"/>
              </w:rPr>
              <w:t>178,886</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18.42</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59,000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Pak-N-Save</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7"/>
              </w:rPr>
              <w:t>Home Depot / Target / Nordstrom Rack</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w w:val="98"/>
              </w:rPr>
              <w:t>Oakland-Fremont, CA</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96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96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2"/>
              </w:rPr>
              <w:t>Grocery</w:t>
            </w: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8"/>
        </w:trPr>
        <w:tc>
          <w:tcPr>
            <w:tcW w:w="13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Escondido Promenade</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Diego,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49,476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25.29</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TJ Maxx / Dick’s Sporting Goods / Ross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Dress For Less / Toys R Us</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Fourth Street</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San Francisco-</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23,876</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28.14</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86"/>
              </w:rPr>
              <w:t>Oakland-San Jose, 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Hastings Ranch Plaza</w:t>
            </w: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22,629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HomeGoods / CVS / Sears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Hermosa Avenue</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6,044</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&lt;1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49.18</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46,939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DSW / L.A. Fitness / La La</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Land</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Kings Court</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11,668</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32.55</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31,000</w:t>
            </w:r>
          </w:p>
        </w:tc>
        <w:tc>
          <w:tcPr>
            <w:tcW w:w="780" w:type="dxa"/>
            <w:vAlign w:val="bottom"/>
          </w:tcPr>
          <w:p>
            <w:pPr>
              <w:ind w:left="20"/>
              <w:spacing w:after="0" w:line="148" w:lineRule="exact"/>
              <w:rPr>
                <w:sz w:val="20"/>
                <w:szCs w:val="20"/>
                <w:color w:val="auto"/>
              </w:rPr>
            </w:pPr>
            <w:r>
              <w:rPr>
                <w:rFonts w:ascii="Arial" w:cs="Arial" w:eastAsia="Arial" w:hAnsi="Arial"/>
                <w:sz w:val="13"/>
                <w:szCs w:val="13"/>
                <w:color w:val="auto"/>
              </w:rPr>
              <w:t>Lunardi's</w:t>
            </w: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w w:val="94"/>
              </w:rPr>
              <w:t>Super Market</w:t>
            </w:r>
          </w:p>
        </w:tc>
        <w:tc>
          <w:tcPr>
            <w:tcW w:w="2320" w:type="dxa"/>
            <w:vAlign w:val="bottom"/>
          </w:tcPr>
          <w:p>
            <w:pPr>
              <w:spacing w:after="0"/>
              <w:rPr>
                <w:sz w:val="14"/>
                <w:szCs w:val="14"/>
                <w:color w:val="auto"/>
              </w:rPr>
            </w:pPr>
          </w:p>
        </w:tc>
      </w:tr>
      <w:tr>
        <w:trPr>
          <w:trHeight w:val="204"/>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37,182</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98,000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41.40</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Olivo at Mission Hills</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95"/>
              </w:rPr>
              <w:t>(4) (9)</w:t>
            </w: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72,138</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30.05</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w w:val="99"/>
              </w:rPr>
              <w:t>Target / 24 Hour Fitness / Fallas Stores</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 Del Sol</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17,936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8,579</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Pacoima</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50,365</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14.33</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Costco / Best Buy</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Plaza El Segundo / The</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281,020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125,000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Whole Foods</w:t>
            </w: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Anthropologie / HomeGoods / Dick's</w:t>
            </w:r>
          </w:p>
        </w:tc>
      </w:tr>
      <w:tr>
        <w:trPr>
          <w:trHeight w:val="17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Point</w:t>
            </w: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Sporting Goods / Multiple Restaurants</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Santana Row</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862,233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885,000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52.42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662</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w w:val="97"/>
              </w:rPr>
              <w:t>Crate &amp; Barrel / H&amp;M / Container Store /</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Arial" w:cs="Arial" w:eastAsia="Arial" w:hAnsi="Arial"/>
                <w:sz w:val="13"/>
                <w:szCs w:val="13"/>
                <w:color w:val="auto"/>
              </w:rPr>
              <w:t>Multiple Restaurants</w:t>
            </w: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San Antonio Center</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Francisco-</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73,720</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Trader Joe's</w:t>
            </w: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Wal-mart / Kohl's / 24 Hour Fitness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6"/>
              </w:rPr>
              <w:t>Oakland-San Jose,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Sylmar Towne Center</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43,534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17,362</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14.56</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43,000</w:t>
            </w:r>
          </w:p>
        </w:tc>
        <w:tc>
          <w:tcPr>
            <w:tcW w:w="780" w:type="dxa"/>
            <w:vAlign w:val="bottom"/>
          </w:tcPr>
          <w:p>
            <w:pPr>
              <w:ind w:left="20"/>
              <w:spacing w:after="0" w:line="148" w:lineRule="exact"/>
              <w:rPr>
                <w:sz w:val="20"/>
                <w:szCs w:val="20"/>
                <w:color w:val="auto"/>
              </w:rPr>
            </w:pPr>
            <w:r>
              <w:rPr>
                <w:rFonts w:ascii="Arial" w:cs="Arial" w:eastAsia="Arial" w:hAnsi="Arial"/>
                <w:sz w:val="13"/>
                <w:szCs w:val="13"/>
                <w:color w:val="auto"/>
              </w:rPr>
              <w:t>Food 4 Less</w:t>
            </w: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Third Street Promenade</w:t>
            </w: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78,663</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79.66</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Banana Republic / Old Navy / J. Crew /</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Beach-Anaheim, 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Abercrombie &amp; Fitch</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153,329</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17.78</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780" w:type="dxa"/>
            <w:vAlign w:val="bottom"/>
          </w:tcPr>
          <w:p>
            <w:pPr>
              <w:ind w:left="20"/>
              <w:spacing w:after="0" w:line="148" w:lineRule="exact"/>
              <w:rPr>
                <w:sz w:val="20"/>
                <w:szCs w:val="20"/>
                <w:color w:val="auto"/>
              </w:rPr>
            </w:pPr>
            <w:r>
              <w:rPr>
                <w:rFonts w:ascii="Arial" w:cs="Arial" w:eastAsia="Arial" w:hAnsi="Arial"/>
                <w:sz w:val="13"/>
                <w:szCs w:val="13"/>
                <w:color w:val="auto"/>
              </w:rPr>
              <w:t>Walmart</w:t>
            </w: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w w:val="96"/>
              </w:rPr>
              <w:t>Target / Nordstrom Rack / Nike Factory /</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w w:val="90"/>
              </w:rPr>
              <w:t>Neighborhood</w:t>
            </w:r>
          </w:p>
        </w:tc>
        <w:tc>
          <w:tcPr>
            <w:tcW w:w="2320" w:type="dxa"/>
            <w:vAlign w:val="bottom"/>
          </w:tcPr>
          <w:p>
            <w:pPr>
              <w:ind w:left="40"/>
              <w:spacing w:after="0" w:line="135" w:lineRule="exact"/>
              <w:rPr>
                <w:sz w:val="20"/>
                <w:szCs w:val="20"/>
                <w:color w:val="auto"/>
              </w:rPr>
            </w:pPr>
            <w:r>
              <w:rPr>
                <w:rFonts w:ascii="Arial" w:cs="Arial" w:eastAsia="Arial" w:hAnsi="Arial"/>
                <w:sz w:val="13"/>
                <w:szCs w:val="13"/>
                <w:color w:val="auto"/>
              </w:rPr>
              <w:t>Burlington</w:t>
            </w:r>
          </w:p>
        </w:tc>
      </w:tr>
      <w:tr>
        <w:trPr>
          <w:trHeight w:val="170"/>
        </w:trPr>
        <w:tc>
          <w:tcPr>
            <w:tcW w:w="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Market</w:t>
            </w:r>
          </w:p>
        </w:tc>
        <w:tc>
          <w:tcPr>
            <w:tcW w:w="2320" w:type="dxa"/>
            <w:vAlign w:val="bottom"/>
            <w:tcBorders>
              <w:bottom w:val="single" w:sz="8" w:color="CCEEFF"/>
            </w:tcBorders>
          </w:tcPr>
          <w:p>
            <w:pPr>
              <w:spacing w:after="0"/>
              <w:rPr>
                <w:sz w:val="14"/>
                <w:szCs w:val="14"/>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b w:val="1"/>
                <w:bCs w:val="1"/>
                <w:color w:val="auto"/>
                <w:w w:val="90"/>
              </w:rPr>
              <w:t>Total California</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w w:val="89"/>
              </w:rPr>
              <w:t>2,327,490</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381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5,442,000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30.51</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rPr>
              <w:t>NY Metro/New Jersey</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Brick Plaza</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76,472</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77%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64%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21.40</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AMC / Barnes &amp; Noble / Ulta / DSW</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40"/>
              <w:spacing w:after="0" w:line="135" w:lineRule="exact"/>
              <w:rPr>
                <w:sz w:val="20"/>
                <w:szCs w:val="20"/>
                <w:color w:val="auto"/>
              </w:rPr>
            </w:pPr>
            <w:r>
              <w:rPr>
                <w:rFonts w:ascii="Arial" w:cs="Arial" w:eastAsia="Arial" w:hAnsi="Arial"/>
                <w:sz w:val="13"/>
                <w:szCs w:val="13"/>
                <w:color w:val="auto"/>
              </w:rPr>
              <w:t>New Jersey-Long</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Island, NY-NJ-PA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Brook 35</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 (6)</w:t>
            </w: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York-Northern</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47,526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11,500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36.09</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Banana Republic / Gap / Coach / Williams-</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New Jersey-Long</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3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Sonoma</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Island, NY-NJ-PA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Darien</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New Haven-</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49,973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28.47</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780" w:type="dxa"/>
            <w:vAlign w:val="bottom"/>
          </w:tcPr>
          <w:p>
            <w:pPr>
              <w:ind w:left="20"/>
              <w:spacing w:after="0" w:line="148" w:lineRule="exact"/>
              <w:rPr>
                <w:sz w:val="20"/>
                <w:szCs w:val="20"/>
                <w:color w:val="auto"/>
              </w:rPr>
            </w:pPr>
            <w:r>
              <w:rPr>
                <w:rFonts w:ascii="Arial" w:cs="Arial" w:eastAsia="Arial" w:hAnsi="Arial"/>
                <w:sz w:val="13"/>
                <w:szCs w:val="13"/>
                <w:color w:val="auto"/>
              </w:rPr>
              <w:t>Stop &amp; Shop</w:t>
            </w: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40"/>
              <w:spacing w:after="0" w:line="135" w:lineRule="exact"/>
              <w:rPr>
                <w:sz w:val="20"/>
                <w:szCs w:val="20"/>
                <w:color w:val="auto"/>
              </w:rPr>
            </w:pPr>
            <w:r>
              <w:rPr>
                <w:rFonts w:ascii="Arial" w:cs="Arial" w:eastAsia="Arial" w:hAnsi="Arial"/>
                <w:sz w:val="13"/>
                <w:szCs w:val="13"/>
                <w:color w:val="auto"/>
                <w:w w:val="93"/>
              </w:rPr>
              <w:t>Bridgeport-Stamford-</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Waterbury</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04"/>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90,275</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32.35</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rPr>
              <w:t>Island of Gold</w:t>
            </w:r>
          </w:p>
        </w:tc>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 Kohl's / Michaels</w:t>
            </w: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Greenlawn Plaza</w:t>
            </w:r>
          </w:p>
        </w:tc>
        <w:tc>
          <w:tcPr>
            <w:tcW w:w="46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31,704</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18.07</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46,000</w:t>
            </w:r>
          </w:p>
        </w:tc>
        <w:tc>
          <w:tcPr>
            <w:tcW w:w="780" w:type="dxa"/>
            <w:vAlign w:val="bottom"/>
          </w:tcPr>
          <w:p>
            <w:pPr>
              <w:ind w:left="20"/>
              <w:spacing w:after="0" w:line="148" w:lineRule="exact"/>
              <w:rPr>
                <w:sz w:val="20"/>
                <w:szCs w:val="20"/>
                <w:color w:val="auto"/>
              </w:rPr>
            </w:pPr>
            <w:r>
              <w:rPr>
                <w:rFonts w:ascii="Arial" w:cs="Arial" w:eastAsia="Arial" w:hAnsi="Arial"/>
                <w:sz w:val="13"/>
                <w:szCs w:val="13"/>
                <w:color w:val="auto"/>
              </w:rPr>
              <w:t>Greenlawn</w:t>
            </w:r>
          </w:p>
        </w:tc>
        <w:tc>
          <w:tcPr>
            <w:tcW w:w="2320" w:type="dxa"/>
            <w:vAlign w:val="bottom"/>
          </w:tcPr>
          <w:p>
            <w:pPr>
              <w:ind w:left="4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Farms</w:t>
            </w:r>
          </w:p>
        </w:tc>
        <w:tc>
          <w:tcPr>
            <w:tcW w:w="232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Greenwich Avenue</w:t>
            </w: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Haven-</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14,127</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70.15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Saks Fifth Avenue</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Bridgeport-Stamford-</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Hauppauge</w:t>
            </w:r>
          </w:p>
        </w:tc>
        <w:tc>
          <w:tcPr>
            <w:tcW w:w="46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29,071</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28.72</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61,000</w:t>
            </w:r>
          </w:p>
        </w:tc>
        <w:tc>
          <w:tcPr>
            <w:tcW w:w="780" w:type="dxa"/>
            <w:vAlign w:val="bottom"/>
          </w:tcPr>
          <w:p>
            <w:pPr>
              <w:ind w:left="20"/>
              <w:spacing w:after="0"/>
              <w:rPr>
                <w:sz w:val="20"/>
                <w:szCs w:val="20"/>
                <w:color w:val="auto"/>
              </w:rPr>
            </w:pPr>
            <w:r>
              <w:rPr>
                <w:rFonts w:ascii="Arial" w:cs="Arial" w:eastAsia="Arial" w:hAnsi="Arial"/>
                <w:sz w:val="13"/>
                <w:szCs w:val="13"/>
                <w:color w:val="auto"/>
              </w:rPr>
              <w:t>Shop Rite</w:t>
            </w:r>
          </w:p>
        </w:tc>
        <w:tc>
          <w:tcPr>
            <w:tcW w:w="232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148"/>
        </w:trPr>
        <w:tc>
          <w:tcPr>
            <w:tcW w:w="13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47,346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25.36</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Nordstrom Rack / Bed, Bath &amp; Beyond /</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Michaels</w:t>
            </w: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Huntington Square</w:t>
            </w:r>
          </w:p>
        </w:tc>
        <w:tc>
          <w:tcPr>
            <w:tcW w:w="46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12,181</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580" w:type="dxa"/>
            <w:vAlign w:val="bottom"/>
          </w:tcPr>
          <w:p>
            <w:pPr>
              <w:jc w:val="right"/>
              <w:spacing w:after="0"/>
              <w:rPr>
                <w:sz w:val="20"/>
                <w:szCs w:val="20"/>
                <w:color w:val="auto"/>
              </w:rPr>
            </w:pPr>
            <w:r>
              <w:rPr>
                <w:rFonts w:ascii="Arial" w:cs="Arial" w:eastAsia="Arial" w:hAnsi="Arial"/>
                <w:sz w:val="13"/>
                <w:szCs w:val="13"/>
                <w:color w:val="auto"/>
              </w:rPr>
              <w:t>85%</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27.96</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2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43"/>
        </w:trPr>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148"/>
        </w:trPr>
        <w:tc>
          <w:tcPr>
            <w:tcW w:w="13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Melville Mall</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88,600</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26.14</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53,000</w:t>
            </w:r>
          </w:p>
        </w:tc>
        <w:tc>
          <w:tcPr>
            <w:tcW w:w="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Uncle</w:t>
            </w:r>
          </w:p>
        </w:tc>
        <w:tc>
          <w:tcPr>
            <w:tcW w:w="2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Marshalls / Dick's Sporting Goods / Field &amp;</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Giuseppe's</w:t>
            </w:r>
          </w:p>
        </w:tc>
        <w:tc>
          <w:tcPr>
            <w:tcW w:w="23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Stream / Macy's Backstage</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2320" w:type="dxa"/>
            <w:vAlign w:val="bottom"/>
            <w:shd w:val="clear" w:color="auto" w:fill="CCEEFF"/>
          </w:tcPr>
          <w:p>
            <w:pPr>
              <w:spacing w:after="0"/>
              <w:rPr>
                <w:sz w:val="15"/>
                <w:szCs w:val="15"/>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7"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340" w:type="dxa"/>
            <w:vAlign w:val="bottom"/>
          </w:tcPr>
          <w:p>
            <w:pPr>
              <w:spacing w:after="0"/>
              <w:rPr>
                <w:sz w:val="11"/>
                <w:szCs w:val="11"/>
                <w:color w:val="auto"/>
              </w:rPr>
            </w:pPr>
          </w:p>
        </w:tc>
      </w:tr>
      <w:tr>
        <w:trPr>
          <w:trHeight w:val="174"/>
        </w:trPr>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70"/>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Mercer Mall</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Trenton, NJ</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126,742</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55,548</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530,000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24.71</w:t>
            </w:r>
          </w:p>
        </w:tc>
        <w:tc>
          <w:tcPr>
            <w:tcW w:w="68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75,000</w:t>
            </w:r>
          </w:p>
        </w:tc>
        <w:tc>
          <w:tcPr>
            <w:tcW w:w="760" w:type="dxa"/>
            <w:vAlign w:val="bottom"/>
          </w:tcPr>
          <w:p>
            <w:pPr>
              <w:ind w:left="20"/>
              <w:spacing w:after="0"/>
              <w:rPr>
                <w:sz w:val="20"/>
                <w:szCs w:val="20"/>
                <w:color w:val="auto"/>
              </w:rPr>
            </w:pPr>
            <w:r>
              <w:rPr>
                <w:rFonts w:ascii="Arial" w:cs="Arial" w:eastAsia="Arial" w:hAnsi="Arial"/>
                <w:sz w:val="13"/>
                <w:szCs w:val="13"/>
                <w:color w:val="auto"/>
              </w:rPr>
              <w:t>Shop Rite</w:t>
            </w:r>
          </w:p>
        </w:tc>
        <w:tc>
          <w:tcPr>
            <w:tcW w:w="2340" w:type="dxa"/>
            <w:vAlign w:val="bottom"/>
          </w:tcPr>
          <w:p>
            <w:pPr>
              <w:ind w:left="60"/>
              <w:spacing w:after="0"/>
              <w:rPr>
                <w:sz w:val="20"/>
                <w:szCs w:val="20"/>
                <w:color w:val="auto"/>
              </w:rPr>
            </w:pPr>
            <w:r>
              <w:rPr>
                <w:rFonts w:ascii="Arial" w:cs="Arial" w:eastAsia="Arial" w:hAnsi="Arial"/>
                <w:sz w:val="13"/>
                <w:szCs w:val="13"/>
                <w:color w:val="auto"/>
                <w:w w:val="96"/>
              </w:rPr>
              <w:t>TJ Maxx / Nordstrom Rack / Bed, Bath &amp;</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Beyond / REI</w:t>
            </w: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1"/>
              </w:rPr>
              <w:t>The Grove at Shrewsbury</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 (6)</w:t>
            </w: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York-Northern</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125,017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54,145</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46.49</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Lululemon / Anthropologie / Pottery Barn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New Jersey-Long</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Williams-Sonoma</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Island, NY-NJ-PA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Newark, NJ</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36,743</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22.45</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Michaels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340" w:type="dxa"/>
            <w:vAlign w:val="bottom"/>
            <w:tcBorders>
              <w:bottom w:val="single" w:sz="8" w:color="CCEEFF"/>
            </w:tcBorders>
          </w:tcPr>
          <w:p>
            <w:pPr>
              <w:spacing w:after="0"/>
              <w:rPr>
                <w:sz w:val="3"/>
                <w:szCs w:val="3"/>
                <w:color w:val="auto"/>
              </w:rPr>
            </w:pPr>
          </w:p>
        </w:tc>
      </w:tr>
      <w:tr>
        <w:trPr>
          <w:trHeight w:val="190"/>
        </w:trPr>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Total NY Metro/New Jersey</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775,777</w:t>
            </w: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262</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2,833,000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28.34</w:t>
            </w:r>
          </w:p>
        </w:tc>
        <w:tc>
          <w:tcPr>
            <w:tcW w:w="6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9"/>
              </w:rPr>
              <w:t>Philadelphia Metropolitan Area</w:t>
            </w: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Andorra</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w w:val="98"/>
              </w:rPr>
              <w:t>Philadelphia,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25,939</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14.82</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Acme</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Kohl's / L.A. Fitness / Staples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Markets</w:t>
            </w: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41,474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Michaels / L.A.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73"/>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Ellisburg</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34,548</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16.35</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47,000</w:t>
            </w:r>
          </w:p>
        </w:tc>
        <w:tc>
          <w:tcPr>
            <w:tcW w:w="760" w:type="dxa"/>
            <w:vAlign w:val="bottom"/>
          </w:tcPr>
          <w:p>
            <w:pPr>
              <w:ind w:left="20"/>
              <w:spacing w:after="0"/>
              <w:rPr>
                <w:sz w:val="20"/>
                <w:szCs w:val="20"/>
                <w:color w:val="auto"/>
              </w:rPr>
            </w:pPr>
            <w:r>
              <w:rPr>
                <w:rFonts w:ascii="Arial" w:cs="Arial" w:eastAsia="Arial" w:hAnsi="Arial"/>
                <w:sz w:val="13"/>
                <w:szCs w:val="13"/>
                <w:color w:val="auto"/>
                <w:w w:val="93"/>
              </w:rPr>
              <w:t>Whole Foods</w:t>
            </w:r>
          </w:p>
        </w:tc>
        <w:tc>
          <w:tcPr>
            <w:tcW w:w="234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196"/>
        </w:trPr>
        <w:tc>
          <w:tcPr>
            <w:tcW w:w="1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16,954</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22.05</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Movie Tavern</w:t>
            </w: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w w:val="98"/>
              </w:rPr>
              <w:t>Philadelphia,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22,126</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16.90</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Redner's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Warehouse</w:t>
            </w:r>
          </w:p>
        </w:tc>
        <w:tc>
          <w:tcPr>
            <w:tcW w:w="23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Mkts.</w:t>
            </w: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35,165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TJ Maxx / HomeGoods / Barnes &amp; Noble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73"/>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Northeast</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30,427</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580" w:type="dxa"/>
            <w:vAlign w:val="bottom"/>
          </w:tcPr>
          <w:p>
            <w:pPr>
              <w:jc w:val="right"/>
              <w:spacing w:after="0"/>
              <w:rPr>
                <w:sz w:val="20"/>
                <w:szCs w:val="20"/>
                <w:color w:val="auto"/>
              </w:rPr>
            </w:pPr>
            <w:r>
              <w:rPr>
                <w:rFonts w:ascii="Arial" w:cs="Arial" w:eastAsia="Arial" w:hAnsi="Arial"/>
                <w:sz w:val="13"/>
                <w:szCs w:val="13"/>
                <w:color w:val="auto"/>
              </w:rPr>
              <w:t>85%</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13.68</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5"/>
              </w:rPr>
              <w:t>Marshalls / Burlington / Ulta / A.C. Moore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148"/>
        </w:trPr>
        <w:tc>
          <w:tcPr>
            <w:tcW w:w="14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Philadelphia, PA-NJ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15,246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10.07</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36,000</w:t>
            </w:r>
          </w:p>
        </w:tc>
        <w:tc>
          <w:tcPr>
            <w:tcW w:w="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Rite Aid / Dollar Tree</w:t>
            </w:r>
          </w:p>
        </w:tc>
      </w:tr>
      <w:tr>
        <w:trPr>
          <w:trHeight w:val="17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Willow Grove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30,257</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19.28</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3"/>
              </w:rPr>
              <w:t>Marshalls / HomeGoods / Barnes &amp; Noble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216"/>
        </w:trPr>
        <w:tc>
          <w:tcPr>
            <w:tcW w:w="1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8"/>
              </w:rPr>
              <w:t>Philadelphia, PA-NJ</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42,906</w:t>
            </w:r>
          </w:p>
        </w:tc>
        <w:tc>
          <w:tcPr>
            <w:tcW w:w="6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27.83</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3"/>
                <w:szCs w:val="13"/>
                <w:b w:val="1"/>
                <w:bCs w:val="1"/>
                <w:color w:val="auto"/>
                <w:w w:val="95"/>
              </w:rPr>
              <w:t>Total Philadelphia Metropolitan Area</w:t>
            </w:r>
          </w:p>
        </w:tc>
        <w:tc>
          <w:tcPr>
            <w:tcW w:w="66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295,042</w:t>
            </w:r>
          </w:p>
        </w:tc>
        <w:tc>
          <w:tcPr>
            <w:tcW w:w="660" w:type="dxa"/>
            <w:vAlign w:val="bottom"/>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210</w:t>
            </w: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3"/>
              </w:rPr>
              <w:t>2,457,000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19.32</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148"/>
        </w:trPr>
        <w:tc>
          <w:tcPr>
            <w:tcW w:w="14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Row /</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(5)</w:t>
            </w: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691,525</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65</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810,000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24.97</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141</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18,000</w:t>
            </w:r>
          </w:p>
        </w:tc>
        <w:tc>
          <w:tcPr>
            <w:tcW w:w="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Trader Joe's</w:t>
            </w: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7"/>
              </w:rPr>
              <w:t>TJ Maxx / AMC / LEGOLAND Discovery</w:t>
            </w:r>
          </w:p>
        </w:tc>
      </w:tr>
      <w:tr>
        <w:trPr>
          <w:trHeight w:val="135"/>
        </w:trPr>
        <w:tc>
          <w:tcPr>
            <w:tcW w:w="142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Quincy, MA-NH</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Center / Multiple Restaurants &amp; Outlets</w:t>
            </w:r>
          </w:p>
        </w:tc>
      </w:tr>
      <w:tr>
        <w:trPr>
          <w:trHeight w:val="17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Marketplace</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Boston-Worcester-</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25,727</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16.43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64,000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w w:val="98"/>
              </w:rPr>
              <w:t>Stop &amp; Shop</w:t>
            </w:r>
          </w:p>
        </w:tc>
        <w:tc>
          <w:tcPr>
            <w:tcW w:w="234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ind w:left="40"/>
              <w:spacing w:after="0" w:line="135" w:lineRule="exact"/>
              <w:rPr>
                <w:sz w:val="20"/>
                <w:szCs w:val="20"/>
                <w:color w:val="auto"/>
              </w:rPr>
            </w:pPr>
            <w:r>
              <w:rPr>
                <w:rFonts w:ascii="Arial" w:cs="Arial" w:eastAsia="Arial" w:hAnsi="Arial"/>
                <w:sz w:val="13"/>
                <w:szCs w:val="13"/>
                <w:color w:val="auto"/>
              </w:rPr>
              <w:t>Lawrence-Lowell-</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Brockton, MA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Boston-Worcester-</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30,551</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16.13</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46,000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Roche Bros.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Lawrence-Lowell-</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Brockton, MA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42,898</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6,268</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12.32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41,076</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Star Market</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Planet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148,703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48.82</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Roche Bros.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9,369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Stop &amp; Shop</w:t>
            </w:r>
          </w:p>
        </w:tc>
        <w:tc>
          <w:tcPr>
            <w:tcW w:w="234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18,295</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17.77</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Big Y Foods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56"/>
        </w:trPr>
        <w:tc>
          <w:tcPr>
            <w:tcW w:w="1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15,262</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Super Stop &amp;</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Shop</w:t>
            </w:r>
          </w:p>
        </w:tc>
        <w:tc>
          <w:tcPr>
            <w:tcW w:w="234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w w:val="99"/>
              </w:rPr>
              <w:t>Total New England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1,023,406</w:t>
            </w:r>
          </w:p>
        </w:tc>
        <w:tc>
          <w:tcPr>
            <w:tcW w:w="6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2,101,000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22.36</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48"/>
        </w:trPr>
        <w:tc>
          <w:tcPr>
            <w:tcW w:w="14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Cocowalk</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(4) (8)</w:t>
            </w: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Miami-Ft Lauderdale</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116,420</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194,000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32.78</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8"/>
              </w:rPr>
              <w:t>Gap / 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Club</w:t>
            </w:r>
          </w:p>
        </w:tc>
      </w:tr>
      <w:tr>
        <w:trPr>
          <w:trHeight w:val="173"/>
        </w:trPr>
        <w:tc>
          <w:tcPr>
            <w:tcW w:w="1420" w:type="dxa"/>
            <w:vAlign w:val="bottom"/>
            <w:gridSpan w:val="4"/>
          </w:tcPr>
          <w:p>
            <w:pPr>
              <w:ind w:left="40"/>
              <w:spacing w:after="0"/>
              <w:rPr>
                <w:sz w:val="20"/>
                <w:szCs w:val="20"/>
                <w:color w:val="auto"/>
              </w:rPr>
            </w:pPr>
            <w:r>
              <w:rPr>
                <w:rFonts w:ascii="Arial" w:cs="Arial" w:eastAsia="Arial" w:hAnsi="Arial"/>
                <w:sz w:val="13"/>
                <w:szCs w:val="13"/>
                <w:color w:val="auto"/>
              </w:rPr>
              <w:t>Del Mar Village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w w:val="95"/>
              </w:rPr>
              <w:t>Miami-Ft Lauderdale</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65,393</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196,000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jc w:val="right"/>
              <w:spacing w:after="0"/>
              <w:rPr>
                <w:sz w:val="20"/>
                <w:szCs w:val="20"/>
                <w:color w:val="auto"/>
              </w:rPr>
            </w:pPr>
            <w:r>
              <w:rPr>
                <w:rFonts w:ascii="Arial" w:cs="Arial" w:eastAsia="Arial" w:hAnsi="Arial"/>
                <w:sz w:val="13"/>
                <w:szCs w:val="13"/>
                <w:color w:val="auto"/>
              </w:rPr>
              <w:t>72%</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16.43</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44,000</w:t>
            </w:r>
          </w:p>
        </w:tc>
        <w:tc>
          <w:tcPr>
            <w:tcW w:w="760" w:type="dxa"/>
            <w:vAlign w:val="bottom"/>
          </w:tcPr>
          <w:p>
            <w:pPr>
              <w:ind w:left="20"/>
              <w:spacing w:after="0"/>
              <w:rPr>
                <w:sz w:val="20"/>
                <w:szCs w:val="20"/>
                <w:color w:val="auto"/>
              </w:rPr>
            </w:pPr>
            <w:r>
              <w:rPr>
                <w:rFonts w:ascii="Arial" w:cs="Arial" w:eastAsia="Arial" w:hAnsi="Arial"/>
                <w:sz w:val="13"/>
                <w:szCs w:val="13"/>
                <w:color w:val="auto"/>
              </w:rPr>
              <w:t>Winn Dixie</w:t>
            </w:r>
          </w:p>
        </w:tc>
        <w:tc>
          <w:tcPr>
            <w:tcW w:w="23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148"/>
        </w:trPr>
        <w:tc>
          <w:tcPr>
            <w:tcW w:w="14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86"/>
              </w:rPr>
              <w:t>The Shops at Sunset Place</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Miami-Ft Lauderdale</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123,512</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66,603</w:t>
            </w: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20.17</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4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ind w:left="40"/>
              <w:spacing w:after="0" w:line="148" w:lineRule="exact"/>
              <w:rPr>
                <w:sz w:val="20"/>
                <w:szCs w:val="20"/>
                <w:color w:val="auto"/>
              </w:rPr>
            </w:pPr>
            <w:r>
              <w:rPr>
                <w:rFonts w:ascii="Arial" w:cs="Arial" w:eastAsia="Arial" w:hAnsi="Arial"/>
                <w:sz w:val="13"/>
                <w:szCs w:val="13"/>
                <w:color w:val="auto"/>
                <w:w w:val="95"/>
              </w:rPr>
              <w:t>Miami-Ft Lauderdale</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97,549</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426,000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23.45</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12,000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89"/>
              </w:rPr>
              <w:t>TJ Maxx / Ross Dress For Less / Best Buy /</w:t>
            </w:r>
          </w:p>
        </w:tc>
      </w:tr>
      <w:tr>
        <w:trPr>
          <w:trHeight w:val="170"/>
        </w:trPr>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Total South Florida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402,874</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1,339,000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22.60</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43"/>
        </w:trPr>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7" w:right="23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8"/>
              </w:rPr>
              <w:t>Leased</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2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3"/>
                <w:szCs w:val="13"/>
                <w:b w:val="1"/>
                <w:bCs w:val="1"/>
                <w:color w:val="auto"/>
              </w:rPr>
              <w:t>Baltimore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19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27,292</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19.44</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Aldi</w:t>
            </w:r>
          </w:p>
        </w:tc>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A.C. Moore</w:t>
            </w: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Perring Plaza</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31,097</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396,000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14.63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Shoppers</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4"/>
              </w:rPr>
              <w:t>Home Depot / Micro Center / Burlington</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Food</w:t>
            </w:r>
          </w:p>
        </w:tc>
        <w:tc>
          <w:tcPr>
            <w:tcW w:w="22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222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w w:val="98"/>
              </w:rPr>
              <w:t>THE AVENUE at White</w:t>
            </w: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116,128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52,705</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315,000</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23.87</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AMC / Ulta / Old Navy / Barnes &amp; Noble</w:t>
            </w:r>
          </w:p>
        </w:tc>
      </w:tr>
      <w:tr>
        <w:trPr>
          <w:trHeight w:val="17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The Shoppes at</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17,544</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32,000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50.29</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8"/>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Nottingham Square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Towson Residential</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22,376</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71.41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7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(Flats @ 703)</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White Marsh Plaza</w:t>
            </w:r>
          </w:p>
        </w:tc>
        <w:tc>
          <w:tcPr>
            <w:tcW w:w="3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25,536</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80,000</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22.31</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54,000</w:t>
            </w:r>
          </w:p>
        </w:tc>
        <w:tc>
          <w:tcPr>
            <w:tcW w:w="760" w:type="dxa"/>
            <w:vAlign w:val="bottom"/>
          </w:tcPr>
          <w:p>
            <w:pPr>
              <w:ind w:left="20"/>
              <w:spacing w:after="0"/>
              <w:rPr>
                <w:sz w:val="20"/>
                <w:szCs w:val="20"/>
                <w:color w:val="auto"/>
              </w:rPr>
            </w:pPr>
            <w:r>
              <w:rPr>
                <w:rFonts w:ascii="Arial" w:cs="Arial" w:eastAsia="Arial" w:hAnsi="Arial"/>
                <w:sz w:val="13"/>
                <w:szCs w:val="13"/>
                <w:color w:val="auto"/>
              </w:rPr>
              <w:t>Giant Food</w:t>
            </w:r>
          </w:p>
        </w:tc>
        <w:tc>
          <w:tcPr>
            <w:tcW w:w="222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1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33,936</w:t>
            </w:r>
          </w:p>
        </w:tc>
        <w:tc>
          <w:tcPr>
            <w:tcW w:w="6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30.32</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Baltimore</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273,909</w:t>
            </w:r>
          </w:p>
        </w:tc>
        <w:tc>
          <w:tcPr>
            <w:tcW w:w="660" w:type="dxa"/>
            <w:vAlign w:val="bottom"/>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1,138,000</w:t>
            </w:r>
          </w:p>
        </w:tc>
        <w:tc>
          <w:tcPr>
            <w:tcW w:w="5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20.88</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189"/>
        </w:trPr>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49"/>
        </w:trPr>
        <w:tc>
          <w:tcPr>
            <w:tcW w:w="40" w:type="dxa"/>
            <w:vAlign w:val="bottom"/>
          </w:tcPr>
          <w:p>
            <w:pPr>
              <w:spacing w:after="0"/>
              <w:rPr>
                <w:sz w:val="12"/>
                <w:szCs w:val="12"/>
                <w:color w:val="auto"/>
              </w:rPr>
            </w:pPr>
          </w:p>
        </w:tc>
        <w:tc>
          <w:tcPr>
            <w:tcW w:w="1340" w:type="dxa"/>
            <w:vAlign w:val="bottom"/>
            <w:gridSpan w:val="4"/>
          </w:tcPr>
          <w:p>
            <w:pPr>
              <w:ind w:left="60"/>
              <w:spacing w:after="0"/>
              <w:rPr>
                <w:sz w:val="20"/>
                <w:szCs w:val="20"/>
                <w:color w:val="auto"/>
              </w:rPr>
            </w:pPr>
            <w:r>
              <w:rPr>
                <w:rFonts w:ascii="Arial" w:cs="Arial" w:eastAsia="Arial" w:hAnsi="Arial"/>
                <w:sz w:val="13"/>
                <w:szCs w:val="13"/>
                <w:b w:val="1"/>
                <w:bCs w:val="1"/>
                <w:color w:val="auto"/>
              </w:rPr>
              <w:t>Chicago</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19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Chicago, IL</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33,128</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23.12</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 / Binny's / Guitar Center</w:t>
            </w: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Finley Square</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38,400</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278,000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15.70</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9"/>
              </w:rPr>
              <w:t>Bed, Bath &amp; Beyond / Buy Buy Baby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3"/>
                <w:szCs w:val="13"/>
                <w:color w:val="auto"/>
              </w:rPr>
              <w:t>Petsmart / Portillo's</w:t>
            </w: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14,415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140,000</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13.26</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Mariano's</w:t>
            </w: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Fresh Market</w:t>
            </w:r>
          </w:p>
        </w:tc>
        <w:tc>
          <w:tcPr>
            <w:tcW w:w="222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Riverpoint Center</w:t>
            </w:r>
          </w:p>
        </w:tc>
        <w:tc>
          <w:tcPr>
            <w:tcW w:w="3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3"/>
                <w:szCs w:val="13"/>
                <w:color w:val="auto"/>
              </w:rPr>
              <w:t>Chicago, IL</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120,079</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680" w:type="dxa"/>
            <w:vAlign w:val="bottom"/>
          </w:tcPr>
          <w:p>
            <w:pPr>
              <w:jc w:val="right"/>
              <w:spacing w:after="0"/>
              <w:rPr>
                <w:sz w:val="20"/>
                <w:szCs w:val="20"/>
                <w:color w:val="auto"/>
              </w:rPr>
            </w:pPr>
            <w:r>
              <w:rPr>
                <w:rFonts w:ascii="Arial" w:cs="Arial" w:eastAsia="Arial" w:hAnsi="Arial"/>
                <w:sz w:val="13"/>
                <w:szCs w:val="13"/>
                <w:color w:val="auto"/>
              </w:rPr>
              <w:t>211,000</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96%</w:t>
            </w: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22.38</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86,000</w:t>
            </w:r>
          </w:p>
        </w:tc>
        <w:tc>
          <w:tcPr>
            <w:tcW w:w="760" w:type="dxa"/>
            <w:vAlign w:val="bottom"/>
          </w:tcPr>
          <w:p>
            <w:pPr>
              <w:ind w:left="20"/>
              <w:spacing w:after="0"/>
              <w:rPr>
                <w:sz w:val="20"/>
                <w:szCs w:val="20"/>
                <w:color w:val="auto"/>
              </w:rPr>
            </w:pPr>
            <w:r>
              <w:rPr>
                <w:rFonts w:ascii="Arial" w:cs="Arial" w:eastAsia="Arial" w:hAnsi="Arial"/>
                <w:sz w:val="13"/>
                <w:szCs w:val="13"/>
                <w:color w:val="auto"/>
              </w:rPr>
              <w:t>Jewel Osco</w:t>
            </w:r>
          </w:p>
        </w:tc>
        <w:tc>
          <w:tcPr>
            <w:tcW w:w="2220" w:type="dxa"/>
            <w:vAlign w:val="bottom"/>
          </w:tcPr>
          <w:p>
            <w:pPr>
              <w:ind w:left="40"/>
              <w:spacing w:after="0"/>
              <w:rPr>
                <w:sz w:val="20"/>
                <w:szCs w:val="20"/>
                <w:color w:val="auto"/>
              </w:rPr>
            </w:pPr>
            <w:r>
              <w:rPr>
                <w:rFonts w:ascii="Arial" w:cs="Arial" w:eastAsia="Arial" w:hAnsi="Arial"/>
                <w:sz w:val="13"/>
                <w:szCs w:val="13"/>
                <w:color w:val="auto"/>
              </w:rPr>
              <w:t>Marshalls / Old Navy</w:t>
            </w:r>
          </w:p>
        </w:tc>
      </w:tr>
      <w:tr>
        <w:trPr>
          <w:trHeight w:val="43"/>
        </w:trPr>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r>
      <w:tr>
        <w:trPr>
          <w:trHeight w:val="190"/>
        </w:trPr>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206,022</w:t>
            </w: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797,000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18.55</w:t>
            </w:r>
          </w:p>
        </w:tc>
        <w:tc>
          <w:tcPr>
            <w:tcW w:w="6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6"/>
              </w:rPr>
              <w:t>Other</w:t>
            </w:r>
          </w:p>
        </w:tc>
        <w:tc>
          <w:tcPr>
            <w:tcW w:w="96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67,910</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498,000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27.37</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Harris Teeter / Anthropologie / Nike / Bed, Bath &amp;</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Kroger</w:t>
            </w:r>
          </w:p>
        </w:tc>
        <w:tc>
          <w:tcPr>
            <w:tcW w:w="2220" w:type="dxa"/>
            <w:vAlign w:val="bottom"/>
          </w:tcPr>
          <w:p>
            <w:pPr>
              <w:ind w:left="40"/>
              <w:spacing w:after="0"/>
              <w:rPr>
                <w:sz w:val="20"/>
                <w:szCs w:val="20"/>
                <w:color w:val="auto"/>
              </w:rPr>
            </w:pPr>
            <w:r>
              <w:rPr>
                <w:rFonts w:ascii="Arial" w:cs="Arial" w:eastAsia="Arial" w:hAnsi="Arial"/>
                <w:sz w:val="13"/>
                <w:szCs w:val="13"/>
                <w:color w:val="auto"/>
              </w:rPr>
              <w:t>Beyond / Old Navy</w:t>
            </w:r>
          </w:p>
        </w:tc>
      </w:tr>
      <w:tr>
        <w:trPr>
          <w:trHeight w:val="204"/>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Hartford, CT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31,664</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13.97</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8"/>
              </w:rPr>
              <w:t>Stop &amp; Shop</w:t>
            </w:r>
          </w:p>
        </w:tc>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Eastgate Crossing</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rPr>
              <w:t>Raleigh-Durham-</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34,364</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159,000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26.94</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Ulta / Stein Mart / Petco</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3"/>
                <w:szCs w:val="13"/>
                <w:color w:val="auto"/>
              </w:rPr>
              <w:t>Chapel Hill, NC</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4"/>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Detroit, MI</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19,828</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12.15</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Kroger</w:t>
            </w:r>
          </w:p>
        </w:tc>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7"/>
              </w:rPr>
              <w:t>Bed, Bath &amp; Beyond / Best Buy / DSW</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Lancaster</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40" w:type="dxa"/>
            <w:vAlign w:val="bottom"/>
          </w:tcPr>
          <w:p>
            <w:pPr>
              <w:ind w:left="80"/>
              <w:spacing w:after="0"/>
              <w:rPr>
                <w:sz w:val="20"/>
                <w:szCs w:val="20"/>
                <w:color w:val="auto"/>
              </w:rPr>
            </w:pPr>
            <w:r>
              <w:rPr>
                <w:rFonts w:ascii="Arial" w:cs="Arial" w:eastAsia="Arial" w:hAnsi="Arial"/>
                <w:sz w:val="13"/>
                <w:szCs w:val="13"/>
                <w:color w:val="auto"/>
              </w:rPr>
              <w:t>Lancaster, PA</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14,113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680" w:type="dxa"/>
            <w:vAlign w:val="bottom"/>
          </w:tcPr>
          <w:p>
            <w:pPr>
              <w:jc w:val="right"/>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18.41</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75,000</w:t>
            </w:r>
          </w:p>
        </w:tc>
        <w:tc>
          <w:tcPr>
            <w:tcW w:w="760" w:type="dxa"/>
            <w:vAlign w:val="bottom"/>
          </w:tcPr>
          <w:p>
            <w:pPr>
              <w:ind w:left="20"/>
              <w:spacing w:after="0"/>
              <w:rPr>
                <w:sz w:val="20"/>
                <w:szCs w:val="20"/>
                <w:color w:val="auto"/>
              </w:rPr>
            </w:pPr>
            <w:r>
              <w:rPr>
                <w:rFonts w:ascii="Arial" w:cs="Arial" w:eastAsia="Arial" w:hAnsi="Arial"/>
                <w:sz w:val="13"/>
                <w:szCs w:val="13"/>
                <w:color w:val="auto"/>
              </w:rPr>
              <w:t>Giant Food</w:t>
            </w:r>
          </w:p>
        </w:tc>
        <w:tc>
          <w:tcPr>
            <w:tcW w:w="2220" w:type="dxa"/>
            <w:vAlign w:val="bottom"/>
          </w:tcPr>
          <w:p>
            <w:pPr>
              <w:ind w:left="4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19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29th Place</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Charlottesville, VA</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41,047</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4,341</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18.25</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0"/>
              </w:rPr>
              <w:t>HomeGoods / DSW / Stein Mart / Staples</w:t>
            </w: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Willow Lawn</w:t>
            </w:r>
          </w:p>
        </w:tc>
        <w:tc>
          <w:tcPr>
            <w:tcW w:w="340" w:type="dxa"/>
            <w:vAlign w:val="bottom"/>
          </w:tcPr>
          <w:p>
            <w:pPr>
              <w:spacing w:after="0"/>
              <w:rPr>
                <w:sz w:val="12"/>
                <w:szCs w:val="12"/>
                <w:color w:val="auto"/>
              </w:rPr>
            </w:pPr>
          </w:p>
        </w:tc>
        <w:tc>
          <w:tcPr>
            <w:tcW w:w="1240" w:type="dxa"/>
            <w:vAlign w:val="bottom"/>
          </w:tcPr>
          <w:p>
            <w:pPr>
              <w:ind w:left="80"/>
              <w:spacing w:after="0" w:line="148" w:lineRule="exact"/>
              <w:rPr>
                <w:sz w:val="20"/>
                <w:szCs w:val="20"/>
                <w:color w:val="auto"/>
              </w:rPr>
            </w:pPr>
            <w:r>
              <w:rPr>
                <w:rFonts w:ascii="Arial" w:cs="Arial" w:eastAsia="Arial" w:hAnsi="Arial"/>
                <w:sz w:val="13"/>
                <w:szCs w:val="13"/>
                <w:color w:val="auto"/>
                <w:w w:val="87"/>
              </w:rPr>
              <w:t>Richmond-Petersburg,</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95,322</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463,000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19.61</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Kroger</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2"/>
              </w:rPr>
              <w:t>Old Navy / Ross Dress For Less / Gold's</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VA</w:t>
            </w: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Gym / DSW</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304,248</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1,899,000</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20.40</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15"/>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$ 7,635,061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$ 563,117</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1,966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24,206,000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94% $ 26.90</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2,310</w:t>
            </w:r>
          </w:p>
        </w:tc>
        <w:tc>
          <w:tcPr>
            <w:tcW w:w="5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60" w:hanging="222"/>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premium, and/or debt issuance costs on certain mortgages payable.</w:t>
      </w:r>
    </w:p>
    <w:p>
      <w:pPr>
        <w:spacing w:after="0" w:line="51" w:lineRule="exact"/>
        <w:rPr>
          <w:rFonts w:ascii="Arial" w:cs="Arial" w:eastAsia="Arial" w:hAnsi="Arial"/>
          <w:sz w:val="12"/>
          <w:szCs w:val="12"/>
          <w:color w:val="auto"/>
        </w:rPr>
      </w:pPr>
    </w:p>
    <w:p>
      <w:pPr>
        <w:ind w:left="260" w:right="260" w:hanging="222"/>
        <w:spacing w:after="0" w:line="23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the GLA and the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8" w:lineRule="exact"/>
        <w:rPr>
          <w:rFonts w:ascii="Arial" w:cs="Arial" w:eastAsia="Arial" w:hAnsi="Arial"/>
          <w:sz w:val="13"/>
          <w:szCs w:val="13"/>
          <w:color w:val="auto"/>
        </w:rPr>
      </w:pPr>
    </w:p>
    <w:p>
      <w:pPr>
        <w:ind w:left="260" w:hanging="222"/>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Calculated as the aggregate, annualized in-place contractual (defined as cash basis excluding rent abatements) minimum rent for all occupied spaces divided by the aggregate GLA of all occupied spaces.</w:t>
      </w:r>
    </w:p>
    <w:p>
      <w:pPr>
        <w:spacing w:after="0" w:line="51" w:lineRule="exact"/>
        <w:rPr>
          <w:rFonts w:ascii="Arial" w:cs="Arial" w:eastAsia="Arial" w:hAnsi="Arial"/>
          <w:sz w:val="12"/>
          <w:szCs w:val="12"/>
          <w:color w:val="auto"/>
        </w:rPr>
      </w:pPr>
    </w:p>
    <w:p>
      <w:pPr>
        <w:ind w:left="260" w:hanging="22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or a portion of the property is owned in a "downREIT" partnership, of which a wholly owned subsidiary of the Trust is the sole general partner, with third party partners holding operating partnership units.</w:t>
      </w:r>
    </w:p>
    <w:p>
      <w:pPr>
        <w:spacing w:after="0" w:line="51" w:lineRule="exact"/>
        <w:rPr>
          <w:rFonts w:ascii="Arial" w:cs="Arial" w:eastAsia="Arial" w:hAnsi="Arial"/>
          <w:sz w:val="12"/>
          <w:szCs w:val="12"/>
          <w:color w:val="auto"/>
        </w:rPr>
      </w:pPr>
    </w:p>
    <w:p>
      <w:pPr>
        <w:ind w:left="260" w:hanging="22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This property includes interests in five buildings in addition to our initial acquisition.</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Property under redevelopment; see further discussion on page 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7"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2017</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300,511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1,369,494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9,763,062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32.49</w:t>
            </w:r>
          </w:p>
        </w:tc>
        <w:tc>
          <w:tcPr>
            <w:tcW w:w="340" w:type="dxa"/>
            <w:vAlign w:val="bottom"/>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399,619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38.24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1,922,439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10,411,714</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26.05</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397,555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$ 40.16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2,144,347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18,524,282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46.60</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523,869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34.91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$ 31.31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1,884,636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19,672,170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37.55</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1,621,554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7,320,916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58,371,228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36.00</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r>
      <w:tr>
        <w:trPr>
          <w:trHeight w:val="250"/>
        </w:trPr>
        <w:tc>
          <w:tcPr>
            <w:tcW w:w="31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158,213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32.66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853,245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9,545,231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60.33</w:t>
            </w:r>
          </w:p>
        </w:tc>
        <w:tc>
          <w:tcPr>
            <w:tcW w:w="340" w:type="dxa"/>
            <w:vAlign w:val="bottom"/>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165,289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40.97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1,285,427</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8,563,714</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51.81</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161,605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$ 29.36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850,568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10,708,134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66.26</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288,388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35.45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$ 30.21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1,509,806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19,226,044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66.67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773,495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4,499,046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48,043,123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62.11</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r>
      <w:tr>
        <w:trPr>
          <w:trHeight w:val="250"/>
        </w:trPr>
        <w:tc>
          <w:tcPr>
            <w:tcW w:w="31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Renewal Lease Summary - Comparable (2) (9)</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142,298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516,249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217,831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234,330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36.31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$ 33.59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637,012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1,848,000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7.89</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235,950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$ 47.55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1,293,779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7,816,148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33.13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235,481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34.24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374,830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446,126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1.89</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848,059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$ 37.19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2,821,870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10,328,105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12.18</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r>
      <w:tr>
        <w:trPr>
          <w:trHeight w:val="250"/>
        </w:trPr>
        <w:tc>
          <w:tcPr>
            <w:tcW w:w="500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Summary - Comparable and Non-comparable (2) (10)</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344,768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35.68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10,887,204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31.58</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424,492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12,087,142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28.47</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432,164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46.16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19,131,023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44.27</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591,765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34.87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24,718,054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41.77</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1,793,189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38.80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66,823,423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37.27</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Leases on this report represent retail activity only; office and residential leases are not included.</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Weighted average is determined on the basis of contractual rent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109" w:lineRule="exact"/>
        <w:rPr>
          <w:rFonts w:ascii="Arial" w:cs="Arial" w:eastAsia="Arial" w:hAnsi="Arial"/>
          <w:sz w:val="14"/>
          <w:szCs w:val="14"/>
          <w:color w:val="auto"/>
        </w:rPr>
      </w:pPr>
    </w:p>
    <w:p>
      <w:pPr>
        <w:ind w:left="840" w:right="480" w:hanging="805"/>
        <w:spacing w:after="0" w:line="253"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Approximately $3.5 million ($2.28 per square foot) in 1st Quarter 2017 of the Tenant Improvements &amp; Incentives are for properties under active redevelopment (e.g. Montrose Crossing and Willow Lawn) and are included in the Projected Cost for those projects on the Summary of Redevelopment Opportunities.</w:t>
      </w:r>
    </w:p>
    <w:p>
      <w:pPr>
        <w:spacing w:after="0" w:line="11" w:lineRule="exact"/>
        <w:rPr>
          <w:rFonts w:ascii="Arial" w:cs="Arial" w:eastAsia="Arial" w:hAnsi="Arial"/>
          <w:sz w:val="14"/>
          <w:szCs w:val="14"/>
          <w:color w:val="auto"/>
        </w:rPr>
      </w:pPr>
    </w:p>
    <w:p>
      <w:pPr>
        <w:ind w:left="840" w:right="100" w:hanging="805"/>
        <w:spacing w:after="0" w:line="253"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Approximately $7.5 million of the Tenant Improvements &amp; Incentives is attributable to one 20 year anchor tenant renewal; total Tenant Improvements &amp; Incentives without this lease would be $1.58 per square foot.</w:t>
      </w:r>
    </w:p>
    <w:p>
      <w:pPr>
        <w:spacing w:after="0" w:line="11" w:lineRule="exact"/>
        <w:rPr>
          <w:rFonts w:ascii="Arial" w:cs="Arial" w:eastAsia="Arial" w:hAnsi="Arial"/>
          <w:sz w:val="14"/>
          <w:szCs w:val="14"/>
          <w:color w:val="auto"/>
        </w:rPr>
      </w:pPr>
    </w:p>
    <w:p>
      <w:pPr>
        <w:ind w:left="840" w:hanging="805"/>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109" w:lineRule="exact"/>
        <w:rPr>
          <w:rFonts w:ascii="Arial" w:cs="Arial" w:eastAsia="Arial" w:hAnsi="Arial"/>
          <w:sz w:val="14"/>
          <w:szCs w:val="14"/>
          <w:color w:val="auto"/>
        </w:rPr>
      </w:pPr>
    </w:p>
    <w:p>
      <w:pPr>
        <w:ind w:left="840" w:right="60" w:hanging="805"/>
        <w:spacing w:after="0" w:line="234"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of Leases Signed, GLA Signed, Contractual Rent Per Square Foot and Weighted Average Lease Term columns include information for leases signed at our Assembly Row and Pike &amp; Rose projects. The Tenant Improvements &amp; Incentives and Tenant Improvements &amp; Incentives Per Square Foot columns do not include the tenant improvements and incentives on leases signed for those projects; these amounts for leases signed for Assembly Row and Pike &amp; Rose are included in the Projected Cost column for those projects shown on the Assembly Row and Pike &amp; Rose schedule.</w:t>
      </w:r>
    </w:p>
    <w:p>
      <w:pPr>
        <w:sectPr>
          <w:pgSz w:w="11900" w:h="16838" w:orient="portrait"/>
          <w:cols w:equalWidth="0" w:num="1">
            <w:col w:w="11420"/>
          </w:cols>
          <w:pgMar w:left="240" w:top="760" w:right="239" w:bottom="514"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60" w:right="239" w:bottom="514"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2,193,000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18.83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849,000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38.34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3,042,000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1,708,000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893,000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43.98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2,601,000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1,294,000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663,000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43.56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1,958,000</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23.13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463,000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1,346,000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757,000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45.42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1,183,000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37.65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15,476,000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7,191,000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41.97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22,668,000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1,115,000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554,000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557,000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38.17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1,111,000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382,000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26.79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896,000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42.18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816,000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22.67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41.68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795,000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694,000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19.08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45.74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13,289,000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15,476,000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7,191,000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41.97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22,668,000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Anchor is defined as a tenant leasing 10,000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December 31,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2" w:name="page33"/>
    <w:bookmarkEnd w:id="32"/>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2017</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2017</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2016</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24,206,000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23,066,000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22,630,000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21,356,000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94.4%</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2,310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2,164</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93.7%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1,867</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1,792</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96.0%</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2017</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2016</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2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18,625,000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17,935,000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96.3%</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18,636,000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17,864,000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70"/>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1,282</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96.7%</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1,326</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1,270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33"/>
        </w:trPr>
        <w:tc>
          <w:tcPr>
            <w:tcW w:w="3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December 31, 2017 leased percentage was 98.1% for anchor tenants and 89.8% for small shop tenants.</w:t>
      </w:r>
    </w:p>
    <w:p>
      <w:pPr>
        <w:spacing w:after="0" w:line="72" w:lineRule="exact"/>
        <w:rPr>
          <w:rFonts w:ascii="Arial" w:cs="Arial" w:eastAsia="Arial" w:hAnsi="Arial"/>
          <w:sz w:val="16"/>
          <w:szCs w:val="16"/>
          <w:color w:val="auto"/>
        </w:rPr>
      </w:pPr>
    </w:p>
    <w:p>
      <w:pPr>
        <w:ind w:left="700" w:right="240" w:hanging="665"/>
        <w:spacing w:after="0" w:line="293"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Occupied percentage was 93.9% and 93.3% at December 31, 2017 and 2016, respectively, and same center occupied percentage was 95.3% at both December 31, 2017 and 2016.</w:t>
      </w:r>
    </w:p>
    <w:p>
      <w:pPr>
        <w:spacing w:after="0" w:line="9"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Credit Ratings</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Annualized Base</w:t>
            </w:r>
          </w:p>
        </w:tc>
        <w:tc>
          <w:tcPr>
            <w:tcW w:w="148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Percentage of Total</w:t>
            </w:r>
          </w:p>
        </w:tc>
        <w:tc>
          <w:tcPr>
            <w:tcW w:w="940" w:type="dxa"/>
            <w:vAlign w:val="bottom"/>
          </w:tcPr>
          <w:p>
            <w:pPr>
              <w:spacing w:after="0"/>
              <w:rPr>
                <w:sz w:val="14"/>
                <w:szCs w:val="14"/>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9"/>
              </w:rPr>
              <w:t>Percentage of</w:t>
            </w:r>
          </w:p>
        </w:tc>
        <w:tc>
          <w:tcPr>
            <w:tcW w:w="720" w:type="dxa"/>
            <w:vAlign w:val="bottom"/>
          </w:tcPr>
          <w:p>
            <w:pPr>
              <w:jc w:val="right"/>
              <w:ind w:right="21"/>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Rank</w:t>
            </w:r>
          </w:p>
        </w:tc>
        <w:tc>
          <w:tcPr>
            <w:tcW w:w="34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Tenant Name</w:t>
            </w: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Annualized Base</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60" w:type="dxa"/>
            <w:vAlign w:val="bottom"/>
            <w:vMerge w:val="continue"/>
          </w:tcPr>
          <w:p>
            <w:pPr>
              <w:spacing w:after="0"/>
              <w:rPr>
                <w:sz w:val="12"/>
                <w:szCs w:val="12"/>
                <w:color w:val="auto"/>
              </w:rPr>
            </w:pPr>
          </w:p>
        </w:tc>
        <w:tc>
          <w:tcPr>
            <w:tcW w:w="72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8"/>
              </w:rPr>
              <w:t>of Stores</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(S&amp;P/Moody's/Fitch) (1)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Rent (3)</w:t>
            </w:r>
          </w:p>
        </w:tc>
        <w:tc>
          <w:tcPr>
            <w:tcW w:w="9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 GLA (3)</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Ahold Delhaize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Baa2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17,500,000</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346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A+ / A2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17,335,000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2.84%</w:t>
            </w:r>
          </w:p>
        </w:tc>
        <w:tc>
          <w:tcPr>
            <w:tcW w:w="940" w:type="dxa"/>
            <w:vAlign w:val="bottom"/>
          </w:tcPr>
          <w:p>
            <w:pPr>
              <w:jc w:val="right"/>
              <w:spacing w:after="0"/>
              <w:rPr>
                <w:sz w:val="20"/>
                <w:szCs w:val="20"/>
                <w:color w:val="auto"/>
              </w:rPr>
            </w:pPr>
            <w:r>
              <w:rPr>
                <w:rFonts w:ascii="Arial" w:cs="Arial" w:eastAsia="Arial" w:hAnsi="Arial"/>
                <w:sz w:val="16"/>
                <w:szCs w:val="16"/>
                <w:color w:val="auto"/>
              </w:rPr>
              <w:t>973,000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4.02%</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Gap, Inc., The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Baa2 / 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13,309,000</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366,000</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4"/>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346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780" w:type="dxa"/>
            <w:vAlign w:val="bottom"/>
          </w:tcPr>
          <w:p>
            <w:pPr>
              <w:jc w:val="center"/>
              <w:spacing w:after="0"/>
              <w:rPr>
                <w:sz w:val="20"/>
                <w:szCs w:val="20"/>
                <w:color w:val="auto"/>
              </w:rPr>
            </w:pPr>
            <w:r>
              <w:rPr>
                <w:rFonts w:ascii="Arial" w:cs="Arial" w:eastAsia="Arial" w:hAnsi="Arial"/>
                <w:sz w:val="16"/>
                <w:szCs w:val="16"/>
                <w:color w:val="auto"/>
                <w:w w:val="95"/>
              </w:rPr>
              <w:t>BBB / Baa1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13,217,000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940" w:type="dxa"/>
            <w:vAlign w:val="bottom"/>
          </w:tcPr>
          <w:p>
            <w:pPr>
              <w:jc w:val="right"/>
              <w:spacing w:after="0"/>
              <w:rPr>
                <w:sz w:val="20"/>
                <w:szCs w:val="20"/>
                <w:color w:val="auto"/>
              </w:rPr>
            </w:pPr>
            <w:r>
              <w:rPr>
                <w:rFonts w:ascii="Arial" w:cs="Arial" w:eastAsia="Arial" w:hAnsi="Arial"/>
                <w:sz w:val="16"/>
                <w:szCs w:val="16"/>
                <w:color w:val="auto"/>
              </w:rPr>
              <w:t>736,000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3.04%</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Splunk, Inc.</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10,585,000</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0.97%</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346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9,833,000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940" w:type="dxa"/>
            <w:vAlign w:val="bottom"/>
          </w:tcPr>
          <w:p>
            <w:pPr>
              <w:jc w:val="right"/>
              <w:spacing w:after="0"/>
              <w:rPr>
                <w:sz w:val="20"/>
                <w:szCs w:val="20"/>
                <w:color w:val="auto"/>
              </w:rPr>
            </w:pPr>
            <w:r>
              <w:rPr>
                <w:rFonts w:ascii="Arial" w:cs="Arial" w:eastAsia="Arial" w:hAnsi="Arial"/>
                <w:sz w:val="16"/>
                <w:szCs w:val="16"/>
                <w:color w:val="auto"/>
              </w:rPr>
              <w:t>426,000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CVS Corporation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BBB+ / Baa1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9,214,000</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248,000</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346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B+ / B1 / 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6,850,000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940" w:type="dxa"/>
            <w:vAlign w:val="bottom"/>
          </w:tcPr>
          <w:p>
            <w:pPr>
              <w:jc w:val="right"/>
              <w:spacing w:after="0"/>
              <w:rPr>
                <w:sz w:val="20"/>
                <w:szCs w:val="20"/>
                <w:color w:val="auto"/>
              </w:rPr>
            </w:pPr>
            <w:r>
              <w:rPr>
                <w:rFonts w:ascii="Arial" w:cs="Arial" w:eastAsia="Arial" w:hAnsi="Arial"/>
                <w:sz w:val="16"/>
                <w:szCs w:val="16"/>
                <w:color w:val="auto"/>
              </w:rPr>
              <w:t>317,000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Best Buy Co., Inc.</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6,633,000</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231,000</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0.95%</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346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78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6,208,000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940" w:type="dxa"/>
            <w:vAlign w:val="bottom"/>
          </w:tcPr>
          <w:p>
            <w:pPr>
              <w:jc w:val="right"/>
              <w:spacing w:after="0"/>
              <w:rPr>
                <w:sz w:val="20"/>
                <w:szCs w:val="20"/>
                <w:color w:val="auto"/>
              </w:rPr>
            </w:pPr>
            <w:r>
              <w:rPr>
                <w:rFonts w:ascii="Arial" w:cs="Arial" w:eastAsia="Arial" w:hAnsi="Arial"/>
                <w:sz w:val="16"/>
                <w:szCs w:val="16"/>
                <w:color w:val="auto"/>
              </w:rPr>
              <w:t>257,000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5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3460" w:type="dxa"/>
            <w:vAlign w:val="bottom"/>
          </w:tcPr>
          <w:p>
            <w:pPr>
              <w:ind w:left="120"/>
              <w:spacing w:after="0"/>
              <w:rPr>
                <w:sz w:val="20"/>
                <w:szCs w:val="20"/>
                <w:color w:val="auto"/>
              </w:rPr>
            </w:pPr>
            <w:r>
              <w:rPr>
                <w:rFonts w:ascii="Arial" w:cs="Arial" w:eastAsia="Arial" w:hAnsi="Arial"/>
                <w:sz w:val="16"/>
                <w:szCs w:val="16"/>
                <w:color w:val="auto"/>
                <w:w w:val="96"/>
              </w:rPr>
              <w:t>Ascena Retail Group, Inc. (Dress Barn, Loft, Lou</w:t>
            </w:r>
          </w:p>
        </w:tc>
        <w:tc>
          <w:tcPr>
            <w:tcW w:w="1780" w:type="dxa"/>
            <w:vAlign w:val="bottom"/>
          </w:tcPr>
          <w:p>
            <w:pPr>
              <w:jc w:val="center"/>
              <w:spacing w:after="0"/>
              <w:rPr>
                <w:sz w:val="20"/>
                <w:szCs w:val="20"/>
                <w:color w:val="auto"/>
              </w:rPr>
            </w:pPr>
            <w:r>
              <w:rPr>
                <w:rFonts w:ascii="Arial" w:cs="Arial" w:eastAsia="Arial" w:hAnsi="Arial"/>
                <w:sz w:val="16"/>
                <w:szCs w:val="16"/>
                <w:color w:val="auto"/>
                <w:w w:val="95"/>
              </w:rPr>
              <w:t>B+ / Ba3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6,193,000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940" w:type="dxa"/>
            <w:vAlign w:val="bottom"/>
          </w:tcPr>
          <w:p>
            <w:pPr>
              <w:jc w:val="right"/>
              <w:spacing w:after="0"/>
              <w:rPr>
                <w:sz w:val="20"/>
                <w:szCs w:val="20"/>
                <w:color w:val="auto"/>
              </w:rPr>
            </w:pPr>
            <w:r>
              <w:rPr>
                <w:rFonts w:ascii="Arial" w:cs="Arial" w:eastAsia="Arial" w:hAnsi="Arial"/>
                <w:sz w:val="16"/>
                <w:szCs w:val="16"/>
                <w:color w:val="auto"/>
              </w:rPr>
              <w:t>198,000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0.82%</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700" w:right="7700" w:hanging="3"/>
        <w:spacing w:after="0" w:line="288" w:lineRule="auto"/>
        <w:tabs>
          <w:tab w:leader="none" w:pos="8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Grey, Ann Taylor, Catherine's, Justice, Lane Bryant)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40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820" w:type="dxa"/>
            <w:vAlign w:val="bottom"/>
          </w:tcPr>
          <w:p>
            <w:pPr>
              <w:jc w:val="center"/>
              <w:ind w:left="19"/>
              <w:spacing w:after="0"/>
              <w:rPr>
                <w:sz w:val="20"/>
                <w:szCs w:val="20"/>
                <w:color w:val="auto"/>
              </w:rPr>
            </w:pPr>
            <w:r>
              <w:rPr>
                <w:rFonts w:ascii="Arial" w:cs="Arial" w:eastAsia="Arial" w:hAnsi="Arial"/>
                <w:sz w:val="16"/>
                <w:szCs w:val="16"/>
                <w:color w:val="auto"/>
                <w:w w:val="96"/>
              </w:rPr>
              <w:t>BBB / Baa1 / BBB</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6,032,000</w:t>
            </w:r>
          </w:p>
        </w:tc>
        <w:tc>
          <w:tcPr>
            <w:tcW w:w="5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0.99%</w:t>
            </w:r>
          </w:p>
        </w:tc>
        <w:tc>
          <w:tcPr>
            <w:tcW w:w="880" w:type="dxa"/>
            <w:vAlign w:val="bottom"/>
          </w:tcPr>
          <w:p>
            <w:pPr>
              <w:jc w:val="right"/>
              <w:spacing w:after="0"/>
              <w:rPr>
                <w:sz w:val="20"/>
                <w:szCs w:val="20"/>
                <w:color w:val="auto"/>
              </w:rPr>
            </w:pPr>
            <w:r>
              <w:rPr>
                <w:rFonts w:ascii="Arial" w:cs="Arial" w:eastAsia="Arial" w:hAnsi="Arial"/>
                <w:sz w:val="16"/>
                <w:szCs w:val="16"/>
                <w:color w:val="auto"/>
              </w:rPr>
              <w:t>529,000</w:t>
            </w:r>
          </w:p>
        </w:tc>
        <w:tc>
          <w:tcPr>
            <w:tcW w:w="42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Home Depot, Inc.</w:t>
            </w:r>
          </w:p>
        </w:tc>
        <w:tc>
          <w:tcPr>
            <w:tcW w:w="18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A / A2 / A</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1.81%</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40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820" w:type="dxa"/>
            <w:vAlign w:val="bottom"/>
          </w:tcPr>
          <w:p>
            <w:pPr>
              <w:jc w:val="center"/>
              <w:ind w:left="19"/>
              <w:spacing w:after="0"/>
              <w:rPr>
                <w:sz w:val="20"/>
                <w:szCs w:val="20"/>
                <w:color w:val="auto"/>
              </w:rPr>
            </w:pPr>
            <w:r>
              <w:rPr>
                <w:rFonts w:ascii="Arial" w:cs="Arial" w:eastAsia="Arial" w:hAnsi="Arial"/>
                <w:sz w:val="16"/>
                <w:szCs w:val="16"/>
                <w:color w:val="auto"/>
                <w:w w:val="95"/>
              </w:rPr>
              <w:t>BB- / Ba2 / NR</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5,724,000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0.94%</w:t>
            </w:r>
          </w:p>
        </w:tc>
        <w:tc>
          <w:tcPr>
            <w:tcW w:w="880" w:type="dxa"/>
            <w:vAlign w:val="bottom"/>
          </w:tcPr>
          <w:p>
            <w:pPr>
              <w:jc w:val="right"/>
              <w:spacing w:after="0"/>
              <w:rPr>
                <w:sz w:val="20"/>
                <w:szCs w:val="20"/>
                <w:color w:val="auto"/>
              </w:rPr>
            </w:pPr>
            <w:r>
              <w:rPr>
                <w:rFonts w:ascii="Arial" w:cs="Arial" w:eastAsia="Arial" w:hAnsi="Arial"/>
                <w:sz w:val="16"/>
                <w:szCs w:val="16"/>
                <w:color w:val="auto"/>
              </w:rPr>
              <w:t>307,000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1.27%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DSW, Inc</w:t>
            </w:r>
          </w:p>
        </w:tc>
        <w:tc>
          <w:tcPr>
            <w:tcW w:w="18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NR / NR / NR</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5,607,000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40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820" w:type="dxa"/>
            <w:vAlign w:val="bottom"/>
          </w:tcPr>
          <w:p>
            <w:pPr>
              <w:jc w:val="center"/>
              <w:ind w:left="39"/>
              <w:spacing w:after="0"/>
              <w:rPr>
                <w:sz w:val="20"/>
                <w:szCs w:val="20"/>
                <w:color w:val="auto"/>
              </w:rPr>
            </w:pPr>
            <w:r>
              <w:rPr>
                <w:rFonts w:ascii="Arial" w:cs="Arial" w:eastAsia="Arial" w:hAnsi="Arial"/>
                <w:sz w:val="16"/>
                <w:szCs w:val="16"/>
                <w:color w:val="auto"/>
              </w:rPr>
              <w:t>A- / A3 / A</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5,577,000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0.91%</w:t>
            </w:r>
          </w:p>
        </w:tc>
        <w:tc>
          <w:tcPr>
            <w:tcW w:w="880" w:type="dxa"/>
            <w:vAlign w:val="bottom"/>
          </w:tcPr>
          <w:p>
            <w:pPr>
              <w:jc w:val="right"/>
              <w:spacing w:after="0"/>
              <w:rPr>
                <w:sz w:val="20"/>
                <w:szCs w:val="20"/>
                <w:color w:val="auto"/>
              </w:rPr>
            </w:pPr>
            <w:r>
              <w:rPr>
                <w:rFonts w:ascii="Arial" w:cs="Arial" w:eastAsia="Arial" w:hAnsi="Arial"/>
                <w:sz w:val="16"/>
                <w:szCs w:val="16"/>
                <w:color w:val="auto"/>
              </w:rPr>
              <w:t>105,000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0.43%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Barnes &amp; Noble, Inc.</w:t>
            </w:r>
          </w:p>
        </w:tc>
        <w:tc>
          <w:tcPr>
            <w:tcW w:w="18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NR / NR / NR</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5,535,000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400" w:type="dxa"/>
            <w:vAlign w:val="bottom"/>
          </w:tcPr>
          <w:p>
            <w:pPr>
              <w:ind w:left="120"/>
              <w:spacing w:after="0"/>
              <w:rPr>
                <w:sz w:val="20"/>
                <w:szCs w:val="20"/>
                <w:color w:val="auto"/>
              </w:rPr>
            </w:pPr>
            <w:r>
              <w:rPr>
                <w:rFonts w:ascii="Arial" w:cs="Arial" w:eastAsia="Arial" w:hAnsi="Arial"/>
                <w:sz w:val="16"/>
                <w:szCs w:val="16"/>
                <w:color w:val="auto"/>
                <w:w w:val="99"/>
              </w:rPr>
              <w:t>Hudson's Bay Company (Saks, Lord &amp; Taylor)</w:t>
            </w:r>
          </w:p>
        </w:tc>
        <w:tc>
          <w:tcPr>
            <w:tcW w:w="1820" w:type="dxa"/>
            <w:vAlign w:val="bottom"/>
          </w:tcPr>
          <w:p>
            <w:pPr>
              <w:jc w:val="center"/>
              <w:ind w:left="39"/>
              <w:spacing w:after="0"/>
              <w:rPr>
                <w:sz w:val="20"/>
                <w:szCs w:val="20"/>
                <w:color w:val="auto"/>
              </w:rPr>
            </w:pPr>
            <w:r>
              <w:rPr>
                <w:rFonts w:ascii="Arial" w:cs="Arial" w:eastAsia="Arial" w:hAnsi="Arial"/>
                <w:sz w:val="16"/>
                <w:szCs w:val="16"/>
                <w:color w:val="auto"/>
                <w:w w:val="97"/>
              </w:rPr>
              <w:t>B / B2 / NR</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5,380,000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0.88%</w:t>
            </w:r>
          </w:p>
        </w:tc>
        <w:tc>
          <w:tcPr>
            <w:tcW w:w="880" w:type="dxa"/>
            <w:vAlign w:val="bottom"/>
          </w:tcPr>
          <w:p>
            <w:pPr>
              <w:jc w:val="right"/>
              <w:spacing w:after="0"/>
              <w:rPr>
                <w:sz w:val="20"/>
                <w:szCs w:val="20"/>
                <w:color w:val="auto"/>
              </w:rPr>
            </w:pPr>
            <w:r>
              <w:rPr>
                <w:rFonts w:ascii="Arial" w:cs="Arial" w:eastAsia="Arial" w:hAnsi="Arial"/>
                <w:sz w:val="16"/>
                <w:szCs w:val="16"/>
                <w:color w:val="auto"/>
              </w:rPr>
              <w:t>220,000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0.91%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Ross Stores, Inc.</w:t>
            </w:r>
          </w:p>
        </w:tc>
        <w:tc>
          <w:tcPr>
            <w:tcW w:w="182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A- / A3 / NR</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40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820" w:type="dxa"/>
            <w:vAlign w:val="bottom"/>
          </w:tcPr>
          <w:p>
            <w:pPr>
              <w:jc w:val="center"/>
              <w:ind w:left="39"/>
              <w:spacing w:after="0"/>
              <w:rPr>
                <w:sz w:val="20"/>
                <w:szCs w:val="20"/>
                <w:color w:val="auto"/>
              </w:rPr>
            </w:pPr>
            <w:r>
              <w:rPr>
                <w:rFonts w:ascii="Arial" w:cs="Arial" w:eastAsia="Arial" w:hAnsi="Arial"/>
                <w:sz w:val="16"/>
                <w:szCs w:val="16"/>
                <w:color w:val="auto"/>
                <w:w w:val="96"/>
              </w:rPr>
              <w:t>BBB+ / Baa1 / BBB+</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5,038,000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880" w:type="dxa"/>
            <w:vAlign w:val="bottom"/>
          </w:tcPr>
          <w:p>
            <w:pPr>
              <w:jc w:val="right"/>
              <w:spacing w:after="0"/>
              <w:rPr>
                <w:sz w:val="20"/>
                <w:szCs w:val="20"/>
                <w:color w:val="auto"/>
              </w:rPr>
            </w:pPr>
            <w:r>
              <w:rPr>
                <w:rFonts w:ascii="Arial" w:cs="Arial" w:eastAsia="Arial" w:hAnsi="Arial"/>
                <w:sz w:val="16"/>
                <w:szCs w:val="16"/>
                <w:color w:val="auto"/>
              </w:rPr>
              <w:t>195,000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0.81%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Whole Foods Market, Inc.</w:t>
            </w:r>
          </w:p>
        </w:tc>
        <w:tc>
          <w:tcPr>
            <w:tcW w:w="182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A+ / Baa1 / NR</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4,642,000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0.69%</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40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820" w:type="dxa"/>
            <w:vAlign w:val="bottom"/>
          </w:tcPr>
          <w:p>
            <w:pPr>
              <w:jc w:val="center"/>
              <w:ind w:left="19"/>
              <w:spacing w:after="0"/>
              <w:rPr>
                <w:sz w:val="20"/>
                <w:szCs w:val="20"/>
                <w:color w:val="auto"/>
              </w:rPr>
            </w:pPr>
            <w:r>
              <w:rPr>
                <w:rFonts w:ascii="Arial" w:cs="Arial" w:eastAsia="Arial" w:hAnsi="Arial"/>
                <w:sz w:val="16"/>
                <w:szCs w:val="16"/>
                <w:color w:val="auto"/>
              </w:rPr>
              <w:t>A- / A3 / A-</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4,198,000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0.69%</w:t>
            </w:r>
          </w:p>
        </w:tc>
        <w:tc>
          <w:tcPr>
            <w:tcW w:w="880" w:type="dxa"/>
            <w:vAlign w:val="bottom"/>
          </w:tcPr>
          <w:p>
            <w:pPr>
              <w:jc w:val="right"/>
              <w:spacing w:after="0"/>
              <w:rPr>
                <w:sz w:val="20"/>
                <w:szCs w:val="20"/>
                <w:color w:val="auto"/>
              </w:rPr>
            </w:pPr>
            <w:r>
              <w:rPr>
                <w:rFonts w:ascii="Arial" w:cs="Arial" w:eastAsia="Arial" w:hAnsi="Arial"/>
                <w:sz w:val="16"/>
                <w:szCs w:val="16"/>
                <w:color w:val="auto"/>
              </w:rPr>
              <w:t>69,000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0.29%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AB Acquisition LLC (Acme, Safeway)</w:t>
            </w:r>
          </w:p>
        </w:tc>
        <w:tc>
          <w:tcPr>
            <w:tcW w:w="182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6"/>
              </w:rPr>
              <w:t>B+ / B1 / NR</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4,164,000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412,000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1.70%</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40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820" w:type="dxa"/>
            <w:vAlign w:val="bottom"/>
          </w:tcPr>
          <w:p>
            <w:pPr>
              <w:jc w:val="center"/>
              <w:ind w:left="19"/>
              <w:spacing w:after="0"/>
              <w:rPr>
                <w:sz w:val="20"/>
                <w:szCs w:val="20"/>
                <w:color w:val="auto"/>
              </w:rPr>
            </w:pPr>
            <w:r>
              <w:rPr>
                <w:rFonts w:ascii="Arial" w:cs="Arial" w:eastAsia="Arial" w:hAnsi="Arial"/>
                <w:sz w:val="16"/>
                <w:szCs w:val="16"/>
                <w:color w:val="auto"/>
                <w:w w:val="95"/>
              </w:rPr>
              <w:t>NR / NR / NR</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4,154,000</w:t>
            </w:r>
          </w:p>
        </w:tc>
        <w:tc>
          <w:tcPr>
            <w:tcW w:w="5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880" w:type="dxa"/>
            <w:vAlign w:val="bottom"/>
          </w:tcPr>
          <w:p>
            <w:pPr>
              <w:jc w:val="right"/>
              <w:spacing w:after="0"/>
              <w:rPr>
                <w:sz w:val="20"/>
                <w:szCs w:val="20"/>
                <w:color w:val="auto"/>
              </w:rPr>
            </w:pPr>
            <w:r>
              <w:rPr>
                <w:rFonts w:ascii="Arial" w:cs="Arial" w:eastAsia="Arial" w:hAnsi="Arial"/>
                <w:sz w:val="16"/>
                <w:szCs w:val="16"/>
                <w:color w:val="auto"/>
              </w:rPr>
              <w:t>117,000</w:t>
            </w:r>
          </w:p>
        </w:tc>
        <w:tc>
          <w:tcPr>
            <w:tcW w:w="4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0.48%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47"/>
        </w:trPr>
        <w:tc>
          <w:tcPr>
            <w:tcW w:w="5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Wells Fargo Bank, N.A.</w:t>
            </w:r>
          </w:p>
        </w:tc>
        <w:tc>
          <w:tcPr>
            <w:tcW w:w="182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A / A2 / A+</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4,106,000</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0.21%</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58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188,030,000</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30.84%</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8,416,000</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34.77%</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w:t>
            </w:r>
          </w:p>
        </w:tc>
      </w:tr>
      <w:tr>
        <w:trPr>
          <w:trHeight w:val="87"/>
        </w:trPr>
        <w:tc>
          <w:tcPr>
            <w:tcW w:w="580" w:type="dxa"/>
            <w:vAlign w:val="bottom"/>
            <w:tcBorders>
              <w:bottom w:val="single" w:sz="8" w:color="CCEEFF"/>
            </w:tcBorders>
          </w:tcPr>
          <w:p>
            <w:pPr>
              <w:spacing w:after="0"/>
              <w:rPr>
                <w:sz w:val="7"/>
                <w:szCs w:val="7"/>
                <w:color w:val="auto"/>
              </w:rPr>
            </w:pPr>
          </w:p>
        </w:tc>
        <w:tc>
          <w:tcPr>
            <w:tcW w:w="3400" w:type="dxa"/>
            <w:vAlign w:val="bottom"/>
            <w:tcBorders>
              <w:bottom w:val="single" w:sz="8" w:color="CCEEFF"/>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r>
      <w:tr>
        <w:trPr>
          <w:trHeight w:val="251"/>
        </w:trPr>
        <w:tc>
          <w:tcPr>
            <w:tcW w:w="58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4"/>
        </w:trPr>
        <w:tc>
          <w:tcPr>
            <w:tcW w:w="580" w:type="dxa"/>
            <w:vAlign w:val="bottom"/>
          </w:tcPr>
          <w:p>
            <w:pPr>
              <w:spacing w:after="0"/>
              <w:rPr>
                <w:sz w:val="19"/>
                <w:szCs w:val="19"/>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Total:</w:t>
            </w:r>
          </w:p>
        </w:tc>
        <w:tc>
          <w:tcPr>
            <w:tcW w:w="182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609,783,000</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24,206,000</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2,983</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Credit Ratings are as of December 31, 2017. Subsequent rating changes have not been reflected.</w:t>
      </w:r>
    </w:p>
    <w:p>
      <w:pPr>
        <w:spacing w:after="0" w:line="86" w:lineRule="exact"/>
        <w:rPr>
          <w:rFonts w:ascii="Arial" w:cs="Arial" w:eastAsia="Arial" w:hAnsi="Arial"/>
          <w:sz w:val="16"/>
          <w:szCs w:val="16"/>
          <w:color w:val="auto"/>
        </w:rPr>
      </w:pPr>
    </w:p>
    <w:p>
      <w:pPr>
        <w:ind w:left="700" w:right="380" w:hanging="665"/>
        <w:spacing w:after="0" w:line="293"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excluding rent abatements) minimum rent for all occupied spaces as of December 31, 2017.</w:t>
      </w:r>
    </w:p>
    <w:p>
      <w:pPr>
        <w:spacing w:after="0" w:line="23" w:lineRule="exact"/>
        <w:rPr>
          <w:rFonts w:ascii="Arial" w:cs="Arial" w:eastAsia="Arial" w:hAnsi="Arial"/>
          <w:sz w:val="16"/>
          <w:szCs w:val="16"/>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potential dispositions which have not closed as of 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177165</wp:posOffset>
            </wp:positionV>
            <wp:extent cx="1732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1"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Full Year 2018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41910</wp:posOffset>
            </wp:positionV>
            <wp:extent cx="1732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3.01</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3.07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8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6.08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2017 and 2016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297,870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56,394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216,050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193,585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147,379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627,656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547,088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139,981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131,934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548,311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514,630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(1) (Benefit) provision for income tax for both the three months and year ended December 31, 2017 primarily relates to condominium sales gains.</w:t>
      </w:r>
    </w:p>
    <w:p>
      <w:pPr>
        <w:spacing w:after="0" w:line="21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operated, and consolidated for the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periods being compared, excludes properties that were redeveloped, expanded or under development and properties purchased or sold at any time during the periods being compared. Same center growth statistics are calculated on a GAAP basis.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amp;"/>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2019-12-29T00:59:43Z</dcterms:created>
  <dcterms:modified xsi:type="dcterms:W3CDTF">2019-12-29T00:59:43Z</dcterms:modified>
</cp:coreProperties>
</file>