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Date of Report (Date of earliest event reported) December 31, 2001</w:t>
      </w:r>
    </w:p>
    <w:p>
      <w:pPr>
        <w:spacing w:after="0" w:line="200" w:lineRule="exact"/>
        <w:rPr>
          <w:sz w:val="24"/>
          <w:szCs w:val="24"/>
          <w:color w:val="auto"/>
        </w:rPr>
      </w:pPr>
    </w:p>
    <w:p>
      <w:pPr>
        <w:spacing w:after="0" w:line="304"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4"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Maryland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1-07533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940" w:space="520"/>
            <w:col w:w="1080" w:space="720"/>
            <w:col w:w="4979"/>
          </w:cols>
          <w:pgMar w:left="220" w:top="561" w:right="1440" w:bottom="1440" w:gutter="0" w:footer="0" w:header="0"/>
          <w:type w:val="continuous"/>
        </w:sectPr>
      </w:pPr>
    </w:p>
    <w:p>
      <w:pPr>
        <w:spacing w:after="0" w:line="138"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1626 East Jefferson Street, Rockville, Maryland</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20852-4041</w:t>
            </w:r>
          </w:p>
        </w:tc>
      </w:tr>
      <w:tr>
        <w:trPr>
          <w:trHeight w:val="166"/>
        </w:trPr>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(Address of principal executive offices)</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bl>
    <w:p>
      <w:pPr>
        <w:spacing w:after="0" w:line="335"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102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859" w:firstLine="1034"/>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December 31, 2001.</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040" w:hanging="687"/>
        <w:spacing w:after="0"/>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99Supplemental portfolio information at December 31, 2001</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339" w:firstLine="1034"/>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Treasurer</w:t>
      </w:r>
    </w:p>
    <w:p>
      <w:pPr>
        <w:spacing w:after="0" w:line="173" w:lineRule="exact"/>
        <w:rPr>
          <w:sz w:val="20"/>
          <w:szCs w:val="20"/>
          <w:color w:val="auto"/>
        </w:rPr>
      </w:pPr>
    </w:p>
    <w:p>
      <w:pPr>
        <w:sectPr>
          <w:pgSz w:w="11900" w:h="16838" w:orient="portrait"/>
          <w:cols w:equalWidth="0" w:num="3">
            <w:col w:w="440" w:space="340"/>
            <w:col w:w="1960" w:space="720"/>
            <w:col w:w="677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94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0"/>
            <w:col w:w="4720" w:space="720"/>
            <w:col w:w="4019"/>
          </w:cols>
          <w:pgMar w:left="220" w:top="616" w:right="1440" w:bottom="1440" w:gutter="0" w:footer="0" w:header="0"/>
          <w:type w:val="continuous"/>
        </w:sectPr>
      </w:pPr>
    </w:p>
    <w:p>
      <w:pPr>
        <w:ind w:left="260"/>
        <w:spacing w:after="0"/>
        <w:tabs>
          <w:tab w:leader="none" w:pos="76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December 31, 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sectPr>
          <w:pgSz w:w="11900" w:h="16838" w:orient="portrait"/>
          <w:cols w:equalWidth="0" w:num="2">
            <w:col w:w="6000" w:space="720"/>
            <w:col w:w="351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ind w:left="21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2001</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1.   Debt Summary................................................................</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w w:val="87"/>
              </w:rPr>
              <w:t>E-2</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2.   Occupancy</w:t>
            </w:r>
          </w:p>
        </w:tc>
        <w:tc>
          <w:tcPr>
            <w:tcW w:w="300" w:type="dxa"/>
            <w:vAlign w:val="bottom"/>
          </w:tcPr>
          <w:p>
            <w:pPr>
              <w:spacing w:after="0"/>
              <w:rPr>
                <w:sz w:val="14"/>
                <w:szCs w:val="14"/>
                <w:color w:val="auto"/>
              </w:rPr>
            </w:pPr>
          </w:p>
        </w:tc>
      </w:tr>
      <w:tr>
        <w:trPr>
          <w:trHeight w:val="166"/>
        </w:trPr>
        <w:tc>
          <w:tcPr>
            <w:tcW w:w="7020" w:type="dxa"/>
            <w:vAlign w:val="bottom"/>
          </w:tcPr>
          <w:p>
            <w:pPr>
              <w:ind w:left="860"/>
              <w:spacing w:after="0"/>
              <w:rPr>
                <w:sz w:val="20"/>
                <w:szCs w:val="20"/>
                <w:color w:val="auto"/>
              </w:rPr>
            </w:pPr>
            <w:r>
              <w:rPr>
                <w:rFonts w:ascii="Courier New" w:cs="Courier New" w:eastAsia="Courier New" w:hAnsi="Courier New"/>
                <w:sz w:val="14"/>
                <w:szCs w:val="14"/>
                <w:color w:val="auto"/>
              </w:rPr>
              <w:t>Percentage Leased......................................................</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w w:val="87"/>
              </w:rPr>
              <w:t>E-3</w:t>
            </w:r>
          </w:p>
        </w:tc>
      </w:tr>
      <w:tr>
        <w:trPr>
          <w:trHeight w:val="166"/>
        </w:trPr>
        <w:tc>
          <w:tcPr>
            <w:tcW w:w="7020" w:type="dxa"/>
            <w:vAlign w:val="bottom"/>
          </w:tcPr>
          <w:p>
            <w:pPr>
              <w:ind w:left="860"/>
              <w:spacing w:after="0"/>
              <w:rPr>
                <w:sz w:val="20"/>
                <w:szCs w:val="20"/>
                <w:color w:val="auto"/>
              </w:rPr>
            </w:pPr>
            <w:r>
              <w:rPr>
                <w:rFonts w:ascii="Courier New" w:cs="Courier New" w:eastAsia="Courier New" w:hAnsi="Courier New"/>
                <w:sz w:val="14"/>
                <w:szCs w:val="14"/>
                <w:color w:val="auto"/>
              </w:rPr>
              <w:t>Regional Breakdown.....................................................</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w w:val="87"/>
              </w:rPr>
              <w:t>E-4</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20"/>
                <w:szCs w:val="20"/>
                <w:color w:val="auto"/>
              </w:rPr>
            </w:pPr>
            <w:r>
              <w:rPr>
                <w:rFonts w:ascii="Courier New" w:cs="Courier New" w:eastAsia="Courier New" w:hAnsi="Courier New"/>
                <w:sz w:val="14"/>
                <w:szCs w:val="14"/>
                <w:color w:val="auto"/>
              </w:rPr>
              <w:t>3.   Leases Signed Analysis</w:t>
            </w:r>
          </w:p>
        </w:tc>
        <w:tc>
          <w:tcPr>
            <w:tcW w:w="300" w:type="dxa"/>
            <w:vAlign w:val="bottom"/>
          </w:tcPr>
          <w:p>
            <w:pPr>
              <w:spacing w:after="0"/>
              <w:rPr>
                <w:sz w:val="14"/>
                <w:szCs w:val="14"/>
                <w:color w:val="auto"/>
              </w:rPr>
            </w:pPr>
          </w:p>
        </w:tc>
      </w:tr>
      <w:tr>
        <w:trPr>
          <w:trHeight w:val="166"/>
        </w:trPr>
        <w:tc>
          <w:tcPr>
            <w:tcW w:w="7020" w:type="dxa"/>
            <w:vAlign w:val="bottom"/>
          </w:tcPr>
          <w:p>
            <w:pPr>
              <w:ind w:left="860"/>
              <w:spacing w:after="0"/>
              <w:rPr>
                <w:sz w:val="20"/>
                <w:szCs w:val="20"/>
                <w:color w:val="auto"/>
              </w:rPr>
            </w:pPr>
            <w:r>
              <w:rPr>
                <w:rFonts w:ascii="Courier New" w:cs="Courier New" w:eastAsia="Courier New" w:hAnsi="Courier New"/>
                <w:sz w:val="14"/>
                <w:szCs w:val="14"/>
                <w:color w:val="auto"/>
              </w:rPr>
              <w:t>Comparable and Non-Comparable..........................................</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w w:val="87"/>
              </w:rPr>
              <w:t>E-5</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Expirations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 Rent on</w:t>
            </w:r>
          </w:p>
        </w:tc>
        <w:tc>
          <w:tcPr>
            <w:tcW w:w="4860" w:type="dxa"/>
            <w:vAlign w:val="bottom"/>
          </w:tcPr>
          <w:p>
            <w:pPr>
              <w:jc w:val="right"/>
              <w:spacing w:after="0"/>
              <w:rPr>
                <w:sz w:val="20"/>
                <w:szCs w:val="20"/>
                <w:color w:val="auto"/>
              </w:rPr>
            </w:pPr>
            <w:r>
              <w:rPr>
                <w:rFonts w:ascii="Courier New" w:cs="Courier New" w:eastAsia="Courier New" w:hAnsi="Courier New"/>
                <w:sz w:val="14"/>
                <w:szCs w:val="14"/>
                <w:color w:val="auto"/>
              </w:rPr>
              <w:t>Leases Expiring........................................</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E-6</w:t>
            </w:r>
          </w:p>
        </w:tc>
      </w:tr>
      <w:tr>
        <w:trPr>
          <w:trHeight w:val="166"/>
        </w:trPr>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Leases</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Expiring</w:t>
            </w:r>
          </w:p>
        </w:tc>
        <w:tc>
          <w:tcPr>
            <w:tcW w:w="4860" w:type="dxa"/>
            <w:vAlign w:val="bottom"/>
          </w:tcPr>
          <w:p>
            <w:pPr>
              <w:jc w:val="right"/>
              <w:spacing w:after="0"/>
              <w:rPr>
                <w:sz w:val="20"/>
                <w:szCs w:val="20"/>
                <w:color w:val="auto"/>
              </w:rPr>
            </w:pPr>
            <w:r>
              <w:rPr>
                <w:rFonts w:ascii="Courier New" w:cs="Courier New" w:eastAsia="Courier New" w:hAnsi="Courier New"/>
                <w:sz w:val="14"/>
                <w:szCs w:val="14"/>
                <w:color w:val="auto"/>
              </w:rPr>
              <w:t>on Anchor and Small Shops..............................</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E-7</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5.</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Major Tenants by Revenue Contribution.......................................</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E-8</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Development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Pipeline</w:t>
            </w:r>
          </w:p>
        </w:tc>
        <w:tc>
          <w:tcPr>
            <w:tcW w:w="4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E-9</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2001 Year End Earnings Press Release, February 12, 2002.....................</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E-10</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Glossary of</w:t>
            </w:r>
          </w:p>
        </w:tc>
        <w:tc>
          <w:tcPr>
            <w:tcW w:w="5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Terms...........................................................</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E-15</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638" w:right="1440" w:bottom="1440" w:gutter="0" w:footer="0" w:header="0"/>
        </w:sectPr>
      </w:pPr>
    </w:p>
    <w:bookmarkStart w:id="4" w:name="page5"/>
    <w:bookmarkEnd w:id="4"/>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FEDERAL REALTY INVESTMENT TRUST</w:t>
            </w: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DEBT ANALYSIS</w:t>
            </w: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(excluding capital leases and interest rate swaps)</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December 31, 2001</w:t>
            </w: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724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63"/>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Balance</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Maturity</w:t>
            </w:r>
          </w:p>
        </w:tc>
        <w:tc>
          <w:tcPr>
            <w:tcW w:w="780" w:type="dxa"/>
            <w:vAlign w:val="bottom"/>
          </w:tcPr>
          <w:p>
            <w:pPr>
              <w:spacing w:after="0"/>
              <w:rPr>
                <w:sz w:val="14"/>
                <w:szCs w:val="14"/>
                <w:color w:val="auto"/>
              </w:rPr>
            </w:pPr>
          </w:p>
        </w:tc>
        <w:tc>
          <w:tcPr>
            <w:tcW w:w="124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5"/>
              </w:rPr>
              <w:t>Rate</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40" w:type="dxa"/>
            <w:vAlign w:val="bottom"/>
          </w:tcPr>
          <w:p>
            <w:pPr>
              <w:jc w:val="right"/>
              <w:ind w:right="828"/>
              <w:spacing w:after="0"/>
              <w:rPr>
                <w:sz w:val="20"/>
                <w:szCs w:val="20"/>
                <w:color w:val="auto"/>
              </w:rPr>
            </w:pPr>
            <w:r>
              <w:rPr>
                <w:rFonts w:ascii="Courier New" w:cs="Courier New" w:eastAsia="Courier New" w:hAnsi="Courier New"/>
                <w:sz w:val="14"/>
                <w:szCs w:val="14"/>
                <w:color w:val="auto"/>
                <w:w w:val="95"/>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Leesburg Plaza</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10/01/08</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6.510%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Federal Plaza</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06/01/11</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6.750%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36,304</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Tysons Station</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09/01/11</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7.400%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6,967</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164 E Houston Street</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10/06/08</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7.500%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Barracks Road</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44,300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Hauppauge</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Lawrence Park</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Wildwood</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Wynnewood</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Brick Plaza</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11/01/15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7.415%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Friendship Center</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09/22/03</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libor + 1.35%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Construction loan on Woodmont East</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jc w:val="right"/>
              <w:ind w:right="1728"/>
              <w:spacing w:after="0"/>
              <w:rPr>
                <w:sz w:val="20"/>
                <w:szCs w:val="20"/>
                <w:color w:val="auto"/>
              </w:rPr>
            </w:pPr>
            <w:r>
              <w:rPr>
                <w:rFonts w:ascii="Courier New" w:cs="Courier New" w:eastAsia="Courier New" w:hAnsi="Courier New"/>
                <w:sz w:val="14"/>
                <w:szCs w:val="14"/>
                <w:color w:val="auto"/>
              </w:rPr>
              <w:t>(may be extended to 8/29/04)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08/29/02</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libor + 1.35%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23,164</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Construction loan on Santana Row</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jc w:val="right"/>
              <w:ind w:right="1728"/>
              <w:spacing w:after="0"/>
              <w:rPr>
                <w:sz w:val="20"/>
                <w:szCs w:val="20"/>
                <w:color w:val="auto"/>
              </w:rPr>
            </w:pPr>
            <w:r>
              <w:rPr>
                <w:rFonts w:ascii="Courier New" w:cs="Courier New" w:eastAsia="Courier New" w:hAnsi="Courier New"/>
                <w:sz w:val="14"/>
                <w:szCs w:val="14"/>
                <w:color w:val="auto"/>
              </w:rPr>
              <w:t>(may be extended to 4/16/06)</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04/16/04</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libor +</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2.125%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62,004</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Escondido (Municipal bonds)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10/01/16</w:t>
            </w:r>
          </w:p>
        </w:tc>
        <w:tc>
          <w:tcPr>
            <w:tcW w:w="2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variable (a)</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350,043</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Revolving credit facilities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12/19/03</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libor + .80%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Term note with banks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12/19/03</w:t>
            </w:r>
          </w:p>
        </w:tc>
        <w:tc>
          <w:tcPr>
            <w:tcW w:w="20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libor + .95% (b)</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 issued in Connection with</w:t>
            </w: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renovation of Perring Plaza</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01/31/13</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2,389</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 issued in connection with land purchase</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06/30/02</w:t>
            </w: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libor + 1.25%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various</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8"/>
              </w:rPr>
              <w:t>various</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174,843</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Unsecured Public Debt</w:t>
            </w:r>
          </w:p>
        </w:tc>
        <w:tc>
          <w:tcPr>
            <w:tcW w:w="2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04/30/02</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5 1/4% Convertible subordinated debentures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10/28/03</w:t>
            </w:r>
          </w:p>
        </w:tc>
        <w:tc>
          <w:tcPr>
            <w:tcW w:w="78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75,000</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8% Notes (fixed)</w:t>
            </w:r>
          </w:p>
        </w:tc>
        <w:tc>
          <w:tcPr>
            <w:tcW w:w="2160" w:type="dxa"/>
            <w:vAlign w:val="bottom"/>
          </w:tcPr>
          <w:p>
            <w:pPr>
              <w:spacing w:after="0"/>
              <w:rPr>
                <w:sz w:val="24"/>
                <w:szCs w:val="2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04/21/02</w:t>
            </w:r>
          </w:p>
        </w:tc>
        <w:tc>
          <w:tcPr>
            <w:tcW w:w="780" w:type="dxa"/>
            <w:vAlign w:val="bottom"/>
          </w:tcPr>
          <w:p>
            <w:pPr>
              <w:spacing w:after="0"/>
              <w:rPr>
                <w:sz w:val="24"/>
                <w:szCs w:val="2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25,000</w:t>
            </w: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6.625% Notes (fixed)</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12/01/05</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6.625%</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7.48% Debentures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08/15/26</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7.480%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6.82% Medium Term Notes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08/01/27</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6.820%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6.74% Medium Term Notes</w:t>
            </w:r>
          </w:p>
        </w:tc>
        <w:tc>
          <w:tcPr>
            <w:tcW w:w="216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(c)</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03/10/04</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6.370%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6.99% Medium Term Notes</w:t>
            </w:r>
          </w:p>
        </w:tc>
        <w:tc>
          <w:tcPr>
            <w:tcW w:w="216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(c)</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03/10/06</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6.894%</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8.75% Notes</w:t>
            </w:r>
          </w:p>
        </w:tc>
        <w:tc>
          <w:tcPr>
            <w:tcW w:w="216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12/01/09</w:t>
            </w:r>
          </w:p>
        </w:tc>
        <w:tc>
          <w:tcPr>
            <w:tcW w:w="780" w:type="dxa"/>
            <w:vAlign w:val="bottom"/>
          </w:tcPr>
          <w:p>
            <w:pPr>
              <w:spacing w:after="0"/>
              <w:rPr>
                <w:sz w:val="14"/>
                <w:szCs w:val="14"/>
                <w:color w:val="auto"/>
              </w:rPr>
            </w:pP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8.750%</w:t>
            </w:r>
          </w:p>
        </w:tc>
        <w:tc>
          <w:tcPr>
            <w:tcW w:w="5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410,000</w:t>
            </w:r>
          </w:p>
        </w:tc>
        <w:tc>
          <w:tcPr>
            <w:tcW w:w="60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2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Total fixed rate debt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851,207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84.26%</w:t>
            </w:r>
          </w:p>
        </w:tc>
      </w:tr>
      <w:tr>
        <w:trPr>
          <w:trHeight w:val="331"/>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62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Total variable rate debt</w:t>
            </w: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158,968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15.74%</w:t>
            </w: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160" w:type="dxa"/>
            <w:vAlign w:val="bottom"/>
          </w:tcPr>
          <w:p>
            <w:pPr>
              <w:ind w:left="1220"/>
              <w:spacing w:after="0"/>
              <w:rPr>
                <w:sz w:val="20"/>
                <w:szCs w:val="20"/>
                <w:color w:val="auto"/>
              </w:rPr>
            </w:pPr>
            <w:r>
              <w:rPr>
                <w:rFonts w:ascii="Courier New" w:cs="Courier New" w:eastAsia="Courier New" w:hAnsi="Courier New"/>
                <w:sz w:val="14"/>
                <w:szCs w:val="14"/>
                <w:color w:val="auto"/>
              </w:rPr>
              <w:t>Total debt</w:t>
            </w: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$1,010,175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497"/>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0" w:type="dxa"/>
            <w:vAlign w:val="bottom"/>
            <w:gridSpan w:val="3"/>
          </w:tcPr>
          <w:p>
            <w:pPr>
              <w:ind w:left="1220"/>
              <w:spacing w:after="0"/>
              <w:rPr>
                <w:sz w:val="20"/>
                <w:szCs w:val="20"/>
                <w:color w:val="auto"/>
              </w:rPr>
            </w:pPr>
            <w:r>
              <w:rPr>
                <w:rFonts w:ascii="Courier New" w:cs="Courier New" w:eastAsia="Courier New" w:hAnsi="Courier New"/>
                <w:sz w:val="14"/>
                <w:szCs w:val="14"/>
                <w:color w:val="auto"/>
              </w:rPr>
              <w:t>Weighted average interest rate:</w:t>
            </w: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400" w:type="dxa"/>
            <w:vAlign w:val="bottom"/>
            <w:gridSpan w:val="3"/>
          </w:tcPr>
          <w:p>
            <w:pPr>
              <w:ind w:left="122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tbl>
      <w:tblPr>
        <w:tblLayout w:type="fixed"/>
        <w:tblInd w:w="500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Fixed rate debt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7.27%</w:t>
            </w:r>
          </w:p>
        </w:tc>
        <w:tc>
          <w:tcPr>
            <w:tcW w:w="300" w:type="dxa"/>
            <w:vAlign w:val="bottom"/>
          </w:tcPr>
          <w:p>
            <w:pPr>
              <w:spacing w:after="0"/>
              <w:rPr>
                <w:sz w:val="14"/>
                <w:szCs w:val="14"/>
                <w:color w:val="auto"/>
              </w:rPr>
            </w:pP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Variable on revolving credit facilities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4.87%</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(d)</w:t>
            </w:r>
          </w:p>
        </w:tc>
      </w:tr>
      <w:tr>
        <w:trPr>
          <w:trHeight w:val="166"/>
        </w:trPr>
        <w:tc>
          <w:tcPr>
            <w:tcW w:w="4260" w:type="dxa"/>
            <w:vAlign w:val="bottom"/>
          </w:tcPr>
          <w:p>
            <w:pPr>
              <w:spacing w:after="0"/>
              <w:rPr>
                <w:sz w:val="20"/>
                <w:szCs w:val="20"/>
                <w:color w:val="auto"/>
              </w:rPr>
            </w:pPr>
            <w:r>
              <w:rPr>
                <w:rFonts w:ascii="Courier New" w:cs="Courier New" w:eastAsia="Courier New" w:hAnsi="Courier New"/>
                <w:sz w:val="14"/>
                <w:szCs w:val="14"/>
                <w:color w:val="auto"/>
              </w:rPr>
              <w:t>Variable on muncipal bonds</w:t>
            </w:r>
          </w:p>
        </w:tc>
        <w:tc>
          <w:tcPr>
            <w:tcW w:w="1380" w:type="dxa"/>
            <w:vAlign w:val="bottom"/>
          </w:tcPr>
          <w:p>
            <w:pPr>
              <w:spacing w:after="0"/>
              <w:rPr>
                <w:sz w:val="14"/>
                <w:szCs w:val="14"/>
                <w:color w:val="auto"/>
              </w:rPr>
            </w:pP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(a)</w:t>
            </w:r>
          </w:p>
        </w:tc>
      </w:tr>
    </w:tbl>
    <w:p>
      <w:pPr>
        <w:spacing w:after="0" w:line="335" w:lineRule="exact"/>
        <w:rPr>
          <w:sz w:val="20"/>
          <w:szCs w:val="20"/>
          <w:color w:val="auto"/>
        </w:rPr>
      </w:pPr>
    </w:p>
    <w:p>
      <w:pPr>
        <w:ind w:left="360" w:right="448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pacing w:after="0" w:line="1" w:lineRule="exact"/>
        <w:rPr>
          <w:rFonts w:ascii="Courier New" w:cs="Courier New" w:eastAsia="Courier New" w:hAnsi="Courier New"/>
          <w:sz w:val="14"/>
          <w:szCs w:val="14"/>
          <w:color w:val="auto"/>
        </w:rPr>
      </w:pPr>
    </w:p>
    <w:p>
      <w:pPr>
        <w:ind w:left="360" w:right="492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or hedges on this note, thereby locking in the LIBOR interest rate at 5.27%.</w:t>
      </w:r>
    </w:p>
    <w:p>
      <w:pPr>
        <w:ind w:left="360" w:right="4740" w:hanging="352"/>
        <w:spacing w:after="0" w:line="250"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interest rate swaps at issuance, thereby reducing the effective interest on these notes.</w:t>
      </w:r>
    </w:p>
    <w:p>
      <w:pPr>
        <w:ind w:left="360" w:right="4480" w:hanging="352"/>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year ended December 31, 2001.</w:t>
      </w:r>
    </w:p>
    <w:p>
      <w:pPr>
        <w:spacing w:after="0" w:line="16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DEBT MATURITIES</w:t>
        <w:tab/>
        <w:t>(excluding capital leases and interest rate swaps)</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04" w:lineRule="exact"/>
        <w:rPr>
          <w:sz w:val="20"/>
          <w:szCs w:val="20"/>
          <w:color w:val="auto"/>
        </w:rPr>
      </w:pPr>
    </w:p>
    <w:p>
      <w:pPr>
        <w:ind w:left="10520"/>
        <w:spacing w:after="0"/>
        <w:rPr>
          <w:sz w:val="20"/>
          <w:szCs w:val="20"/>
          <w:color w:val="auto"/>
        </w:rPr>
      </w:pPr>
      <w:r>
        <w:rPr>
          <w:rFonts w:ascii="Courier New" w:cs="Courier New" w:eastAsia="Courier New" w:hAnsi="Courier New"/>
          <w:sz w:val="14"/>
          <w:szCs w:val="14"/>
          <w:color w:val="auto"/>
        </w:rPr>
        <w:t>Cumulative</w:t>
      </w:r>
    </w:p>
    <w:p>
      <w:pPr>
        <w:spacing w:after="0" w:line="7" w:lineRule="exact"/>
        <w:rPr>
          <w:sz w:val="20"/>
          <w:szCs w:val="20"/>
          <w:color w:val="auto"/>
        </w:rPr>
      </w:pPr>
    </w:p>
    <w:p>
      <w:pPr>
        <w:ind w:left="9140"/>
        <w:spacing w:after="0"/>
        <w:tabs>
          <w:tab w:leader="none" w:pos="10500" w:val="left"/>
        </w:tabs>
        <w:rPr>
          <w:sz w:val="20"/>
          <w:szCs w:val="20"/>
          <w:color w:val="auto"/>
        </w:rPr>
      </w:pPr>
      <w:r>
        <w:rPr>
          <w:rFonts w:ascii="Courier New" w:cs="Courier New" w:eastAsia="Courier New" w:hAnsi="Courier New"/>
          <w:sz w:val="14"/>
          <w:szCs w:val="14"/>
          <w:color w:val="auto"/>
        </w:rPr>
        <w:t>Percent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3800"/>
        <w:spacing w:after="0"/>
        <w:tabs>
          <w:tab w:leader="none" w:pos="9380" w:val="left"/>
          <w:tab w:leader="none" w:pos="10760" w:val="left"/>
        </w:tabs>
        <w:rPr>
          <w:sz w:val="20"/>
          <w:szCs w:val="20"/>
          <w:color w:val="auto"/>
        </w:rPr>
      </w:pPr>
      <w:r>
        <w:rPr>
          <w:rFonts w:ascii="Courier New" w:cs="Courier New" w:eastAsia="Courier New" w:hAnsi="Courier New"/>
          <w:sz w:val="14"/>
          <w:szCs w:val="14"/>
          <w:color w:val="auto"/>
        </w:rPr>
        <w:t>Scheduled</w:t>
      </w:r>
      <w:r>
        <w:rPr>
          <w:sz w:val="20"/>
          <w:szCs w:val="20"/>
          <w:color w:val="auto"/>
        </w:rPr>
        <w:tab/>
      </w: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Debt</w:t>
      </w:r>
    </w:p>
    <w:p>
      <w:pPr>
        <w:spacing w:after="0" w:line="7" w:lineRule="exact"/>
        <w:rPr>
          <w:sz w:val="20"/>
          <w:szCs w:val="20"/>
          <w:color w:val="auto"/>
        </w:rPr>
      </w:pPr>
    </w:p>
    <w:p>
      <w:pPr>
        <w:ind w:left="1640"/>
        <w:spacing w:after="0"/>
        <w:tabs>
          <w:tab w:leader="none" w:pos="3600" w:val="left"/>
          <w:tab w:leader="none" w:pos="5680" w:val="left"/>
          <w:tab w:leader="none" w:pos="7660" w:val="left"/>
          <w:tab w:leader="none" w:pos="9200" w:val="left"/>
          <w:tab w:leader="none" w:pos="105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Amortization</w:t>
      </w:r>
      <w:r>
        <w:rPr>
          <w:sz w:val="20"/>
          <w:szCs w:val="20"/>
          <w:color w:val="auto"/>
        </w:rPr>
        <w:tab/>
      </w:r>
      <w:r>
        <w:rPr>
          <w:rFonts w:ascii="Courier New" w:cs="Courier New" w:eastAsia="Courier New" w:hAnsi="Courier New"/>
          <w:sz w:val="14"/>
          <w:szCs w:val="14"/>
          <w:color w:val="auto"/>
        </w:rPr>
        <w:t>Maturities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Expiring</w:t>
      </w:r>
      <w:r>
        <w:rPr>
          <w:sz w:val="20"/>
          <w:szCs w:val="20"/>
          <w:color w:val="auto"/>
        </w:rPr>
        <w:tab/>
      </w:r>
      <w:r>
        <w:rPr>
          <w:rFonts w:ascii="Courier New" w:cs="Courier New" w:eastAsia="Courier New" w:hAnsi="Courier New"/>
          <w:sz w:val="14"/>
          <w:szCs w:val="14"/>
          <w:color w:val="auto"/>
        </w:rPr>
        <w:t>Expiring</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ectPr>
          <w:pgSz w:w="11900" w:h="16877" w:orient="portrait"/>
          <w:cols w:equalWidth="0" w:num="1">
            <w:col w:w="11380"/>
          </w:cols>
          <w:pgMar w:left="220" w:top="616" w:right="299" w:bottom="0" w:gutter="0" w:footer="0" w:header="0"/>
        </w:sectPr>
      </w:pPr>
    </w:p>
    <w:bookmarkStart w:id="5" w:name="page6"/>
    <w:bookmarkEnd w:id="5"/>
    <w:tbl>
      <w:tblPr>
        <w:tblLayout w:type="fixed"/>
        <w:tblInd w:w="160" w:type="dxa"/>
        <w:tblCellMar>
          <w:top w:w="0" w:type="dxa"/>
          <w:left w:w="0" w:type="dxa"/>
          <w:bottom w:w="0" w:type="dxa"/>
          <w:right w:w="0" w:type="dxa"/>
        </w:tblCellMar>
      </w:tblPr>
      <w:tr>
        <w:trPr>
          <w:trHeight w:val="162"/>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2002</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28,689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29,319</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2003</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846</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261,000</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261,846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2004</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2,810</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62,664</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65,474</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35.3%</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2005</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3,063</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43,063</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2006</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3,412</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102,504</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105,916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2007</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3,686</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3,686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2008</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3,918</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9,541</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13,459</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2009</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4,095</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175,045</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179,140</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69.5%</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2010</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4,427</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4,427</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2011</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4,287</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37,235</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41,522</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r>
      <w:tr>
        <w:trPr>
          <w:trHeight w:val="166"/>
        </w:trPr>
        <w:tc>
          <w:tcPr>
            <w:tcW w:w="1560" w:type="dxa"/>
            <w:vAlign w:val="bottom"/>
          </w:tcPr>
          <w:p>
            <w:pPr>
              <w:jc w:val="center"/>
              <w:ind w:right="628"/>
              <w:spacing w:after="0"/>
              <w:rPr>
                <w:sz w:val="20"/>
                <w:szCs w:val="20"/>
                <w:color w:val="auto"/>
              </w:rPr>
            </w:pPr>
            <w:r>
              <w:rPr>
                <w:rFonts w:ascii="Courier New" w:cs="Courier New" w:eastAsia="Courier New" w:hAnsi="Courier New"/>
                <w:sz w:val="14"/>
                <w:szCs w:val="14"/>
                <w:color w:val="auto"/>
              </w:rPr>
              <w:t>Thereafter</w:t>
            </w:r>
          </w:p>
        </w:tc>
        <w:tc>
          <w:tcPr>
            <w:tcW w:w="980" w:type="dxa"/>
            <w:vAlign w:val="bottom"/>
          </w:tcPr>
          <w:p>
            <w:pPr>
              <w:spacing w:after="0"/>
              <w:rPr>
                <w:sz w:val="14"/>
                <w:szCs w:val="14"/>
                <w:color w:val="auto"/>
              </w:rPr>
            </w:pP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17,116</w:t>
            </w:r>
          </w:p>
        </w:tc>
        <w:tc>
          <w:tcPr>
            <w:tcW w:w="6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245,207</w:t>
            </w:r>
          </w:p>
        </w:tc>
        <w:tc>
          <w:tcPr>
            <w:tcW w:w="420" w:type="dxa"/>
            <w:vAlign w:val="bottom"/>
          </w:tcPr>
          <w:p>
            <w:pPr>
              <w:spacing w:after="0"/>
              <w:rPr>
                <w:sz w:val="14"/>
                <w:szCs w:val="14"/>
                <w:color w:val="auto"/>
              </w:rPr>
            </w:pP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262,323</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1560" w:type="dxa"/>
            <w:vAlign w:val="bottom"/>
          </w:tcPr>
          <w:p>
            <w:pPr>
              <w:spacing w:after="0"/>
              <w:rPr>
                <w:sz w:val="14"/>
                <w:szCs w:val="14"/>
                <w:color w:val="auto"/>
              </w:rPr>
            </w:pPr>
          </w:p>
        </w:tc>
        <w:tc>
          <w:tcPr>
            <w:tcW w:w="7440" w:type="dxa"/>
            <w:vAlign w:val="bottom"/>
            <w:gridSpan w:val="7"/>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r>
        <w:trPr>
          <w:trHeight w:val="331"/>
        </w:trPr>
        <w:tc>
          <w:tcPr>
            <w:tcW w:w="156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48,290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961,885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1,010,175</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spacing w:after="0"/>
              <w:rPr>
                <w:sz w:val="24"/>
                <w:szCs w:val="24"/>
                <w:color w:val="auto"/>
              </w:rPr>
            </w:pPr>
          </w:p>
        </w:tc>
      </w:tr>
      <w:tr>
        <w:trPr>
          <w:trHeight w:val="166"/>
        </w:trPr>
        <w:tc>
          <w:tcPr>
            <w:tcW w:w="1560" w:type="dxa"/>
            <w:vAlign w:val="bottom"/>
          </w:tcPr>
          <w:p>
            <w:pPr>
              <w:spacing w:after="0"/>
              <w:rPr>
                <w:sz w:val="14"/>
                <w:szCs w:val="14"/>
                <w:color w:val="auto"/>
              </w:rPr>
            </w:pPr>
          </w:p>
        </w:tc>
        <w:tc>
          <w:tcPr>
            <w:tcW w:w="7440" w:type="dxa"/>
            <w:vAlign w:val="bottom"/>
            <w:gridSpan w:val="7"/>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r>
    </w:tbl>
    <w:p>
      <w:pPr>
        <w:sectPr>
          <w:pgSz w:w="11900" w:h="16838" w:orient="portrait"/>
          <w:cols w:equalWidth="0" w:num="1">
            <w:col w:w="10080"/>
          </w:cols>
          <w:pgMar w:left="1440" w:top="307" w:right="3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0440"/>
          </w:cols>
          <w:pgMar w:left="220" w:top="616" w:right="1239" w:bottom="1440" w:gutter="0" w:footer="0" w:header="0"/>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(Quarter to Quarter Analysis)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180"/>
        <w:spacing w:after="0" w:line="255" w:lineRule="auto"/>
        <w:rPr>
          <w:sz w:val="20"/>
          <w:szCs w:val="20"/>
          <w:color w:val="auto"/>
        </w:rPr>
      </w:pPr>
      <w:r>
        <w:rPr>
          <w:rFonts w:ascii="Courier New" w:cs="Courier New" w:eastAsia="Courier New" w:hAnsi="Courier New"/>
          <w:sz w:val="14"/>
          <w:szCs w:val="14"/>
          <w:color w:val="auto"/>
        </w:rPr>
        <w:t>At December 31, 2000 ------------------------------------</w:t>
      </w:r>
    </w:p>
    <w:p>
      <w:pPr>
        <w:spacing w:after="0" w:line="160" w:lineRule="exact"/>
        <w:rPr>
          <w:sz w:val="20"/>
          <w:szCs w:val="20"/>
          <w:color w:val="auto"/>
        </w:rPr>
      </w:pPr>
    </w:p>
    <w:p>
      <w:pPr>
        <w:sectPr>
          <w:pgSz w:w="11900" w:h="16838" w:orient="portrait"/>
          <w:cols w:equalWidth="0" w:num="3">
            <w:col w:w="3080" w:space="720"/>
            <w:col w:w="3020" w:space="340"/>
            <w:col w:w="3280"/>
          </w:cols>
          <w:pgMar w:left="220" w:top="616" w:right="12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800" w:space="180"/>
            <w:col w:w="860" w:space="160"/>
            <w:col w:w="860" w:space="180"/>
            <w:col w:w="940" w:space="340"/>
            <w:col w:w="880" w:space="160"/>
            <w:col w:w="860" w:space="100"/>
            <w:col w:w="1120"/>
          </w:cols>
          <w:pgMar w:left="220" w:top="616"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14,761,301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14,116,003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14,101,425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13,504,384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60" w:space="340"/>
            <w:col w:w="860" w:space="180"/>
            <w:col w:w="860" w:space="520"/>
            <w:col w:w="240" w:space="700"/>
            <w:col w:w="860" w:space="180"/>
            <w:col w:w="860" w:space="500"/>
            <w:col w:w="880"/>
          </w:cols>
          <w:pgMar w:left="220" w:top="616" w:right="1239" w:bottom="1440" w:gutter="0" w:footer="0" w:header="0"/>
          <w:type w:val="continuous"/>
        </w:sect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0440"/>
          </w:cols>
          <w:pgMar w:left="220" w:top="616" w:right="1239"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September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3020" w:space="340"/>
            <w:col w:w="3280"/>
          </w:cols>
          <w:pgMar w:left="220" w:top="616" w:right="12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800" w:space="180"/>
            <w:col w:w="860" w:space="160"/>
            <w:col w:w="860" w:space="180"/>
            <w:col w:w="940" w:space="340"/>
            <w:col w:w="880" w:space="160"/>
            <w:col w:w="860" w:space="100"/>
            <w:col w:w="1120"/>
          </w:cols>
          <w:pgMar w:left="220" w:top="616"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14,761,301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14,116,003</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14,586,960</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13,969,698</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173" w:lineRule="exact"/>
        <w:rPr>
          <w:sz w:val="20"/>
          <w:szCs w:val="20"/>
          <w:color w:val="auto"/>
        </w:rPr>
      </w:pPr>
    </w:p>
    <w:p>
      <w:pPr>
        <w:sectPr>
          <w:pgSz w:w="11900" w:h="16838" w:orient="portrait"/>
          <w:cols w:equalWidth="0" w:num="7">
            <w:col w:w="3460" w:space="340"/>
            <w:col w:w="860" w:space="180"/>
            <w:col w:w="860" w:space="520"/>
            <w:col w:w="240" w:space="700"/>
            <w:col w:w="860" w:space="180"/>
            <w:col w:w="860" w:space="500"/>
            <w:col w:w="880"/>
          </w:cols>
          <w:pgMar w:left="220" w:top="616" w:right="1239"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Overall Operating Occupancy</w:t>
      </w:r>
    </w:p>
    <w:p>
      <w:pPr>
        <w:sectPr>
          <w:pgSz w:w="11900" w:h="16838" w:orient="portrait"/>
          <w:cols w:equalWidth="0" w:num="1">
            <w:col w:w="10440"/>
          </w:cols>
          <w:pgMar w:left="220" w:top="616" w:right="1239"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June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3020" w:space="340"/>
            <w:col w:w="3280"/>
          </w:cols>
          <w:pgMar w:left="220" w:top="616" w:right="12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14,401,918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13,763,220</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14,609,901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13,938,466</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95%</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99%</w:t>
      </w:r>
    </w:p>
    <w:p>
      <w:pPr>
        <w:spacing w:after="0" w:line="200" w:lineRule="exact"/>
        <w:rPr>
          <w:sz w:val="20"/>
          <w:szCs w:val="20"/>
          <w:color w:val="auto"/>
        </w:rPr>
      </w:pPr>
    </w:p>
    <w:p>
      <w:pPr>
        <w:sectPr>
          <w:pgSz w:w="11900" w:h="16838" w:orient="portrait"/>
          <w:cols w:equalWidth="0" w:num="7">
            <w:col w:w="3800" w:space="0"/>
            <w:col w:w="1040" w:space="0"/>
            <w:col w:w="1020" w:space="100"/>
            <w:col w:w="1020" w:space="180"/>
            <w:col w:w="1040" w:space="0"/>
            <w:col w:w="1020" w:space="100"/>
            <w:col w:w="1120"/>
          </w:cols>
          <w:pgMar w:left="220" w:top="616" w:right="12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w:t>
      </w:r>
    </w:p>
    <w:p>
      <w:pPr>
        <w:spacing w:after="0" w:line="7" w:lineRule="exact"/>
        <w:rPr>
          <w:sz w:val="20"/>
          <w:szCs w:val="20"/>
          <w:color w:val="auto"/>
        </w:rPr>
      </w:pPr>
    </w:p>
    <w:p>
      <w:pPr>
        <w:ind w:left="360"/>
        <w:spacing w:after="0"/>
        <w:tabs>
          <w:tab w:leader="none" w:pos="4460" w:val="left"/>
          <w:tab w:leader="none" w:pos="7820" w:val="left"/>
        </w:tabs>
        <w:rPr>
          <w:sz w:val="20"/>
          <w:szCs w:val="20"/>
          <w:color w:val="auto"/>
        </w:rPr>
      </w:pPr>
      <w:r>
        <w:rPr>
          <w:rFonts w:ascii="Courier New" w:cs="Courier New" w:eastAsia="Courier New" w:hAnsi="Courier New"/>
          <w:sz w:val="14"/>
          <w:szCs w:val="14"/>
          <w:color w:val="auto"/>
        </w:rPr>
        <w:t>(Quarter to Quarter Comparison)</w:t>
      </w:r>
      <w:r>
        <w:rPr>
          <w:sz w:val="20"/>
          <w:szCs w:val="20"/>
          <w:color w:val="auto"/>
        </w:rPr>
        <w:tab/>
      </w:r>
      <w:r>
        <w:rPr>
          <w:rFonts w:ascii="Courier New" w:cs="Courier New" w:eastAsia="Courier New" w:hAnsi="Courier New"/>
          <w:sz w:val="14"/>
          <w:szCs w:val="14"/>
          <w:color w:val="auto"/>
        </w:rPr>
        <w:t>At December 31, 2001</w:t>
      </w:r>
      <w:r>
        <w:rPr>
          <w:sz w:val="20"/>
          <w:szCs w:val="20"/>
          <w:color w:val="auto"/>
        </w:rPr>
        <w:tab/>
      </w:r>
      <w:r>
        <w:rPr>
          <w:rFonts w:ascii="Courier New" w:cs="Courier New" w:eastAsia="Courier New" w:hAnsi="Courier New"/>
          <w:sz w:val="14"/>
          <w:szCs w:val="14"/>
          <w:color w:val="auto"/>
        </w:rPr>
        <w:t>At December 31, 2000</w:t>
      </w:r>
    </w:p>
    <w:p>
      <w:pPr>
        <w:spacing w:after="0" w:line="7" w:lineRule="exact"/>
        <w:rPr>
          <w:sz w:val="20"/>
          <w:szCs w:val="20"/>
          <w:color w:val="auto"/>
        </w:rPr>
      </w:pPr>
    </w:p>
    <w:p>
      <w:pPr>
        <w:ind w:left="3800"/>
        <w:spacing w:after="0"/>
        <w:tabs>
          <w:tab w:leader="none" w:pos="71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440"/>
          </w:cols>
          <w:pgMar w:left="220" w:top="616" w:right="1239" w:bottom="1440" w:gutter="0" w:footer="0" w:header="0"/>
          <w:type w:val="continuous"/>
        </w:sectPr>
      </w:pP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800" w:space="180"/>
            <w:col w:w="860" w:space="160"/>
            <w:col w:w="860" w:space="180"/>
            <w:col w:w="940" w:space="340"/>
            <w:col w:w="880" w:space="160"/>
            <w:col w:w="860" w:space="100"/>
            <w:col w:w="1120"/>
          </w:cols>
          <w:pgMar w:left="220" w:top="616"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13,871,494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13,239,805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13,845,319</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13,256,781</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60" w:space="340"/>
            <w:col w:w="860" w:space="180"/>
            <w:col w:w="860" w:space="520"/>
            <w:col w:w="240" w:space="700"/>
            <w:col w:w="860" w:space="180"/>
            <w:col w:w="860" w:space="500"/>
            <w:col w:w="880"/>
          </w:cols>
          <w:pgMar w:left="220" w:top="616" w:right="1239" w:bottom="1440" w:gutter="0" w:footer="0" w:header="0"/>
          <w:type w:val="continuous"/>
        </w:sectPr>
      </w:pPr>
    </w:p>
    <w:p>
      <w:pPr>
        <w:spacing w:after="0" w:line="304"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440"/>
          </w:cols>
          <w:pgMar w:left="220" w:top="616" w:right="1239"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December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September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3020" w:space="340"/>
            <w:col w:w="3280"/>
          </w:cols>
          <w:pgMar w:left="220" w:top="616" w:right="12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ind w:hanging="85"/>
        <w:spacing w:after="0" w:line="255" w:lineRule="auto"/>
        <w:rPr>
          <w:sz w:val="20"/>
          <w:szCs w:val="20"/>
          <w:color w:val="auto"/>
        </w:rPr>
      </w:pPr>
      <w:r>
        <w:rPr>
          <w:rFonts w:ascii="Courier New" w:cs="Courier New" w:eastAsia="Courier New" w:hAnsi="Courier New"/>
          <w:sz w:val="14"/>
          <w:szCs w:val="14"/>
          <w:color w:val="auto"/>
        </w:rPr>
        <w:t>Occupancy -----------</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Leased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7">
            <w:col w:w="3800" w:space="180"/>
            <w:col w:w="860" w:space="160"/>
            <w:col w:w="860" w:space="180"/>
            <w:col w:w="940" w:space="340"/>
            <w:col w:w="880" w:space="160"/>
            <w:col w:w="860" w:space="100"/>
            <w:col w:w="1120"/>
          </w:cols>
          <w:pgMar w:left="220" w:top="616" w:right="1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13,871,494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13,239,805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95%</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99%</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13,729,885</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13,145,884</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w:t>
      </w:r>
    </w:p>
    <w:p>
      <w:pPr>
        <w:spacing w:after="0" w:line="200" w:lineRule="exact"/>
        <w:rPr>
          <w:sz w:val="20"/>
          <w:szCs w:val="20"/>
          <w:color w:val="auto"/>
        </w:rPr>
      </w:pPr>
    </w:p>
    <w:p>
      <w:pPr>
        <w:sectPr>
          <w:pgSz w:w="11900" w:h="16838" w:orient="portrait"/>
          <w:cols w:equalWidth="0" w:num="7">
            <w:col w:w="3460" w:space="340"/>
            <w:col w:w="860" w:space="180"/>
            <w:col w:w="860" w:space="520"/>
            <w:col w:w="240" w:space="700"/>
            <w:col w:w="860" w:space="180"/>
            <w:col w:w="860" w:space="500"/>
            <w:col w:w="880"/>
          </w:cols>
          <w:pgMar w:left="220" w:top="616" w:right="1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Same Center Occupancy</w:t>
      </w:r>
    </w:p>
    <w:p>
      <w:pPr>
        <w:sectPr>
          <w:pgSz w:w="11900" w:h="16838" w:orient="portrait"/>
          <w:cols w:equalWidth="0" w:num="1">
            <w:col w:w="10440"/>
          </w:cols>
          <w:pgMar w:left="220" w:top="616" w:right="1239" w:bottom="1440" w:gutter="0" w:footer="0" w:header="0"/>
          <w:type w:val="continuous"/>
        </w:sectPr>
      </w:pP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(Rolling 12 Months)</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June 30,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Courier New" w:cs="Courier New" w:eastAsia="Courier New" w:hAnsi="Courier New"/>
          <w:sz w:val="14"/>
          <w:szCs w:val="14"/>
          <w:color w:val="auto"/>
        </w:rPr>
        <w:t>At March 31,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080" w:space="720"/>
            <w:col w:w="3100" w:space="260"/>
            <w:col w:w="3280"/>
          </w:cols>
          <w:pgMar w:left="220" w:top="616" w:right="1239" w:bottom="1440" w:gutter="0" w:footer="0" w:header="0"/>
          <w:type w:val="continuous"/>
        </w:sectPr>
      </w:pPr>
    </w:p>
    <w:p>
      <w:pPr>
        <w:ind w:left="1560"/>
        <w:spacing w:after="0"/>
        <w:rPr>
          <w:sz w:val="20"/>
          <w:szCs w:val="20"/>
          <w:color w:val="auto"/>
        </w:rPr>
      </w:pPr>
      <w:r>
        <w:rPr>
          <w:rFonts w:ascii="Courier New" w:cs="Courier New" w:eastAsia="Courier New" w:hAnsi="Courier New"/>
          <w:sz w:val="14"/>
          <w:szCs w:val="14"/>
          <w:color w:val="auto"/>
        </w:rPr>
        <w:t>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 (leasable square feet)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Rollingwood Apartments (# of units)</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13,676,328</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13,072,483</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Size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13,997,565</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Leased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13,392,116</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281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Occupancy</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96%</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7">
            <w:col w:w="3800" w:space="0"/>
            <w:col w:w="1040" w:space="0"/>
            <w:col w:w="1020" w:space="100"/>
            <w:col w:w="1020" w:space="180"/>
            <w:col w:w="1040" w:space="0"/>
            <w:col w:w="1020" w:space="100"/>
            <w:col w:w="1120"/>
          </w:cols>
          <w:pgMar w:left="220" w:top="616" w:right="1239"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Total Square</w:t>
            </w: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ind w:left="1380"/>
              <w:spacing w:after="0"/>
              <w:rPr>
                <w:sz w:val="20"/>
                <w:szCs w:val="20"/>
                <w:color w:val="auto"/>
              </w:rPr>
            </w:pPr>
            <w:r>
              <w:rPr>
                <w:rFonts w:ascii="Courier New" w:cs="Courier New" w:eastAsia="Courier New" w:hAnsi="Courier New"/>
                <w:sz w:val="14"/>
                <w:szCs w:val="14"/>
                <w:color w:val="auto"/>
              </w:rPr>
              <w:t>Region</w:t>
            </w:r>
          </w:p>
        </w:tc>
        <w:tc>
          <w:tcPr>
            <w:tcW w:w="160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Footage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12/31/01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7,500,621</w:t>
            </w: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96%</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6,139,491</w:t>
            </w: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96%</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16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1,121,189</w:t>
            </w:r>
          </w:p>
        </w:tc>
        <w:tc>
          <w:tcPr>
            <w:tcW w:w="14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 Square</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ind w:left="780"/>
              <w:spacing w:after="0"/>
              <w:rPr>
                <w:sz w:val="20"/>
                <w:szCs w:val="20"/>
                <w:color w:val="auto"/>
              </w:rPr>
            </w:pPr>
            <w:r>
              <w:rPr>
                <w:rFonts w:ascii="Courier New" w:cs="Courier New" w:eastAsia="Courier New" w:hAnsi="Courier New"/>
                <w:sz w:val="14"/>
                <w:szCs w:val="14"/>
                <w:color w:val="auto"/>
              </w:rPr>
              <w:t>Region</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Footage</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12/31/01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4,746,910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2,753,711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w:t>
            </w: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7,500,621</w:t>
            </w: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Mid-Atlantic</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2,879,432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99%</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3,260,059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6,139,491</w:t>
            </w: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West</w:t>
            </w: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361,313</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759,876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r>
      <w:tr>
        <w:trPr>
          <w:trHeight w:val="166"/>
        </w:trPr>
        <w:tc>
          <w:tcPr>
            <w:tcW w:w="3360" w:type="dxa"/>
            <w:vAlign w:val="bottom"/>
          </w:tcPr>
          <w:p>
            <w:pPr>
              <w:spacing w:after="0"/>
              <w:rPr>
                <w:sz w:val="14"/>
                <w:szCs w:val="14"/>
                <w:color w:val="auto"/>
              </w:rPr>
            </w:pP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1,121,189</w:t>
            </w:r>
          </w:p>
        </w:tc>
        <w:tc>
          <w:tcPr>
            <w:tcW w:w="142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Federal Realty Investment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Trust</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Retail Leasing Activity</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December 31, 2001</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746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663"/>
        </w:trPr>
        <w:tc>
          <w:tcPr>
            <w:tcW w:w="216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Estimated</w:t>
            </w:r>
          </w:p>
        </w:tc>
      </w:tr>
      <w:tr>
        <w:trPr>
          <w:trHeight w:val="166"/>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Weighted</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Average Prior</w:t>
            </w:r>
          </w:p>
        </w:tc>
        <w:tc>
          <w:tcPr>
            <w:tcW w:w="14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 Current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Percentage</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9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Square</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Average Lease</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Rent Per</w:t>
            </w:r>
          </w:p>
        </w:tc>
        <w:tc>
          <w:tcPr>
            <w:tcW w:w="1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Rent Per</w:t>
            </w:r>
          </w:p>
        </w:tc>
        <w:tc>
          <w:tcPr>
            <w:tcW w:w="2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Annualized</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Increase</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Rolling 12 Months Leases Signed</w:t>
            </w:r>
          </w:p>
        </w:tc>
        <w:tc>
          <w:tcPr>
            <w:tcW w:w="680" w:type="dxa"/>
            <w:vAlign w:val="bottom"/>
          </w:tcPr>
          <w:p>
            <w:pPr>
              <w:ind w:left="120"/>
              <w:spacing w:after="0"/>
              <w:rPr>
                <w:sz w:val="20"/>
                <w:szCs w:val="20"/>
                <w:color w:val="auto"/>
              </w:rPr>
            </w:pPr>
            <w:r>
              <w:rPr>
                <w:rFonts w:ascii="Courier New" w:cs="Courier New" w:eastAsia="Courier New" w:hAnsi="Courier New"/>
                <w:sz w:val="14"/>
                <w:szCs w:val="14"/>
                <w:color w:val="auto"/>
              </w:rPr>
              <w:t>Feet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Term (Years)</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Square Foot</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Square Foot</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Increase in Rent over Prior Rent</w:t>
            </w:r>
          </w:p>
        </w:tc>
        <w:tc>
          <w:tcPr>
            <w:tcW w:w="1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4th Quarter 2001</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253,166</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$19.73</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22.40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674,705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2,485,000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3rd Quarter 2001</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200,388</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$23.03</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25.57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508,120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935,000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2nd Quarter 2001</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206,158</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$19.86</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24.78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1,014,598</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1,697,000</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1st Quarter 2001</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233,106</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$17.27</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19.64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554,492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614,000</w:t>
            </w:r>
          </w:p>
        </w:tc>
      </w:tr>
      <w:tr>
        <w:trPr>
          <w:trHeight w:val="166"/>
        </w:trPr>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74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266</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892,818</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$19.86</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22.94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2,751,915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5,731,000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Weighted</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Average</w:t>
            </w:r>
          </w:p>
        </w:tc>
        <w:tc>
          <w:tcPr>
            <w:tcW w:w="13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Annualized</w:t>
            </w:r>
          </w:p>
        </w:tc>
        <w:tc>
          <w:tcPr>
            <w:tcW w:w="2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16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Square</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Lease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Average Rent</w:t>
            </w:r>
          </w:p>
        </w:tc>
        <w:tc>
          <w:tcPr>
            <w:tcW w:w="14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Current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Improvement</w:t>
            </w:r>
          </w:p>
        </w:tc>
      </w:tr>
      <w:tr>
        <w:trPr>
          <w:trHeight w:val="166"/>
        </w:trPr>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Rolling 12 Months Leases Signed</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Feet</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Term (Years) Per Square Foot</w:t>
            </w:r>
          </w:p>
        </w:tc>
        <w:tc>
          <w:tcPr>
            <w:tcW w:w="14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Rent</w:t>
            </w:r>
          </w:p>
        </w:tc>
        <w:tc>
          <w:tcPr>
            <w:tcW w:w="260" w:type="dxa"/>
            <w:vAlign w:val="bottom"/>
          </w:tcPr>
          <w:p>
            <w:pPr>
              <w:spacing w:after="0"/>
              <w:rPr>
                <w:sz w:val="14"/>
                <w:szCs w:val="14"/>
                <w:color w:val="auto"/>
              </w:rPr>
            </w:pP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Costs</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4th Quarter 2001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67,720</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10.9</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$47.96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3,247,544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56,000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3rd Quarter 2001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82,944</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$31.97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2,651,794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2nd Quarter 2001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135,596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$17.22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2,335,496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448,000</w:t>
            </w:r>
          </w:p>
        </w:tc>
      </w:tr>
      <w:tr>
        <w:trPr>
          <w:trHeight w:val="166"/>
        </w:trPr>
        <w:tc>
          <w:tcPr>
            <w:tcW w:w="1680" w:type="dxa"/>
            <w:vAlign w:val="bottom"/>
          </w:tcPr>
          <w:p>
            <w:pPr>
              <w:ind w:left="180"/>
              <w:spacing w:after="0"/>
              <w:rPr>
                <w:sz w:val="20"/>
                <w:szCs w:val="20"/>
                <w:color w:val="auto"/>
              </w:rPr>
            </w:pPr>
            <w:r>
              <w:rPr>
                <w:rFonts w:ascii="Courier New" w:cs="Courier New" w:eastAsia="Courier New" w:hAnsi="Courier New"/>
                <w:sz w:val="14"/>
                <w:szCs w:val="14"/>
                <w:color w:val="auto"/>
              </w:rPr>
              <w:t>1st Quarter 2001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299,677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$14.95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4,479,734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735,000</w:t>
            </w:r>
          </w:p>
        </w:tc>
      </w:tr>
      <w:tr>
        <w:trPr>
          <w:trHeight w:val="166"/>
        </w:trPr>
        <w:tc>
          <w:tcPr>
            <w:tcW w:w="1680" w:type="dxa"/>
            <w:vAlign w:val="bottom"/>
          </w:tcPr>
          <w:p>
            <w:pPr>
              <w:ind w:left="700"/>
              <w:spacing w:after="0"/>
              <w:rPr>
                <w:sz w:val="20"/>
                <w:szCs w:val="20"/>
                <w:color w:val="auto"/>
              </w:rPr>
            </w:pPr>
            <w:r>
              <w:rPr>
                <w:rFonts w:ascii="Courier New" w:cs="Courier New" w:eastAsia="Courier New" w:hAnsi="Courier New"/>
                <w:sz w:val="14"/>
                <w:szCs w:val="14"/>
                <w:color w:val="auto"/>
              </w:rPr>
              <w:t>Total</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585,937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w:t>
            </w:r>
          </w:p>
        </w:tc>
        <w:tc>
          <w:tcPr>
            <w:tcW w:w="13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$21.70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12,714,568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1,239,000</w:t>
            </w:r>
          </w:p>
        </w:tc>
      </w:tr>
    </w:tbl>
    <w:p>
      <w:pPr>
        <w:sectPr>
          <w:pgSz w:w="11900" w:h="16838" w:orient="portrait"/>
          <w:cols w:equalWidth="0" w:num="1">
            <w:col w:w="11300"/>
          </w:cols>
          <w:pgMar w:left="220" w:top="616" w:right="37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0" w:lineRule="exact"/>
        <w:rPr>
          <w:sz w:val="20"/>
          <w:szCs w:val="20"/>
          <w:color w:val="auto"/>
        </w:rPr>
      </w:pPr>
    </w:p>
    <w:p>
      <w:pPr>
        <w:spacing w:after="0" w:line="304"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Total</w:t>
            </w:r>
          </w:p>
        </w:tc>
        <w:tc>
          <w:tcPr>
            <w:tcW w:w="1860" w:type="dxa"/>
            <w:vAlign w:val="bottom"/>
          </w:tcPr>
          <w:p>
            <w:pPr>
              <w:ind w:left="780"/>
              <w:spacing w:after="0"/>
              <w:rPr>
                <w:sz w:val="20"/>
                <w:szCs w:val="20"/>
                <w:color w:val="auto"/>
              </w:rPr>
            </w:pPr>
            <w:r>
              <w:rPr>
                <w:rFonts w:ascii="Courier New" w:cs="Courier New" w:eastAsia="Courier New" w:hAnsi="Courier New"/>
                <w:sz w:val="14"/>
                <w:szCs w:val="14"/>
                <w:color w:val="auto"/>
              </w:rPr>
              <w:t>Percent</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520" w:type="dxa"/>
            <w:vAlign w:val="bottom"/>
          </w:tcPr>
          <w:p>
            <w:pPr>
              <w:spacing w:after="0"/>
              <w:rPr>
                <w:sz w:val="14"/>
                <w:szCs w:val="14"/>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Square Feet</w:t>
            </w:r>
          </w:p>
        </w:tc>
        <w:tc>
          <w:tcPr>
            <w:tcW w:w="1860" w:type="dxa"/>
            <w:vAlign w:val="bottom"/>
          </w:tcPr>
          <w:p>
            <w:pPr>
              <w:ind w:left="780"/>
              <w:spacing w:after="0"/>
              <w:rPr>
                <w:sz w:val="20"/>
                <w:szCs w:val="20"/>
                <w:color w:val="auto"/>
              </w:rPr>
            </w:pPr>
            <w:r>
              <w:rPr>
                <w:rFonts w:ascii="Courier New" w:cs="Courier New" w:eastAsia="Courier New" w:hAnsi="Courier New"/>
                <w:sz w:val="14"/>
                <w:szCs w:val="14"/>
                <w:color w:val="auto"/>
              </w:rPr>
              <w:t>of Total</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520" w:type="dxa"/>
            <w:vAlign w:val="bottom"/>
          </w:tcPr>
          <w:p>
            <w:pPr>
              <w:spacing w:after="0"/>
              <w:rPr>
                <w:sz w:val="14"/>
                <w:szCs w:val="14"/>
                <w:color w:val="auto"/>
              </w:rPr>
            </w:pPr>
          </w:p>
        </w:tc>
        <w:tc>
          <w:tcPr>
            <w:tcW w:w="1800" w:type="dxa"/>
            <w:vAlign w:val="bottom"/>
          </w:tcPr>
          <w:p>
            <w:pPr>
              <w:ind w:left="600"/>
              <w:spacing w:after="0"/>
              <w:rPr>
                <w:sz w:val="20"/>
                <w:szCs w:val="20"/>
                <w:color w:val="auto"/>
              </w:rPr>
            </w:pPr>
            <w:r>
              <w:rPr>
                <w:rFonts w:ascii="Courier New" w:cs="Courier New" w:eastAsia="Courier New" w:hAnsi="Courier New"/>
                <w:sz w:val="14"/>
                <w:szCs w:val="14"/>
                <w:color w:val="auto"/>
              </w:rPr>
              <w:t>Expiring (1)</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Portfolio(2)</w:t>
            </w:r>
          </w:p>
        </w:tc>
        <w:tc>
          <w:tcPr>
            <w:tcW w:w="1760" w:type="dxa"/>
            <w:vAlign w:val="bottom"/>
          </w:tcPr>
          <w:p>
            <w:pPr>
              <w:ind w:left="460"/>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520" w:type="dxa"/>
            <w:vAlign w:val="bottom"/>
          </w:tcPr>
          <w:p>
            <w:pPr>
              <w:spacing w:after="0"/>
              <w:rPr>
                <w:sz w:val="14"/>
                <w:szCs w:val="1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2002</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561,412</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$19.69</w:t>
            </w:r>
          </w:p>
        </w:tc>
      </w:tr>
      <w:tr>
        <w:trPr>
          <w:trHeight w:val="166"/>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2003</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497,824</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2004</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592,836</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$20.60</w:t>
            </w:r>
          </w:p>
        </w:tc>
      </w:tr>
      <w:tr>
        <w:trPr>
          <w:trHeight w:val="166"/>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2005</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467,605</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$24.08</w:t>
            </w:r>
          </w:p>
        </w:tc>
      </w:tr>
      <w:tr>
        <w:trPr>
          <w:trHeight w:val="166"/>
        </w:trPr>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2006</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603,389</w:t>
            </w:r>
          </w:p>
        </w:tc>
        <w:tc>
          <w:tcPr>
            <w:tcW w:w="1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$25.71</w:t>
            </w:r>
          </w:p>
        </w:tc>
      </w:tr>
    </w:tbl>
    <w:p>
      <w:pPr>
        <w:spacing w:after="0" w:line="335"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lease expirations with options</w:t>
      </w:r>
    </w:p>
    <w:p>
      <w:pPr>
        <w:spacing w:after="0" w:line="7" w:lineRule="exact"/>
        <w:rPr>
          <w:rFonts w:ascii="Courier New" w:cs="Courier New" w:eastAsia="Courier New" w:hAnsi="Courier New"/>
          <w:sz w:val="14"/>
          <w:szCs w:val="14"/>
          <w:color w:val="auto"/>
        </w:rPr>
      </w:pPr>
    </w:p>
    <w:p>
      <w:pPr>
        <w:ind w:left="440" w:right="3939" w:hanging="432"/>
        <w:spacing w:after="0" w:line="252"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portfolio square footage at December 31, 2001 is 15,149,698 representing the physical square footage of the properties including redevelopments, which may exceed the rentable square footage used to express occupancy.</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8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Total</w:t>
            </w:r>
          </w:p>
        </w:tc>
        <w:tc>
          <w:tcPr>
            <w:tcW w:w="1480" w:type="dxa"/>
            <w:vAlign w:val="bottom"/>
          </w:tcPr>
          <w:p>
            <w:pPr>
              <w:ind w:left="60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74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Courier New" w:cs="Courier New" w:eastAsia="Courier New" w:hAnsi="Courier New"/>
                <w:sz w:val="14"/>
                <w:szCs w:val="14"/>
                <w:color w:val="auto"/>
              </w:rPr>
              <w:t>Square Feet</w:t>
            </w:r>
          </w:p>
        </w:tc>
        <w:tc>
          <w:tcPr>
            <w:tcW w:w="1480" w:type="dxa"/>
            <w:vAlign w:val="bottom"/>
          </w:tcPr>
          <w:p>
            <w:pPr>
              <w:ind w:left="600"/>
              <w:spacing w:after="0"/>
              <w:rPr>
                <w:sz w:val="20"/>
                <w:szCs w:val="20"/>
                <w:color w:val="auto"/>
              </w:rPr>
            </w:pPr>
            <w:r>
              <w:rPr>
                <w:rFonts w:ascii="Courier New" w:cs="Courier New" w:eastAsia="Courier New" w:hAnsi="Courier New"/>
                <w:sz w:val="14"/>
                <w:szCs w:val="14"/>
                <w:color w:val="auto"/>
              </w:rPr>
              <w:t>of Total</w:t>
            </w:r>
          </w:p>
        </w:tc>
      </w:tr>
      <w:tr>
        <w:trPr>
          <w:trHeight w:val="166"/>
        </w:trPr>
        <w:tc>
          <w:tcPr>
            <w:tcW w:w="174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Courier New" w:cs="Courier New" w:eastAsia="Courier New" w:hAnsi="Courier New"/>
                <w:sz w:val="14"/>
                <w:szCs w:val="14"/>
                <w:color w:val="auto"/>
              </w:rPr>
              <w:t>Expiring (1)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Portfolio(2)</w:t>
            </w:r>
          </w:p>
        </w:tc>
      </w:tr>
      <w:tr>
        <w:trPr>
          <w:trHeight w:val="166"/>
        </w:trPr>
        <w:tc>
          <w:tcPr>
            <w:tcW w:w="1740" w:type="dxa"/>
            <w:vAlign w:val="bottom"/>
          </w:tcPr>
          <w:p>
            <w:pPr>
              <w:spacing w:after="0"/>
              <w:rPr>
                <w:sz w:val="14"/>
                <w:szCs w:val="14"/>
                <w:color w:val="auto"/>
              </w:rPr>
            </w:pPr>
          </w:p>
        </w:tc>
        <w:tc>
          <w:tcPr>
            <w:tcW w:w="18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34,670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526,742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54,600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443,224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106,261</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486,575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18,500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449,105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r>
      <w:tr>
        <w:trPr>
          <w:trHeight w:val="331"/>
        </w:trPr>
        <w:tc>
          <w:tcPr>
            <w:tcW w:w="174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70,177</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r>
      <w:tr>
        <w:trPr>
          <w:trHeight w:val="166"/>
        </w:trPr>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Small Shop</w:t>
            </w:r>
          </w:p>
        </w:tc>
        <w:tc>
          <w:tcPr>
            <w:tcW w:w="18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533,212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5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Excludes lease expirations with options</w:t>
            </w:r>
          </w:p>
        </w:tc>
        <w:tc>
          <w:tcPr>
            <w:tcW w:w="88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Total portfolio</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square footage at December 31, 2001 is</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15,149,698</w:t>
            </w:r>
          </w:p>
        </w:tc>
      </w:tr>
      <w:tr>
        <w:trPr>
          <w:trHeight w:val="166"/>
        </w:trPr>
        <w:tc>
          <w:tcPr>
            <w:tcW w:w="300" w:type="dxa"/>
            <w:vAlign w:val="bottom"/>
          </w:tcPr>
          <w:p>
            <w:pPr>
              <w:spacing w:after="0"/>
              <w:rPr>
                <w:sz w:val="14"/>
                <w:szCs w:val="14"/>
                <w:color w:val="auto"/>
              </w:rPr>
            </w:pPr>
          </w:p>
        </w:tc>
        <w:tc>
          <w:tcPr>
            <w:tcW w:w="5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representing the physical square footage of the properties</w:t>
            </w:r>
          </w:p>
        </w:tc>
        <w:tc>
          <w:tcPr>
            <w:tcW w:w="88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59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including redevelopments, which may exceed the rentable square</w:t>
            </w:r>
          </w:p>
        </w:tc>
      </w:tr>
      <w:tr>
        <w:trPr>
          <w:trHeight w:val="166"/>
        </w:trPr>
        <w:tc>
          <w:tcPr>
            <w:tcW w:w="30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footage used to</w:t>
            </w:r>
          </w:p>
        </w:tc>
        <w:tc>
          <w:tcPr>
            <w:tcW w:w="3660" w:type="dxa"/>
            <w:vAlign w:val="bottom"/>
          </w:tcPr>
          <w:p>
            <w:pPr>
              <w:ind w:left="60"/>
              <w:spacing w:after="0"/>
              <w:rPr>
                <w:sz w:val="20"/>
                <w:szCs w:val="20"/>
                <w:color w:val="auto"/>
              </w:rPr>
            </w:pPr>
            <w:r>
              <w:rPr>
                <w:rFonts w:ascii="Courier New" w:cs="Courier New" w:eastAsia="Courier New" w:hAnsi="Courier New"/>
                <w:sz w:val="14"/>
                <w:szCs w:val="14"/>
                <w:color w:val="auto"/>
              </w:rPr>
              <w:t>express occupancy.</w:t>
            </w:r>
          </w:p>
        </w:tc>
        <w:tc>
          <w:tcPr>
            <w:tcW w:w="88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Means less than</w:t>
            </w:r>
          </w:p>
        </w:tc>
        <w:tc>
          <w:tcPr>
            <w:tcW w:w="36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Major Tenants by Revenue Contribution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Square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3460" w:type="dxa"/>
            <w:vAlign w:val="bottom"/>
          </w:tcPr>
          <w:p>
            <w:pPr>
              <w:ind w:left="2340"/>
              <w:spacing w:after="0"/>
              <w:rPr>
                <w:sz w:val="20"/>
                <w:szCs w:val="20"/>
                <w:color w:val="auto"/>
              </w:rPr>
            </w:pPr>
            <w:r>
              <w:rPr>
                <w:rFonts w:ascii="Courier New" w:cs="Courier New" w:eastAsia="Courier New" w:hAnsi="Courier New"/>
                <w:sz w:val="14"/>
                <w:szCs w:val="14"/>
                <w:color w:val="auto"/>
              </w:rPr>
              <w:t>Tenant</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Footage</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Revenue (1)</w:t>
            </w:r>
          </w:p>
        </w:tc>
      </w:tr>
      <w:tr>
        <w:trPr>
          <w:trHeight w:val="166"/>
        </w:trPr>
        <w:tc>
          <w:tcPr>
            <w:tcW w:w="346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The Gap,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235,982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Safeway,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365,170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Bed, Bath &amp; Beyond,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356,941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Ahold USA,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409,883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CVS Corporation</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164,687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The TJX Companies</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362,100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Barnes &amp; Noble Superstores,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148,796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Toys R Us,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329,604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Dollar Tree Stores, Inc.</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190,625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Kmart Corporation</w:t>
            </w:r>
          </w:p>
        </w:tc>
        <w:tc>
          <w:tcPr>
            <w:tcW w:w="1680" w:type="dxa"/>
            <w:vAlign w:val="bottom"/>
          </w:tcPr>
          <w:p>
            <w:pPr>
              <w:ind w:left="600"/>
              <w:spacing w:after="0"/>
              <w:rPr>
                <w:sz w:val="20"/>
                <w:szCs w:val="20"/>
                <w:color w:val="auto"/>
              </w:rPr>
            </w:pPr>
            <w:r>
              <w:rPr>
                <w:rFonts w:ascii="Courier New" w:cs="Courier New" w:eastAsia="Courier New" w:hAnsi="Courier New"/>
                <w:sz w:val="14"/>
                <w:szCs w:val="14"/>
                <w:color w:val="auto"/>
              </w:rPr>
              <w:t>508,580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Revenue equals 2001 minimum plus percentage rent</w:t>
      </w:r>
    </w:p>
    <w:p>
      <w:pPr>
        <w:sectPr>
          <w:pgSz w:w="11900" w:h="16838" w:orient="portrait"/>
          <w:cols w:equalWidth="0" w:num="1">
            <w:col w:w="10239"/>
          </w:cols>
          <w:pgMar w:left="220" w:top="616" w:right="1440"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Pipeline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200" w:lineRule="exact"/>
        <w:rPr>
          <w:sz w:val="20"/>
          <w:szCs w:val="20"/>
          <w:color w:val="auto"/>
        </w:rPr>
      </w:pPr>
    </w:p>
    <w:p>
      <w:pPr>
        <w:spacing w:after="0" w:line="304" w:lineRule="exact"/>
        <w:rPr>
          <w:sz w:val="20"/>
          <w:szCs w:val="20"/>
          <w:color w:val="auto"/>
        </w:rPr>
      </w:pPr>
    </w:p>
    <w:p>
      <w:pPr>
        <w:ind w:left="7760"/>
        <w:spacing w:after="0"/>
        <w:tabs>
          <w:tab w:leader="none" w:pos="86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Expected</w:t>
      </w:r>
    </w:p>
    <w:p>
      <w:pPr>
        <w:spacing w:after="0" w:line="7" w:lineRule="exact"/>
        <w:rPr>
          <w:sz w:val="20"/>
          <w:szCs w:val="20"/>
          <w:color w:val="auto"/>
        </w:rPr>
      </w:pPr>
    </w:p>
    <w:p>
      <w:pPr>
        <w:ind w:left="4320"/>
        <w:spacing w:after="0"/>
        <w:tabs>
          <w:tab w:leader="none" w:pos="4900" w:val="left"/>
          <w:tab w:leader="none" w:pos="7740" w:val="left"/>
          <w:tab w:leader="none" w:pos="8680" w:val="left"/>
          <w:tab w:leader="none" w:pos="1006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Estimate To Complete</w:t>
      </w:r>
      <w:r>
        <w:rPr>
          <w:sz w:val="20"/>
          <w:szCs w:val="20"/>
          <w:color w:val="auto"/>
        </w:rPr>
        <w:tab/>
      </w:r>
      <w:r>
        <w:rPr>
          <w:rFonts w:ascii="Courier New" w:cs="Courier New" w:eastAsia="Courier New" w:hAnsi="Courier New"/>
          <w:sz w:val="14"/>
          <w:szCs w:val="14"/>
          <w:color w:val="auto"/>
        </w:rPr>
        <w:t>Completed</w:t>
        <w:tab/>
        <w:t>Stabilized</w:t>
      </w:r>
      <w:r>
        <w:rPr>
          <w:sz w:val="20"/>
          <w:szCs w:val="20"/>
          <w:color w:val="auto"/>
        </w:rPr>
        <w:tab/>
      </w:r>
      <w:r>
        <w:rPr>
          <w:rFonts w:ascii="Courier New" w:cs="Courier New" w:eastAsia="Courier New" w:hAnsi="Courier New"/>
          <w:sz w:val="14"/>
          <w:szCs w:val="14"/>
          <w:color w:val="auto"/>
        </w:rPr>
        <w:t>Principal</w:t>
      </w:r>
    </w:p>
    <w:p>
      <w:pPr>
        <w:spacing w:after="0" w:line="7" w:lineRule="exact"/>
        <w:rPr>
          <w:sz w:val="20"/>
          <w:szCs w:val="20"/>
          <w:color w:val="auto"/>
        </w:rPr>
      </w:pPr>
    </w:p>
    <w:p>
      <w:pPr>
        <w:ind w:left="620"/>
        <w:spacing w:after="0"/>
        <w:tabs>
          <w:tab w:leader="none" w:pos="2220" w:val="left"/>
          <w:tab w:leader="none" w:pos="4200" w:val="left"/>
          <w:tab w:leader="none" w:pos="6280" w:val="left"/>
          <w:tab w:leader="none" w:pos="7920" w:val="left"/>
          <w:tab w:leader="none" w:pos="8860" w:val="left"/>
          <w:tab w:leader="none" w:pos="10160" w:val="left"/>
        </w:tabs>
        <w:rPr>
          <w:sz w:val="20"/>
          <w:szCs w:val="20"/>
          <w:color w:val="auto"/>
        </w:rPr>
      </w:pPr>
      <w:r>
        <w:rPr>
          <w:rFonts w:ascii="Courier New" w:cs="Courier New" w:eastAsia="Courier New" w:hAnsi="Courier New"/>
          <w:sz w:val="14"/>
          <w:szCs w:val="14"/>
          <w:color w:val="auto"/>
        </w:rPr>
        <w:t>Project</w:t>
      </w:r>
      <w:r>
        <w:rPr>
          <w:sz w:val="20"/>
          <w:szCs w:val="20"/>
          <w:color w:val="auto"/>
        </w:rPr>
        <w:tab/>
      </w:r>
      <w:r>
        <w:rPr>
          <w:rFonts w:ascii="Courier New" w:cs="Courier New" w:eastAsia="Courier New" w:hAnsi="Courier New"/>
          <w:sz w:val="14"/>
          <w:szCs w:val="14"/>
          <w:color w:val="auto"/>
        </w:rPr>
        <w:t>Specifications</w:t>
      </w:r>
      <w:r>
        <w:rPr>
          <w:sz w:val="20"/>
          <w:szCs w:val="20"/>
          <w:color w:val="auto"/>
        </w:rPr>
        <w:tab/>
      </w:r>
      <w:r>
        <w:rPr>
          <w:rFonts w:ascii="Courier New" w:cs="Courier New" w:eastAsia="Courier New" w:hAnsi="Courier New"/>
          <w:sz w:val="14"/>
          <w:szCs w:val="14"/>
          <w:color w:val="auto"/>
        </w:rPr>
        <w:t>To Date 2002</w:t>
      </w:r>
      <w:r>
        <w:rPr>
          <w:sz w:val="20"/>
          <w:szCs w:val="20"/>
          <w:color w:val="auto"/>
        </w:rPr>
        <w:tab/>
      </w:r>
      <w:r>
        <w:rPr>
          <w:rFonts w:ascii="Courier New" w:cs="Courier New" w:eastAsia="Courier New" w:hAnsi="Courier New"/>
          <w:sz w:val="14"/>
          <w:szCs w:val="14"/>
          <w:color w:val="auto"/>
        </w:rPr>
        <w:t>2003 Thereafter</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Return</w:t>
      </w:r>
      <w:r>
        <w:rPr>
          <w:sz w:val="20"/>
          <w:szCs w:val="20"/>
          <w:color w:val="auto"/>
        </w:rPr>
        <w:tab/>
      </w:r>
      <w:r>
        <w:rPr>
          <w:rFonts w:ascii="Courier New" w:cs="Courier New" w:eastAsia="Courier New" w:hAnsi="Courier New"/>
          <w:sz w:val="14"/>
          <w:szCs w:val="14"/>
          <w:color w:val="auto"/>
        </w:rPr>
        <w:t>Tenants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in  millions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DEVELOPMENT IN PROGRESS</w:t>
            </w: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Pentagon Row</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300,000 sf retail</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7"/>
              </w:rPr>
              <w:t>(1)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$ 15</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$ 92 (2)   8.25% - 8.5%</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Bed, Bath &amp;</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Arlington, Virginia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1,150 apartment units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Beyond</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Harris Teeter</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Santana Row (Phase I)</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538,000 sf retail</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87"/>
              </w:rPr>
              <w:t>(3)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$475 (4)   6.75% - 7.25%(5) Borders Books</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San Jose, California</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501 residential units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Burberry</w:t>
            </w:r>
          </w:p>
        </w:tc>
      </w:tr>
      <w:tr>
        <w:trPr>
          <w:trHeight w:val="166"/>
        </w:trPr>
        <w:tc>
          <w:tcPr>
            <w:tcW w:w="2120" w:type="dxa"/>
            <w:vAlign w:val="bottom"/>
          </w:tcPr>
          <w:p>
            <w:pPr>
              <w:spacing w:after="0"/>
              <w:rPr>
                <w:sz w:val="14"/>
                <w:szCs w:val="14"/>
                <w:color w:val="auto"/>
              </w:rPr>
            </w:pP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214 hotel rooms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Century</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Theaters</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Crate &amp; Barrel</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Gucci</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Maggiano's</w:t>
            </w: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Tommy Bahama</w:t>
            </w:r>
          </w:p>
        </w:tc>
      </w:tr>
      <w:tr>
        <w:trPr>
          <w:trHeight w:val="331"/>
        </w:trPr>
        <w:tc>
          <w:tcPr>
            <w:tcW w:w="2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24"/>
                <w:szCs w:val="24"/>
                <w:color w:val="auto"/>
              </w:rPr>
            </w:pP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306</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$240</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$567</w:t>
            </w:r>
          </w:p>
        </w:tc>
        <w:tc>
          <w:tcPr>
            <w:tcW w:w="142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LAND FOR DEVELOPMENT</w:t>
            </w:r>
          </w:p>
        </w:tc>
        <w:tc>
          <w:tcPr>
            <w:tcW w:w="1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The Shops at Tanasbourne</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400,000 sf retail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24"/>
                <w:szCs w:val="2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Portland, Oregon</w:t>
            </w:r>
          </w:p>
        </w:tc>
        <w:tc>
          <w:tcPr>
            <w:tcW w:w="1860" w:type="dxa"/>
            <w:vAlign w:val="bottom"/>
          </w:tcPr>
          <w:p>
            <w:pPr>
              <w:ind w:left="220"/>
              <w:spacing w:after="0"/>
              <w:rPr>
                <w:sz w:val="20"/>
                <w:szCs w:val="20"/>
                <w:color w:val="auto"/>
              </w:rPr>
            </w:pPr>
            <w:r>
              <w:rPr>
                <w:rFonts w:ascii="Courier New" w:cs="Courier New" w:eastAsia="Courier New" w:hAnsi="Courier New"/>
                <w:sz w:val="14"/>
                <w:szCs w:val="14"/>
                <w:color w:val="auto"/>
              </w:rPr>
              <w:t>12,000 sf office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Total in Progress and Future Development</w:t>
            </w:r>
          </w:p>
        </w:tc>
        <w:tc>
          <w:tcPr>
            <w:tcW w:w="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322</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335" w:lineRule="exact"/>
        <w:rPr>
          <w:sz w:val="20"/>
          <w:szCs w:val="20"/>
          <w:color w:val="auto"/>
        </w:rPr>
      </w:pPr>
    </w:p>
    <w:p>
      <w:pPr>
        <w:ind w:left="360" w:right="5080" w:hanging="352"/>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master planned this project and is developing the retail component.</w:t>
      </w:r>
    </w:p>
    <w:p>
      <w:pPr>
        <w:spacing w:after="0" w:line="159" w:lineRule="exact"/>
        <w:rPr>
          <w:rFonts w:ascii="Courier New" w:cs="Courier New" w:eastAsia="Courier New" w:hAnsi="Courier New"/>
          <w:sz w:val="14"/>
          <w:szCs w:val="14"/>
          <w:color w:val="auto"/>
        </w:rPr>
      </w:pPr>
    </w:p>
    <w:p>
      <w:pPr>
        <w:jc w:val="both"/>
        <w:ind w:left="360" w:right="4900" w:hanging="352"/>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total project cost before any recovery in litigation of damages incurred as a result of defaults under the original construction contract and replacement of the General Contractor.</w:t>
      </w:r>
    </w:p>
    <w:p>
      <w:pPr>
        <w:spacing w:after="0" w:line="162" w:lineRule="exact"/>
        <w:rPr>
          <w:rFonts w:ascii="Courier New" w:cs="Courier New" w:eastAsia="Courier New" w:hAnsi="Courier New"/>
          <w:sz w:val="14"/>
          <w:szCs w:val="14"/>
          <w:color w:val="auto"/>
        </w:rPr>
      </w:pPr>
    </w:p>
    <w:p>
      <w:pPr>
        <w:ind w:left="360" w:right="472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 includes the "1,500 foot long main street" and nine buildings. Completion of eight buildings with 440,000 square feet of retail space is scheduled for August 2002 with the ninth building to be completed twelve to eighteen months later. At February 12, 2002 leases for over 280,000 square feet of retail space have been executed or are under signed letters of intent. As a result of the retail leasing to date, 80% of the first floor space directly on Santana Row, the development's main street, is leased or under signed letter of intent.</w:t>
      </w:r>
    </w:p>
    <w:p>
      <w:pPr>
        <w:spacing w:after="0" w:line="163" w:lineRule="exact"/>
        <w:rPr>
          <w:rFonts w:ascii="Courier New" w:cs="Courier New" w:eastAsia="Courier New" w:hAnsi="Courier New"/>
          <w:sz w:val="14"/>
          <w:szCs w:val="14"/>
          <w:color w:val="auto"/>
        </w:rPr>
      </w:pPr>
    </w:p>
    <w:p>
      <w:pPr>
        <w:ind w:left="360" w:right="482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total cost for Phase I of $475 million includes the land and infrastructure for the later phases as well as Phase I. The infrastructure for the project encompasses the cost of obtaining zoning; off-site improvements such as curbs, curb cuts and an off-ramp for the highway; site work and grading; construction of the streets; common area amenities, parks and landscaping; a central utility plant with the capacity to service all phases of the project; technology initiatives; and the interest carry on these costs.</w:t>
      </w:r>
    </w:p>
    <w:p>
      <w:pPr>
        <w:spacing w:after="0" w:line="163" w:lineRule="exact"/>
        <w:rPr>
          <w:rFonts w:ascii="Courier New" w:cs="Courier New" w:eastAsia="Courier New" w:hAnsi="Courier New"/>
          <w:sz w:val="14"/>
          <w:szCs w:val="14"/>
          <w:color w:val="auto"/>
        </w:rPr>
      </w:pPr>
    </w:p>
    <w:p>
      <w:pPr>
        <w:ind w:left="360" w:right="4720" w:hanging="352"/>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all buildings in Phase I are stabilized. Assumes residential rents of $2.25 per foot. Every $.10 cent change in monthly rents will result in a 15 basis point change in the stabilized return.</w:t>
      </w:r>
    </w:p>
    <w:p>
      <w:pPr>
        <w:sectPr>
          <w:pgSz w:w="11900" w:h="16838" w:orient="portrait"/>
          <w:cols w:equalWidth="0" w:num="1">
            <w:col w:w="11540"/>
          </w:cols>
          <w:pgMar w:left="220" w:top="616" w:right="139" w:bottom="1440" w:gutter="0" w:footer="0" w:header="0"/>
        </w:sectPr>
      </w:pPr>
    </w:p>
    <w:bookmarkStart w:id="13" w:name="page14"/>
    <w:bookmarkEnd w:id="13"/>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ectPr>
          <w:pgSz w:w="11900" w:h="16838" w:orient="portrait"/>
          <w:cols w:equalWidth="0" w:num="1">
            <w:col w:w="10239"/>
          </w:cols>
          <w:pgMar w:left="220" w:top="144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Inquiries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Andrew Blocher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Investor Relations &amp;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ablocher@federalrealty.com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Media Inquiries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Melissa Macchiavelli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Relations Manager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301/998-8168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mmacchiavelli@federalrealty.com</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00" w:space="420"/>
            <w:col w:w="6019"/>
          </w:cols>
          <w:pgMar w:left="220" w:top="1440"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RECORD FOURTH QUARTER AND YEAR-END 2001 OPERATING RESULTS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ROCKVILLE, MD (February 12, 2002) - Federal Realty Investment Trust (NYSE:FRT) today reported financial and operating results for the quarter and year ended December 31, 2001.</w:t>
      </w:r>
    </w:p>
    <w:p>
      <w:pPr>
        <w:spacing w:after="0" w:line="163" w:lineRule="exact"/>
        <w:rPr>
          <w:sz w:val="20"/>
          <w:szCs w:val="20"/>
          <w:color w:val="auto"/>
        </w:rPr>
      </w:pPr>
    </w:p>
    <w:p>
      <w:pPr>
        <w:ind w:left="780" w:hanging="255"/>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 operations (FFO) increased 7% to $2.74 per diluted share</w:t>
      </w:r>
    </w:p>
    <w:p>
      <w:pPr>
        <w:spacing w:after="0" w:line="7"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6% on a same-center basis for the year</w:t>
      </w:r>
    </w:p>
    <w:p>
      <w:pPr>
        <w:spacing w:after="0" w:line="7" w:lineRule="exact"/>
        <w:rPr>
          <w:rFonts w:ascii="Courier New" w:cs="Courier New" w:eastAsia="Courier New" w:hAnsi="Courier New"/>
          <w:sz w:val="14"/>
          <w:szCs w:val="14"/>
          <w:color w:val="auto"/>
        </w:rPr>
      </w:pPr>
    </w:p>
    <w:p>
      <w:pPr>
        <w:ind w:left="780" w:hanging="255"/>
        <w:spacing w:after="0"/>
        <w:tabs>
          <w:tab w:leader="none" w:pos="7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remains strong at 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Funds from operations for the year ended December 31, 2001 increased 8.1% to</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$110.4 million from $102.2 million in 2000. On a diluted per share basis, funds from operations increased 7.0% to $2.74 from $2.56 in 2000, beating First Call Consensus Estimates by $.04. Federal Realty reported net operating income, which includes interest income from mortgage notes receivable, of $208.2 million, a 6.0% increase from the $196.4 million reported for 2000.</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Funds from operations also improved for the fourth quarter of 2001 increasing 10.9% to $28.5 million from $25.7 million in the fourth quarter of 2000. On a diluted per share basis, funds from operations advanced 7.7% to $.70 per share in the fourth quarter of 2001 compared to $.65 per share in the same period last year.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Portfolio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Rental income increased 7.4% to $279.9 million in 2001 from $260.7 million in 2000. When adjusted to exclude properties acquired, sold or under development or redevelopment during 2001, rental income</w:t>
      </w:r>
    </w:p>
    <w:p>
      <w:pPr>
        <w:spacing w:after="0" w:line="200" w:lineRule="exact"/>
        <w:rPr>
          <w:sz w:val="20"/>
          <w:szCs w:val="20"/>
          <w:color w:val="auto"/>
        </w:rPr>
      </w:pPr>
    </w:p>
    <w:p>
      <w:pPr>
        <w:spacing w:after="0" w:line="29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1440"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2001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increased 6.4% to $270.7 million in 2001 from $254.3 million in 2000. Growth in rental income can largely be attributed to lease rollovers and incremental rent increases and lease from developments and redevelopments.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2001, the Trust executed 342 new and renewed leases for a total of 1.6 million square feet of retail, office and residential space. On a comparable space basis, the Trust re-leased 1.0 million square feet, achieving 16% growth in same-store base rents. The weighted average rent on these leases was $23.03 per square foot compared to the previous average rent of $19.78 per square foot. For the third straight year, overall occupancy at year-end remained strong at 96%.</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Commenting on the year, Donald C. Wood, president and chief operating officer stated, "Despite the slowing economy, demand for our retail space remains strong as evidenced by rental rate increases and strong occupancy levels. Our ability to generate consistent core portfolio growth over our 40-year history underscores the quality of our properties and the strength of their locations."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Activities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Santana Row, San Jose, California, the Trust continues to make progress with construction. Leasing activity continues with 80% of the first floor space facing Santana Row, either executed or under signed letter of intent. The company anticipates Phase I to begin opening in August 2002.</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"At year-end, our retail leasing and construction progress allowed us to mitigate development risks," stated Steven J. Guttman, chairman and chief executive officer, "We now have the retail density on the main street necessary to assure a successful opening."</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 October, Federal Realty broke ground on the fifth phase of redevelopment at Bethesda Row in Bethesda, Maryland. Plans call for the development of a brand new 62,000 square foot, state-of-the-art Giant Food and Pharmacy on the west side of Arlington Road. The estimated cost to Federal Realty for the</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2001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redevelopment of this parcel is approximately $5.5 million. Plans for phase six, which include the development of the existing Giant Food parcel are currently being finalized.</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Federal Realty also announced that construction of 146-unit apartment community on a 2-acre parcel behind Congressional Plaza in Rockville, Maryland has commenced. Federal Realty's portion of the construction costs are estimated to be approximately $15 million.</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At Pentagon Row in Arlington, Virginia, two-thirds of the 300,000 square feet of retail space is currently open and operating. The development is 95% leased with the remaining portions of buildings C and D expected to open in the first and second quarters of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Guidance and Conference Call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Federal Realty's management team will present a more in depth discussion of the Trust's operating performance and provide 2002 earnings guidance on its fourth quarter and year-end earnings conference call, which is scheduled for 11:00 A.M ET, Wednesday February 13, 2002. To participate, please call (800) 289-0436 five to ten minutes prior to the start time. Federal Realty will also provide an online Web Simulcast on the company's web site, www.federalrealty.com. For those</w:t>
      </w:r>
    </w:p>
    <w:p>
      <w:pPr>
        <w:spacing w:after="0" w:line="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0" w:lineRule="auto"/>
        <w:rPr>
          <w:sz w:val="20"/>
          <w:szCs w:val="20"/>
          <w:color w:val="auto"/>
        </w:rPr>
      </w:pPr>
      <w:r>
        <w:rPr>
          <w:rFonts w:ascii="Courier New" w:cs="Courier New" w:eastAsia="Courier New" w:hAnsi="Courier New"/>
          <w:sz w:val="14"/>
          <w:szCs w:val="14"/>
          <w:color w:val="auto"/>
        </w:rPr>
        <w:t>interested parties who are unable to participate in the conference call, a re-broadcast will be available online at www.federalrealty.com beginning on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February 13, 2002. A telephone recording of the call can also be heard by dialing (888) 203-1112. The passcode for this replay is 467891.</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retail and mixed-use properties. Federal Realty's portfolio contains shopping centers, street retail and mixed-use properties comprising 15.2 million square feet. The operating portfolio is currently 96% leased to over 2,100 national, regional and local retailers with no single tenant accounting for more than 2.7% of rental revenue. The portfolio is diversified across major metropolitan markets within the United States that are densely populated with high household income levels. The Trust's 58 community and neighborhood shopping centers are predominantly grocery-anchored with</w:t>
      </w:r>
    </w:p>
    <w:p>
      <w:pPr>
        <w:spacing w:after="0" w:line="163"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616"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QUARTER AND YEAR-END 2001 OPERATING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2002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4</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average sales per square foot of $305. Federal Realty's street retail and mixed-use portfolio comprises over 2 million square feet with average sales per square foot of $435. Federal Realty has gained national recognition for its main street revitalization program as well as the development of urban-mixed use, pedestrian-friendly communities. In addition, the Trust participates in the results of an additional 30 street retail properties through convertible participating mortgages. Federal Realty has paid quarterly dividends to its shareholders continuously since it's founding in 1962, and has increased its dividend rate for 34 consecutive years. Shares of Federal Realty are traded on the New York Stock Exchange under the symbol FRT. Additional information about Federal Realty can be found on the Internet at www.federalrealty.com.</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Language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becuse of subsequent events.</w:t>
      </w:r>
    </w:p>
    <w:p>
      <w:pPr>
        <w:sectPr>
          <w:pgSz w:w="11900" w:h="16838" w:orient="portrait"/>
          <w:cols w:equalWidth="0" w:num="1">
            <w:col w:w="10239"/>
          </w:cols>
          <w:pgMar w:left="220" w:top="616" w:right="1440" w:bottom="1440" w:gutter="0" w:footer="0" w:header="0"/>
        </w:sectPr>
      </w:pPr>
    </w:p>
    <w:bookmarkStart w:id="17" w:name="page18"/>
    <w:bookmarkEnd w:id="17"/>
    <w:p>
      <w:pPr>
        <w:ind w:left="302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4300" w:type="dxa"/>
            <w:vAlign w:val="bottom"/>
          </w:tcPr>
          <w:p>
            <w:pPr>
              <w:ind w:left="160"/>
              <w:spacing w:after="0"/>
              <w:rPr>
                <w:sz w:val="20"/>
                <w:szCs w:val="20"/>
                <w:color w:val="auto"/>
              </w:rPr>
            </w:pPr>
            <w:r>
              <w:rPr>
                <w:rFonts w:ascii="Courier New" w:cs="Courier New" w:eastAsia="Courier New" w:hAnsi="Courier New"/>
                <w:sz w:val="14"/>
                <w:szCs w:val="14"/>
                <w:color w:val="auto"/>
              </w:rPr>
              <w:t>(in thousands, except per share data)</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28"/>
        </w:trPr>
        <w:tc>
          <w:tcPr>
            <w:tcW w:w="2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00" w:type="dxa"/>
            <w:vAlign w:val="bottom"/>
            <w:gridSpan w:val="4"/>
          </w:tcPr>
          <w:p>
            <w:pPr>
              <w:jc w:val="right"/>
              <w:ind w:right="56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24"/>
                <w:szCs w:val="24"/>
                <w:color w:val="auto"/>
              </w:rPr>
            </w:pPr>
          </w:p>
        </w:tc>
        <w:tc>
          <w:tcPr>
            <w:tcW w:w="2400" w:type="dxa"/>
            <w:vAlign w:val="bottom"/>
            <w:gridSpan w:val="4"/>
          </w:tcPr>
          <w:p>
            <w:pPr>
              <w:jc w:val="right"/>
              <w:ind w:right="688"/>
              <w:spacing w:after="0"/>
              <w:rPr>
                <w:sz w:val="20"/>
                <w:szCs w:val="20"/>
                <w:color w:val="auto"/>
              </w:rPr>
            </w:pPr>
            <w:r>
              <w:rPr>
                <w:rFonts w:ascii="Courier New" w:cs="Courier New" w:eastAsia="Courier New" w:hAnsi="Courier New"/>
                <w:sz w:val="14"/>
                <w:szCs w:val="14"/>
                <w:color w:val="auto"/>
              </w:rPr>
              <w:t>Twelve Months Ended</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December 31,</w:t>
            </w:r>
          </w:p>
        </w:tc>
        <w:tc>
          <w:tcPr>
            <w:tcW w:w="1020" w:type="dxa"/>
            <w:vAlign w:val="bottom"/>
          </w:tcPr>
          <w:p>
            <w:pPr>
              <w:spacing w:after="0"/>
              <w:rPr>
                <w:sz w:val="14"/>
                <w:szCs w:val="14"/>
                <w:color w:val="auto"/>
              </w:rPr>
            </w:pP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2001</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Revenues</w:t>
            </w: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Rental income</w:t>
            </w: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$74,798</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$68,100</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$279,935</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$260,684</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Other property income</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3,764</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2,917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13,977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11,065</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Interest  and other income</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1,315</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1,773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6,590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7,532</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79,877</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72,790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300,502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279,281</w:t>
            </w:r>
          </w:p>
        </w:tc>
      </w:tr>
      <w:tr>
        <w:trPr>
          <w:trHeight w:val="166"/>
        </w:trPr>
        <w:tc>
          <w:tcPr>
            <w:tcW w:w="23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Expenses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Rental</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17,849</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15,223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63,481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56,280</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Real estate taxes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7,895</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6,900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28,772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26,620</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Interest</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16,953</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16,897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69,313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66,418</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Administrative</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4,310</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4,283</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14,281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13,318</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Depreciation and amortization</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15,804</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13,826</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59,914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53,259</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62,811</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57,129</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235,761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215,895</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Operating income before investors' share of operations</w:t>
            </w:r>
          </w:p>
        </w:tc>
        <w:tc>
          <w:tcPr>
            <w:tcW w:w="26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17,066</w:t>
            </w:r>
          </w:p>
        </w:tc>
        <w:tc>
          <w:tcPr>
            <w:tcW w:w="220" w:type="dxa"/>
            <w:vAlign w:val="bottom"/>
          </w:tcPr>
          <w:p>
            <w:pPr>
              <w:spacing w:after="0"/>
              <w:rPr>
                <w:sz w:val="24"/>
                <w:szCs w:val="2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15,661</w:t>
            </w:r>
          </w:p>
        </w:tc>
        <w:tc>
          <w:tcPr>
            <w:tcW w:w="30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64,741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63,386</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Investor's share of operations</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(1,179)</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(1,772)</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(5,170)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(6,544)</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Income before gain on sale of real estate</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15,887</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13,889</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59,571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56,842</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on sale of real estate</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1,287</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Net Income</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17,174</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13,889</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68,756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60,523</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Dividends on preferred stock</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(3,071)</w:t>
            </w:r>
          </w:p>
        </w:tc>
        <w:tc>
          <w:tcPr>
            <w:tcW w:w="2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(1,987)</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(9,034)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(7,950)</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$14,103</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$11,902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$ 59,722</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$ 52,573</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Earnings per common share, basic</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Earnings per common share,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Weighted average shares outstanding, basic</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39,473</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38,750</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39,164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38,796</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Weighted average shares outstanding, diluted</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40,653</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39,794</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40,266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39,910</w:t>
            </w:r>
          </w:p>
        </w:tc>
      </w:tr>
      <w:tr>
        <w:trPr>
          <w:trHeight w:val="331"/>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Funds from Operations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664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$14,103</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$11,902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$ 59,722</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$ 52,573</w:t>
            </w:r>
          </w:p>
        </w:tc>
      </w:tr>
      <w:tr>
        <w:trPr>
          <w:trHeight w:val="166"/>
        </w:trPr>
        <w:tc>
          <w:tcPr>
            <w:tcW w:w="2340" w:type="dxa"/>
            <w:vAlign w:val="bottom"/>
          </w:tcPr>
          <w:p>
            <w:pPr>
              <w:ind w:left="1740"/>
              <w:spacing w:after="0"/>
              <w:rPr>
                <w:sz w:val="20"/>
                <w:szCs w:val="20"/>
                <w:color w:val="auto"/>
              </w:rPr>
            </w:pPr>
            <w:r>
              <w:rPr>
                <w:rFonts w:ascii="Courier New" w:cs="Courier New" w:eastAsia="Courier New" w:hAnsi="Courier New"/>
                <w:sz w:val="14"/>
                <w:szCs w:val="14"/>
                <w:color w:val="auto"/>
              </w:rPr>
              <w:t>Less:</w:t>
            </w:r>
          </w:p>
        </w:tc>
        <w:tc>
          <w:tcPr>
            <w:tcW w:w="4300" w:type="dxa"/>
            <w:vAlign w:val="bottom"/>
          </w:tcPr>
          <w:p>
            <w:pPr>
              <w:ind w:left="80"/>
              <w:spacing w:after="0"/>
              <w:rPr>
                <w:sz w:val="20"/>
                <w:szCs w:val="20"/>
                <w:color w:val="auto"/>
              </w:rPr>
            </w:pPr>
            <w:r>
              <w:rPr>
                <w:rFonts w:ascii="Courier New" w:cs="Courier New" w:eastAsia="Courier New" w:hAnsi="Courier New"/>
                <w:sz w:val="14"/>
                <w:szCs w:val="14"/>
                <w:color w:val="auto"/>
              </w:rPr>
              <w:t>(gain) on sale of real estate</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(1,287)</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(9,185)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(3,681)</w:t>
            </w:r>
          </w:p>
        </w:tc>
      </w:tr>
      <w:tr>
        <w:trPr>
          <w:trHeight w:val="166"/>
        </w:trPr>
        <w:tc>
          <w:tcPr>
            <w:tcW w:w="664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Add :  depreciation and amortization of real estate</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14,211</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12,604</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54,350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48,456</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640" w:type="dxa"/>
            <w:vAlign w:val="bottom"/>
            <w:gridSpan w:val="2"/>
          </w:tcPr>
          <w:p>
            <w:pPr>
              <w:ind w:left="1740"/>
              <w:spacing w:after="0"/>
              <w:rPr>
                <w:sz w:val="20"/>
                <w:szCs w:val="20"/>
                <w:color w:val="auto"/>
              </w:rPr>
            </w:pPr>
            <w:r>
              <w:rPr>
                <w:rFonts w:ascii="Courier New" w:cs="Courier New" w:eastAsia="Courier New" w:hAnsi="Courier New"/>
                <w:sz w:val="14"/>
                <w:szCs w:val="14"/>
                <w:color w:val="auto"/>
              </w:rPr>
              <w:t>Add :  amortization of initial direct costs of leases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1,146</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917</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4,161</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3,514</w:t>
            </w:r>
          </w:p>
        </w:tc>
      </w:tr>
      <w:tr>
        <w:trPr>
          <w:trHeight w:val="166"/>
        </w:trPr>
        <w:tc>
          <w:tcPr>
            <w:tcW w:w="2340" w:type="dxa"/>
            <w:vAlign w:val="bottom"/>
          </w:tcPr>
          <w:p>
            <w:pPr>
              <w:ind w:left="1740"/>
              <w:spacing w:after="0"/>
              <w:rPr>
                <w:sz w:val="20"/>
                <w:szCs w:val="20"/>
                <w:color w:val="auto"/>
              </w:rPr>
            </w:pPr>
            <w:r>
              <w:rPr>
                <w:rFonts w:ascii="Courier New" w:cs="Courier New" w:eastAsia="Courier New" w:hAnsi="Courier New"/>
                <w:sz w:val="14"/>
                <w:szCs w:val="14"/>
                <w:color w:val="auto"/>
              </w:rPr>
              <w:t>Add :</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 partnership units</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w:t>
            </w:r>
          </w:p>
        </w:tc>
        <w:tc>
          <w:tcPr>
            <w:tcW w:w="22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w:t>
            </w:r>
          </w:p>
        </w:tc>
        <w:tc>
          <w:tcPr>
            <w:tcW w:w="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1,311</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Funds from operations</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$28,508</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$25,712</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$110,432</w:t>
            </w:r>
          </w:p>
        </w:tc>
        <w:tc>
          <w:tcPr>
            <w:tcW w:w="440" w:type="dxa"/>
            <w:vAlign w:val="bottom"/>
          </w:tcPr>
          <w:p>
            <w:pPr>
              <w:spacing w:after="0"/>
              <w:rPr>
                <w:sz w:val="24"/>
                <w:szCs w:val="2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$102,173</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66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Funds from operations per share, diluted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c>
          <w:tcPr>
            <w:tcW w:w="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2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994"/>
        </w:trPr>
        <w:tc>
          <w:tcPr>
            <w:tcW w:w="23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December</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31,</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2340" w:type="dxa"/>
            <w:vAlign w:val="bottom"/>
          </w:tcPr>
          <w:p>
            <w:pPr>
              <w:jc w:val="center"/>
              <w:ind w:right="708"/>
              <w:spacing w:after="0"/>
              <w:rPr>
                <w:sz w:val="20"/>
                <w:szCs w:val="20"/>
                <w:color w:val="auto"/>
              </w:rPr>
            </w:pPr>
            <w:r>
              <w:rPr>
                <w:rFonts w:ascii="Courier New" w:cs="Courier New" w:eastAsia="Courier New" w:hAnsi="Courier New"/>
                <w:sz w:val="14"/>
                <w:szCs w:val="14"/>
                <w:color w:val="auto"/>
              </w:rPr>
              <w:t>BALANCE SHEET DATA</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Assets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Real estate, at cost</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Operating</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1,782,318</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$ 1,679,289</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Development</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321,986</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175,624</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2,104,304</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1,854,913</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(395,767)</w:t>
            </w:r>
          </w:p>
        </w:tc>
        <w:tc>
          <w:tcPr>
            <w:tcW w:w="26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(351,258)</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1,708,537</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1,503,655</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Mortgage notes receivable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35,607</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47,360</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Cash and investments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17,563</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11,357</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Receivables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18,580</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13,092</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Other assets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57,691</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45,615</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1,837,978</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$ 1,621,079</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66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Obligations under capital leases, mortgages and construction loans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450,336</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340,152</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Notes payable</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174,843</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209,005</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Senior Notes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410,000</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410,00</w:t>
            </w:r>
          </w:p>
        </w:tc>
      </w:tr>
      <w:tr>
        <w:trPr>
          <w:trHeight w:val="166"/>
        </w:trPr>
        <w:tc>
          <w:tcPr>
            <w:tcW w:w="66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234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135,122</w:t>
            </w:r>
          </w:p>
        </w:tc>
        <w:tc>
          <w:tcPr>
            <w:tcW w:w="260" w:type="dxa"/>
            <w:vAlign w:val="bottom"/>
          </w:tcPr>
          <w:p>
            <w:pPr>
              <w:spacing w:after="0"/>
              <w:rPr>
                <w:sz w:val="14"/>
                <w:szCs w:val="1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118,979</w:t>
            </w:r>
          </w:p>
        </w:tc>
      </w:tr>
      <w:tr>
        <w:trPr>
          <w:trHeight w:val="331"/>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Shareholders' Equity</w:t>
            </w: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592,388</w:t>
            </w:r>
          </w:p>
        </w:tc>
        <w:tc>
          <w:tcPr>
            <w:tcW w:w="260" w:type="dxa"/>
            <w:vAlign w:val="bottom"/>
          </w:tcPr>
          <w:p>
            <w:pPr>
              <w:spacing w:after="0"/>
              <w:rPr>
                <w:sz w:val="24"/>
                <w:szCs w:val="24"/>
                <w:color w:val="auto"/>
              </w:rPr>
            </w:pPr>
          </w:p>
        </w:tc>
        <w:tc>
          <w:tcPr>
            <w:tcW w:w="10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467,654</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1,837,978</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$ 1,621,079</w:t>
            </w:r>
          </w:p>
        </w:tc>
      </w:tr>
      <w:tr>
        <w:trPr>
          <w:trHeight w:val="166"/>
        </w:trPr>
        <w:tc>
          <w:tcPr>
            <w:tcW w:w="2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540"/>
          </w:cols>
          <w:pgMar w:left="220" w:top="616" w:right="139" w:bottom="91" w:gutter="0" w:footer="0" w:header="0"/>
        </w:sectPr>
      </w:pPr>
    </w:p>
    <w:bookmarkStart w:id="18" w:name="page19"/>
    <w:bookmarkEnd w:id="18"/>
    <w:p>
      <w:pPr>
        <w:ind w:left="2760"/>
        <w:spacing w:after="0"/>
        <w:rPr>
          <w:sz w:val="20"/>
          <w:szCs w:val="20"/>
          <w:color w:val="auto"/>
        </w:rPr>
      </w:pPr>
      <w:r>
        <w:rPr>
          <w:rFonts w:ascii="Courier New" w:cs="Courier New" w:eastAsia="Courier New" w:hAnsi="Courier New"/>
          <w:sz w:val="14"/>
          <w:szCs w:val="14"/>
          <w:color w:val="auto"/>
        </w:rPr>
        <w:t>Glossary of Terms</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445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Net Operating Income: Gross revenues, including interest income, less rental expenses and real estate taxes.</w:t>
      </w:r>
    </w:p>
    <w:p>
      <w:pPr>
        <w:spacing w:after="0" w:line="160"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operating properties owned in reporting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center occupancy: Occupancy for only those properties owned and</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operating in the periods being compared. Excludes centers purchased or sold as well as properties under redevelopment and development.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4"/>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2019-12-13T00:59:12Z</dcterms:created>
  <dcterms:modified xsi:type="dcterms:W3CDTF">2019-12-13T00:59:12Z</dcterms:modified>
</cp:coreProperties>
</file>