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8"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195580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46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31" w:lineRule="exact"/>
        <w:rPr>
          <w:sz w:val="24"/>
          <w:szCs w:val="24"/>
          <w:color w:val="auto"/>
        </w:rPr>
      </w:pPr>
    </w:p>
    <w:p>
      <w:pPr>
        <w:sectPr>
          <w:pgSz w:w="11900" w:h="16838" w:orient="portrait"/>
          <w:cols w:equalWidth="0" w:num="3">
            <w:col w:w="4564" w:space="720"/>
            <w:col w:w="2820" w:space="720"/>
            <w:col w:w="2200"/>
          </w:cols>
          <w:pgMar w:left="436" w:top="341" w:right="439" w:bottom="1440" w:gutter="0" w:footer="0" w:header="0"/>
          <w:type w:val="continuous"/>
        </w:sectPr>
      </w:pPr>
    </w:p>
    <w:p>
      <w:pPr>
        <w:spacing w:after="0" w:line="11" w:lineRule="exact"/>
        <w:rPr>
          <w:sz w:val="24"/>
          <w:szCs w:val="24"/>
          <w:color w:val="auto"/>
        </w:rPr>
      </w:pPr>
    </w:p>
    <w:p>
      <w:pPr>
        <w:jc w:val="center"/>
        <w:ind w:right="716"/>
        <w:spacing w:after="0"/>
        <w:rPr>
          <w:sz w:val="20"/>
          <w:szCs w:val="20"/>
          <w:color w:val="auto"/>
        </w:rPr>
      </w:pPr>
      <w:r>
        <w:rPr>
          <w:rFonts w:ascii="Arial" w:cs="Arial" w:eastAsia="Arial" w:hAnsi="Arial"/>
          <w:sz w:val="13"/>
          <w:szCs w:val="13"/>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444" w:space="720"/>
            <w:col w:w="2800" w:space="720"/>
            <w:col w:w="2340"/>
          </w:cols>
          <w:pgMar w:left="436" w:top="341" w:right="439" w:bottom="1440" w:gutter="0" w:footer="0" w:header="0"/>
          <w:type w:val="continuous"/>
        </w:sectPr>
      </w:pPr>
    </w:p>
    <w:p>
      <w:pPr>
        <w:jc w:val="center"/>
        <w:ind w:right="1616"/>
        <w:spacing w:after="0"/>
        <w:rPr>
          <w:sz w:val="20"/>
          <w:szCs w:val="20"/>
          <w:color w:val="auto"/>
        </w:rPr>
      </w:pPr>
      <w:r>
        <w:rPr>
          <w:rFonts w:ascii="Arial" w:cs="Arial" w:eastAsia="Arial" w:hAnsi="Arial"/>
          <w:sz w:val="15"/>
          <w:szCs w:val="15"/>
          <w:b w:val="1"/>
          <w:bCs w:val="1"/>
          <w:color w:val="auto"/>
        </w:rPr>
        <w:t>1626 East Jefferson Street,</w:t>
      </w:r>
    </w:p>
    <w:p>
      <w:pPr>
        <w:spacing w:after="0" w:line="62" w:lineRule="exact"/>
        <w:rPr>
          <w:sz w:val="24"/>
          <w:szCs w:val="24"/>
          <w:color w:val="auto"/>
        </w:rPr>
      </w:pPr>
    </w:p>
    <w:p>
      <w:pPr>
        <w:jc w:val="center"/>
        <w:ind w:right="1616"/>
        <w:spacing w:after="0"/>
        <w:rPr>
          <w:sz w:val="20"/>
          <w:szCs w:val="20"/>
          <w:color w:val="auto"/>
        </w:rPr>
      </w:pPr>
      <w:r>
        <w:rPr>
          <w:rFonts w:ascii="Arial" w:cs="Arial" w:eastAsia="Arial" w:hAnsi="Arial"/>
          <w:sz w:val="18"/>
          <w:szCs w:val="18"/>
          <w:b w:val="1"/>
          <w:bCs w:val="1"/>
          <w:color w:val="auto"/>
        </w:rPr>
        <w:t>Rockville, Maryland</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50" w:lineRule="exact"/>
        <w:rPr>
          <w:sz w:val="24"/>
          <w:szCs w:val="24"/>
          <w:color w:val="auto"/>
        </w:rPr>
      </w:pPr>
    </w:p>
    <w:p>
      <w:pPr>
        <w:sectPr>
          <w:pgSz w:w="11900" w:h="16838" w:orient="portrait"/>
          <w:cols w:equalWidth="0" w:num="2">
            <w:col w:w="7184" w:space="720"/>
            <w:col w:w="3120"/>
          </w:cols>
          <w:pgMar w:left="436" w:top="341"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41"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188595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6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Symbol</w:t>
            </w:r>
          </w:p>
        </w:tc>
        <w:tc>
          <w:tcPr>
            <w:tcW w:w="10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On Which Registered</w:t>
            </w:r>
          </w:p>
        </w:tc>
        <w:tc>
          <w:tcPr>
            <w:tcW w:w="0" w:type="dxa"/>
            <w:vAlign w:val="bottom"/>
          </w:tcPr>
          <w:p>
            <w:pPr>
              <w:spacing w:after="0"/>
              <w:rPr>
                <w:sz w:val="1"/>
                <w:szCs w:val="1"/>
                <w:color w:val="auto"/>
              </w:rPr>
            </w:pPr>
          </w:p>
        </w:tc>
      </w:tr>
      <w:tr>
        <w:trPr>
          <w:trHeight w:val="191"/>
        </w:trPr>
        <w:tc>
          <w:tcPr>
            <w:tcW w:w="37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Common Shares of Beneficial Interest $.01 par</w:t>
            </w:r>
          </w:p>
        </w:tc>
        <w:tc>
          <w:tcPr>
            <w:tcW w:w="60" w:type="dxa"/>
            <w:vAlign w:val="bottom"/>
          </w:tcPr>
          <w:p>
            <w:pPr>
              <w:spacing w:after="0"/>
              <w:rPr>
                <w:sz w:val="16"/>
                <w:szCs w:val="16"/>
                <w:color w:val="auto"/>
              </w:rPr>
            </w:pPr>
          </w:p>
        </w:tc>
        <w:tc>
          <w:tcPr>
            <w:tcW w:w="36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7"/>
              </w:rPr>
              <w:t>FRT</w:t>
            </w:r>
          </w:p>
        </w:tc>
        <w:tc>
          <w:tcPr>
            <w:tcW w:w="100" w:type="dxa"/>
            <w:vAlign w:val="bottom"/>
          </w:tcPr>
          <w:p>
            <w:pPr>
              <w:spacing w:after="0"/>
              <w:rPr>
                <w:sz w:val="16"/>
                <w:szCs w:val="16"/>
                <w:color w:val="auto"/>
              </w:rPr>
            </w:pPr>
          </w:p>
        </w:tc>
        <w:tc>
          <w:tcPr>
            <w:tcW w:w="35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 Rights</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Depositary Shares, each representing 1/1000 of</w:t>
            </w:r>
          </w:p>
        </w:tc>
        <w:tc>
          <w:tcPr>
            <w:tcW w:w="6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9"/>
              </w:rPr>
              <w:t>FRT-C</w:t>
            </w: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a share of 5.00% Series C Cumulative</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4"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84" w:lineRule="exact"/>
        <w:rPr>
          <w:sz w:val="24"/>
          <w:szCs w:val="24"/>
          <w:color w:val="auto"/>
        </w:rPr>
      </w:pPr>
    </w:p>
    <w:p>
      <w:pPr>
        <w:ind w:left="8804"/>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27" w:lineRule="exact"/>
        <w:rPr>
          <w:sz w:val="24"/>
          <w:szCs w:val="24"/>
          <w:color w:val="auto"/>
        </w:rPr>
      </w:pPr>
    </w:p>
    <w:p>
      <w:pPr>
        <w:ind w:left="4"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On May 7, 2020, Federal Realty Investment Trust (the “Registrant”) entered into an underwriting agreement with Citigroup Global Markets Inc., Deutsche Bank Securities Inc., Jefferies LLC, U.S. Bancorp Investments, Inc. and Wells Fargo Securities, LLC, as representatives of the several underwriters named in Schedule I to the related pricing agreement, whereby the Registrant agreed to issue and sell (i) $300,000,000 aggregate principal amount of 3.95% Notes due 2024 (the “2024 Notes”) and (ii) $400,000,000 aggregate principal amount of 3.50% Notes due 2030 (the “2030 Notes” and, together with the 2024 Notes, collectively the “Notes”) in an underwritten public offering. The 2024 Notes are of the same series as the 3.95% Notes due 2024 that the Registrant first issued on December 9, 2013. The offering of the Notes closed on May 11, 2020.</w:t>
      </w:r>
    </w:p>
    <w:p>
      <w:pPr>
        <w:spacing w:after="0" w:line="178"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Notes are to be governed by the Indenture, dated as of September 1, 1998, between the Registrant and U.S. Bank National Association (successor trustee to Wachovia Bank, National Association (successor trustee to First Union National Bank)).</w:t>
      </w:r>
    </w:p>
    <w:p>
      <w:pPr>
        <w:spacing w:after="0" w:line="170"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The Notes are senior unsecured obligations of the Registrant and rank equally with all of the Registrant’s other senior unsecured indebtedness. The 2024 Notes bear interest at 3.95% per annum, and interest is payable on January 15 and July 15 of each year, with the next interest payment date being</w:t>
      </w:r>
    </w:p>
    <w:p>
      <w:pPr>
        <w:ind w:left="4" w:right="20"/>
        <w:spacing w:after="0" w:line="260" w:lineRule="auto"/>
        <w:rPr>
          <w:sz w:val="20"/>
          <w:szCs w:val="20"/>
          <w:color w:val="auto"/>
        </w:rPr>
      </w:pPr>
      <w:r>
        <w:rPr>
          <w:rFonts w:ascii="Arial" w:cs="Arial" w:eastAsia="Arial" w:hAnsi="Arial"/>
          <w:sz w:val="18"/>
          <w:szCs w:val="18"/>
          <w:color w:val="auto"/>
        </w:rPr>
        <w:t>July 15, 2020. The 2024 Notes will mature on January 15, 2024. The 2030 Notes bear interest at 3.50% per annum, and interest is payable on June 1 and December 1 of each year, beginning on December 1, 2020. The 2030 Notes will mature on June 1, 2030.</w:t>
      </w:r>
    </w:p>
    <w:p>
      <w:pPr>
        <w:spacing w:after="0" w:line="289"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4" w:hanging="444"/>
        <w:spacing w:after="0"/>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Exhibits are included in the Form 8-K:</w:t>
      </w:r>
    </w:p>
    <w:p>
      <w:pPr>
        <w:spacing w:after="0" w:line="225" w:lineRule="exact"/>
        <w:rPr>
          <w:sz w:val="20"/>
          <w:szCs w:val="20"/>
          <w:color w:val="auto"/>
        </w:rPr>
      </w:pPr>
    </w:p>
    <w:p>
      <w:pPr>
        <w:ind w:left="764" w:hanging="624"/>
        <w:spacing w:after="0" w:line="263" w:lineRule="auto"/>
        <w:tabs>
          <w:tab w:leader="none" w:pos="744" w:val="left"/>
        </w:tabs>
        <w:rPr>
          <w:rFonts w:ascii="Arial" w:cs="Arial" w:eastAsia="Arial" w:hAnsi="Arial"/>
          <w:sz w:val="18"/>
          <w:szCs w:val="18"/>
          <w:u w:val="single" w:color="auto"/>
          <w:color w:val="0000EE"/>
        </w:rPr>
      </w:pPr>
      <w:r>
        <w:rPr>
          <w:rFonts w:ascii="Arial" w:cs="Arial" w:eastAsia="Arial" w:hAnsi="Arial"/>
          <w:sz w:val="18"/>
          <w:szCs w:val="18"/>
          <w:color w:val="auto"/>
        </w:rPr>
        <w:t>1.1</w:t>
      </w:r>
      <w:r>
        <w:rPr>
          <w:sz w:val="20"/>
          <w:szCs w:val="20"/>
          <w:color w:val="auto"/>
        </w:rPr>
        <w:tab/>
      </w:r>
      <w:hyperlink w:anchor="page4">
        <w:r>
          <w:rPr>
            <w:rFonts w:ascii="Arial" w:cs="Arial" w:eastAsia="Arial" w:hAnsi="Arial"/>
            <w:sz w:val="18"/>
            <w:szCs w:val="18"/>
            <w:u w:val="single" w:color="auto"/>
            <w:color w:val="0000EE"/>
          </w:rPr>
          <w:t>Underwriting Agreement, dated May 7, 2020, by and among the Registrant and Citigroup Global Markets Inc., Deutsche Bank Securities Inc.,</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Jefferies LLC, U.S. Bancorp Investments, Inc. and Wells Fargo Securities, LLC, as representatives of the several underwriters named in</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Schedule I to the related pricing agreement</w:t>
        </w:r>
      </w:hyperlink>
    </w:p>
    <w:p>
      <w:pPr>
        <w:spacing w:after="0" w:line="76" w:lineRule="exact"/>
        <w:rPr>
          <w:rFonts w:ascii="Arial" w:cs="Arial" w:eastAsia="Arial" w:hAnsi="Arial"/>
          <w:sz w:val="18"/>
          <w:szCs w:val="18"/>
          <w:u w:val="single" w:color="auto"/>
          <w:color w:val="0000EE"/>
        </w:rPr>
      </w:pPr>
    </w:p>
    <w:p>
      <w:pPr>
        <w:ind w:left="764" w:right="440" w:hanging="624"/>
        <w:spacing w:after="0" w:line="342" w:lineRule="auto"/>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1.2</w:t>
      </w:r>
      <w:r>
        <w:rPr>
          <w:sz w:val="20"/>
          <w:szCs w:val="20"/>
          <w:color w:val="auto"/>
        </w:rPr>
        <w:tab/>
      </w:r>
      <w:hyperlink w:anchor="page51">
        <w:r>
          <w:rPr>
            <w:rFonts w:ascii="Arial" w:cs="Arial" w:eastAsia="Arial" w:hAnsi="Arial"/>
            <w:sz w:val="16"/>
            <w:szCs w:val="16"/>
            <w:u w:val="single" w:color="auto"/>
            <w:color w:val="0000EE"/>
          </w:rPr>
          <w:t>Pricing Agreement, dated May 7, 2020, by and among the Registrant and Citigroup Global Markets Inc., Deutsche Bank Securities Inc.,</w:t>
        </w:r>
      </w:hyperlink>
      <w:r>
        <w:rPr>
          <w:rFonts w:ascii="Arial" w:cs="Arial" w:eastAsia="Arial" w:hAnsi="Arial"/>
          <w:sz w:val="16"/>
          <w:szCs w:val="16"/>
          <w:u w:val="single" w:color="auto"/>
          <w:color w:val="0000EE"/>
        </w:rPr>
        <w:t xml:space="preserve"> </w:t>
      </w:r>
      <w:hyperlink w:anchor="page51">
        <w:r>
          <w:rPr>
            <w:rFonts w:ascii="Arial" w:cs="Arial" w:eastAsia="Arial" w:hAnsi="Arial"/>
            <w:sz w:val="16"/>
            <w:szCs w:val="16"/>
            <w:u w:val="single" w:color="auto"/>
            <w:color w:val="0000EE"/>
          </w:rPr>
          <w:t>Jefferies LLC, U.S. Bancorp Investments, Inc. and Wells Fargo Securities, LLC, as representatives of the underwriters named therein</w:t>
        </w:r>
      </w:hyperlink>
    </w:p>
    <w:p>
      <w:pPr>
        <w:spacing w:after="0" w:line="16" w:lineRule="exact"/>
        <w:rPr>
          <w:sz w:val="20"/>
          <w:szCs w:val="20"/>
          <w:color w:val="auto"/>
        </w:rPr>
      </w:pPr>
    </w:p>
    <w:p>
      <w:pPr>
        <w:ind w:left="14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w:anchor="page63">
        <w:r>
          <w:rPr>
            <w:rFonts w:ascii="Arial" w:cs="Arial" w:eastAsia="Arial" w:hAnsi="Arial"/>
            <w:sz w:val="16"/>
            <w:szCs w:val="16"/>
            <w:u w:val="single" w:color="auto"/>
            <w:color w:val="0000EE"/>
          </w:rPr>
          <w:t>Form of 3.95% Note due 2024</w:t>
        </w:r>
      </w:hyperlink>
    </w:p>
    <w:p>
      <w:pPr>
        <w:spacing w:after="0" w:line="117" w:lineRule="exact"/>
        <w:rPr>
          <w:sz w:val="20"/>
          <w:szCs w:val="20"/>
          <w:color w:val="auto"/>
        </w:rPr>
      </w:pPr>
    </w:p>
    <w:p>
      <w:pPr>
        <w:ind w:left="144"/>
        <w:spacing w:after="0"/>
        <w:tabs>
          <w:tab w:leader="none" w:pos="744"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74">
        <w:r>
          <w:rPr>
            <w:rFonts w:ascii="Arial" w:cs="Arial" w:eastAsia="Arial" w:hAnsi="Arial"/>
            <w:sz w:val="16"/>
            <w:szCs w:val="16"/>
            <w:u w:val="single" w:color="auto"/>
            <w:color w:val="0000EE"/>
          </w:rPr>
          <w:t>Form of 3.50% Note due 2030</w:t>
        </w:r>
      </w:hyperlink>
    </w:p>
    <w:p>
      <w:pPr>
        <w:spacing w:after="0" w:line="117" w:lineRule="exact"/>
        <w:rPr>
          <w:sz w:val="20"/>
          <w:szCs w:val="20"/>
          <w:color w:val="auto"/>
        </w:rPr>
      </w:pPr>
    </w:p>
    <w:p>
      <w:pPr>
        <w:ind w:left="5464" w:right="1620" w:hanging="5410"/>
        <w:spacing w:after="0" w:line="481" w:lineRule="auto"/>
        <w:tabs>
          <w:tab w:leader="none" w:pos="77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is embedded within the Inline XBRL document) 2</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 May 12, 2020</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President-General Counsel and Secretary</w:t>
      </w:r>
    </w:p>
    <w:p>
      <w:pPr>
        <w:spacing w:after="0" w:line="17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1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debt securities (the “Securities”) specified in Schedules II-A and II-B to such Pricing Agreement (with respect to the Securities specified in such Schedules II-A and II-B, the “Designated Securities”).</w:t>
      </w:r>
    </w:p>
    <w:p>
      <w:pPr>
        <w:sectPr>
          <w:pgSz w:w="11900" w:h="16838" w:orient="portrait"/>
          <w:cols w:equalWidth="0" w:num="1">
            <w:col w:w="11020"/>
          </w:cols>
          <w:pgMar w:left="440" w:top="121" w:right="439" w:bottom="1440" w:gutter="0" w:footer="0" w:header="0"/>
        </w:sectPr>
      </w:pPr>
    </w:p>
    <w:bookmarkStart w:id="4" w:name="page5"/>
    <w:bookmarkEnd w:id="4"/>
    <w:p>
      <w:pPr>
        <w:ind w:right="2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terms and rights of any particular issuance of Designated Securities shall be as specified in the Pricing Agreement relating thereto and in or pursuant to the indenture (the “Indenture”) identified in such Pricing Agreement and resolutions of the board of trustees of the Company or a duly appointed committee thereof.</w:t>
      </w:r>
    </w:p>
    <w:p>
      <w:pPr>
        <w:spacing w:after="0" w:line="184" w:lineRule="exact"/>
        <w:rPr>
          <w:sz w:val="20"/>
          <w:szCs w:val="20"/>
          <w:color w:val="auto"/>
        </w:rPr>
      </w:pPr>
    </w:p>
    <w:p>
      <w:pPr>
        <w:ind w:firstLine="436"/>
        <w:spacing w:after="0" w:line="268"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Particular sales of Designated Securities may be made from time to time to the Underwriters of such Designated Securities, for whom the firms designated as representatives of the Underwriters of such Designated Securities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Securities or as an obligation of any of the Underwriters to purchase any of the Securities. The obligation of the Company to issue and sell any of the Securities and the obligation of any of the Underwriters to purchase any of the Securities shall be evidenced by the Pricing Agreement with respect to the Designated Securities specified therein. Each Pricing Agreement shall specify the aggregate principal amount of such Designated Securities, the initial public offering price of such Designated Securities, the purchase price to the Underwriters of such Designated Securities, the names of the Underwriters of such Designated Securities, the names of the Representatives of such Underwriters and the principal amount of such Designated Securities to be purchased by each Underwriter and shall set forth the date, time and manner of delivery of such Designated Securities and payment therefor. The Pricing Agreement shall also specify (to the extent not set forth in the Indenture and the registration statement and prospectus with respect thereto) the terms of such Designated Securities.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81" w:lineRule="exact"/>
        <w:rPr>
          <w:rFonts w:ascii="Arial" w:cs="Arial" w:eastAsia="Arial" w:hAnsi="Arial"/>
          <w:sz w:val="17"/>
          <w:szCs w:val="17"/>
          <w:color w:val="auto"/>
        </w:rPr>
      </w:pPr>
    </w:p>
    <w:p>
      <w:pPr>
        <w:ind w:right="280" w:firstLine="436"/>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as of the date hereof, the Applicable Time referred to in Section 2(c) hereof and the Time of Delivery referred to in Section 4 hereof that:</w:t>
      </w:r>
    </w:p>
    <w:p>
      <w:pPr>
        <w:spacing w:after="0" w:line="62" w:lineRule="exact"/>
        <w:rPr>
          <w:rFonts w:ascii="Arial" w:cs="Arial" w:eastAsia="Arial" w:hAnsi="Arial"/>
          <w:sz w:val="18"/>
          <w:szCs w:val="18"/>
          <w:color w:val="auto"/>
        </w:rPr>
      </w:pPr>
    </w:p>
    <w:p>
      <w:pPr>
        <w:ind w:left="440" w:right="100" w:firstLine="419"/>
        <w:spacing w:after="0" w:line="259" w:lineRule="auto"/>
        <w:tabs>
          <w:tab w:leader="none" w:pos="1108"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Company has filed with the Securities and Exchange Commission (the “Commission”) an automatic shelf registration statement on Form S-3 (No. 333-224701), including the related preliminary prospectus, which registration statement became effective upon filing under Rule 462(e) of the rules and regulations of the Commission under the Securities Act of 1933, as amended (the “Act”). Such registration statement covers the registration of the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the Act. Promptly after execution and delivery of a Pricing Agreement with respect to the Designated Securities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 “Rule 430B Information.” Each prospectus used in connection with the offering of Designated Securities that omitted Rule 430B 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Securities,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74" w:lineRule="exact"/>
        <w:rPr>
          <w:sz w:val="20"/>
          <w:szCs w:val="20"/>
          <w:color w:val="auto"/>
        </w:rPr>
      </w:pPr>
    </w:p>
    <w:p>
      <w:pPr>
        <w:ind w:firstLine="423"/>
        <w:spacing w:after="0" w:line="290"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57" w:lineRule="exact"/>
        <w:rPr>
          <w:sz w:val="20"/>
          <w:szCs w:val="20"/>
          <w:color w:val="auto"/>
        </w:rPr>
      </w:pPr>
    </w:p>
    <w:p>
      <w:pPr>
        <w:ind w:right="240" w:firstLine="419"/>
        <w:spacing w:after="0" w:line="286"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6" w:name="page7"/>
    <w:bookmarkEnd w:id="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acting on its behalf (within the meaning, for this clause only, of Rule 163(c) under the Act) made any offer relating to Designated Securities in reliance on the exemption of Rule 163 under the Act (“Rule 163”), (D) at the earliest time that the Company or another offering participant made a bona fide offer (within the meaning of Rule 164(h)(2) under the Act) of the Designated Securities,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57" w:lineRule="exact"/>
        <w:rPr>
          <w:sz w:val="20"/>
          <w:szCs w:val="20"/>
          <w:color w:val="auto"/>
        </w:rPr>
      </w:pPr>
    </w:p>
    <w:p>
      <w:pPr>
        <w:ind w:right="20" w:firstLine="419"/>
        <w:spacing w:after="0" w:line="257" w:lineRule="auto"/>
        <w:tabs>
          <w:tab w:leader="none" w:pos="66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Original Registration Statement became effective upon filing under Rule 462(e) under the Act (“Rule 462(e)”) on May 7, 2018,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80" w:lineRule="exact"/>
        <w:rPr>
          <w:sz w:val="20"/>
          <w:szCs w:val="20"/>
          <w:color w:val="auto"/>
        </w:rPr>
      </w:pPr>
    </w:p>
    <w:p>
      <w:pPr>
        <w:ind w:firstLine="423"/>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80" w:lineRule="exact"/>
        <w:rPr>
          <w:sz w:val="20"/>
          <w:szCs w:val="20"/>
          <w:color w:val="auto"/>
        </w:rPr>
      </w:pPr>
    </w:p>
    <w:p>
      <w:pPr>
        <w:ind w:right="20" w:firstLine="419"/>
        <w:spacing w:after="0" w:line="255" w:lineRule="auto"/>
        <w:tabs>
          <w:tab w:leader="none" w:pos="718"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respective times the Original Registration Statement and each amendment thereto became effective, (B) at each deemed effective date with respect to the Underwriters and the Designated Securities pursuant to Rule 430B(f)(2) under the Act and (C) at the Time of Delivery, the Registration Statement complied, complies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7" w:name="page8"/>
    <w:bookmarkEnd w:id="7"/>
    <w:p>
      <w:pPr>
        <w:ind w:right="60" w:firstLine="423"/>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Prospectus and each amendment or supplement thereto, if any, at the time the Prospectus or any such amendment or supplement was issued and at the Time of Delivery, complied, complies and will comply, in all material respects with the requirements of the Act, and neither the Prospectus nor any amendments or supplements thereto, at the time the Prospectus or any such amendment or supplement was issued or at the Time of Delivery, included, includes or will include an untrue statement of a material fact or omitted or will omit to state a material fact necessary in order to make the statements therein, in the light of the circumstances under which they were made, not misleading.</w:t>
      </w:r>
    </w:p>
    <w:p>
      <w:pPr>
        <w:spacing w:after="0" w:line="53" w:lineRule="exact"/>
        <w:rPr>
          <w:sz w:val="20"/>
          <w:szCs w:val="20"/>
          <w:color w:val="auto"/>
        </w:rPr>
      </w:pPr>
    </w:p>
    <w:p>
      <w:pPr>
        <w:ind w:right="40" w:firstLine="423"/>
        <w:spacing w:after="0" w:line="257" w:lineRule="auto"/>
        <w:rPr>
          <w:sz w:val="20"/>
          <w:szCs w:val="20"/>
          <w:color w:val="auto"/>
        </w:rPr>
      </w:pPr>
      <w:r>
        <w:rPr>
          <w:rFonts w:ascii="Arial" w:cs="Arial" w:eastAsia="Arial" w:hAnsi="Arial"/>
          <w:sz w:val="18"/>
          <w:szCs w:val="18"/>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Securities will be identical to the electronically transmitted copies thereof filed with the Commission pursuant to EDGAR, except to the extent permitted by Regulation S-T.</w:t>
      </w:r>
    </w:p>
    <w:p>
      <w:pPr>
        <w:spacing w:after="0" w:line="80" w:lineRule="exact"/>
        <w:rPr>
          <w:sz w:val="20"/>
          <w:szCs w:val="20"/>
          <w:color w:val="auto"/>
        </w:rPr>
      </w:pPr>
    </w:p>
    <w:p>
      <w:pPr>
        <w:ind w:firstLine="423"/>
        <w:spacing w:after="0" w:line="301" w:lineRule="auto"/>
        <w:rPr>
          <w:sz w:val="20"/>
          <w:szCs w:val="20"/>
          <w:color w:val="auto"/>
        </w:rPr>
      </w:pPr>
      <w:r>
        <w:rPr>
          <w:rFonts w:ascii="Arial" w:cs="Arial" w:eastAsia="Arial" w:hAnsi="Arial"/>
          <w:sz w:val="16"/>
          <w:szCs w:val="16"/>
          <w:color w:val="auto"/>
        </w:rPr>
        <w:t>As of the Applicable Time (as defined below), the Statutory Prospectus, when considered together with the Issuer Free Writing Prospectus(es) (as defined below) issued at or prior to the Applicable Time, will not include any untrue statement of a material fact or omit to state any material fact necessary in order to make the statements therein, in the light of the circumstances under which they were made, not misleading. The Statutory Prospectus and the Issuer Free Writing Prospectus(es) are collectively referred to herein as the “General Disclosure Package.”</w:t>
      </w:r>
    </w:p>
    <w:p>
      <w:pPr>
        <w:spacing w:after="0" w:line="49" w:lineRule="exact"/>
        <w:rPr>
          <w:sz w:val="20"/>
          <w:szCs w:val="20"/>
          <w:color w:val="auto"/>
        </w:rPr>
      </w:pPr>
    </w:p>
    <w:p>
      <w:pPr>
        <w:ind w:right="100" w:firstLine="423"/>
        <w:spacing w:after="0" w:line="257" w:lineRule="auto"/>
        <w:rPr>
          <w:sz w:val="20"/>
          <w:szCs w:val="20"/>
          <w:color w:val="auto"/>
        </w:rPr>
      </w:pPr>
      <w:r>
        <w:rPr>
          <w:rFonts w:ascii="Arial" w:cs="Arial" w:eastAsia="Arial" w:hAnsi="Arial"/>
          <w:sz w:val="18"/>
          <w:szCs w:val="18"/>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117" w:lineRule="exact"/>
        <w:rPr>
          <w:sz w:val="20"/>
          <w:szCs w:val="20"/>
          <w:color w:val="auto"/>
        </w:rPr>
      </w:pPr>
    </w:p>
    <w:p>
      <w:pPr>
        <w:ind w:right="380" w:firstLine="423"/>
        <w:spacing w:after="0" w:line="277" w:lineRule="auto"/>
        <w:rPr>
          <w:sz w:val="20"/>
          <w:szCs w:val="20"/>
          <w:color w:val="auto"/>
        </w:rPr>
      </w:pPr>
      <w:r>
        <w:rPr>
          <w:rFonts w:ascii="Arial" w:cs="Arial" w:eastAsia="Arial" w:hAnsi="Arial"/>
          <w:sz w:val="18"/>
          <w:szCs w:val="18"/>
          <w:color w:val="auto"/>
        </w:rPr>
        <w:t>“Applicable Time” shall have the meaning set forth in Schedules II-A and II-B of the Pricing Agreement with respect to the Designated Securities specified therein.</w:t>
      </w:r>
    </w:p>
    <w:p>
      <w:pPr>
        <w:spacing w:after="0" w:line="62" w:lineRule="exact"/>
        <w:rPr>
          <w:sz w:val="20"/>
          <w:szCs w:val="20"/>
          <w:color w:val="auto"/>
        </w:rPr>
      </w:pPr>
    </w:p>
    <w:p>
      <w:pPr>
        <w:ind w:right="40" w:firstLine="423"/>
        <w:spacing w:after="0" w:line="273" w:lineRule="auto"/>
        <w:rPr>
          <w:sz w:val="20"/>
          <w:szCs w:val="20"/>
          <w:color w:val="auto"/>
        </w:rPr>
      </w:pPr>
      <w:r>
        <w:rPr>
          <w:rFonts w:ascii="Arial" w:cs="Arial" w:eastAsia="Arial" w:hAnsi="Arial"/>
          <w:sz w:val="17"/>
          <w:szCs w:val="17"/>
          <w:color w:val="auto"/>
        </w:rPr>
        <w:t>“Issuer Free Writing Prospectus” means any “issuer free writing prospectus,” as defined in Rule 433 under the Act (“Rule 433”), relating to any particular issuance of Designated Securities (including any identified on Exhibit B hereto)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a particular issuance of Designated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jc w:val="both"/>
        <w:ind w:right="60" w:firstLine="423"/>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“Statutory Prospectus” as of any time means the prospectus that is included in the Registration Statement immediately prior to that time and the preliminary prospectus supplement relating to a particular issuance of Designated Securities set forth in the Pricing Agreement, including the documents incorporated by reference therein and any other preliminary or other prospectus deemed to be a part thereof.</w:t>
      </w:r>
    </w:p>
    <w:p>
      <w:pPr>
        <w:spacing w:after="0" w:line="41" w:lineRule="exact"/>
        <w:rPr>
          <w:sz w:val="20"/>
          <w:szCs w:val="20"/>
          <w:color w:val="auto"/>
        </w:rPr>
      </w:pPr>
    </w:p>
    <w:p>
      <w:pPr>
        <w:ind w:right="140" w:firstLine="419"/>
        <w:spacing w:after="0" w:line="311" w:lineRule="auto"/>
        <w:tabs>
          <w:tab w:leader="none" w:pos="67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40" w:lineRule="exact"/>
        <w:rPr>
          <w:rFonts w:ascii="Arial" w:cs="Arial" w:eastAsia="Arial" w:hAnsi="Arial"/>
          <w:sz w:val="16"/>
          <w:szCs w:val="16"/>
          <w:color w:val="auto"/>
        </w:rPr>
      </w:pPr>
    </w:p>
    <w:p>
      <w:pPr>
        <w:ind w:firstLine="419"/>
        <w:spacing w:after="0" w:line="254" w:lineRule="auto"/>
        <w:tabs>
          <w:tab w:leader="none" w:pos="668"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Securities or until any earlier date that the Company notified or notifies the Underwriters as described in Section 5(g) hereof, did not, does not and will 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86" w:lineRule="exact"/>
        <w:rPr>
          <w:rFonts w:ascii="Arial" w:cs="Arial" w:eastAsia="Arial" w:hAnsi="Arial"/>
          <w:sz w:val="18"/>
          <w:szCs w:val="18"/>
          <w:color w:val="auto"/>
        </w:rPr>
      </w:pPr>
    </w:p>
    <w:p>
      <w:pPr>
        <w:ind w:right="20" w:firstLine="419"/>
        <w:spacing w:after="0" w:line="289" w:lineRule="auto"/>
        <w:tabs>
          <w:tab w:leader="none" w:pos="6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(“REIT”) under the laws of the State of Maryland, with full power and authority to own, lease and operate its properties and conduct its business as described in the Registration Statement, the General Disclosure Package and the Prospectus; each “significant subsidiary” of the Company (as such term is defined in Rule 1-02 of Regulation S-X) (each, a “Subsidiary” and collectively, the “Subsidiaries”) has been duly organized and is validly existing as a corporation, partnership, limited liability company, trust or joint venture, as the case may be, in good standing under the laws of the jurisdiction of its organization (except for joint ventures, which have no good standing certificate requirements), with full power and authority to own, lease and operate its properties and conduct its business as described in the Registration Statement, the General Disclosure Package and the Prospectus, except where the failure to be in good standing would not have a material adverse effect on the condition, financial or otherwise, or on the earnings, business affairs or business prospects of the Company and its subsidiaries, considered as one enterprise; all of the equity</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in the Subsidiaries are owned directly or indirectly by the Company, free and clear of all pledges, liens, encumbrances, claims, security interests and defects; all of the issued and outstanding stock of each Subsidiary that is a corporation has been duly authorized and validly issued and is fully paid and non-assessable; no options, warrants or other rights to convert any obligations into partnership or other ownership interests in any Subsidiary are outstanding other than contractual rights existing on the date of the applicable Pricing Agreement by the current and former holders of partnership or other interests in certain of the “DownREIT” and other subsidiaries, which may result in the issuance of common shares of beneficial interest of the Company (“Common Shares”); and the Company and the Subsidiaries are duly qualified to transact business in all jurisdictions in which the Company and the Subsidiaries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its subsidiaries, considered as one enterprise.</w:t>
      </w:r>
    </w:p>
    <w:p>
      <w:pPr>
        <w:spacing w:after="0" w:line="58" w:lineRule="exact"/>
        <w:rPr>
          <w:sz w:val="20"/>
          <w:szCs w:val="20"/>
          <w:color w:val="auto"/>
        </w:rPr>
      </w:pPr>
    </w:p>
    <w:p>
      <w:pPr>
        <w:ind w:firstLine="419"/>
        <w:spacing w:after="0" w:line="285"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and its subsidiaries, considered as one enterprise, have not, since the date of the latest audited financial statements included or incorporated by reference in the Registration Statement, the General Disclosure Package and the Prospectus, sustained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(i) conversion of any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 or consistent with past practice, (iv) the exercise of contractual rights existing on the date of the applicable Pricing Agreement by the current and former holders of partnership or other interests in certain of the “DownREIT” and other subsidiaries which may result in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 of assets) or any material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its subsidiaries taken as a whole, otherwise than as set forth or contemplated in the General Disclosure Package and the Prospectus.</w:t>
      </w:r>
    </w:p>
    <w:p>
      <w:pPr>
        <w:spacing w:after="0" w:line="3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40"/>
          </w:cols>
          <w:pgMar w:left="880" w:top="274" w:right="479" w:bottom="1440" w:gutter="0" w:footer="0" w:header="0"/>
        </w:sectPr>
      </w:pPr>
    </w:p>
    <w:bookmarkStart w:id="10" w:name="page11"/>
    <w:bookmarkEnd w:id="10"/>
    <w:p>
      <w:pPr>
        <w:ind w:left="4" w:right="120" w:firstLine="419"/>
        <w:spacing w:after="0" w:line="257" w:lineRule="auto"/>
        <w:tabs>
          <w:tab w:leader="none" w:pos="681"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has an authorized capitalization as set forth in the Company’s consolidated balance sheet as of the latest financial statements, audited or unaudited, as applicable, included or incorporated by reference in the Registration Statement, the General Disclosure Package and the Prospectus; all of the issued capital shares of the Company have been duly and validly authorized and issued and are fully paid and non-assessable, and none of the outstanding capital shares of the Company were issued in violation of any preemptive or other similar rights of any securityholder of the Company.</w:t>
      </w:r>
    </w:p>
    <w:p>
      <w:pPr>
        <w:spacing w:after="0" w:line="79" w:lineRule="exact"/>
        <w:rPr>
          <w:rFonts w:ascii="Arial" w:cs="Arial" w:eastAsia="Arial" w:hAnsi="Arial"/>
          <w:sz w:val="18"/>
          <w:szCs w:val="18"/>
          <w:color w:val="auto"/>
        </w:rPr>
      </w:pPr>
    </w:p>
    <w:p>
      <w:pPr>
        <w:jc w:val="both"/>
        <w:ind w:left="4" w:right="100" w:firstLine="419"/>
        <w:spacing w:after="0" w:line="286" w:lineRule="auto"/>
        <w:tabs>
          <w:tab w:leader="none" w:pos="641"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has full right, power and authority under its organizational documents to enter into this Underwriting Agreement and the Pricing Agreement with respect to such Designated Securities, and this Underwriting Agreement and the Pricing Agreement with respect to such Designated Securities have been duly and validly authorized, executed and delivered by the Company.</w:t>
      </w:r>
    </w:p>
    <w:p>
      <w:pPr>
        <w:spacing w:after="0" w:line="57" w:lineRule="exact"/>
        <w:rPr>
          <w:rFonts w:ascii="Arial" w:cs="Arial" w:eastAsia="Arial" w:hAnsi="Arial"/>
          <w:sz w:val="17"/>
          <w:szCs w:val="17"/>
          <w:color w:val="auto"/>
        </w:rPr>
      </w:pPr>
    </w:p>
    <w:p>
      <w:pPr>
        <w:ind w:left="4" w:right="60" w:firstLine="419"/>
        <w:spacing w:after="0" w:line="253" w:lineRule="auto"/>
        <w:tabs>
          <w:tab w:leader="none" w:pos="641"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Designated Securities have been duly and validly authorized by the Company, and, when such Designated Securities are issued and delivered pursuant to this Underwriting Agreement and the Pricing Agreement with respect to such Designated Securities, such Designated Securities will have been duly executed, authenticated, issued and delivered and will constitute valid and legally binding obligations of the Company entitled to the benefits provided by the Indenture, which will be substantially in the form filed as an exhibit to the Registration Statement; the Indenture has been duly authorized and duly qualified under the Trust Indenture Act and, at the Time of Delivery for such Designated Securities, the Indenture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Indenture conforms, and the Designated Securities will conform, to the descriptions thereof contained in the Registration Statement, the General Disclosure Package and the Prospectus, as amended or supplemented, with respect to such Designated Securities.</w:t>
      </w:r>
    </w:p>
    <w:p>
      <w:pPr>
        <w:spacing w:after="0" w:line="86" w:lineRule="exact"/>
        <w:rPr>
          <w:rFonts w:ascii="Arial" w:cs="Arial" w:eastAsia="Arial" w:hAnsi="Arial"/>
          <w:sz w:val="18"/>
          <w:szCs w:val="18"/>
          <w:color w:val="auto"/>
        </w:rPr>
      </w:pPr>
    </w:p>
    <w:p>
      <w:pPr>
        <w:ind w:left="4" w:right="240" w:firstLine="419"/>
        <w:spacing w:after="0" w:line="291" w:lineRule="auto"/>
        <w:tabs>
          <w:tab w:leader="none" w:pos="681" w:val="left"/>
        </w:tabs>
        <w:numPr>
          <w:ilvl w:val="1"/>
          <w:numId w:val="10"/>
        </w:numPr>
        <w:rPr>
          <w:rFonts w:ascii="Arial" w:cs="Arial" w:eastAsia="Arial" w:hAnsi="Arial"/>
          <w:sz w:val="16"/>
          <w:szCs w:val="16"/>
          <w:color w:val="auto"/>
        </w:rPr>
      </w:pPr>
      <w:r>
        <w:rPr>
          <w:rFonts w:ascii="Arial" w:cs="Arial" w:eastAsia="Arial" w:hAnsi="Arial"/>
          <w:sz w:val="16"/>
          <w:szCs w:val="16"/>
          <w:color w:val="auto"/>
        </w:rPr>
        <w:t>(i) Neither the Company nor any of its Subsidiaries is in violation of its charter or bylaws or similar organizational documents; (ii) no subsidiary of the Company not referred to in clause (i) above is in violation of its charter or bylaws or similar organizational documents;</w:t>
      </w:r>
    </w:p>
    <w:p>
      <w:pPr>
        <w:ind w:left="4" w:hanging="4"/>
        <w:spacing w:after="0" w:line="253" w:lineRule="auto"/>
        <w:tabs>
          <w:tab w:leader="none" w:pos="31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w:t>
      </w:r>
    </w:p>
    <w:p>
      <w:pPr>
        <w:spacing w:after="0" w:line="125"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24"/>
          </w:cols>
          <w:pgMar w:left="876" w:top="274" w:right="499" w:bottom="1440" w:gutter="0" w:footer="0" w:header="0"/>
        </w:sectPr>
      </w:pPr>
    </w:p>
    <w:bookmarkStart w:id="11" w:name="page12"/>
    <w:bookmarkEnd w:id="11"/>
    <w:p>
      <w:pPr>
        <w:jc w:val="both"/>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bound or to which any of the property or assets of the Company or any of its subsidiaries is subject; or (iv) neither the Company nor any of its subsidiaries is in violation of any law or statute or any judgment, order, rule or regulation of any court or arbitrator or governmental or regulatory authority, except, in the case of clauses (ii), (iii) and (iv)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80" w:lineRule="exact"/>
        <w:rPr>
          <w:sz w:val="20"/>
          <w:szCs w:val="20"/>
          <w:color w:val="auto"/>
        </w:rPr>
      </w:pPr>
    </w:p>
    <w:p>
      <w:pPr>
        <w:ind w:firstLine="419"/>
        <w:spacing w:after="0" w:line="286" w:lineRule="auto"/>
        <w:tabs>
          <w:tab w:leader="none" w:pos="63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issue and sale of the Designated Securities and the compliance by the Company with all of the provisions of the Designated Securities, this Underwriting Agreement and the Pricing Agreement with respect to such Designated Securities,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nor will such action result in any violation of the provisions of the declaration of trust or the bylaws of the Company or any statute or any order, rule or regulation of any court or governmental agency or body having jurisdiction over the Company or any of its subsidiaries or any of their properties; and no consent, approval, authorization, order, registration or qualification of or with any such court or governmental agency or body is required for the issue and sale of the Securities or the consummation by the Company of the transactions contemplated by this Underwriting Agreement or any Pricing Agreement or the Indenture, except such as have been, or will have been prior to the Time of Delivery, obtained under the Act, the Exchange Act and the Trust Indenture Act and except for the rules of the New York Stock Exchange, Inc. (the “NYSE”) and such consents, approvals, authorizations, registrations or qualifications as may be required under state securities or “Blue Sky” laws in connection with the purchase and distribution of the Designated Securities by the Underwriters.</w:t>
      </w:r>
    </w:p>
    <w:p>
      <w:pPr>
        <w:spacing w:after="0" w:line="65" w:lineRule="exact"/>
        <w:rPr>
          <w:rFonts w:ascii="Arial" w:cs="Arial" w:eastAsia="Arial" w:hAnsi="Arial"/>
          <w:sz w:val="16"/>
          <w:szCs w:val="16"/>
          <w:color w:val="auto"/>
        </w:rPr>
      </w:pPr>
    </w:p>
    <w:p>
      <w:pPr>
        <w:ind w:firstLine="419"/>
        <w:spacing w:after="0" w:line="255" w:lineRule="auto"/>
        <w:tabs>
          <w:tab w:leader="none" w:pos="7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than as set forth in the Registration Statement, the General Disclosure Package and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would individually or in the aggregate have a material adverse effect on the consolidated financial position, shareholders’ equity or results of operations of the Company and its subsidiaries, considered as one enterprise; and, to the best of the Company’s knowledge, no such proceedings are threatened or contemplated by governmental authorities or threatened by others.</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40"/>
          </w:cols>
          <w:pgMar w:left="880" w:top="274" w:right="479" w:bottom="1440" w:gutter="0" w:footer="0" w:header="0"/>
        </w:sectPr>
      </w:pPr>
    </w:p>
    <w:bookmarkStart w:id="12" w:name="page13"/>
    <w:bookmarkEnd w:id="12"/>
    <w:p>
      <w:pPr>
        <w:ind w:firstLine="419"/>
        <w:spacing w:after="0" w:line="272"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consolidated financial statements of the Company and its subsidiaries, together with related notes and schedules as set forth or incorporated by reference in the Registration Statement, the General Disclosure Package and the Prospectus present fairly the financial position and the results of operations of the Company and its subsidiaries at the indicated dates and for the indicated periods. Such consolidated financial statements have been prepared in accordance with generally accepted accounting principles in the United States (“GAAP”), consistently applied throughout the periods involved, and all adjustments necessary for a fair presentation of results for such periods have been made. Any summary financial and statistical data contained in the Prospectus present fairly the information shown therein and have been compiled on a basis consistent with the consolidated financial statements incorporated by reference therein.</w:t>
      </w:r>
    </w:p>
    <w:p>
      <w:pPr>
        <w:spacing w:after="0" w:line="69" w:lineRule="exact"/>
        <w:rPr>
          <w:rFonts w:ascii="Arial" w:cs="Arial" w:eastAsia="Arial" w:hAnsi="Arial"/>
          <w:sz w:val="17"/>
          <w:szCs w:val="17"/>
          <w:color w:val="auto"/>
        </w:rPr>
      </w:pPr>
    </w:p>
    <w:p>
      <w:pPr>
        <w:ind w:right="200" w:firstLine="419"/>
        <w:spacing w:after="0" w:line="259"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to, or valid and enforceable leasehold estates in, all items of real and personal property referred to in the Registration Statement, the General Disclosure Package and the Prospectus as owned or leased by the Company or any of its subsidiaries, in each case free and clear of all pledges, liens, encumbrances, claims, security interests and defects, other than those referred to in the Prospectus or which are not material in amount.</w:t>
      </w:r>
    </w:p>
    <w:p>
      <w:pPr>
        <w:spacing w:after="0" w:line="78" w:lineRule="exact"/>
        <w:rPr>
          <w:rFonts w:ascii="Arial" w:cs="Arial" w:eastAsia="Arial" w:hAnsi="Arial"/>
          <w:sz w:val="18"/>
          <w:szCs w:val="18"/>
          <w:color w:val="auto"/>
        </w:rPr>
      </w:pPr>
    </w:p>
    <w:p>
      <w:pPr>
        <w:ind w:right="20" w:firstLine="419"/>
        <w:spacing w:after="0" w:line="257"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have filed all federal, state, local and foreign income tax returns which have been required to be filed, or appropriate extensions for such filings have been obtained as required by law, and all federal, state, local and foreign taxes of the Company and its subsidiaries have been paid, except such taxes as (i) are not yet due, (ii) are being contested in good faith, or (iii) could not reasonably be expected to have a material adverse effect on the condition, financial or otherwise, or on the earnings, business affairs or business prospects of the Company and its subsidiaries, considered as one enterprise.</w:t>
      </w:r>
    </w:p>
    <w:p>
      <w:pPr>
        <w:spacing w:after="0" w:line="79" w:lineRule="exact"/>
        <w:rPr>
          <w:rFonts w:ascii="Arial" w:cs="Arial" w:eastAsia="Arial" w:hAnsi="Arial"/>
          <w:sz w:val="18"/>
          <w:szCs w:val="18"/>
          <w:color w:val="auto"/>
        </w:rPr>
      </w:pPr>
    </w:p>
    <w:p>
      <w:pPr>
        <w:ind w:right="260" w:firstLine="419"/>
        <w:spacing w:after="0" w:line="286" w:lineRule="auto"/>
        <w:tabs>
          <w:tab w:leader="none" w:pos="6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and each of its subsidiaries hold all material licenses, certificates and permits from governmental authorities which are necessary to the conduct of their respective businesses; and neither the Company nor any of its subsidiaries has infringed any patents, patent rights, trade names, trademarks or copyrights, which infringement is material to the business of the Company.</w:t>
      </w:r>
    </w:p>
    <w:p>
      <w:pPr>
        <w:spacing w:after="0" w:line="57" w:lineRule="exact"/>
        <w:rPr>
          <w:rFonts w:ascii="Arial" w:cs="Arial" w:eastAsia="Arial" w:hAnsi="Arial"/>
          <w:sz w:val="17"/>
          <w:szCs w:val="17"/>
          <w:color w:val="auto"/>
        </w:rPr>
      </w:pPr>
    </w:p>
    <w:p>
      <w:pPr>
        <w:ind w:right="20" w:firstLine="419"/>
        <w:spacing w:after="0" w:line="275" w:lineRule="auto"/>
        <w:tabs>
          <w:tab w:leader="none" w:pos="6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Grant Thornton LLP, which audited the consolidated balance sheets of the Company and subsidiaries as of December 31, 2019 and the consolidated statements of comprehensive income, consolidated statements of shareholders’ equity and consolidated statements of cash flows for the year ended December 31, 2019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8" w:lineRule="exact"/>
        <w:rPr>
          <w:rFonts w:ascii="Arial" w:cs="Arial" w:eastAsia="Arial" w:hAnsi="Arial"/>
          <w:sz w:val="17"/>
          <w:szCs w:val="17"/>
          <w:color w:val="auto"/>
        </w:rPr>
      </w:pPr>
    </w:p>
    <w:p>
      <w:pPr>
        <w:ind w:right="240" w:firstLine="419"/>
        <w:spacing w:after="0" w:line="263" w:lineRule="auto"/>
        <w:tabs>
          <w:tab w:leader="none" w:pos="6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13" w:name="page14"/>
    <w:bookmarkEnd w:id="13"/>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w:t>
      </w:r>
    </w:p>
    <w:p>
      <w:pPr>
        <w:spacing w:after="0" w:line="2" w:lineRule="exact"/>
        <w:rPr>
          <w:sz w:val="20"/>
          <w:szCs w:val="20"/>
          <w:color w:val="auto"/>
        </w:rPr>
      </w:pPr>
    </w:p>
    <w:p>
      <w:pPr>
        <w:ind w:left="4" w:right="100" w:hanging="4"/>
        <w:spacing w:after="0" w:line="268" w:lineRule="auto"/>
        <w:tabs>
          <w:tab w:leader="none" w:pos="26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GAAP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GAAP.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70" w:lineRule="exact"/>
        <w:rPr>
          <w:rFonts w:ascii="Arial" w:cs="Arial" w:eastAsia="Arial" w:hAnsi="Arial"/>
          <w:sz w:val="17"/>
          <w:szCs w:val="17"/>
          <w:color w:val="auto"/>
        </w:rPr>
      </w:pPr>
    </w:p>
    <w:p>
      <w:pPr>
        <w:ind w:left="4" w:right="200" w:firstLine="419"/>
        <w:spacing w:after="0" w:line="342" w:lineRule="auto"/>
        <w:tabs>
          <w:tab w:leader="none" w:pos="641"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15" w:lineRule="exact"/>
        <w:rPr>
          <w:rFonts w:ascii="Arial" w:cs="Arial" w:eastAsia="Arial" w:hAnsi="Arial"/>
          <w:sz w:val="16"/>
          <w:szCs w:val="16"/>
          <w:color w:val="auto"/>
        </w:rPr>
      </w:pPr>
    </w:p>
    <w:p>
      <w:pPr>
        <w:ind w:left="4" w:right="20" w:firstLine="419"/>
        <w:spacing w:after="0" w:line="291" w:lineRule="auto"/>
        <w:tabs>
          <w:tab w:leader="none" w:pos="68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its subsidiaries, the Company represents that, as of the date hereof, it has no knowledge of any material failure by the Company or its subsidiaries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58" w:lineRule="exact"/>
        <w:rPr>
          <w:rFonts w:ascii="Arial" w:cs="Arial" w:eastAsia="Arial" w:hAnsi="Arial"/>
          <w:sz w:val="16"/>
          <w:szCs w:val="16"/>
          <w:color w:val="auto"/>
        </w:rPr>
      </w:pPr>
    </w:p>
    <w:p>
      <w:pPr>
        <w:ind w:left="4" w:firstLine="419"/>
        <w:spacing w:after="0" w:line="257" w:lineRule="auto"/>
        <w:tabs>
          <w:tab w:leader="none" w:pos="681" w:val="left"/>
        </w:tabs>
        <w:numPr>
          <w:ilvl w:val="1"/>
          <w:numId w:val="14"/>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REIT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12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4"/>
          </w:cols>
          <w:pgMar w:left="876" w:top="274" w:right="479" w:bottom="1440" w:gutter="0" w:footer="0" w:header="0"/>
        </w:sectPr>
      </w:pPr>
    </w:p>
    <w:bookmarkStart w:id="14" w:name="page15"/>
    <w:bookmarkEnd w:id="14"/>
    <w:p>
      <w:pPr>
        <w:ind w:right="20" w:firstLine="419"/>
        <w:spacing w:after="0" w:line="254" w:lineRule="auto"/>
        <w:tabs>
          <w:tab w:leader="none" w:pos="718"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86" w:lineRule="exact"/>
        <w:rPr>
          <w:rFonts w:ascii="Arial" w:cs="Arial" w:eastAsia="Arial" w:hAnsi="Arial"/>
          <w:sz w:val="18"/>
          <w:szCs w:val="18"/>
          <w:color w:val="auto"/>
        </w:rPr>
      </w:pPr>
    </w:p>
    <w:p>
      <w:pPr>
        <w:ind w:firstLine="419"/>
        <w:spacing w:after="0" w:line="269" w:lineRule="auto"/>
        <w:tabs>
          <w:tab w:leader="none" w:pos="6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Neither the Company nor any of its subsidiaries nor, to the best knowledge of the Company, any director, trustee, officer, agent, employee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made any direct or indirect unlawful payment to any foreign or domestic government official or employee from corporate funds; (iv) violated or is in violation of any provision of the Foreign Corrupt Practices Act of 1977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or (v) made any bribe, rebate, payoff, influence payment, kickback or other unlawful payment.</w:t>
      </w:r>
    </w:p>
    <w:p>
      <w:pPr>
        <w:spacing w:after="0" w:line="73" w:lineRule="exact"/>
        <w:rPr>
          <w:rFonts w:ascii="Arial" w:cs="Arial" w:eastAsia="Arial" w:hAnsi="Arial"/>
          <w:sz w:val="17"/>
          <w:szCs w:val="17"/>
          <w:color w:val="auto"/>
        </w:rPr>
      </w:pPr>
    </w:p>
    <w:p>
      <w:pPr>
        <w:ind w:right="60" w:firstLine="419"/>
        <w:spacing w:after="0" w:line="273" w:lineRule="auto"/>
        <w:tabs>
          <w:tab w:leader="none" w:pos="67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1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0"/>
          </w:cols>
          <w:pgMar w:left="880" w:top="274" w:right="499" w:bottom="1440" w:gutter="0" w:footer="0" w:header="0"/>
        </w:sectPr>
      </w:pPr>
    </w:p>
    <w:bookmarkStart w:id="15" w:name="page16"/>
    <w:bookmarkEnd w:id="15"/>
    <w:p>
      <w:pPr>
        <w:ind w:right="60" w:firstLine="419"/>
        <w:spacing w:after="0" w:line="254" w:lineRule="auto"/>
        <w:tabs>
          <w:tab w:leader="none" w:pos="668"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 of the Company, any of its subsidiaries or, to the knowledge of the Company, any director, trustee, officer, agent, employee or affiliate of the Company or any of its subsidiaries is (i) currently subject to any sanctions administered or enforced by the U.S. Government (including, without limitation, the Office of Foreign Assets Control of the U.S. Department of the Treasury (“OFAC”) or other relevant sanctions authority (collectively, “Sanctions”)); or (ii) located, organized or resident in a country or territory that is, or whose government is, the subject of Sanctions that broadly prohibit dealings with that country or territory (each, a “Sanctioned Country”);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Sanctions.</w:t>
      </w:r>
    </w:p>
    <w:p>
      <w:pPr>
        <w:spacing w:after="0" w:line="84" w:lineRule="exact"/>
        <w:rPr>
          <w:sz w:val="20"/>
          <w:szCs w:val="20"/>
          <w:color w:val="auto"/>
        </w:rPr>
      </w:pPr>
    </w:p>
    <w:p>
      <w:pPr>
        <w:ind w:right="400" w:firstLine="419"/>
        <w:spacing w:after="0" w:line="263" w:lineRule="auto"/>
        <w:tabs>
          <w:tab w:leader="none" w:pos="7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interactive data in the eXtensible Business Reporting Language incorporated by reference in the Registration Statement fairly presents the information called for in all material respects and has been prepared in accordance with the Commission’s rules and guidelines applicable thereto.</w:t>
      </w:r>
    </w:p>
    <w:p>
      <w:pPr>
        <w:spacing w:after="0" w:line="75" w:lineRule="exact"/>
        <w:rPr>
          <w:rFonts w:ascii="Arial" w:cs="Arial" w:eastAsia="Arial" w:hAnsi="Arial"/>
          <w:sz w:val="18"/>
          <w:szCs w:val="18"/>
          <w:color w:val="auto"/>
        </w:rPr>
      </w:pPr>
    </w:p>
    <w:p>
      <w:pPr>
        <w:ind w:firstLine="419"/>
        <w:spacing w:after="0" w:line="285" w:lineRule="auto"/>
        <w:tabs>
          <w:tab w:leader="none" w:pos="768"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To the knowledge of the Company, there has been no security breach or incident, unauthorized access or disclosure, or other compromise relating to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and its subsidiaries), equipment or technology (collectively, “IT Systems and Data”); (ii) neither the Company nor its subsidiaries have been notified of, and each of them have no knowledge of any event or condition that could result in, any security breach or incident, unauthorized access or disclosure or other compromise to their IT Systems and Data; and (iii)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 except, in the case of clauses (i) and (ii) above, as would not, individually or in the aggregate, have a material adverse effect on the condition, financial or otherwise, or on the earnings, business affairs or business prospects of the Company and its subsidiaries, considered as one enterprise, and except, in the case of clause (iii) above, where the failure to do so would not, individually or in the aggregate, have a material adverse effect on the condition, financial or otherwise, or on the earnings, business affairs or business prospects of the Company and its subsidiaries, considered as one enterprise.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w:t>
      </w:r>
    </w:p>
    <w:p>
      <w:pPr>
        <w:spacing w:after="0" w:line="1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00"/>
          </w:cols>
          <w:pgMar w:left="880" w:top="274" w:right="519" w:bottom="1440" w:gutter="0" w:footer="0" w:header="0"/>
        </w:sectPr>
      </w:pPr>
    </w:p>
    <w:bookmarkStart w:id="16" w:name="page17"/>
    <w:bookmarkEnd w:id="16"/>
    <w:p>
      <w:pPr>
        <w:ind w:left="420"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unauthorized use, access, misappropriation or modification, except where the failure to be so in material compliance would not, individually or in the aggregate, have a material adverse effect on the condition, financial or otherwise, or on the earnings, business affairs or business prospects of the Company and its subsidiaries, considered as one enterprise.</w:t>
      </w:r>
    </w:p>
    <w:p>
      <w:pPr>
        <w:spacing w:after="0" w:line="184" w:lineRule="exact"/>
        <w:rPr>
          <w:sz w:val="20"/>
          <w:szCs w:val="20"/>
          <w:color w:val="auto"/>
        </w:rPr>
      </w:pPr>
    </w:p>
    <w:p>
      <w:pPr>
        <w:ind w:left="-20" w:right="40" w:firstLine="436"/>
        <w:spacing w:after="0" w:line="263"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Securities and authorization by the Representatives of the release of such Designated Securities, the several Underwriters propose to offer such Designated Securities for sale upon the terms and conditions set forth in the Prospectus, as amended or supplemented.</w:t>
      </w:r>
    </w:p>
    <w:p>
      <w:pPr>
        <w:spacing w:after="0" w:line="183" w:lineRule="exact"/>
        <w:rPr>
          <w:rFonts w:ascii="Arial" w:cs="Arial" w:eastAsia="Arial" w:hAnsi="Arial"/>
          <w:sz w:val="18"/>
          <w:szCs w:val="18"/>
          <w:color w:val="auto"/>
        </w:rPr>
      </w:pPr>
    </w:p>
    <w:p>
      <w:pPr>
        <w:ind w:left="-20" w:firstLine="436"/>
        <w:spacing w:after="0" w:line="29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Designated Securities to be purchased by each Underwriter shall be delivered to the Representatives for the account of such Underwriter in the form of one or more global certificates in aggregate denomination equal to the aggregate principal amount of the Designated Securities upon original issuance and registered in the name of Cede &amp; Co., as nominee for The Depository Trust Company,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such Pricing Agreement or at such other place and time and date as the Representatives and the Company may agree upon in writing, such time and date being herein called the “Time of Delivery” for such Securities.</w:t>
      </w:r>
    </w:p>
    <w:p>
      <w:pPr>
        <w:spacing w:after="0" w:line="166" w:lineRule="exact"/>
        <w:rPr>
          <w:rFonts w:ascii="Arial" w:cs="Arial" w:eastAsia="Arial" w:hAnsi="Arial"/>
          <w:sz w:val="16"/>
          <w:szCs w:val="16"/>
          <w:color w:val="auto"/>
        </w:rPr>
      </w:pPr>
    </w:p>
    <w:p>
      <w:pPr>
        <w:ind w:left="600" w:hanging="184"/>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agrees with each of the Underwriters of any Designated Securities that:</w:t>
      </w:r>
    </w:p>
    <w:p>
      <w:pPr>
        <w:spacing w:after="0" w:line="117" w:lineRule="exact"/>
        <w:rPr>
          <w:rFonts w:ascii="Arial" w:cs="Arial" w:eastAsia="Arial" w:hAnsi="Arial"/>
          <w:sz w:val="18"/>
          <w:szCs w:val="18"/>
          <w:color w:val="auto"/>
        </w:rPr>
      </w:pPr>
    </w:p>
    <w:p>
      <w:pPr>
        <w:ind w:left="420" w:right="20" w:firstLine="419"/>
        <w:spacing w:after="0" w:line="269" w:lineRule="auto"/>
        <w:tabs>
          <w:tab w:leader="none" w:pos="1088"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Securities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Securities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Securities. The Company will effect the filings required under Rule 424(b), in the manner and within the time period required by Rule 424(b) (without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Securities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58" w:lineRule="exact"/>
        <w:rPr>
          <w:sz w:val="20"/>
          <w:szCs w:val="20"/>
          <w:color w:val="auto"/>
        </w:rPr>
      </w:pPr>
    </w:p>
    <w:p>
      <w:pPr>
        <w:ind w:firstLine="419"/>
        <w:spacing w:after="0" w:line="287" w:lineRule="auto"/>
        <w:tabs>
          <w:tab w:leader="none" w:pos="6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From the Applicable Time to the Time of Delivery, the Company will give the Representatives notice of its intention to file or prepare any amendment to the Registration Statement or new registration statement relating to the Designated Securities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 The Company will prepare a final term sheet (the “Final Term Sheet”) reflecting the final terms of the Designated Securities, substantially in the form set forth on Schedule I of Exhibit B hereto, and shall file such Final Term Sheet as an “issuer free writing prospectus” pursuant to Rule 433 prior to the close of business two business days after the date hereof; provided that the Company shall furnish the Representatives with copies of such Final Term Sheet a reasonable amount of time prior to such proposed filing and will not use or file any such document to which the Representatives or counsel to the Underwriters shall reasonably object;</w:t>
      </w:r>
    </w:p>
    <w:p>
      <w:pPr>
        <w:spacing w:after="0" w:line="59" w:lineRule="exact"/>
        <w:rPr>
          <w:rFonts w:ascii="Arial" w:cs="Arial" w:eastAsia="Arial" w:hAnsi="Arial"/>
          <w:sz w:val="16"/>
          <w:szCs w:val="16"/>
          <w:color w:val="auto"/>
        </w:rPr>
      </w:pPr>
    </w:p>
    <w:p>
      <w:pPr>
        <w:ind w:right="20" w:firstLine="419"/>
        <w:spacing w:after="0" w:line="273" w:lineRule="auto"/>
        <w:tabs>
          <w:tab w:leader="none" w:pos="6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Securities that would constitute an “issuer free writing prospectus,” as defined in Rule 433, or that would otherwise constitute a “free writing prospectus,” as defined in Rule 405, in each case required to be filed with the Commission; provided, however, that prior to the preparation of the Final Term Sheet in accordance with Section 5(b) hereof, the Underwriters are authorized to use the information with respect to the final terms of the Designated Securities in communications conveying</w:t>
      </w:r>
    </w:p>
    <w:p>
      <w:pPr>
        <w:spacing w:after="0" w:line="11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8" w:name="page19"/>
    <w:bookmarkEnd w:id="18"/>
    <w:p>
      <w:pPr>
        <w:ind w:righ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80" w:lineRule="exact"/>
        <w:rPr>
          <w:sz w:val="20"/>
          <w:szCs w:val="20"/>
          <w:color w:val="auto"/>
        </w:rPr>
      </w:pPr>
    </w:p>
    <w:p>
      <w:pPr>
        <w:ind w:left="680" w:hanging="261"/>
        <w:spacing w:after="0"/>
        <w:tabs>
          <w:tab w:leader="none" w:pos="6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promptly from time to time will take such action as the Representatives may reasonably request to qualify such</w:t>
      </w:r>
    </w:p>
    <w:p>
      <w:pPr>
        <w:spacing w:after="0" w:line="34" w:lineRule="exact"/>
        <w:rPr>
          <w:rFonts w:ascii="Arial" w:cs="Arial" w:eastAsia="Arial" w:hAnsi="Arial"/>
          <w:sz w:val="17"/>
          <w:szCs w:val="17"/>
          <w:color w:val="auto"/>
        </w:rPr>
      </w:pPr>
    </w:p>
    <w:p>
      <w:pPr>
        <w:ind w:right="180"/>
        <w:spacing w:after="0" w:line="253" w:lineRule="auto"/>
        <w:rPr>
          <w:rFonts w:ascii="Arial" w:cs="Arial" w:eastAsia="Arial" w:hAnsi="Arial"/>
          <w:sz w:val="17"/>
          <w:szCs w:val="17"/>
          <w:color w:val="auto"/>
        </w:rPr>
      </w:pPr>
      <w:r>
        <w:rPr>
          <w:rFonts w:ascii="Arial" w:cs="Arial" w:eastAsia="Arial" w:hAnsi="Arial"/>
          <w:sz w:val="18"/>
          <w:szCs w:val="18"/>
          <w:color w:val="auto"/>
        </w:rPr>
        <w:t>Designated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Securities, provided that in connection therewith the Company shall not be required to qualify as a foreign corporation or to file a general consent to service of process in any jurisdiction;</w:t>
      </w:r>
    </w:p>
    <w:p>
      <w:pPr>
        <w:spacing w:after="0" w:line="84" w:lineRule="exact"/>
        <w:rPr>
          <w:rFonts w:ascii="Arial" w:cs="Arial" w:eastAsia="Arial" w:hAnsi="Arial"/>
          <w:sz w:val="17"/>
          <w:szCs w:val="17"/>
          <w:color w:val="auto"/>
        </w:rPr>
      </w:pPr>
    </w:p>
    <w:p>
      <w:pPr>
        <w:ind w:right="80" w:firstLine="419"/>
        <w:spacing w:after="0" w:line="272" w:lineRule="auto"/>
        <w:tabs>
          <w:tab w:leader="none" w:pos="66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69" w:lineRule="exact"/>
        <w:rPr>
          <w:rFonts w:ascii="Arial" w:cs="Arial" w:eastAsia="Arial" w:hAnsi="Arial"/>
          <w:sz w:val="17"/>
          <w:szCs w:val="17"/>
          <w:color w:val="auto"/>
        </w:rPr>
      </w:pPr>
    </w:p>
    <w:p>
      <w:pPr>
        <w:ind w:firstLine="419"/>
        <w:spacing w:after="0" w:line="288" w:lineRule="auto"/>
        <w:tabs>
          <w:tab w:leader="none" w:pos="6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has delivered to each Underwriter, without charge, as many copies of each preliminary prospectus as such Underwriter reasonably requested, and the Company has delivered to each Underwriter, without charge, as many copies of each 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Securities,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80"/>
          </w:cols>
          <w:pgMar w:left="880" w:top="274" w:right="439" w:bottom="1440" w:gutter="0" w:footer="0" w:header="0"/>
        </w:sectPr>
      </w:pPr>
    </w:p>
    <w:bookmarkStart w:id="19" w:name="page20"/>
    <w:bookmarkEnd w:id="19"/>
    <w:p>
      <w:pPr>
        <w:ind w:firstLine="419"/>
        <w:spacing w:after="0" w:line="284" w:lineRule="auto"/>
        <w:tabs>
          <w:tab w:leader="none" w:pos="678"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Securities as contemplated in this Underwriting Agreement, a related Pricing Agreement and in the Prospectus. If at any time when a prospectus is required by the Act to be delivered in connection with sales of the Designated Securities,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Securities)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Securities)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73" w:lineRule="exact"/>
        <w:rPr>
          <w:rFonts w:ascii="Arial" w:cs="Arial" w:eastAsia="Arial" w:hAnsi="Arial"/>
          <w:sz w:val="16"/>
          <w:szCs w:val="16"/>
          <w:color w:val="auto"/>
        </w:rPr>
      </w:pPr>
    </w:p>
    <w:p>
      <w:pPr>
        <w:ind w:right="120" w:firstLine="419"/>
        <w:spacing w:after="0" w:line="263" w:lineRule="auto"/>
        <w:tabs>
          <w:tab w:leader="none" w:pos="67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60"/>
          </w:cols>
          <w:pgMar w:left="880" w:top="274" w:right="459" w:bottom="1440" w:gutter="0" w:footer="0" w:header="0"/>
        </w:sectPr>
      </w:pPr>
    </w:p>
    <w:bookmarkStart w:id="20" w:name="page21"/>
    <w:bookmarkEnd w:id="20"/>
    <w:p>
      <w:pPr>
        <w:ind w:left="440" w:right="200" w:firstLine="419"/>
        <w:spacing w:after="0" w:line="255"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During the period beginning on and including the date of the Pricing Agreement for such Designated Securities and continuing through and including the earlier of (i) the termination of trading restrictions for such Designated Securities, as notified to the Company by the Representatives and (ii) the Time of Delivery for such Designated Securities, but in no event later than 90 days from the date of the Pricing Agreement, the Company will not offer, sell, contract to sell, pledge or otherwise issue any debt securities of the Company which mature more than one year after such Time of Delivery and which are substantially similar to such Designated Securities, without the prior written consent of the Representatives;</w:t>
      </w:r>
    </w:p>
    <w:p>
      <w:pPr>
        <w:spacing w:after="0" w:line="84" w:lineRule="exact"/>
        <w:rPr>
          <w:rFonts w:ascii="Arial" w:cs="Arial" w:eastAsia="Arial" w:hAnsi="Arial"/>
          <w:sz w:val="18"/>
          <w:szCs w:val="18"/>
          <w:color w:val="auto"/>
        </w:rPr>
      </w:pPr>
    </w:p>
    <w:p>
      <w:pPr>
        <w:ind w:left="440" w:firstLine="419"/>
        <w:spacing w:after="0" w:line="277" w:lineRule="auto"/>
        <w:tabs>
          <w:tab w:leader="none" w:pos="107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use the net proceeds received by it from the sale of the Designated Securities in the manner specified in the Prospectus under the caption “Use of Proceeds”;</w:t>
      </w:r>
    </w:p>
    <w:p>
      <w:pPr>
        <w:spacing w:after="0" w:line="62" w:lineRule="exact"/>
        <w:rPr>
          <w:rFonts w:ascii="Arial" w:cs="Arial" w:eastAsia="Arial" w:hAnsi="Arial"/>
          <w:sz w:val="18"/>
          <w:szCs w:val="18"/>
          <w:color w:val="auto"/>
        </w:rPr>
      </w:pPr>
    </w:p>
    <w:p>
      <w:pPr>
        <w:ind w:left="440" w:right="160" w:firstLine="419"/>
        <w:spacing w:after="0" w:line="277" w:lineRule="auto"/>
        <w:tabs>
          <w:tab w:leader="none" w:pos="1118"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Company will qualify as a “REIT” under the Code, and will use its best efforts to continue to meet the requirements to qualify as a “REIT”; and</w:t>
      </w:r>
    </w:p>
    <w:p>
      <w:pPr>
        <w:spacing w:after="0" w:line="62" w:lineRule="exact"/>
        <w:rPr>
          <w:rFonts w:ascii="Arial" w:cs="Arial" w:eastAsia="Arial" w:hAnsi="Arial"/>
          <w:sz w:val="18"/>
          <w:szCs w:val="18"/>
          <w:color w:val="auto"/>
        </w:rPr>
      </w:pPr>
    </w:p>
    <w:p>
      <w:pPr>
        <w:ind w:left="440" w:firstLine="419"/>
        <w:spacing w:after="0" w:line="269" w:lineRule="auto"/>
        <w:tabs>
          <w:tab w:leader="none" w:pos="1078"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of such Designated Securities are acting solely in the capacity of an arm’s length contractual counterparty to the Company with respect to the offering of such Designated Securities (including in connection with determining the terms of the offering) and not as a financial advisor or a fiduciary to, or an agent of, the Company or any other person. The Company agrees that it will not claim that the Underwriters, or any of them, has rendered advisory services of any nature or respect, or owes a fiduciary or similar duty to the Company, in connection with such transaction or the process leading thereto.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81" w:lineRule="exact"/>
        <w:rPr>
          <w:rFonts w:ascii="Arial" w:cs="Arial" w:eastAsia="Arial" w:hAnsi="Arial"/>
          <w:sz w:val="17"/>
          <w:szCs w:val="17"/>
          <w:color w:val="auto"/>
        </w:rPr>
      </w:pPr>
    </w:p>
    <w:p>
      <w:pPr>
        <w:ind w:right="160" w:firstLine="436"/>
        <w:spacing w:after="0" w:line="255"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Indenture, any Blue Sky and legal investment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surveys and any other documents in connection with the offering, purchase, sale and delivery of the Securities; (iii) all expenses in connection with the qualification of the Securities for offering and sale under state securities laws as provided in Section 5(d) hereof, including the fees and disbursements of counsel for the Underwriters in connection with such qualification and in connection with the Blue Sky and legal investment surveys; (iv) any fees charged by securities rating services for rating the Securities; (v) any filing fees incident to any required review by the Financial Industry Regulatory Authority of the terms of the sale of the Securities; (vi) the fees and expenses of any Trustee and any agent of any Trustee and the fees and disbursements of counsel for any Trustee in connection with any Indenture and the Securities; (vii) all other costs and expenses incident to the performance of its obligations hereunder which are not otherwise specifically provided for in this Section 6; and (viii) the costs and expenses (including without limitation any damages or other amounts payable in connection with legal or contractual liability) associated with the reforming of any contracts for sale of the Designated Securities made by the Underwriters caused by a breach of the representation contained in the sixth paragraph of Section 2(c) hereof. It is understood, however, that, except as provided in this Section 6, Section 8 and Section 11 hereof, the Underwriters will pay all of their own costs and expenses, including the fees of their counsel, transfer taxes on resale of any of the Securities by them, and any advertising expenses connected with any offers they may make.</w:t>
      </w:r>
    </w:p>
    <w:p>
      <w:pPr>
        <w:spacing w:after="0" w:line="179" w:lineRule="exact"/>
        <w:rPr>
          <w:sz w:val="20"/>
          <w:szCs w:val="20"/>
          <w:color w:val="auto"/>
        </w:rPr>
      </w:pPr>
    </w:p>
    <w:p>
      <w:pPr>
        <w:ind w:right="200" w:firstLine="436"/>
        <w:spacing w:after="0" w:line="275"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obligations of the Underwriters of any Designated Securities under the Pricing Agreement relating to such Designated Securities shall be subject, in the discretion of the Representatives, to the condition that all representations and warranties and other statements of the Company in, or incorporated by reference from this Underwriting Agreement into, the Pricing Agreement relating to such Designated Securities are, at and as of the Time of Delivery for such Designated Securities, true and correct, to the condition that the Company shall have performed all of its obligations hereunder theretofore to be performed, and to the following additional conditions:</w:t>
      </w:r>
    </w:p>
    <w:p>
      <w:pPr>
        <w:spacing w:after="0" w:line="68" w:lineRule="exact"/>
        <w:rPr>
          <w:rFonts w:ascii="Arial" w:cs="Arial" w:eastAsia="Arial" w:hAnsi="Arial"/>
          <w:sz w:val="17"/>
          <w:szCs w:val="17"/>
          <w:color w:val="auto"/>
        </w:rPr>
      </w:pPr>
    </w:p>
    <w:p>
      <w:pPr>
        <w:ind w:left="440" w:right="60" w:firstLine="419"/>
        <w:spacing w:after="0" w:line="270" w:lineRule="auto"/>
        <w:tabs>
          <w:tab w:leader="none" w:pos="1108"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Prospectus containing the 430B Information, as amended or supplemented, in relation to the applicable Designated Securities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Securities within the time period required by Rule 456(b)(1)(i) under the Act without regard to the proviso therein and otherwise in accordance with Rules 456(b) and 457(r) under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2" w:name="page23"/>
    <w:bookmarkEnd w:id="22"/>
    <w:p>
      <w:pPr>
        <w:ind w:left="4" w:right="100" w:firstLine="419"/>
        <w:spacing w:after="0" w:line="296" w:lineRule="auto"/>
        <w:tabs>
          <w:tab w:leader="none" w:pos="681"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Sidley Austin </w:t>
      </w:r>
      <w:r>
        <w:rPr>
          <w:rFonts w:ascii="Arial" w:cs="Arial" w:eastAsia="Arial" w:hAnsi="Arial"/>
          <w:sz w:val="12"/>
          <w:szCs w:val="12"/>
          <w:color w:val="auto"/>
        </w:rPr>
        <w:t>LLP</w:t>
      </w:r>
      <w:r>
        <w:rPr>
          <w:rFonts w:ascii="Arial" w:cs="Arial" w:eastAsia="Arial" w:hAnsi="Arial"/>
          <w:sz w:val="16"/>
          <w:szCs w:val="16"/>
          <w:color w:val="auto"/>
        </w:rPr>
        <w:t xml:space="preserve">, counsel for the Underwriters, shall have furnished to the Representatives such opinion or opinions, dated the Time of Delivery for such Designated Securities, with respect to the validity of the Indenture,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2"/>
          <w:szCs w:val="12"/>
          <w:color w:val="auto"/>
        </w:rPr>
        <w:t>LLP</w:t>
      </w:r>
      <w:r>
        <w:rPr>
          <w:rFonts w:ascii="Arial" w:cs="Arial" w:eastAsia="Arial" w:hAnsi="Arial"/>
          <w:sz w:val="16"/>
          <w:szCs w:val="16"/>
          <w:color w:val="auto"/>
        </w:rPr>
        <w:t xml:space="preserve"> may rely, as to all matters arising under or governed by the laws of the State of Maryland, on the opinion of Pillsbury Winthrop Shaw Pittman LLP);</w:t>
      </w:r>
    </w:p>
    <w:p>
      <w:pPr>
        <w:spacing w:after="0" w:line="53" w:lineRule="exact"/>
        <w:rPr>
          <w:rFonts w:ascii="Arial" w:cs="Arial" w:eastAsia="Arial" w:hAnsi="Arial"/>
          <w:sz w:val="16"/>
          <w:szCs w:val="16"/>
          <w:color w:val="auto"/>
        </w:rPr>
      </w:pPr>
    </w:p>
    <w:p>
      <w:pPr>
        <w:ind w:left="4" w:right="80" w:firstLine="419"/>
        <w:spacing w:after="0" w:line="259" w:lineRule="auto"/>
        <w:tabs>
          <w:tab w:leader="none" w:pos="6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Pillsbury Winthrop Shaw Pittman LLP, counsel for the Company, shall have furnished to the Representatives their written opinion, dated the Time of Delivery for such Designated Securities, in form and substance satisfactory to the Representatives, substantially similar to the forms set forth in Exhibit C and Exhibit D hereto, subject to such assumptions, exceptions, and qualifications reasonably acceptable to the Representatives;</w:t>
      </w:r>
    </w:p>
    <w:p>
      <w:pPr>
        <w:spacing w:after="0" w:line="78" w:lineRule="exact"/>
        <w:rPr>
          <w:rFonts w:ascii="Arial" w:cs="Arial" w:eastAsia="Arial" w:hAnsi="Arial"/>
          <w:sz w:val="18"/>
          <w:szCs w:val="18"/>
          <w:color w:val="auto"/>
        </w:rPr>
      </w:pPr>
    </w:p>
    <w:p>
      <w:pPr>
        <w:ind w:left="4" w:right="140" w:firstLine="419"/>
        <w:spacing w:after="0" w:line="263" w:lineRule="auto"/>
        <w:tabs>
          <w:tab w:leader="none" w:pos="681"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Securities and at the Time of Delivery for such Designated Securities, Grant Thornton LLP, the independent accountants of the Company, shall have furnished to the Representatives a “comfort letter” in form and substance satisfactory to the Representatives;</w:t>
      </w:r>
    </w:p>
    <w:p>
      <w:pPr>
        <w:spacing w:after="0" w:line="75" w:lineRule="exact"/>
        <w:rPr>
          <w:rFonts w:ascii="Arial" w:cs="Arial" w:eastAsia="Arial" w:hAnsi="Arial"/>
          <w:sz w:val="18"/>
          <w:szCs w:val="18"/>
          <w:color w:val="auto"/>
        </w:rPr>
      </w:pPr>
    </w:p>
    <w:p>
      <w:pPr>
        <w:ind w:left="4" w:right="200" w:firstLine="419"/>
        <w:spacing w:after="0" w:line="259" w:lineRule="auto"/>
        <w:tabs>
          <w:tab w:leader="none" w:pos="6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At the Time of Delivery for such Designated Securities, the Designated Securities shall be rated at least A3 by Moody’s Investor’s Service Inc. and A- by Standard &amp; Poor’s Ratings Services, and the Company shall have delivered to the Representatives a letter dated the Time of Delivery, from each such rating agency, or other evidence satisfactory to the Representatives, confirming that the Designated Securities have such ratings;</w:t>
      </w:r>
    </w:p>
    <w:p>
      <w:pPr>
        <w:spacing w:after="0" w:line="78" w:lineRule="exact"/>
        <w:rPr>
          <w:rFonts w:ascii="Arial" w:cs="Arial" w:eastAsia="Arial" w:hAnsi="Arial"/>
          <w:sz w:val="18"/>
          <w:szCs w:val="18"/>
          <w:color w:val="auto"/>
        </w:rPr>
      </w:pPr>
    </w:p>
    <w:p>
      <w:pPr>
        <w:ind w:left="4" w:right="60" w:firstLine="419"/>
        <w:spacing w:after="0" w:line="286" w:lineRule="auto"/>
        <w:tabs>
          <w:tab w:leader="none" w:pos="651" w:val="left"/>
        </w:tabs>
        <w:numPr>
          <w:ilvl w:val="1"/>
          <w:numId w:val="25"/>
        </w:numPr>
        <w:rPr>
          <w:rFonts w:ascii="Arial" w:cs="Arial" w:eastAsia="Arial" w:hAnsi="Arial"/>
          <w:sz w:val="16"/>
          <w:szCs w:val="16"/>
          <w:color w:val="auto"/>
        </w:rPr>
      </w:pPr>
      <w:r>
        <w:rPr>
          <w:rFonts w:ascii="Arial" w:cs="Arial" w:eastAsia="Arial" w:hAnsi="Arial"/>
          <w:sz w:val="16"/>
          <w:szCs w:val="16"/>
          <w:color w:val="auto"/>
        </w:rPr>
        <w:t>(A) Neither the Company nor any of its subsidiaries, considered as one enterprise, since the date of the last audited financial statements included or incorporated by reference in the Registration Statement, General Disclosure Package and the Prospectus, shall have sustained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w:t>
      </w:r>
    </w:p>
    <w:p>
      <w:pPr>
        <w:spacing w:after="0" w:line="1" w:lineRule="exact"/>
        <w:rPr>
          <w:rFonts w:ascii="Arial" w:cs="Arial" w:eastAsia="Arial" w:hAnsi="Arial"/>
          <w:sz w:val="16"/>
          <w:szCs w:val="16"/>
          <w:color w:val="auto"/>
        </w:rPr>
      </w:pPr>
    </w:p>
    <w:p>
      <w:pPr>
        <w:ind w:left="4" w:hanging="4"/>
        <w:spacing w:after="0" w:line="252" w:lineRule="auto"/>
        <w:tabs>
          <w:tab w:leader="none" w:pos="28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(i) conversion of the Company’s Preferred Shares outstanding as of the date of the applicable Pricing Agreement, (ii) the Company’s Dividend Reinvestment and Share Purchase Plan as in effect on the date of the applicable Pricing Agreement, (iii) any of the Company’s employee or trustee benefits plans or employee inducement awards, including upon exercise of share options granted pursuant thereto, as such plans are in effect on the date of the applicable Pricing Agreement</w:t>
      </w:r>
    </w:p>
    <w:p>
      <w:pPr>
        <w:spacing w:after="0" w:line="126"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84"/>
          </w:cols>
          <w:pgMar w:left="876" w:top="274" w:right="439" w:bottom="1440" w:gutter="0" w:footer="0" w:header="0"/>
        </w:sectPr>
      </w:pPr>
    </w:p>
    <w:bookmarkStart w:id="23" w:name="page24"/>
    <w:bookmarkEnd w:id="23"/>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consistent with past practice, (iv) the exercise of contractual rights existing on the date of the applicable Pricing Agreement by the current and former holders of partnership or other interests in certain of the “DownREIT” and other Subsidiaries which may require or permit (in lieu of a payment in cash) the issuance of Common Shares of the Company, (v) the terms of (a) the Equity Distribution Agreement dated May 7, 2018 between the Company and Wells Fargo Securities, LLC, (b) the Equity Distribution Agreement dated May 7, 2018 between the Company and BofA Securities, Inc. and (c) the Equity Distribution Agreement dated May 7, 2018 between the Company and Citigroup Global Markets Inc., as the same may be amended from time to time or (vi) any non-material acquisition, merger or purchase of assets) or any material increase in the consolidated long-term debt of the Company or any of its subsidiaries or any change, or any development involving a prospective change, in or affecting the general affairs, management, financial position, shareholders’ equity or results of operations of the Company and its subsidiaries, otherwise than as set forth or contemplated in the Prospectus and the General Disclosure Package, the effect of which, in any such case described in clause (A) or (B), is in the judgment of the Representatives so material and adverse as to make it impracticable or inadvisable to proceed with the public offering, sale or the delivery of the Designated Securities on the terms and in the manner contemplated in the Prospectus, as amended or supplemented;</w:t>
      </w:r>
    </w:p>
    <w:p>
      <w:pPr>
        <w:spacing w:after="0" w:line="71" w:lineRule="exact"/>
        <w:rPr>
          <w:sz w:val="20"/>
          <w:szCs w:val="20"/>
          <w:color w:val="auto"/>
        </w:rPr>
      </w:pPr>
    </w:p>
    <w:p>
      <w:pPr>
        <w:ind w:left="4" w:firstLine="419"/>
        <w:spacing w:after="0" w:line="301" w:lineRule="auto"/>
        <w:tabs>
          <w:tab w:leader="none" w:pos="681" w:val="left"/>
        </w:tabs>
        <w:numPr>
          <w:ilvl w:val="1"/>
          <w:numId w:val="27"/>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(i) no downgrading shall have occurred in the rating accorded the Company’s debt securities or preferred shares by any “nationally recognized statistical rating organization,” as that term is defined by the Commission for purposes of Section 3(a)(62) under the Exchange Act and (ii) no such organization shall have publicly announced that it has under surveillance or review, with possible negative implications, its rating of any of the Company’s debt securities or preferred shares;</w:t>
      </w:r>
    </w:p>
    <w:p>
      <w:pPr>
        <w:spacing w:after="0" w:line="49" w:lineRule="exact"/>
        <w:rPr>
          <w:rFonts w:ascii="Arial" w:cs="Arial" w:eastAsia="Arial" w:hAnsi="Arial"/>
          <w:sz w:val="16"/>
          <w:szCs w:val="16"/>
          <w:color w:val="auto"/>
        </w:rPr>
      </w:pPr>
    </w:p>
    <w:p>
      <w:pPr>
        <w:ind w:left="684" w:hanging="261"/>
        <w:spacing w:after="0"/>
        <w:tabs>
          <w:tab w:leader="none" w:pos="684" w:val="left"/>
        </w:tabs>
        <w:numPr>
          <w:ilvl w:val="1"/>
          <w:numId w:val="27"/>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Securities there shall not have occurred any of the following:</w:t>
      </w:r>
    </w:p>
    <w:p>
      <w:pPr>
        <w:spacing w:after="0" w:line="46" w:lineRule="exact"/>
        <w:rPr>
          <w:rFonts w:ascii="Arial" w:cs="Arial" w:eastAsia="Arial" w:hAnsi="Arial"/>
          <w:sz w:val="16"/>
          <w:szCs w:val="16"/>
          <w:color w:val="auto"/>
        </w:rPr>
      </w:pPr>
    </w:p>
    <w:p>
      <w:pPr>
        <w:ind w:left="4" w:right="60" w:hanging="4"/>
        <w:spacing w:after="0" w:line="252" w:lineRule="auto"/>
        <w:tabs>
          <w:tab w:leader="none" w:pos="2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Securities on the terms and in the manner contemplated in the Prospectus, as amended or supplemented;</w:t>
      </w:r>
    </w:p>
    <w:p>
      <w:pPr>
        <w:spacing w:after="0" w:line="125"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84"/>
          </w:cols>
          <w:pgMar w:left="876" w:top="274" w:right="439" w:bottom="1440" w:gutter="0" w:footer="0" w:header="0"/>
        </w:sectPr>
      </w:pPr>
    </w:p>
    <w:bookmarkStart w:id="24" w:name="page25"/>
    <w:bookmarkEnd w:id="24"/>
    <w:p>
      <w:pPr>
        <w:ind w:left="440" w:right="140" w:firstLine="419"/>
        <w:spacing w:after="0" w:line="277" w:lineRule="auto"/>
        <w:tabs>
          <w:tab w:leader="none" w:pos="1078" w:val="left"/>
        </w:tabs>
        <w:numPr>
          <w:ilvl w:val="1"/>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shall have complied with the provisions of Section 5(f) hereof with respect to the furnishing of Prospectuses, as amended or supplemented; and</w:t>
      </w:r>
    </w:p>
    <w:p>
      <w:pPr>
        <w:spacing w:after="0" w:line="62" w:lineRule="exact"/>
        <w:rPr>
          <w:rFonts w:ascii="Arial" w:cs="Arial" w:eastAsia="Arial" w:hAnsi="Arial"/>
          <w:sz w:val="18"/>
          <w:szCs w:val="18"/>
          <w:color w:val="auto"/>
        </w:rPr>
      </w:pPr>
    </w:p>
    <w:p>
      <w:pPr>
        <w:ind w:left="440" w:firstLine="419"/>
        <w:spacing w:after="0" w:line="275" w:lineRule="auto"/>
        <w:tabs>
          <w:tab w:leader="none" w:pos="1078"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the Representatives at the Time of Delivery for the Designated Securities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(g) of this Section 7 and as to such other matters as the Representatives may reasonably request.</w:t>
      </w:r>
    </w:p>
    <w:p>
      <w:pPr>
        <w:spacing w:after="0" w:line="176" w:lineRule="exact"/>
        <w:rPr>
          <w:rFonts w:ascii="Arial" w:cs="Arial" w:eastAsia="Arial" w:hAnsi="Arial"/>
          <w:sz w:val="17"/>
          <w:szCs w:val="17"/>
          <w:color w:val="auto"/>
        </w:rPr>
      </w:pPr>
    </w:p>
    <w:p>
      <w:pPr>
        <w:ind w:right="40" w:firstLine="436"/>
        <w:spacing w:after="0" w:line="286" w:lineRule="auto"/>
        <w:tabs>
          <w:tab w:leader="none" w:pos="6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The Company will indemnify and hold harmless each Underwriter, its affiliates, its directors, its officers and each person, if any, who controls such Underwriter within the meaning of Section 15 of the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(or actions in respect thereof)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any Underwriter of Designated Securities through the Representatives expressly for use therein.</w:t>
      </w:r>
    </w:p>
    <w:p>
      <w:pPr>
        <w:spacing w:after="0" w:line="171" w:lineRule="exact"/>
        <w:rPr>
          <w:sz w:val="20"/>
          <w:szCs w:val="20"/>
          <w:color w:val="auto"/>
        </w:rPr>
      </w:pPr>
    </w:p>
    <w:p>
      <w:pPr>
        <w:ind w:right="140" w:firstLine="436"/>
        <w:spacing w:after="0" w:line="275" w:lineRule="auto"/>
        <w:tabs>
          <w:tab w:leader="none" w:pos="6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Each Underwriter, severally and not jointly, will indemnify and hold harmless the Company, its trustees, its officers who signed the Registration Statement and each person, if any, who controls the Company within the meaning of Section 15 of the Act or Section 20 of the Exchange Act to the same extent as the indemnity set forth in paragraph (a) above, but only with respect to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 w:name="page26"/>
    <w:bookmarkEnd w:id="25"/>
    <w:p>
      <w:pPr>
        <w:ind w:left="4"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preliminary prospectus, any preliminary prospectus supplement, Issuer Free Writing Prospectus, the Registration Statement, the Prospectus, as amended or supplemented, or any other prospectus relating to the Securities,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Securities,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66" w:lineRule="exact"/>
        <w:rPr>
          <w:sz w:val="20"/>
          <w:szCs w:val="20"/>
          <w:color w:val="auto"/>
        </w:rPr>
      </w:pPr>
    </w:p>
    <w:p>
      <w:pPr>
        <w:ind w:left="4" w:firstLine="436"/>
        <w:spacing w:after="0" w:line="268" w:lineRule="auto"/>
        <w:tabs>
          <w:tab w:leader="none" w:pos="689" w:val="left"/>
        </w:tabs>
        <w:numPr>
          <w:ilvl w:val="1"/>
          <w:numId w:val="32"/>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81" w:lineRule="exact"/>
        <w:rPr>
          <w:rFonts w:ascii="Arial" w:cs="Arial" w:eastAsia="Arial" w:hAnsi="Arial"/>
          <w:sz w:val="17"/>
          <w:szCs w:val="17"/>
          <w:color w:val="auto"/>
        </w:rPr>
      </w:pPr>
    </w:p>
    <w:p>
      <w:pPr>
        <w:ind w:left="704" w:hanging="264"/>
        <w:spacing w:after="0"/>
        <w:tabs>
          <w:tab w:leader="none" w:pos="704"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8 is unavailable to or insufficient to hold harmless an indemnified party under subsection</w:t>
      </w:r>
    </w:p>
    <w:p>
      <w:pPr>
        <w:spacing w:after="0" w:line="34" w:lineRule="exact"/>
        <w:rPr>
          <w:rFonts w:ascii="Arial" w:cs="Arial" w:eastAsia="Arial" w:hAnsi="Arial"/>
          <w:sz w:val="17"/>
          <w:szCs w:val="17"/>
          <w:color w:val="auto"/>
        </w:rPr>
      </w:pPr>
    </w:p>
    <w:p>
      <w:pPr>
        <w:ind w:left="4" w:right="260" w:hanging="4"/>
        <w:spacing w:after="0" w:line="260" w:lineRule="auto"/>
        <w:tabs>
          <w:tab w:leader="none" w:pos="249" w:val="left"/>
        </w:tabs>
        <w:numPr>
          <w:ilvl w:val="0"/>
          <w:numId w:val="33"/>
        </w:numPr>
        <w:rPr>
          <w:rFonts w:ascii="Arial" w:cs="Arial" w:eastAsia="Arial" w:hAnsi="Arial"/>
          <w:sz w:val="18"/>
          <w:szCs w:val="18"/>
          <w:color w:val="auto"/>
        </w:rPr>
      </w:pPr>
      <w:r>
        <w:rPr>
          <w:rFonts w:ascii="Arial" w:cs="Arial" w:eastAsia="Arial" w:hAnsi="Arial"/>
          <w:sz w:val="18"/>
          <w:szCs w:val="18"/>
          <w:color w:val="auto"/>
        </w:rPr>
        <w:t>or (b) above in respect of any losses, claims, damages or liabilities (or actions in respect thereof) referred to therein, then each indemnifying party shall contribute to the amount paid or payable by</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6" w:name="page27"/>
    <w:bookmarkEnd w:id="26"/>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indemnified party as a result of such losses, claims, damages or liabilities (or actions in respect thereof) in such proportion as is appropriate to reflect the relative benefits received by the Company on the one hand and the Underwriters of the Designated Securities on the other from the offering of the Designated Securities to which such loss, claim, damage or liability (or action in respect thereof) relates. If, however, the allocation provided by the immediately preceding sentence is not permitted by applicable law or if the indemnified party failed to give the notice required under subsection</w:t>
      </w:r>
    </w:p>
    <w:p>
      <w:pPr>
        <w:spacing w:after="0" w:line="1" w:lineRule="exact"/>
        <w:rPr>
          <w:sz w:val="20"/>
          <w:szCs w:val="20"/>
          <w:color w:val="auto"/>
        </w:rPr>
      </w:pPr>
    </w:p>
    <w:p>
      <w:pPr>
        <w:ind w:left="4" w:hanging="4"/>
        <w:spacing w:after="0" w:line="281" w:lineRule="auto"/>
        <w:tabs>
          <w:tab w:leader="none" w:pos="2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above, then each indemnifying party shall contribute to such amount paid or payable by such indemnified party in such proportion as is appropriate to reflect not only such relative benefits but also the relative fault of the Company on the one hand and the Underwriters of the Designated Securities on the other in connection with the statements or omissions which resulted in such losses, claims, damages or liabilities (or actions in respect thereof), as well as any other relevant equitable considerations. The relative benefits received by the Company on the one hand and such Underwriters on the other shall be deemed to be in the same proportion as the total net proceeds from such offering (before deducting expenses) received by the Company bear to the total underwriting discounts and commissions from such offering received by such Underwriters. The relative fault shall be determined by reference to, among other things, whether the untrue or alleged untrue statement of a material fact or the omission or alleged omission to state a material fact relates to information supplied by the Company on the one hand or such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pro rata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applicable Designated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w:t>
      </w:r>
    </w:p>
    <w:p>
      <w:pPr>
        <w:spacing w:after="0" w:line="9" w:lineRule="exact"/>
        <w:rPr>
          <w:rFonts w:ascii="Arial" w:cs="Arial" w:eastAsia="Arial" w:hAnsi="Arial"/>
          <w:sz w:val="16"/>
          <w:szCs w:val="16"/>
          <w:color w:val="auto"/>
        </w:rPr>
      </w:pPr>
    </w:p>
    <w:p>
      <w:pPr>
        <w:ind w:left="4" w:right="160"/>
        <w:spacing w:after="0" w:line="255" w:lineRule="auto"/>
        <w:rPr>
          <w:rFonts w:ascii="Arial" w:cs="Arial" w:eastAsia="Arial" w:hAnsi="Arial"/>
          <w:sz w:val="16"/>
          <w:szCs w:val="16"/>
          <w:color w:val="auto"/>
        </w:rPr>
      </w:pPr>
      <w:r>
        <w:rPr>
          <w:rFonts w:ascii="Arial" w:cs="Arial" w:eastAsia="Arial" w:hAnsi="Arial"/>
          <w:sz w:val="18"/>
          <w:szCs w:val="18"/>
          <w:color w:val="auto"/>
        </w:rPr>
        <w:t>Section 11(f) of the Act) shall be entitled to contribution from any person who was not guilty of such fraudulent misrepresentation. The obligations of the Underwriters of Designated Securities in this subsection (d) to contribute are several in proportion to their respective underwriting obligations with respect to such Securities and not joint.</w:t>
      </w:r>
    </w:p>
    <w:p>
      <w:pPr>
        <w:spacing w:after="0" w:line="189" w:lineRule="exact"/>
        <w:rPr>
          <w:rFonts w:ascii="Arial" w:cs="Arial" w:eastAsia="Arial" w:hAnsi="Arial"/>
          <w:sz w:val="16"/>
          <w:szCs w:val="16"/>
          <w:color w:val="auto"/>
        </w:rPr>
      </w:pPr>
    </w:p>
    <w:p>
      <w:pPr>
        <w:ind w:left="4" w:right="120" w:firstLine="436"/>
        <w:spacing w:after="0" w:line="257" w:lineRule="auto"/>
        <w:tabs>
          <w:tab w:leader="none" w:pos="6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to each trustee of the Company and to each person, if any, who controls the Company within the meaning of the Act.</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7" w:name="page28"/>
    <w:bookmarkEnd w:id="27"/>
    <w:p>
      <w:pPr>
        <w:ind w:firstLine="436"/>
        <w:spacing w:after="0" w:line="268"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If any Underwriter shall default in its obligation to purchase the Designated Securities which it has agreed to purchase at the Time of Delivery under the Pricing Agreement relating to such Designated Securities, the Representatives may in their discretion arrange for themselves or another party or other parties to purchase such Designated Securities on the terms contained herein. If within thirty-six hours after such default by any Underwriter the Representatives do not arrange for the purchase of such Designated Securities, then the Company shall be entitled to a further period of thirty-six hours within which to procure another party or other parties satisfactory to the Representatives to purchase such Designated Securities on such terms. In the event that, within the respective prescribed period, the Representatives notify the Company that they have so arranged for the purchase of such Designated Securities, or the Company notifies the Representatives that it has so arranged for the purchase of such Designated Securities, the Representatives or the Company shall have the right to postpone the Time of Delivery for such Designated Securities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9 with like effect as if such person had originally been a party to the Pricing Agreement with respect to such Designated Securities.</w:t>
      </w:r>
    </w:p>
    <w:p>
      <w:pPr>
        <w:spacing w:after="0" w:line="186" w:lineRule="exact"/>
        <w:rPr>
          <w:sz w:val="20"/>
          <w:szCs w:val="20"/>
          <w:color w:val="auto"/>
        </w:rPr>
      </w:pPr>
    </w:p>
    <w:p>
      <w:pPr>
        <w:ind w:right="80" w:firstLine="436"/>
        <w:spacing w:after="0" w:line="290"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Securities of a defaulting Underwriter or Underwriters by the Representatives and the Company as provided in subsection (a) above, the aggregate principal amount of such Designated Securities which remains unpurchased does not exceed one-tenth of the aggregate principal amount of the Designated Securities to be purchased at the Time of Delivery, then the Company shall have the right to require each non-defaulting Underwriter to purchase the principal amount of Designated Securities which such Underwriter agreed to purchase at the Time of Delivery under the Pricing Agreement relating to such Designated Securities and, in addition, to require each non-defaulting Underwriter to purchase its pro rata share (based on the principal amount of Designated Securities which such Underwriter agreed to purchase under such Pricing Agreement) of the Designated Securities of such defaulting Underwriter or Underwriters for which such arrangements have not been made, but nothing herein shall relieve a defaulting Underwriter from liability for its default.</w:t>
      </w:r>
    </w:p>
    <w:p>
      <w:pPr>
        <w:spacing w:after="0" w:line="165" w:lineRule="exact"/>
        <w:rPr>
          <w:rFonts w:ascii="Arial" w:cs="Arial" w:eastAsia="Arial" w:hAnsi="Arial"/>
          <w:sz w:val="16"/>
          <w:szCs w:val="16"/>
          <w:color w:val="auto"/>
        </w:rPr>
      </w:pPr>
    </w:p>
    <w:p>
      <w:pPr>
        <w:ind w:firstLine="436"/>
        <w:spacing w:after="0" w:line="257" w:lineRule="auto"/>
        <w:tabs>
          <w:tab w:leader="none" w:pos="6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Designated Securities of a defaulting Underwriter or Underwriters by the Representatives and the Company as provided in subsection (a) above, the aggregate principal amount of Designated Securities which remains unpurchased exceeds one-tenth of the aggregate principal amount of the Designated Securities to be purchased at the Time of Delivery, as referred to in subsection (b) above, or if the Company shall not exercise the right described in subsection (b) above to require non-defaulting Underwriters to purchase Designated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right="2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of a defaulting Underwriter or Underwriters, then, in the case of a failure to purchase Designated Securities at the Time of Delivery, the Pricing Agreement relating to such Designated Securities shall thereupon terminate, without liability on the part of any non-defaulting Underwriter or the Company, except for the expenses to be borne by the Company and the Underwriters as provided in Section 6 hereof and the indemnity and contribution agreements in Section 8 hereof, but nothing herein shall relieve a defaulting Underwriter from liability for its default.</w:t>
      </w:r>
    </w:p>
    <w:p>
      <w:pPr>
        <w:spacing w:after="0" w:line="157" w:lineRule="exact"/>
        <w:rPr>
          <w:sz w:val="20"/>
          <w:szCs w:val="20"/>
          <w:color w:val="auto"/>
        </w:rPr>
      </w:pPr>
    </w:p>
    <w:p>
      <w:pPr>
        <w:ind w:right="80" w:firstLine="436"/>
        <w:spacing w:after="0" w:line="257" w:lineRule="auto"/>
        <w:tabs>
          <w:tab w:leader="none" w:pos="7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Securities.</w:t>
      </w:r>
    </w:p>
    <w:p>
      <w:pPr>
        <w:spacing w:after="0" w:line="187" w:lineRule="exact"/>
        <w:rPr>
          <w:rFonts w:ascii="Arial" w:cs="Arial" w:eastAsia="Arial" w:hAnsi="Arial"/>
          <w:sz w:val="18"/>
          <w:szCs w:val="18"/>
          <w:color w:val="auto"/>
        </w:rPr>
      </w:pPr>
    </w:p>
    <w:p>
      <w:pPr>
        <w:ind w:right="120" w:firstLine="436"/>
        <w:spacing w:after="0" w:line="272" w:lineRule="auto"/>
        <w:tabs>
          <w:tab w:leader="none" w:pos="7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any Pricing Agreement shall be terminated pursuant to Section 9 hereof, the Company shall not then have any liability to any Underwriter with respect to the Designated Securities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Securities, but the Company shall then have no further liability to any Underwriter with respect to such Designated Securities except as provided in Section 6 and Section 8 hereof.</w:t>
      </w:r>
    </w:p>
    <w:p>
      <w:pPr>
        <w:spacing w:after="0" w:line="177" w:lineRule="exact"/>
        <w:rPr>
          <w:rFonts w:ascii="Arial" w:cs="Arial" w:eastAsia="Arial" w:hAnsi="Arial"/>
          <w:sz w:val="17"/>
          <w:szCs w:val="17"/>
          <w:color w:val="auto"/>
        </w:rPr>
      </w:pPr>
    </w:p>
    <w:p>
      <w:pPr>
        <w:jc w:val="both"/>
        <w:ind w:right="220" w:firstLine="436"/>
        <w:spacing w:after="0" w:line="311" w:lineRule="auto"/>
        <w:tabs>
          <w:tab w:leader="none" w:pos="7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Securities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4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9" w:name="page30"/>
    <w:bookmarkEnd w:id="29"/>
    <w:p>
      <w:pPr>
        <w:ind w:left="4" w:right="580" w:firstLine="436"/>
        <w:spacing w:after="0" w:line="277" w:lineRule="auto"/>
        <w:tabs>
          <w:tab w:leader="none" w:pos="714"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left="4" w:right="260" w:firstLine="436"/>
        <w:spacing w:after="0" w:line="296" w:lineRule="auto"/>
        <w:tabs>
          <w:tab w:leader="none" w:pos="7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if any,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Securities from any Underwriter shall be deemed a successor or assign by reason merely of such purchase.</w:t>
      </w:r>
    </w:p>
    <w:p>
      <w:pPr>
        <w:spacing w:after="0" w:line="161" w:lineRule="exact"/>
        <w:rPr>
          <w:rFonts w:ascii="Arial" w:cs="Arial" w:eastAsia="Arial" w:hAnsi="Arial"/>
          <w:sz w:val="16"/>
          <w:szCs w:val="16"/>
          <w:color w:val="auto"/>
        </w:rPr>
      </w:pPr>
    </w:p>
    <w:p>
      <w:pPr>
        <w:ind w:left="4" w:right="120" w:firstLine="436"/>
        <w:spacing w:after="0" w:line="277" w:lineRule="auto"/>
        <w:tabs>
          <w:tab w:leader="none" w:pos="7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70" w:lineRule="exact"/>
        <w:rPr>
          <w:rFonts w:ascii="Arial" w:cs="Arial" w:eastAsia="Arial" w:hAnsi="Arial"/>
          <w:sz w:val="18"/>
          <w:szCs w:val="18"/>
          <w:color w:val="auto"/>
        </w:rPr>
      </w:pPr>
    </w:p>
    <w:p>
      <w:pPr>
        <w:ind w:left="4" w:right="340" w:firstLine="436"/>
        <w:spacing w:after="0" w:line="277" w:lineRule="auto"/>
        <w:tabs>
          <w:tab w:leader="none" w:pos="7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Underwriting Agreement and each Pricing Agreement shall be governed by and construed in accordance with the laws of the State of New York.</w:t>
      </w:r>
    </w:p>
    <w:p>
      <w:pPr>
        <w:spacing w:after="0" w:line="170" w:lineRule="exact"/>
        <w:rPr>
          <w:rFonts w:ascii="Arial" w:cs="Arial" w:eastAsia="Arial" w:hAnsi="Arial"/>
          <w:sz w:val="18"/>
          <w:szCs w:val="18"/>
          <w:color w:val="auto"/>
        </w:rPr>
      </w:pPr>
    </w:p>
    <w:p>
      <w:pPr>
        <w:jc w:val="both"/>
        <w:ind w:left="4" w:right="520" w:firstLine="436"/>
        <w:spacing w:after="0" w:line="286" w:lineRule="auto"/>
        <w:tabs>
          <w:tab w:leader="none" w:pos="71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300" w:firstLine="991"/>
        <w:spacing w:after="0" w:line="311" w:lineRule="auto"/>
        <w:rPr>
          <w:sz w:val="20"/>
          <w:szCs w:val="20"/>
          <w:color w:val="auto"/>
        </w:rPr>
      </w:pPr>
      <w:r>
        <w:rPr>
          <w:rFonts w:ascii="Arial" w:cs="Arial" w:eastAsia="Arial" w:hAnsi="Arial"/>
          <w:sz w:val="16"/>
          <w:szCs w:val="16"/>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49"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w:t>
      </w:r>
    </w:p>
    <w:p>
      <w:pPr>
        <w:spacing w:after="0" w:line="2" w:lineRule="exact"/>
        <w:rPr>
          <w:sz w:val="20"/>
          <w:szCs w:val="20"/>
          <w:color w:val="auto"/>
        </w:rPr>
      </w:pPr>
    </w:p>
    <w:p>
      <w:pPr>
        <w:ind w:left="4" w:hanging="4"/>
        <w:spacing w:after="0" w:line="253" w:lineRule="auto"/>
        <w:tabs>
          <w:tab w:leader="none" w:pos="31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and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4" w:right="459" w:bottom="1440" w:gutter="0" w:footer="0" w:header="0"/>
        </w:sectPr>
      </w:pPr>
    </w:p>
    <w:bookmarkStart w:id="30" w:name="page31"/>
    <w:bookmarkEnd w:id="30"/>
    <w:p>
      <w:pPr>
        <w:ind w:left="-40" w:firstLine="436"/>
        <w:spacing w:after="0" w:line="269" w:lineRule="auto"/>
        <w:tabs>
          <w:tab w:leader="none" w:pos="670" w:val="left"/>
        </w:tabs>
        <w:numPr>
          <w:ilvl w:val="0"/>
          <w:numId w:val="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Underwriting Agreement and each Pricing Agreement may be executed in counterparts, each of which will be deemed an original, but all of which taken together will constitute one and the same instrument. The words “execution,” signed,” “signature,” and words of like import in this Underwriting Agreement or in any other certificate, agreement or document related to this Underwriting Agreement, the Indenture or the Designated Securities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4" w:right="4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this Underwriting Agreement to us.</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Title: Executive Vice President-Chief</w:t>
      </w:r>
    </w:p>
    <w:p>
      <w:pPr>
        <w:spacing w:after="0" w:line="9" w:lineRule="exact"/>
        <w:rPr>
          <w:sz w:val="20"/>
          <w:szCs w:val="20"/>
          <w:color w:val="auto"/>
        </w:rPr>
      </w:pPr>
    </w:p>
    <w:p>
      <w:pPr>
        <w:jc w:val="right"/>
        <w:ind w:right="339"/>
        <w:spacing w:after="0"/>
        <w:rPr>
          <w:sz w:val="20"/>
          <w:szCs w:val="20"/>
          <w:color w:val="auto"/>
        </w:rPr>
      </w:pPr>
      <w:r>
        <w:rPr>
          <w:rFonts w:ascii="Arial" w:cs="Arial" w:eastAsia="Arial" w:hAnsi="Arial"/>
          <w:sz w:val="18"/>
          <w:szCs w:val="18"/>
          <w:color w:val="auto"/>
        </w:rPr>
        <w:t>Financial Officer and Treasurer</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9579"/>
          </w:cols>
          <w:pgMar w:left="880" w:top="274" w:right="1440"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Lourdes Fisher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Anguel Zaprianov</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Matt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Matt Casey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Charles P. Carpenter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the Pricing Agreement dated the date hereof.</w:t>
      </w:r>
    </w:p>
    <w:p>
      <w:pPr>
        <w:spacing w:after="0" w:line="248" w:lineRule="exact"/>
        <w:rPr>
          <w:sz w:val="20"/>
          <w:szCs w:val="20"/>
          <w:color w:val="auto"/>
        </w:rPr>
      </w:pPr>
    </w:p>
    <w:p>
      <w:pPr>
        <w:ind w:left="3960"/>
        <w:spacing w:after="0"/>
        <w:rPr>
          <w:sz w:val="20"/>
          <w:szCs w:val="20"/>
          <w:color w:val="auto"/>
        </w:rPr>
      </w:pPr>
      <w:r>
        <w:rPr>
          <w:rFonts w:ascii="Arial" w:cs="Arial" w:eastAsia="Arial" w:hAnsi="Arial"/>
          <w:sz w:val="18"/>
          <w:szCs w:val="18"/>
          <w:i w:val="1"/>
          <w:iCs w:val="1"/>
          <w:color w:val="auto"/>
        </w:rPr>
        <w:t>[Underwriting Agreement Signature Page]</w:t>
      </w:r>
    </w:p>
    <w:p>
      <w:pPr>
        <w:sectPr>
          <w:pgSz w:w="11900" w:h="16838" w:orient="portrait"/>
          <w:cols w:equalWidth="0" w:num="1">
            <w:col w:w="10019"/>
          </w:cols>
          <w:pgMar w:left="440" w:top="274" w:right="1440" w:bottom="1440" w:gutter="0" w:footer="0" w:header="0"/>
        </w:sectPr>
      </w:pPr>
    </w:p>
    <w:bookmarkStart w:id="33" w:name="page34"/>
    <w:bookmarkEnd w:id="33"/>
    <w:p>
      <w:pPr>
        <w:ind w:left="10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1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c/o</w:t>
      </w:r>
      <w:r>
        <w:rPr>
          <w:sz w:val="20"/>
          <w:szCs w:val="20"/>
          <w:color w:val="auto"/>
        </w:rPr>
        <w:tab/>
      </w:r>
      <w:r>
        <w:rPr>
          <w:rFonts w:ascii="Arial" w:cs="Arial" w:eastAsia="Arial" w:hAnsi="Arial"/>
          <w:sz w:val="16"/>
          <w:szCs w:val="16"/>
          <w:color w:val="auto"/>
        </w:rPr>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May 7, 2020 (the “Underwriting Agreement”), between the Company on the one hand and Citigroup Global Markets Inc., Deutsche Bank Securities Inc., Jefferies LLC, U.S. Bancorp Investments, Inc. and Wells Fargo Securities, LLC acting for themselves and as representatives of the Underwriters named in Schedule I hereto (collectively, the “Underwriters”), on the other hand, to issue and sell to the Underwriters the Securities specified in Schedules II-A and II-B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A-1</w:t>
      </w:r>
    </w:p>
    <w:p>
      <w:pPr>
        <w:sectPr>
          <w:pgSz w:w="11900" w:h="16838" w:orient="portrait"/>
          <w:cols w:equalWidth="0" w:num="1">
            <w:col w:w="11020"/>
          </w:cols>
          <w:pgMar w:left="440" w:top="270" w:right="439" w:bottom="1440" w:gutter="0" w:footer="0" w:header="0"/>
        </w:sectPr>
      </w:pPr>
    </w:p>
    <w:bookmarkStart w:id="34" w:name="page35"/>
    <w:bookmarkEnd w:id="34"/>
    <w:p>
      <w:pPr>
        <w:ind w:left="4" w:right="2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6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Schedules II-A and II-B hereto, the principal amount of Designated Securities set forth opposite the name of such Underwriter in Schedule I hereto.</w:t>
      </w:r>
    </w:p>
    <w:p>
      <w:pPr>
        <w:spacing w:after="0" w:line="187"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left="4" w:right="100" w:hanging="4"/>
        <w:spacing w:after="0" w:line="260" w:lineRule="auto"/>
        <w:tabs>
          <w:tab w:leader="none" w:pos="2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984"/>
          </w:cols>
          <w:pgMar w:left="436" w:top="274" w:right="47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Underwriters under this Pricing Agreement and the Underwriting Agreement incorporated herein are several and not joint.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Ex. A-3</w:t>
      </w:r>
    </w:p>
    <w:p>
      <w:pPr>
        <w:sectPr>
          <w:pgSz w:w="11900" w:h="16838" w:orient="portrait"/>
          <w:cols w:equalWidth="0" w:num="1">
            <w:col w:w="10420"/>
          </w:cols>
          <w:pgMar w:left="880" w:top="274" w:right="599" w:bottom="1440" w:gutter="0" w:footer="0" w:header="0"/>
        </w:sectPr>
      </w:pPr>
    </w:p>
    <w:bookmarkStart w:id="36" w:name="page37"/>
    <w:bookmarkEnd w:id="3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00"/>
          </w:cols>
          <w:pgMar w:left="440" w:top="274"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199"/>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0019"/>
          </w:cols>
          <w:pgMar w:left="440" w:top="274"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Underwriters named in Schedule I to this Pricing Agreement.</w:t>
      </w:r>
    </w:p>
    <w:p>
      <w:pPr>
        <w:spacing w:after="0" w:line="1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 A-2</w:t>
      </w:r>
    </w:p>
    <w:p>
      <w:pPr>
        <w:sectPr>
          <w:pgSz w:w="11900" w:h="16838" w:orient="portrait"/>
          <w:cols w:equalWidth="0" w:num="1">
            <w:col w:w="10019"/>
          </w:cols>
          <w:pgMar w:left="440" w:top="274" w:right="1440"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100" w:type="dxa"/>
            <w:vAlign w:val="bottom"/>
            <w:vMerge w:val="restart"/>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2030 Notes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I to Exhibit A</w:t>
      </w:r>
    </w:p>
    <w:p>
      <w:pPr>
        <w:sectPr>
          <w:pgSz w:w="11900" w:h="16838" w:orient="portrait"/>
          <w:cols w:equalWidth="0" w:num="1">
            <w:col w:w="11020"/>
          </w:cols>
          <w:pgMar w:left="440" w:top="274" w:right="439" w:bottom="1440" w:gutter="0" w:footer="0" w:header="0"/>
        </w:sectPr>
      </w:pPr>
    </w:p>
    <w:bookmarkStart w:id="40" w:name="page41"/>
    <w:bookmarkEnd w:id="40"/>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3.50% Notes due 2030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98.911% of the principal amount of the Designated Securities, plus accrued interest from 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98.261%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 2030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 and December 1, beginning on December 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 II-A to Exhibit A, Page 1</w:t>
      </w:r>
    </w:p>
    <w:p>
      <w:pPr>
        <w:sectPr>
          <w:pgSz w:w="11900" w:h="16838" w:orient="portrait"/>
          <w:cols w:equalWidth="0" w:num="1">
            <w:col w:w="10600"/>
          </w:cols>
          <w:pgMar w:left="440" w:top="274" w:right="8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3:45 p.m. (Eastern time) on May 7, 2020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291-1469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374-1071</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Sch. II-A to Exhibit A, Page 2</w:t>
      </w:r>
    </w:p>
    <w:p>
      <w:pPr>
        <w:sectPr>
          <w:pgSz w:w="11900" w:h="16838" w:orient="portrait"/>
          <w:cols w:equalWidth="0" w:num="1">
            <w:col w:w="10019"/>
          </w:cols>
          <w:pgMar w:left="440" w:top="270"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Sch. II-A to Exhibit A, Page 3</w:t>
      </w:r>
    </w:p>
    <w:p>
      <w:pPr>
        <w:sectPr>
          <w:pgSz w:w="11900" w:h="16838" w:orient="portrait"/>
          <w:cols w:equalWidth="0" w:num="1">
            <w:col w:w="9579"/>
          </w:cols>
          <w:pgMar w:left="880" w:top="274" w:right="1440" w:bottom="1440" w:gutter="0" w:footer="0" w:header="0"/>
        </w:sectPr>
      </w:pPr>
    </w:p>
    <w:bookmarkStart w:id="43" w:name="page44"/>
    <w:bookmarkEnd w:id="4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II-B</w:t>
      </w:r>
      <w:r>
        <w:rPr>
          <w:rFonts w:ascii="Arial" w:cs="Arial" w:eastAsia="Arial" w:hAnsi="Arial"/>
          <w:sz w:val="15"/>
          <w:szCs w:val="15"/>
          <w:color w:val="auto"/>
        </w:rPr>
        <w:t>1</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3.95% Notes due 2024 (the “Designated Securities”)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$300,000,000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103.257% of the principal amount of the Designated Securities, plus accrued interest of $3,818,333.33 from and including January 15, 2020 to but excluding May 11, 2020 (the expected settlement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102.757% of the principal amount of the Designated Securities, plus accrued interest of $3,818,333.33 from and including January 15, 2020 to but excluding May 11, 2020 (the expected settlement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4" w:right="40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January 15, 2024</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3.95%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line="259" w:lineRule="auto"/>
        <w:tabs>
          <w:tab w:leader="none" w:pos="424"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 terms of the 3.95% Notes due 2024, other than their issue date, issue price and, if applicable, first interest payment date and initial interest accrual date will be identical to the terms of and will be part of the same series as the Company’s outstanding 3.95% Notes due 2024 ($300 million of which were originally issued on December 9, 2013). (However, for U.S. federal income tax purposes the Notes offered hereby will be deemed to have the same issue date and issue price as the existing notes).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Sch. II-A to Exhibit A, Page 2</w:t>
      </w:r>
    </w:p>
    <w:p>
      <w:pPr>
        <w:sectPr>
          <w:pgSz w:w="11900" w:h="16838" w:orient="portrait"/>
          <w:cols w:equalWidth="0" w:num="1">
            <w:col w:w="11004"/>
          </w:cols>
          <w:pgMar w:left="436" w:top="274"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January 15 and July 15, beginning on July 15,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3:45 p.m. (Eastern time) on May 7, 2020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291-1469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Sch. II-A to Exhibit A, Page 3</w:t>
      </w:r>
    </w:p>
    <w:p>
      <w:pPr>
        <w:sectPr>
          <w:pgSz w:w="11900" w:h="16838" w:orient="portrait"/>
          <w:cols w:equalWidth="0" w:num="1">
            <w:col w:w="10200"/>
          </w:cols>
          <w:pgMar w:left="440" w:top="270" w:right="1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jc w:val="right"/>
        <w:ind w:right="3419"/>
        <w:spacing w:after="0"/>
        <w:rPr>
          <w:sz w:val="20"/>
          <w:szCs w:val="20"/>
          <w:color w:val="auto"/>
        </w:rPr>
      </w:pPr>
      <w:r>
        <w:rPr>
          <w:rFonts w:ascii="Arial" w:cs="Arial" w:eastAsia="Arial" w:hAnsi="Arial"/>
          <w:sz w:val="18"/>
          <w:szCs w:val="18"/>
          <w:color w:val="auto"/>
        </w:rPr>
        <w:t>Sch. II-A to Exhibit A, Page 4</w:t>
      </w:r>
    </w:p>
    <w:p>
      <w:pPr>
        <w:sectPr>
          <w:pgSz w:w="11900" w:h="16838" w:orient="portrait"/>
          <w:cols w:equalWidth="0" w:num="1">
            <w:col w:w="9579"/>
          </w:cols>
          <w:pgMar w:left="880" w:top="274"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256" w:lineRule="exact"/>
        <w:rPr>
          <w:sz w:val="20"/>
          <w:szCs w:val="20"/>
          <w:color w:val="auto"/>
        </w:rPr>
      </w:pPr>
    </w:p>
    <w:p>
      <w:pPr>
        <w:ind w:left="4800" w:right="5240" w:hanging="4792"/>
        <w:spacing w:after="0" w:line="535" w:lineRule="auto"/>
        <w:tabs>
          <w:tab w:leader="none" w:pos="544" w:val="left"/>
        </w:tabs>
        <w:numPr>
          <w:ilvl w:val="0"/>
          <w:numId w:val="43"/>
        </w:numPr>
        <w:rPr>
          <w:rFonts w:ascii="Arial" w:cs="Arial" w:eastAsia="Arial" w:hAnsi="Arial"/>
          <w:sz w:val="16"/>
          <w:szCs w:val="16"/>
          <w:color w:val="auto"/>
        </w:rPr>
      </w:pPr>
      <w:r>
        <w:rPr>
          <w:rFonts w:ascii="Arial" w:cs="Arial" w:eastAsia="Arial" w:hAnsi="Arial"/>
          <w:sz w:val="16"/>
          <w:szCs w:val="16"/>
          <w:color w:val="auto"/>
        </w:rPr>
        <w:t>Final Term Sheet, attached hereto as Schedule I to this Exhibit B Ex. B-1</w:t>
      </w:r>
    </w:p>
    <w:p>
      <w:pPr>
        <w:sectPr>
          <w:pgSz w:w="11900" w:h="16838" w:orient="portrait"/>
          <w:cols w:equalWidth="0" w:num="1">
            <w:col w:w="10600"/>
          </w:cols>
          <w:pgMar w:left="860" w:top="270" w:right="4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 to Exhibit B</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May 7,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333-224701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May 7, 2020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dated May 7, 2018</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3.50% Notes due 2030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3.95% Notes due 2024</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Term Sheet dated May 7,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Issuer:</w:t>
            </w: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Federal Realty Investment Trust</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Security:</w:t>
            </w: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3.50% Notes due 2030 (the “2030 Notes”)</w:t>
            </w:r>
          </w:p>
        </w:tc>
      </w:tr>
      <w:tr>
        <w:trPr>
          <w:trHeight w:val="324"/>
        </w:trPr>
        <w:tc>
          <w:tcPr>
            <w:tcW w:w="3680" w:type="dxa"/>
            <w:vAlign w:val="bottom"/>
          </w:tcPr>
          <w:p>
            <w:pPr>
              <w:spacing w:after="0"/>
              <w:rPr>
                <w:sz w:val="24"/>
                <w:szCs w:val="24"/>
                <w:color w:val="auto"/>
              </w:rPr>
            </w:pP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3.95% Notes due 2024 (the “2024 Notes”)</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Aggregate Principal Amount:</w:t>
            </w: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2030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$400,000,000</w:t>
            </w:r>
          </w:p>
        </w:tc>
      </w:tr>
      <w:tr>
        <w:trPr>
          <w:trHeight w:val="310"/>
        </w:trPr>
        <w:tc>
          <w:tcPr>
            <w:tcW w:w="3680" w:type="dxa"/>
            <w:vAlign w:val="bottom"/>
          </w:tcPr>
          <w:p>
            <w:pPr>
              <w:spacing w:after="0"/>
              <w:rPr>
                <w:sz w:val="24"/>
                <w:szCs w:val="24"/>
                <w:color w:val="auto"/>
              </w:rPr>
            </w:pP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2024</w:t>
            </w:r>
          </w:p>
        </w:tc>
        <w:tc>
          <w:tcPr>
            <w:tcW w:w="4660" w:type="dxa"/>
            <w:vAlign w:val="bottom"/>
          </w:tcPr>
          <w:p>
            <w:pPr>
              <w:ind w:left="20"/>
              <w:spacing w:after="0"/>
              <w:rPr>
                <w:sz w:val="20"/>
                <w:szCs w:val="20"/>
                <w:color w:val="auto"/>
              </w:rPr>
            </w:pPr>
            <w:r>
              <w:rPr>
                <w:rFonts w:ascii="Arial" w:cs="Arial" w:eastAsia="Arial" w:hAnsi="Arial"/>
                <w:sz w:val="18"/>
                <w:szCs w:val="18"/>
                <w:color w:val="auto"/>
                <w:w w:val="94"/>
              </w:rPr>
              <w:t>Notes: $300,000,000 (the 2024 Notes will be part of the same</w:t>
            </w:r>
          </w:p>
        </w:tc>
      </w:tr>
      <w:tr>
        <w:trPr>
          <w:trHeight w:val="216"/>
        </w:trPr>
        <w:tc>
          <w:tcPr>
            <w:tcW w:w="3680" w:type="dxa"/>
            <w:vAlign w:val="bottom"/>
          </w:tcPr>
          <w:p>
            <w:pPr>
              <w:spacing w:after="0"/>
              <w:rPr>
                <w:sz w:val="18"/>
                <w:szCs w:val="18"/>
                <w:color w:val="auto"/>
              </w:rPr>
            </w:pP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w w:val="94"/>
              </w:rPr>
              <w:t>series of notes as the $300,000,000 aggregate principal amount of</w:t>
            </w:r>
          </w:p>
        </w:tc>
      </w:tr>
      <w:tr>
        <w:trPr>
          <w:trHeight w:val="216"/>
        </w:trPr>
        <w:tc>
          <w:tcPr>
            <w:tcW w:w="3680" w:type="dxa"/>
            <w:vAlign w:val="bottom"/>
          </w:tcPr>
          <w:p>
            <w:pPr>
              <w:spacing w:after="0"/>
              <w:rPr>
                <w:sz w:val="18"/>
                <w:szCs w:val="18"/>
                <w:color w:val="auto"/>
              </w:rPr>
            </w:pP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w w:val="90"/>
              </w:rPr>
              <w:t>Federal Realty Investment Trust’s 3.95% Notes due 2024, which were</w:t>
            </w:r>
          </w:p>
        </w:tc>
      </w:tr>
      <w:tr>
        <w:trPr>
          <w:trHeight w:val="230"/>
        </w:trPr>
        <w:tc>
          <w:tcPr>
            <w:tcW w:w="3680" w:type="dxa"/>
            <w:vAlign w:val="bottom"/>
          </w:tcPr>
          <w:p>
            <w:pPr>
              <w:spacing w:after="0"/>
              <w:rPr>
                <w:sz w:val="20"/>
                <w:szCs w:val="20"/>
                <w:color w:val="auto"/>
              </w:rPr>
            </w:pP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originally issued on December 9, 2013)</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Trade Date:</w:t>
            </w: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May 7, 2020</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Settlement Date:</w:t>
            </w:r>
          </w:p>
        </w:tc>
        <w:tc>
          <w:tcPr>
            <w:tcW w:w="7100" w:type="dxa"/>
            <w:vAlign w:val="bottom"/>
            <w:gridSpan w:val="2"/>
          </w:tcPr>
          <w:p>
            <w:pPr>
              <w:ind w:left="2060"/>
              <w:spacing w:after="0"/>
              <w:rPr>
                <w:sz w:val="20"/>
                <w:szCs w:val="20"/>
                <w:color w:val="auto"/>
              </w:rPr>
            </w:pPr>
            <w:r>
              <w:rPr>
                <w:rFonts w:ascii="Arial" w:cs="Arial" w:eastAsia="Arial" w:hAnsi="Arial"/>
                <w:sz w:val="18"/>
                <w:szCs w:val="18"/>
                <w:color w:val="auto"/>
              </w:rPr>
              <w:t>May 11, 2020 (T+2)</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Maturity Date:</w:t>
            </w: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2030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June 1, 2030</w:t>
            </w:r>
          </w:p>
        </w:tc>
      </w:tr>
      <w:tr>
        <w:trPr>
          <w:trHeight w:val="324"/>
        </w:trPr>
        <w:tc>
          <w:tcPr>
            <w:tcW w:w="3680" w:type="dxa"/>
            <w:vAlign w:val="bottom"/>
          </w:tcPr>
          <w:p>
            <w:pPr>
              <w:spacing w:after="0"/>
              <w:rPr>
                <w:sz w:val="24"/>
                <w:szCs w:val="24"/>
                <w:color w:val="auto"/>
              </w:rPr>
            </w:pP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2024</w:t>
            </w:r>
          </w:p>
        </w:tc>
        <w:tc>
          <w:tcPr>
            <w:tcW w:w="4660" w:type="dxa"/>
            <w:vAlign w:val="bottom"/>
          </w:tcPr>
          <w:p>
            <w:pPr>
              <w:ind w:left="20"/>
              <w:spacing w:after="0"/>
              <w:rPr>
                <w:sz w:val="20"/>
                <w:szCs w:val="20"/>
                <w:color w:val="auto"/>
              </w:rPr>
            </w:pPr>
            <w:r>
              <w:rPr>
                <w:rFonts w:ascii="Arial" w:cs="Arial" w:eastAsia="Arial" w:hAnsi="Arial"/>
                <w:sz w:val="18"/>
                <w:szCs w:val="18"/>
                <w:color w:val="auto"/>
              </w:rPr>
              <w:t>Notes: January 15, 2024</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Interest Payment Dates:</w:t>
            </w: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2030</w:t>
            </w:r>
          </w:p>
        </w:tc>
        <w:tc>
          <w:tcPr>
            <w:tcW w:w="4660" w:type="dxa"/>
            <w:vAlign w:val="bottom"/>
          </w:tcPr>
          <w:p>
            <w:pPr>
              <w:ind w:left="20"/>
              <w:spacing w:after="0"/>
              <w:rPr>
                <w:sz w:val="20"/>
                <w:szCs w:val="20"/>
                <w:color w:val="auto"/>
              </w:rPr>
            </w:pPr>
            <w:r>
              <w:rPr>
                <w:rFonts w:ascii="Arial" w:cs="Arial" w:eastAsia="Arial" w:hAnsi="Arial"/>
                <w:sz w:val="18"/>
                <w:szCs w:val="18"/>
                <w:color w:val="auto"/>
                <w:w w:val="89"/>
              </w:rPr>
              <w:t>Notes: June 1 and December 1, beginning on December 1, 2020</w:t>
            </w:r>
          </w:p>
        </w:tc>
      </w:tr>
      <w:tr>
        <w:trPr>
          <w:trHeight w:val="324"/>
        </w:trPr>
        <w:tc>
          <w:tcPr>
            <w:tcW w:w="3680" w:type="dxa"/>
            <w:vAlign w:val="bottom"/>
          </w:tcPr>
          <w:p>
            <w:pPr>
              <w:spacing w:after="0"/>
              <w:rPr>
                <w:sz w:val="24"/>
                <w:szCs w:val="24"/>
                <w:color w:val="auto"/>
              </w:rPr>
            </w:pP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2024</w:t>
            </w:r>
          </w:p>
        </w:tc>
        <w:tc>
          <w:tcPr>
            <w:tcW w:w="4660" w:type="dxa"/>
            <w:vAlign w:val="bottom"/>
          </w:tcPr>
          <w:p>
            <w:pPr>
              <w:ind w:left="20"/>
              <w:spacing w:after="0"/>
              <w:rPr>
                <w:sz w:val="20"/>
                <w:szCs w:val="20"/>
                <w:color w:val="auto"/>
              </w:rPr>
            </w:pPr>
            <w:r>
              <w:rPr>
                <w:rFonts w:ascii="Arial" w:cs="Arial" w:eastAsia="Arial" w:hAnsi="Arial"/>
                <w:sz w:val="18"/>
                <w:szCs w:val="18"/>
                <w:color w:val="auto"/>
                <w:w w:val="98"/>
              </w:rPr>
              <w:t>Notes: January 15 and July 15, beginning on July 15, 2020</w:t>
            </w:r>
          </w:p>
        </w:tc>
      </w:tr>
      <w:tr>
        <w:trPr>
          <w:trHeight w:val="324"/>
        </w:trPr>
        <w:tc>
          <w:tcPr>
            <w:tcW w:w="3680" w:type="dxa"/>
            <w:vAlign w:val="bottom"/>
          </w:tcPr>
          <w:p>
            <w:pPr>
              <w:spacing w:after="0"/>
              <w:rPr>
                <w:sz w:val="20"/>
                <w:szCs w:val="20"/>
                <w:color w:val="auto"/>
              </w:rPr>
            </w:pPr>
            <w:r>
              <w:rPr>
                <w:rFonts w:ascii="Arial" w:cs="Arial" w:eastAsia="Arial" w:hAnsi="Arial"/>
                <w:sz w:val="18"/>
                <w:szCs w:val="18"/>
                <w:color w:val="auto"/>
              </w:rPr>
              <w:t>Benchmark Treasury:</w:t>
            </w: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2030</w:t>
            </w:r>
          </w:p>
        </w:tc>
        <w:tc>
          <w:tcPr>
            <w:tcW w:w="4660" w:type="dxa"/>
            <w:vAlign w:val="bottom"/>
          </w:tcPr>
          <w:p>
            <w:pPr>
              <w:ind w:left="20"/>
              <w:spacing w:after="0"/>
              <w:rPr>
                <w:sz w:val="20"/>
                <w:szCs w:val="20"/>
                <w:color w:val="auto"/>
              </w:rPr>
            </w:pPr>
            <w:r>
              <w:rPr>
                <w:rFonts w:ascii="Arial" w:cs="Arial" w:eastAsia="Arial" w:hAnsi="Arial"/>
                <w:sz w:val="18"/>
                <w:szCs w:val="18"/>
                <w:color w:val="auto"/>
              </w:rPr>
              <w:t>Notes: 1.500% due February 15, 2030</w:t>
            </w:r>
          </w:p>
        </w:tc>
      </w:tr>
      <w:tr>
        <w:trPr>
          <w:trHeight w:val="324"/>
        </w:trPr>
        <w:tc>
          <w:tcPr>
            <w:tcW w:w="3680" w:type="dxa"/>
            <w:vAlign w:val="bottom"/>
          </w:tcPr>
          <w:p>
            <w:pPr>
              <w:spacing w:after="0"/>
              <w:rPr>
                <w:sz w:val="24"/>
                <w:szCs w:val="24"/>
                <w:color w:val="auto"/>
              </w:rPr>
            </w:pPr>
          </w:p>
        </w:tc>
        <w:tc>
          <w:tcPr>
            <w:tcW w:w="2440" w:type="dxa"/>
            <w:vAlign w:val="bottom"/>
          </w:tcPr>
          <w:p>
            <w:pPr>
              <w:ind w:left="2060"/>
              <w:spacing w:after="0"/>
              <w:rPr>
                <w:sz w:val="20"/>
                <w:szCs w:val="20"/>
                <w:color w:val="auto"/>
              </w:rPr>
            </w:pPr>
            <w:r>
              <w:rPr>
                <w:rFonts w:ascii="Arial" w:cs="Arial" w:eastAsia="Arial" w:hAnsi="Arial"/>
                <w:sz w:val="18"/>
                <w:szCs w:val="18"/>
                <w:color w:val="auto"/>
                <w:w w:val="89"/>
              </w:rPr>
              <w:t>2024</w:t>
            </w:r>
          </w:p>
        </w:tc>
        <w:tc>
          <w:tcPr>
            <w:tcW w:w="4660" w:type="dxa"/>
            <w:vAlign w:val="bottom"/>
          </w:tcPr>
          <w:p>
            <w:pPr>
              <w:ind w:left="20"/>
              <w:spacing w:after="0"/>
              <w:rPr>
                <w:sz w:val="20"/>
                <w:szCs w:val="20"/>
                <w:color w:val="auto"/>
              </w:rPr>
            </w:pPr>
            <w:r>
              <w:rPr>
                <w:rFonts w:ascii="Arial" w:cs="Arial" w:eastAsia="Arial" w:hAnsi="Arial"/>
                <w:sz w:val="18"/>
                <w:szCs w:val="18"/>
                <w:color w:val="auto"/>
              </w:rPr>
              <w:t>Notes: 0.375% due April 30, 2025</w:t>
            </w:r>
          </w:p>
        </w:tc>
      </w:tr>
      <w:tr>
        <w:trPr>
          <w:trHeight w:val="365"/>
        </w:trPr>
        <w:tc>
          <w:tcPr>
            <w:tcW w:w="3680" w:type="dxa"/>
            <w:vAlign w:val="bottom"/>
          </w:tcPr>
          <w:p>
            <w:pPr>
              <w:spacing w:after="0"/>
              <w:rPr>
                <w:sz w:val="24"/>
                <w:szCs w:val="24"/>
                <w:color w:val="auto"/>
              </w:rPr>
            </w:pPr>
          </w:p>
        </w:tc>
        <w:tc>
          <w:tcPr>
            <w:tcW w:w="2440" w:type="dxa"/>
            <w:vAlign w:val="bottom"/>
          </w:tcPr>
          <w:p>
            <w:pPr>
              <w:ind w:left="1540"/>
              <w:spacing w:after="0"/>
              <w:rPr>
                <w:sz w:val="20"/>
                <w:szCs w:val="20"/>
                <w:color w:val="auto"/>
              </w:rPr>
            </w:pPr>
            <w:r>
              <w:rPr>
                <w:rFonts w:ascii="Arial" w:cs="Arial" w:eastAsia="Arial" w:hAnsi="Arial"/>
                <w:sz w:val="18"/>
                <w:szCs w:val="18"/>
                <w:color w:val="auto"/>
              </w:rPr>
              <w:t>Ex. D-1</w:t>
            </w:r>
          </w:p>
        </w:tc>
        <w:tc>
          <w:tcPr>
            <w:tcW w:w="46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8" w:name="page49"/>
    <w:bookmarkEnd w:id="48"/>
    <w:p>
      <w:pPr>
        <w:spacing w:after="0"/>
        <w:rPr>
          <w:sz w:val="20"/>
          <w:szCs w:val="20"/>
          <w:color w:val="auto"/>
        </w:rPr>
      </w:pPr>
      <w:r>
        <w:rPr>
          <w:rFonts w:ascii="Arial" w:cs="Arial" w:eastAsia="Arial" w:hAnsi="Arial"/>
          <w:sz w:val="16"/>
          <w:szCs w:val="16"/>
          <w:color w:val="auto"/>
        </w:rPr>
        <w:t>Benchmark Treasury Price/Yield: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Spread to Benchmark Treasury: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Re-Offer Yield: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Coupon (Interest Rate):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CUSIP/ISIN:</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Arial" w:cs="Arial" w:eastAsia="Arial" w:hAnsi="Arial"/>
          <w:sz w:val="18"/>
          <w:szCs w:val="18"/>
          <w:color w:val="auto"/>
        </w:rPr>
        <w:t>2030 Notes: 108-07+ / 0.630%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-284480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2024 Notes: 100-12 ¾ / 0.294%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2030 Notes: +300 basis points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2024 Notes: +265 basis points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2030 Notes: 3.630%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2024 Notes: 2.944%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2030 Notes: 3.50% per year</w:t>
      </w:r>
    </w:p>
    <w:p>
      <w:pPr>
        <w:spacing w:after="0" w:line="117"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2024 Notes: 3.95% per year (interest on the Notes will accrue from January 15, 2020)</w:t>
      </w:r>
    </w:p>
    <w:p>
      <w:pPr>
        <w:spacing w:after="0" w:line="62"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2030 Notes: 98.911% of the principal amount, plus accrued interest, if any, from May 11, 2020</w:t>
      </w:r>
    </w:p>
    <w:p>
      <w:pPr>
        <w:spacing w:after="0" w:line="62"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2024 Notes: 103.257% of the principal amount, plus accrued interest of $3,818,333.33 from January 15, 2020</w:t>
      </w:r>
    </w:p>
    <w:p>
      <w:pPr>
        <w:spacing w:after="0" w:line="62" w:lineRule="exact"/>
        <w:rPr>
          <w:sz w:val="20"/>
          <w:szCs w:val="20"/>
          <w:color w:val="auto"/>
        </w:rPr>
      </w:pPr>
    </w:p>
    <w:p>
      <w:pPr>
        <w:ind w:left="520" w:right="160"/>
        <w:spacing w:after="0" w:line="275" w:lineRule="auto"/>
        <w:rPr>
          <w:sz w:val="20"/>
          <w:szCs w:val="20"/>
          <w:color w:val="auto"/>
        </w:rPr>
      </w:pPr>
      <w:r>
        <w:rPr>
          <w:rFonts w:ascii="Arial" w:cs="Arial" w:eastAsia="Arial" w:hAnsi="Arial"/>
          <w:sz w:val="17"/>
          <w:szCs w:val="17"/>
          <w:color w:val="auto"/>
        </w:rPr>
        <w:t>2030 Notes: At any time before March 1, 2030, make-whole call based on U.S. Treasury plus 45 basis points (0.45%); if redeemed on or after March 1, 2030, at 100% of the principal amount of the notes being redeemed, in each case plus accrued and unpaid interest thereon to, but excluding, the redemption date</w:t>
      </w:r>
    </w:p>
    <w:p>
      <w:pPr>
        <w:spacing w:after="0" w:line="68" w:lineRule="exact"/>
        <w:rPr>
          <w:sz w:val="20"/>
          <w:szCs w:val="20"/>
          <w:color w:val="auto"/>
        </w:rPr>
      </w:pPr>
    </w:p>
    <w:p>
      <w:pPr>
        <w:ind w:left="520"/>
        <w:spacing w:after="0" w:line="296" w:lineRule="auto"/>
        <w:rPr>
          <w:sz w:val="20"/>
          <w:szCs w:val="20"/>
          <w:color w:val="auto"/>
        </w:rPr>
      </w:pPr>
      <w:r>
        <w:rPr>
          <w:rFonts w:ascii="Arial" w:cs="Arial" w:eastAsia="Arial" w:hAnsi="Arial"/>
          <w:sz w:val="16"/>
          <w:szCs w:val="16"/>
          <w:color w:val="auto"/>
        </w:rPr>
        <w:t>2024 Notes: At any time before 90 days prior to the maturity date, make-whole call based on U.S. Treasury plus 20 basis points (0.20%); if redeemed on or after 90 days prior to the maturity date, at 100% of the principal amount of the notes being redeemed, in each case plus accrued and unpaid interest thereon to, but excluding, the redemption date</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2030 Notes: 313747 BA4 / US313747BA44</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2024 Notes: 313747 AU1/ US313747AU17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 D-2</w:t>
      </w:r>
    </w:p>
    <w:p>
      <w:pPr>
        <w:sectPr>
          <w:pgSz w:w="11900" w:h="16838" w:orient="portrait"/>
          <w:cols w:equalWidth="0" w:num="2">
            <w:col w:w="4500" w:space="720"/>
            <w:col w:w="5780"/>
          </w:cols>
          <w:pgMar w:left="440" w:top="382" w:right="459" w:bottom="1440" w:gutter="0" w:footer="0" w:header="0"/>
        </w:sectPr>
      </w:pPr>
    </w:p>
    <w:bookmarkStart w:id="49" w:name="page50"/>
    <w:bookmarkEnd w:id="49"/>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-284480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SunTrust Robinson Humphrey,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16" w:lineRule="exact"/>
        <w:rPr>
          <w:sz w:val="20"/>
          <w:szCs w:val="20"/>
          <w:color w:val="auto"/>
        </w:rPr>
      </w:pPr>
    </w:p>
    <w:p>
      <w:pPr>
        <w:sectPr>
          <w:pgSz w:w="11900" w:h="16838" w:orient="portrait"/>
          <w:cols w:equalWidth="0" w:num="2">
            <w:col w:w="5020" w:space="720"/>
            <w:col w:w="5180"/>
          </w:cols>
          <w:pgMar w:left="440" w:top="382" w:right="539" w:bottom="1440" w:gutter="0" w:footer="0" w:header="0"/>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J.P. Morgan Securities LLC</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Scotia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-886460</wp:posOffset>
            </wp:positionH>
            <wp:positionV relativeFrom="paragraph">
              <wp:posOffset>244475</wp:posOffset>
            </wp:positionV>
            <wp:extent cx="1474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180"/>
          </w:cols>
          <w:pgMar w:left="440" w:top="382" w:right="539" w:bottom="1440" w:gutter="0" w:footer="0" w:header="0"/>
          <w:type w:val="continuous"/>
        </w:sect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$1.2 million.</w:t>
      </w:r>
    </w:p>
    <w:p>
      <w:pPr>
        <w:spacing w:after="0" w:line="2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The issuer has filed a registration statement (including a preliminary prospectus supplement and a prospectus) with the Securities and Exchange Commission (the “SEC”) for the offering to which this communication relates. Before you invest, you should read the preliminary prospectus supplement and the prospectus in that registration statement and other documents the issuer has filed with the SEC for more complete information about the issuer and this offering. You may get these documents for free by visiting EDGAR on the SEC’s web site at www.sec.gov. </w:t>
      </w:r>
      <w:r>
        <w:rPr>
          <w:rFonts w:ascii="Arial" w:cs="Arial" w:eastAsia="Arial" w:hAnsi="Arial"/>
          <w:sz w:val="17"/>
          <w:szCs w:val="17"/>
          <w:color w:val="auto"/>
        </w:rPr>
        <w:t>A</w:t>
      </w:r>
      <w:r>
        <w:rPr>
          <w:rFonts w:ascii="Arial" w:cs="Arial" w:eastAsia="Arial" w:hAnsi="Arial"/>
          <w:sz w:val="17"/>
          <w:szCs w:val="17"/>
          <w:b w:val="1"/>
          <w:bCs w:val="1"/>
          <w:color w:val="auto"/>
        </w:rPr>
        <w:t>lternatively, the issuer, any underwriter or any dealer participating in the offering will arrange to send you the prospectus supplement and prospectus if you request it from (i) Citigroup Global Markets Inc. toll-free at 1-800-831-9146, (ii) Deutsche Bank Securities Inc. toll-free at 1-800-503-4611 (iii) Jefferies LLC toll-free at 1-877-877-0696, (iv) U.S. Bancorp Investments, Inc. toll-free at 1-877-558-2607 or (v) Wells Fargo Securities, LLC toll-free at 1-800-645-3751.</w:t>
      </w:r>
    </w:p>
    <w:p>
      <w:pPr>
        <w:spacing w:after="0" w:line="17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 D-3</w:t>
      </w:r>
    </w:p>
    <w:p>
      <w:pPr>
        <w:sectPr>
          <w:pgSz w:w="11900" w:h="16838" w:orient="portrait"/>
          <w:cols w:equalWidth="0" w:num="1">
            <w:col w:w="10920"/>
          </w:cols>
          <w:pgMar w:left="440" w:top="382" w:right="539" w:bottom="1440" w:gutter="0" w:footer="0" w:header="0"/>
          <w:type w:val="continuous"/>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1.2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7,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c/o</w:t>
        <w:tab/>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 Bancorp Investments,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Federal Realty Investment Trust, a Maryland real estate investment trust (the “Company”), proposes, subject to the terms and conditions stated herein and in the Underwriting Agreement, dated May 7, 2020 (the “Underwriting Agreement”), between the Company on the one hand and Citigroup Global Markets Inc., Deutsche Bank Securities Inc., Jefferies LLC, U.S. Bancorp Investments, Inc. and Wells Fargo Securities, LLC acting for themselves and as representatives of the Underwriters named in Schedule I hereto (collectively, the “Underwriters”), on the other hand, to issue and sell to the Underwriters the Securities specified in Schedules II-A and II-B hereto (the “Designated Securities”).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w:t>
      </w:r>
    </w:p>
    <w:p>
      <w:pPr>
        <w:sectPr>
          <w:pgSz w:w="11900" w:h="16838" w:orient="portrait"/>
          <w:cols w:equalWidth="0" w:num="1">
            <w:col w:w="11020"/>
          </w:cols>
          <w:pgMar w:left="440" w:top="121" w:right="439" w:bottom="1440" w:gutter="0" w:footer="0" w:header="0"/>
        </w:sectPr>
      </w:pPr>
    </w:p>
    <w:bookmarkStart w:id="51" w:name="page52"/>
    <w:bookmarkEnd w:id="51"/>
    <w:p>
      <w:pPr>
        <w:ind w:left="4"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Securities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92"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supplement to the Prospectus relating to the Designated Securities, in the form heretofore delivered to you, is now proposed to be filed with the Commission.</w:t>
      </w:r>
    </w:p>
    <w:p>
      <w:pPr>
        <w:spacing w:after="0" w:line="170"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Schedules II-A and II-B hereto, the principal amount of Designated Securities set forth opposite the name of such Underwriter in Schedule I hereto.</w:t>
      </w:r>
    </w:p>
    <w:p>
      <w:pPr>
        <w:spacing w:after="0" w:line="187"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becomes subject to a proceeding under a U.S. Special Resolution Regime, the transfer from such Underwriter of this Underwriting Agreement, and any interest and obligation in or under this Underwriting Agreement, will be effective to the same extent as the transfer would be effective under the U.S. Special Resolution Regime.</w:t>
      </w:r>
    </w:p>
    <w:p>
      <w:pPr>
        <w:spacing w:after="0" w:line="165"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7"/>
          <w:szCs w:val="17"/>
          <w:color w:val="auto"/>
        </w:rPr>
        <w:t>In the event that any Underwriter that is a Covered Entity or a BHC Act Affiliate of such Underwriter becomes subject to a proceeding under a U.S. Special Resolution Regime, Default Rights under this Underwriting Agreement that may be exercised against such Underwriter are permitted to be exercised to no greater extent than such Default Rights could be exercised under the U.S. Special Resolution Regime.</w:t>
      </w:r>
    </w:p>
    <w:p>
      <w:pPr>
        <w:spacing w:after="0" w:line="165"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For purposes of foregoing two paragraphs, “</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u w:val="single" w:color="auto"/>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left="4" w:right="100" w:hanging="4"/>
        <w:spacing w:after="0" w:line="260" w:lineRule="auto"/>
        <w:tabs>
          <w:tab w:leader="none" w:pos="2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ectPr>
          <w:pgSz w:w="11900" w:h="16838" w:orient="portrait"/>
          <w:cols w:equalWidth="0" w:num="1">
            <w:col w:w="10984"/>
          </w:cols>
          <w:pgMar w:left="436" w:top="274" w:right="47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obligations of the Underwriters under this Pricing Agreement and the Underwriting Agreement incorporated herein are several and not joint.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200" w:lineRule="exact"/>
        <w:rPr>
          <w:sz w:val="20"/>
          <w:szCs w:val="20"/>
          <w:color w:val="auto"/>
        </w:rPr>
      </w:pPr>
    </w:p>
    <w:p>
      <w:pPr>
        <w:spacing w:after="0" w:line="24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0420"/>
          </w:cols>
          <w:pgMar w:left="880" w:top="274" w:right="599" w:bottom="1440" w:gutter="0" w:footer="0" w:header="0"/>
        </w:sectPr>
      </w:pPr>
    </w:p>
    <w:bookmarkStart w:id="53" w:name="page54"/>
    <w:bookmarkEnd w:id="53"/>
    <w:p>
      <w:pPr>
        <w:ind w:left="101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1.2</w:t>
      </w:r>
    </w:p>
    <w:p>
      <w:pPr>
        <w:spacing w:after="0" w:line="252"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EDERAL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EALTY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NVESTMENT</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RUST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Executive Vice President – Chief Financial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 and Treasurer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ITIGROUP</w:t>
      </w:r>
      <w:r>
        <w:rPr>
          <w:rFonts w:ascii="Arial" w:cs="Arial" w:eastAsia="Arial" w:hAnsi="Arial"/>
          <w:sz w:val="18"/>
          <w:szCs w:val="18"/>
          <w:color w:val="auto"/>
        </w:rPr>
        <w:t xml:space="preserve"> G</w:t>
      </w:r>
      <w:r>
        <w:rPr>
          <w:rFonts w:ascii="Arial" w:cs="Arial" w:eastAsia="Arial" w:hAnsi="Arial"/>
          <w:sz w:val="14"/>
          <w:szCs w:val="14"/>
          <w:color w:val="auto"/>
        </w:rPr>
        <w:t>LOBAL</w:t>
      </w:r>
      <w:r>
        <w:rPr>
          <w:rFonts w:ascii="Arial" w:cs="Arial" w:eastAsia="Arial" w:hAnsi="Arial"/>
          <w:sz w:val="18"/>
          <w:szCs w:val="18"/>
          <w:color w:val="auto"/>
        </w:rPr>
        <w:t xml:space="preserve"> M</w:t>
      </w:r>
      <w:r>
        <w:rPr>
          <w:rFonts w:ascii="Arial" w:cs="Arial" w:eastAsia="Arial" w:hAnsi="Arial"/>
          <w:sz w:val="14"/>
          <w:szCs w:val="14"/>
          <w:color w:val="auto"/>
        </w:rPr>
        <w:t>ARKETS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EUTSCHE</w:t>
      </w:r>
      <w:r>
        <w:rPr>
          <w:rFonts w:ascii="Arial" w:cs="Arial" w:eastAsia="Arial" w:hAnsi="Arial"/>
          <w:sz w:val="18"/>
          <w:szCs w:val="18"/>
          <w:color w:val="auto"/>
        </w:rPr>
        <w:t xml:space="preserve"> B</w:t>
      </w:r>
      <w:r>
        <w:rPr>
          <w:rFonts w:ascii="Arial" w:cs="Arial" w:eastAsia="Arial" w:hAnsi="Arial"/>
          <w:sz w:val="14"/>
          <w:szCs w:val="14"/>
          <w:color w:val="auto"/>
        </w:rPr>
        <w:t>ANK</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xml:space="preserve">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EFFERIES</w:t>
      </w:r>
      <w:r>
        <w:rPr>
          <w:rFonts w:ascii="Arial" w:cs="Arial" w:eastAsia="Arial" w:hAnsi="Arial"/>
          <w:sz w:val="18"/>
          <w:szCs w:val="18"/>
          <w:color w:val="auto"/>
        </w:rPr>
        <w:t xml:space="preserv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w:t>
      </w:r>
      <w:r>
        <w:rPr>
          <w:rFonts w:ascii="Arial" w:cs="Arial" w:eastAsia="Arial" w:hAnsi="Arial"/>
          <w:sz w:val="14"/>
          <w:szCs w:val="14"/>
          <w:color w:val="auto"/>
        </w:rPr>
        <w:t>ANCORP</w:t>
      </w:r>
      <w:r>
        <w:rPr>
          <w:rFonts w:ascii="Arial" w:cs="Arial" w:eastAsia="Arial" w:hAnsi="Arial"/>
          <w:sz w:val="18"/>
          <w:szCs w:val="18"/>
          <w:color w:val="auto"/>
        </w:rPr>
        <w:t xml:space="preserve"> I</w:t>
      </w:r>
      <w:r>
        <w:rPr>
          <w:rFonts w:ascii="Arial" w:cs="Arial" w:eastAsia="Arial" w:hAnsi="Arial"/>
          <w:sz w:val="14"/>
          <w:szCs w:val="14"/>
          <w:color w:val="auto"/>
        </w:rPr>
        <w:t>NVESTMENTS</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ELLS</w:t>
      </w:r>
      <w:r>
        <w:rPr>
          <w:rFonts w:ascii="Arial" w:cs="Arial" w:eastAsia="Arial" w:hAnsi="Arial"/>
          <w:sz w:val="18"/>
          <w:szCs w:val="18"/>
          <w:color w:val="auto"/>
        </w:rPr>
        <w:t xml:space="preserve"> F</w:t>
      </w:r>
      <w:r>
        <w:rPr>
          <w:rFonts w:ascii="Arial" w:cs="Arial" w:eastAsia="Arial" w:hAnsi="Arial"/>
          <w:sz w:val="14"/>
          <w:szCs w:val="14"/>
          <w:color w:val="auto"/>
        </w:rPr>
        <w:t>ARGO</w:t>
      </w:r>
      <w:r>
        <w:rPr>
          <w:rFonts w:ascii="Arial" w:cs="Arial" w:eastAsia="Arial" w:hAnsi="Arial"/>
          <w:sz w:val="18"/>
          <w:szCs w:val="18"/>
          <w:color w:val="auto"/>
        </w:rPr>
        <w:t xml:space="preserve"> S</w:t>
      </w:r>
      <w:r>
        <w:rPr>
          <w:rFonts w:ascii="Arial" w:cs="Arial" w:eastAsia="Arial" w:hAnsi="Arial"/>
          <w:sz w:val="14"/>
          <w:szCs w:val="14"/>
          <w:color w:val="auto"/>
        </w:rPr>
        <w:t>ECURITIES</w:t>
      </w:r>
      <w:r>
        <w:rPr>
          <w:rFonts w:ascii="Arial" w:cs="Arial" w:eastAsia="Arial" w:hAnsi="Arial"/>
          <w:sz w:val="18"/>
          <w:szCs w:val="18"/>
          <w:color w:val="auto"/>
        </w:rPr>
        <w:t>,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Adam D. Bordner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Adam D. Bordner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Lourdes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Lourdes Fisher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Anguel Zaprianov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Anguel Zaprianov</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Matt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Matt Casey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Charles P. Carpenter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Charles P. Carpenter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Carolyn Hurley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Carolyn Hurley</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Underwriters named in Schedule I to this Pricing Agreement.</w:t>
      </w:r>
    </w:p>
    <w:p>
      <w:pPr>
        <w:spacing w:after="0" w:line="158" w:lineRule="exact"/>
        <w:rPr>
          <w:sz w:val="20"/>
          <w:szCs w:val="20"/>
          <w:color w:val="auto"/>
        </w:rPr>
      </w:pPr>
    </w:p>
    <w:p>
      <w:pPr>
        <w:ind w:left="4180"/>
        <w:spacing w:after="0"/>
        <w:rPr>
          <w:sz w:val="20"/>
          <w:szCs w:val="20"/>
          <w:color w:val="auto"/>
        </w:rPr>
      </w:pPr>
      <w:r>
        <w:rPr>
          <w:rFonts w:ascii="Arial" w:cs="Arial" w:eastAsia="Arial" w:hAnsi="Arial"/>
          <w:sz w:val="18"/>
          <w:szCs w:val="18"/>
          <w:i w:val="1"/>
          <w:iCs w:val="1"/>
          <w:color w:val="auto"/>
        </w:rPr>
        <w:t>[Pricing Agreement Signature Page]</w:t>
      </w:r>
    </w:p>
    <w:p>
      <w:pPr>
        <w:sectPr>
          <w:pgSz w:w="11900" w:h="16838" w:orient="portrait"/>
          <w:cols w:equalWidth="0" w:num="1">
            <w:col w:w="11020"/>
          </w:cols>
          <w:pgMar w:left="440" w:top="270" w:right="4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7100" w:type="dxa"/>
            <w:vAlign w:val="bottom"/>
            <w:vMerge w:val="restart"/>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Principal Amount of</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7"/>
              </w:rPr>
              <w:t>Principal Amount of</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7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2030 Notes</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2024 Notes</w:t>
            </w:r>
          </w:p>
        </w:tc>
        <w:tc>
          <w:tcPr>
            <w:tcW w:w="0" w:type="dxa"/>
            <w:vAlign w:val="bottom"/>
          </w:tcPr>
          <w:p>
            <w:pPr>
              <w:spacing w:after="0"/>
              <w:rPr>
                <w:sz w:val="1"/>
                <w:szCs w:val="1"/>
                <w:color w:val="auto"/>
              </w:rPr>
            </w:pPr>
          </w:p>
        </w:tc>
      </w:tr>
      <w:tr>
        <w:trPr>
          <w:trHeight w:val="203"/>
        </w:trPr>
        <w:tc>
          <w:tcPr>
            <w:tcW w:w="7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Citigroup Global Markets Inc.</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50,000,000</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37,500,000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37,500,000</w:t>
            </w:r>
          </w:p>
        </w:tc>
        <w:tc>
          <w:tcPr>
            <w:tcW w:w="0" w:type="dxa"/>
            <w:vAlign w:val="bottom"/>
          </w:tcPr>
          <w:p>
            <w:pPr>
              <w:spacing w:after="0"/>
              <w:rPr>
                <w:sz w:val="1"/>
                <w:szCs w:val="1"/>
                <w:color w:val="auto"/>
              </w:rPr>
            </w:pPr>
          </w:p>
        </w:tc>
      </w:tr>
      <w:tr>
        <w:trPr>
          <w:trHeight w:val="216"/>
        </w:trPr>
        <w:tc>
          <w:tcPr>
            <w:tcW w:w="788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36,000,000</w:t>
            </w:r>
          </w:p>
        </w:tc>
        <w:tc>
          <w:tcPr>
            <w:tcW w:w="4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27,000,000</w:t>
            </w: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5,250,000</w:t>
            </w:r>
          </w:p>
        </w:tc>
        <w:tc>
          <w:tcPr>
            <w:tcW w:w="0" w:type="dxa"/>
            <w:vAlign w:val="bottom"/>
          </w:tcPr>
          <w:p>
            <w:pPr>
              <w:spacing w:after="0"/>
              <w:rPr>
                <w:sz w:val="1"/>
                <w:szCs w:val="1"/>
                <w:color w:val="auto"/>
              </w:rPr>
            </w:pPr>
          </w:p>
        </w:tc>
      </w:tr>
      <w:tr>
        <w:trPr>
          <w:trHeight w:val="223"/>
        </w:trPr>
        <w:tc>
          <w:tcPr>
            <w:tcW w:w="788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400,000,000</w:t>
            </w: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 I</w:t>
      </w:r>
    </w:p>
    <w:p>
      <w:pPr>
        <w:sectPr>
          <w:pgSz w:w="11900" w:h="16838" w:orient="portrait"/>
          <w:cols w:equalWidth="0" w:num="1">
            <w:col w:w="11020"/>
          </w:cols>
          <w:pgMar w:left="440" w:top="274" w:right="439" w:bottom="1440" w:gutter="0" w:footer="0" w:header="0"/>
        </w:sectPr>
      </w:pPr>
    </w:p>
    <w:bookmarkStart w:id="56" w:name="page57"/>
    <w:bookmarkEnd w:id="56"/>
    <w:p>
      <w:pPr>
        <w:jc w:val="center"/>
        <w:ind w:right="-3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3.50% Notes due 2030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$400,000,000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98.911% of the principal amount of the Designated Securities, plus accrued interest from 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98.261% of the principal amount of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 2030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3.50% per year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June 1 and December 1, beginning on December 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Sch. II-A, Page 1</w:t>
      </w:r>
    </w:p>
    <w:p>
      <w:pPr>
        <w:sectPr>
          <w:pgSz w:w="11900" w:h="16838" w:orient="portrait"/>
          <w:cols w:equalWidth="0" w:num="1">
            <w:col w:w="10600"/>
          </w:cols>
          <w:pgMar w:left="440" w:top="274" w:right="8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defeasance and covenant defeasance provisions of the Indenture apply to the Designated Securities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3:45 p.m. (Eastern time) on May 7, 2020 or such other time as agreed by the Company and the Representatives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291-1469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60 Wall Street, 2nd Floor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Debt Capital Markets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797-2202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to General Counsel</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374-1071</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Sch. II-A, Page 2</w:t>
      </w:r>
    </w:p>
    <w:p>
      <w:pPr>
        <w:sectPr>
          <w:pgSz w:w="11900" w:h="16838" w:orient="portrait"/>
          <w:cols w:equalWidth="0" w:num="1">
            <w:col w:w="10019"/>
          </w:cols>
          <w:pgMar w:left="440" w:top="270"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Sch. II-A, Page 3</w:t>
      </w:r>
    </w:p>
    <w:p>
      <w:pPr>
        <w:sectPr>
          <w:pgSz w:w="11900" w:h="16838" w:orient="portrait"/>
          <w:cols w:equalWidth="0" w:num="1">
            <w:col w:w="9579"/>
          </w:cols>
          <w:pgMar w:left="880" w:top="274" w:right="1440" w:bottom="1440" w:gutter="0" w:footer="0" w:header="0"/>
        </w:sectPr>
      </w:pPr>
    </w:p>
    <w:bookmarkStart w:id="59" w:name="page60"/>
    <w:bookmarkEnd w:id="59"/>
    <w:p>
      <w:pPr>
        <w:jc w:val="center"/>
        <w:ind w:right="-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II-B</w:t>
      </w:r>
      <w:r>
        <w:rPr>
          <w:rFonts w:ascii="Arial" w:cs="Arial" w:eastAsia="Arial" w:hAnsi="Arial"/>
          <w:sz w:val="15"/>
          <w:szCs w:val="15"/>
          <w:color w:val="auto"/>
        </w:rPr>
        <w:t>1</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Title of Designated Securities: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3.95% Notes due 2024 (the “Designated Securities”)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Aggregate principal amount: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$300,000,000</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Price to Public:</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103.257% of the principal amount of the Designated Securities, plus accrued interest of $3,818,333.33 from and including January 15, 2020 to but excluding May 11, 2020 (the expected settlement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Purchase Price by Underwriters:</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102.757% of the principal amount of the Designated Securities, plus accrued interest of $3,818,333.33 from and including January 15, 2020 to but excluding May 11, 2020 (the expected settlement date)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Specified funds for payment of purchase price: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Wire transfer of immediately available funds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Indenture:</w:t>
      </w:r>
    </w:p>
    <w:p>
      <w:pPr>
        <w:spacing w:after="0" w:line="121" w:lineRule="exact"/>
        <w:rPr>
          <w:sz w:val="20"/>
          <w:szCs w:val="20"/>
          <w:color w:val="auto"/>
        </w:rPr>
      </w:pPr>
    </w:p>
    <w:p>
      <w:pPr>
        <w:ind w:left="444" w:right="380"/>
        <w:spacing w:after="0" w:line="277" w:lineRule="auto"/>
        <w:rPr>
          <w:sz w:val="20"/>
          <w:szCs w:val="20"/>
          <w:color w:val="auto"/>
        </w:rPr>
      </w:pPr>
      <w:r>
        <w:rPr>
          <w:rFonts w:ascii="Arial" w:cs="Arial" w:eastAsia="Arial" w:hAnsi="Arial"/>
          <w:sz w:val="18"/>
          <w:szCs w:val="18"/>
          <w:color w:val="auto"/>
        </w:rPr>
        <w:t>Indenture, dated as of September 1, 1998, between the Company and U.S. Bank National Association, successor to Wachovia Bank, National Association, successor to First Union National Bank, as Trustee</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Maturity: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January 15, 2024</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Interest Rate: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3.95%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hanging="224"/>
        <w:spacing w:after="0" w:line="259" w:lineRule="auto"/>
        <w:tabs>
          <w:tab w:leader="none" w:pos="224" w:val="left"/>
        </w:tabs>
        <w:numPr>
          <w:ilvl w:val="0"/>
          <w:numId w:val="45"/>
        </w:numPr>
        <w:rPr>
          <w:rFonts w:ascii="Arial" w:cs="Arial" w:eastAsia="Arial" w:hAnsi="Arial"/>
          <w:sz w:val="15"/>
          <w:szCs w:val="15"/>
          <w:color w:val="auto"/>
        </w:rPr>
      </w:pPr>
      <w:r>
        <w:rPr>
          <w:rFonts w:ascii="Arial" w:cs="Arial" w:eastAsia="Arial" w:hAnsi="Arial"/>
          <w:sz w:val="18"/>
          <w:szCs w:val="18"/>
          <w:color w:val="auto"/>
        </w:rPr>
        <w:t>The terms of the 3.95% Notes due 2024, other than their issue date, issue price and, if applicable, first interest payment date and initial interest accrual date will be identical to the terms of and will be part of the same series as the Company’s outstanding 3.95% Notes due 2024 ($300 million of which were originally issued on December 9, 2013). (However, for U.S. federal income tax purposes the Notes offered hereby will be deemed to have the same issue date and issue price as the existing notes).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Sch. II-B, Page 1</w:t>
      </w:r>
    </w:p>
    <w:p>
      <w:pPr>
        <w:sectPr>
          <w:pgSz w:w="11900" w:h="16838" w:orient="portrait"/>
          <w:cols w:equalWidth="0" w:num="1">
            <w:col w:w="10984"/>
          </w:cols>
          <w:pgMar w:left="436" w:top="274" w:right="4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Payment Dates: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January 15 and July 15, beginning on July 15,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Provisions: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Designated Securities may be redeemed at any time at the Company’s option, in whole or in part, at redemption prices as described in the Prospectus Supplement and the Issuer Free Writing Prospectus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Sinking Fund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provisions: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defeasance and covenant defeasance provisions of the Indenture apply to the Designated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Time: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3:45 p.m. (Eastern time) on May 7, 2020 or such other time as agreed by the Company and the Representatives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Delivery: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May 11,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Location: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787 Seventh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10019</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Section 12 Notice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10013</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291-1469</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(646) 619-4437</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Sch. II-A, Page 2</w:t>
      </w:r>
    </w:p>
    <w:p>
      <w:pPr>
        <w:sectPr>
          <w:pgSz w:w="11900" w:h="16838" w:orient="portrait"/>
          <w:cols w:equalWidth="0" w:num="1">
            <w:col w:w="10200"/>
          </w:cols>
          <w:pgMar w:left="440" w:top="270" w:right="125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 Bancorp Investments,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214 North Tryon Street, 26th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(704) 410-0326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Transaction Management</w:t>
      </w:r>
    </w:p>
    <w:p>
      <w:pPr>
        <w:spacing w:after="0" w:line="143" w:lineRule="exact"/>
        <w:rPr>
          <w:sz w:val="20"/>
          <w:szCs w:val="20"/>
          <w:color w:val="auto"/>
        </w:rPr>
      </w:pPr>
    </w:p>
    <w:p>
      <w:pPr>
        <w:jc w:val="right"/>
        <w:ind w:right="3899"/>
        <w:spacing w:after="0"/>
        <w:rPr>
          <w:sz w:val="20"/>
          <w:szCs w:val="20"/>
          <w:color w:val="auto"/>
        </w:rPr>
      </w:pPr>
      <w:r>
        <w:rPr>
          <w:rFonts w:ascii="Arial" w:cs="Arial" w:eastAsia="Arial" w:hAnsi="Arial"/>
          <w:sz w:val="18"/>
          <w:szCs w:val="18"/>
          <w:color w:val="auto"/>
        </w:rPr>
        <w:t>Sch. II-A, Page 3</w:t>
      </w:r>
    </w:p>
    <w:p>
      <w:pPr>
        <w:sectPr>
          <w:pgSz w:w="11900" w:h="16838" w:orient="portrait"/>
          <w:cols w:equalWidth="0" w:num="1">
            <w:col w:w="9579"/>
          </w:cols>
          <w:pgMar w:left="880" w:top="274" w:right="1440"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3.95% Note due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CUSIP No. 313747 AU1</w:t>
            </w:r>
          </w:p>
        </w:tc>
        <w:tc>
          <w:tcPr>
            <w:tcW w:w="5120" w:type="dxa"/>
            <w:vAlign w:val="bottom"/>
          </w:tcPr>
          <w:p>
            <w:pPr>
              <w:jc w:val="right"/>
              <w:spacing w:after="0"/>
              <w:rPr>
                <w:sz w:val="20"/>
                <w:szCs w:val="20"/>
                <w:color w:val="auto"/>
              </w:rPr>
            </w:pPr>
            <w:r>
              <w:rPr>
                <w:rFonts w:ascii="Arial" w:cs="Arial" w:eastAsia="Arial" w:hAnsi="Arial"/>
                <w:sz w:val="18"/>
                <w:szCs w:val="18"/>
                <w:color w:val="auto"/>
              </w:rPr>
              <w:t>$300,000,000</w:t>
            </w:r>
          </w:p>
        </w:tc>
      </w:tr>
    </w:tbl>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$1,000 AND INTEGRAL MULTIPLES OF $1,000 IN EXCESS THEREOF.</w:t>
      </w:r>
    </w:p>
    <w:p>
      <w:pPr>
        <w:spacing w:after="0" w:line="16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Three Hundred Million Dollars ($300,000,000) on January 15, 2024 (the “Stated Maturity Date”) or the date fixed for earlier redemption (the “Redemption Date,” and together with the Stated Maturity Date with respect to principal repayable on such date, the “Maturity Date”), and to pay interest on the outstanding principal amount thereof from December 9, 2013 or from the most recent interest payment date to which interest has been paid or duly provided for, semi-annually on January 15 and July 15 in each year (each, an “Interest Payment Date”), commencing July 15, 2014, at the rate of 3.95%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January 1 or July 1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w:t>
      </w:r>
    </w:p>
    <w:p>
      <w:pPr>
        <w:sectPr>
          <w:pgSz w:w="11900" w:h="16838" w:orient="portrait"/>
          <w:cols w:equalWidth="0" w:num="1">
            <w:col w:w="11020"/>
          </w:cols>
          <w:pgMar w:left="440" w:top="121" w:right="439" w:bottom="1440" w:gutter="0" w:footer="0" w:header="0"/>
        </w:sectPr>
      </w:pPr>
    </w:p>
    <w:bookmarkStart w:id="63" w:name="page64"/>
    <w:bookmarkEnd w:id="6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maintained by such Holder within the 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95" w:lineRule="exact"/>
        <w:rPr>
          <w:sz w:val="20"/>
          <w:szCs w:val="20"/>
          <w:color w:val="auto"/>
        </w:rPr>
      </w:pPr>
    </w:p>
    <w:p>
      <w:pPr>
        <w:jc w:val="both"/>
        <w:ind w:right="80" w:firstLine="991"/>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December 9, 2013,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64" w:name="page65"/>
    <w:bookmarkEnd w:id="6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Guglielmone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820"/>
          </w:cols>
          <w:pgMar w:left="440" w:top="274" w:right="6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of Security]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3.95 % Note due 2024</w:t>
      </w:r>
    </w:p>
    <w:p>
      <w:pPr>
        <w:spacing w:after="0" w:line="225"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“3.95% Notes due 2024” (collectively, the “Notes”), and the aggregate principal amount of the Notes to be issued under such series is limited to $600,000,000 as of the date hereof (except for Notes authenticated and delivered upon transfer of, or in exchange for, or in lieu of other Notes). This Note forms a single series with the 3.95% Notes due 2024 first issued by the Company as of December 9, 2013.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7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4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440" w:right="140" w:firstLine="419"/>
        <w:spacing w:after="0" w:line="277"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020"/>
          </w:cols>
          <w:pgMar w:left="440" w:top="270" w:right="439" w:bottom="1440" w:gutter="0" w:footer="0" w:header="0"/>
        </w:sectPr>
      </w:pPr>
    </w:p>
    <w:bookmarkStart w:id="66" w:name="page67"/>
    <w:bookmarkEnd w:id="66"/>
    <w:p>
      <w:pPr>
        <w:ind w:right="100" w:firstLine="419"/>
        <w:spacing w:after="0" w:line="296" w:lineRule="auto"/>
        <w:tabs>
          <w:tab w:leader="none" w:pos="678"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53" w:lineRule="exact"/>
        <w:rPr>
          <w:rFonts w:ascii="Arial" w:cs="Arial" w:eastAsia="Arial" w:hAnsi="Arial"/>
          <w:sz w:val="16"/>
          <w:szCs w:val="16"/>
          <w:color w:val="auto"/>
        </w:rPr>
      </w:pPr>
    </w:p>
    <w:p>
      <w:pPr>
        <w:ind w:firstLine="419"/>
        <w:spacing w:after="0" w:line="253" w:lineRule="auto"/>
        <w:tabs>
          <w:tab w:leader="none" w:pos="67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under any bond, debenture, note or other evidence of indebtedness for money borrowed by the Company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property purchased) in an aggregate principal amount in excess of $25,000,000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88" w:lineRule="exact"/>
        <w:rPr>
          <w:rFonts w:ascii="Arial" w:cs="Arial" w:eastAsia="Arial" w:hAnsi="Arial"/>
          <w:sz w:val="18"/>
          <w:szCs w:val="18"/>
          <w:color w:val="auto"/>
        </w:rPr>
      </w:pPr>
    </w:p>
    <w:p>
      <w:pPr>
        <w:ind w:left="680" w:hanging="26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1240" w:hanging="252"/>
        <w:spacing w:after="0"/>
        <w:tabs>
          <w:tab w:leader="none" w:pos="12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 for</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90 days; or</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67" w:name="page68"/>
    <w:bookmarkEnd w:id="67"/>
    <w:p>
      <w:pPr>
        <w:ind w:right="1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The Notes are subject to redemption at any time, in whole or in part, at the election of the Company, at a redemption price equal to (x) if the Notes are redeemed before 90 days prior to the Stated Maturity Date,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(twenty one-hundredths of one percent) plus, in each case, accrued interest thereon to, but excluding, the Redemption Date or (y) if the Notes are redeemed on or after 90 days prior to the Stated Maturity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jc w:val="both"/>
        <w:ind w:left="440" w:right="4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76" w:lineRule="exact"/>
        <w:rPr>
          <w:sz w:val="20"/>
          <w:szCs w:val="20"/>
          <w:color w:val="auto"/>
        </w:rPr>
      </w:pPr>
    </w:p>
    <w:p>
      <w:pPr>
        <w:ind w:left="440" w:right="40" w:firstLine="423"/>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Issue</w:t>
      </w:r>
      <w:r>
        <w:rPr>
          <w:rFonts w:ascii="Arial" w:cs="Arial" w:eastAsia="Arial" w:hAnsi="Arial"/>
          <w:sz w:val="16"/>
          <w:szCs w:val="16"/>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41" w:lineRule="exact"/>
        <w:rPr>
          <w:sz w:val="20"/>
          <w:szCs w:val="20"/>
          <w:color w:val="auto"/>
        </w:rPr>
      </w:pPr>
    </w:p>
    <w:p>
      <w:pPr>
        <w:ind w:left="440" w:right="120" w:firstLine="423"/>
        <w:spacing w:after="0" w:line="286" w:lineRule="auto"/>
        <w:rPr>
          <w:sz w:val="20"/>
          <w:szCs w:val="20"/>
          <w:color w:val="auto"/>
        </w:rPr>
      </w:pPr>
      <w:r>
        <w:rPr>
          <w:rFonts w:ascii="Arial" w:cs="Arial" w:eastAsia="Arial" w:hAnsi="Arial"/>
          <w:sz w:val="17"/>
          <w:szCs w:val="17"/>
          <w:i w:val="1"/>
          <w:iCs w:val="1"/>
          <w:color w:val="auto"/>
        </w:rPr>
        <w:t>“Comparable Treasury Price</w:t>
      </w:r>
      <w:r>
        <w:rPr>
          <w:rFonts w:ascii="Arial" w:cs="Arial" w:eastAsia="Arial" w:hAnsi="Arial"/>
          <w:sz w:val="17"/>
          <w:szCs w:val="17"/>
          <w:color w:val="auto"/>
        </w:rPr>
        <w:t>” means, with respect to any Redemption Date, (1) the average of the Reference Treasury Dealer Quotations</w:t>
      </w:r>
      <w:r>
        <w:rPr>
          <w:rFonts w:ascii="Arial" w:cs="Arial" w:eastAsia="Arial" w:hAnsi="Arial"/>
          <w:sz w:val="17"/>
          <w:szCs w:val="17"/>
          <w:i w:val="1"/>
          <w:iCs w:val="1"/>
          <w:color w:val="auto"/>
        </w:rPr>
        <w:t xml:space="preserve"> </w:t>
      </w:r>
      <w:r>
        <w:rPr>
          <w:rFonts w:ascii="Arial" w:cs="Arial" w:eastAsia="Arial" w:hAnsi="Arial"/>
          <w:sz w:val="17"/>
          <w:szCs w:val="17"/>
          <w:color w:val="auto"/>
        </w:rPr>
        <w:t>for such Redemption Date, after excluding the highest and lowest of such Reference Treasury Dealer Quotations, or (2) if the Trustee obtains fewer than five such Reference Treasury Dealer quotations, the average of all such Quotations.</w:t>
      </w:r>
    </w:p>
    <w:p>
      <w:pPr>
        <w:spacing w:after="0" w:line="5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the Company.</w:t>
      </w:r>
    </w:p>
    <w:p>
      <w:pPr>
        <w:spacing w:after="0" w:line="117" w:lineRule="exact"/>
        <w:rPr>
          <w:sz w:val="20"/>
          <w:szCs w:val="20"/>
          <w:color w:val="auto"/>
        </w:rPr>
      </w:pPr>
    </w:p>
    <w:p>
      <w:pPr>
        <w:ind w:left="440" w:right="100" w:firstLine="42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Reference Treasury Dealer</w:t>
      </w:r>
      <w:r>
        <w:rPr>
          <w:rFonts w:ascii="Arial" w:cs="Arial" w:eastAsia="Arial" w:hAnsi="Arial"/>
          <w:sz w:val="17"/>
          <w:szCs w:val="17"/>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any of the Reference Treasury Dealers ceases to be a primary U.S. Government securities dealer (a “Primary Treasury Dealer”), the Company will substitute therefor another Primary Treasury Dealer, and (2) any two other Primary Treasury Dealers selected by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80"/>
          </w:cols>
          <w:pgMar w:left="440" w:top="274" w:right="579" w:bottom="1440" w:gutter="0" w:footer="0" w:header="0"/>
        </w:sectPr>
      </w:pPr>
    </w:p>
    <w:bookmarkStart w:id="68" w:name="page69"/>
    <w:bookmarkEnd w:id="68"/>
    <w:p>
      <w:pPr>
        <w:ind w:left="440" w:firstLine="42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the average, as determined by the Company,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87"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Notice of any redemption will be given by mail to Holders of Securities, not less than 30 nor more than 60 days prior to the Redemption Date, all as provided in the Indenture.</w:t>
      </w:r>
    </w:p>
    <w:p>
      <w:pPr>
        <w:spacing w:after="0" w:line="170"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85"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4"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69" w:name="page70"/>
    <w:bookmarkEnd w:id="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88"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Total Assets.</w:t>
      </w:r>
    </w:p>
    <w:p>
      <w:pPr>
        <w:spacing w:after="0" w:line="168"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84" w:lineRule="exact"/>
        <w:rPr>
          <w:sz w:val="20"/>
          <w:szCs w:val="20"/>
          <w:color w:val="auto"/>
        </w:rPr>
      </w:pPr>
    </w:p>
    <w:p>
      <w:pPr>
        <w:ind w:right="460" w:firstLine="991"/>
        <w:spacing w:after="0" w:line="263" w:lineRule="auto"/>
        <w:rPr>
          <w:sz w:val="20"/>
          <w:szCs w:val="20"/>
          <w:color w:val="auto"/>
        </w:rPr>
      </w:pPr>
      <w:r>
        <w:rPr>
          <w:rFonts w:ascii="Arial" w:cs="Arial" w:eastAsia="Arial" w:hAnsi="Arial"/>
          <w:sz w:val="18"/>
          <w:szCs w:val="18"/>
          <w:color w:val="auto"/>
        </w:rPr>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2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6" w:lineRule="exact"/>
        <w:rPr>
          <w:sz w:val="20"/>
          <w:szCs w:val="20"/>
          <w:color w:val="auto"/>
        </w:rPr>
      </w:pPr>
    </w:p>
    <w:p>
      <w:pPr>
        <w:ind w:left="440" w:right="6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6" w:lineRule="exact"/>
        <w:rPr>
          <w:sz w:val="20"/>
          <w:szCs w:val="20"/>
          <w:color w:val="auto"/>
        </w:rPr>
      </w:pPr>
    </w:p>
    <w:p>
      <w:pPr>
        <w:ind w:left="440" w:right="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40" w:right="20" w:firstLine="4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capitalized lease in accordance with generally</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4" w:right="519" w:bottom="1440" w:gutter="0" w:footer="0" w:header="0"/>
        </w:sectPr>
      </w:pPr>
    </w:p>
    <w:bookmarkStart w:id="71" w:name="page72"/>
    <w:bookmarkEnd w:id="71"/>
    <w:p>
      <w:pPr>
        <w:ind w:left="4"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 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70" w:lineRule="exact"/>
        <w:rPr>
          <w:sz w:val="20"/>
          <w:szCs w:val="20"/>
          <w:color w:val="auto"/>
        </w:rPr>
      </w:pPr>
    </w:p>
    <w:p>
      <w:pPr>
        <w:ind w:left="4" w:right="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ind w:left="4" w:hanging="4"/>
        <w:spacing w:after="0" w:line="255" w:lineRule="auto"/>
        <w:tabs>
          <w:tab w:leader="none" w:pos="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left="4"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left="4" w:right="2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left="4" w:right="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of the Company and its Subsidiaries on such date, before depreciation and amortization determined on a consolidated basis in accordance with generally accepted accounting principles.</w:t>
      </w:r>
    </w:p>
    <w:p>
      <w:pPr>
        <w:spacing w:after="0" w:line="76" w:lineRule="exact"/>
        <w:rPr>
          <w:sz w:val="20"/>
          <w:szCs w:val="20"/>
          <w:color w:val="auto"/>
        </w:rPr>
      </w:pPr>
    </w:p>
    <w:p>
      <w:pPr>
        <w:ind w:left="4" w:right="160" w:firstLine="42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Unencumbered Total Asset Value</w:t>
      </w:r>
      <w:r>
        <w:rPr>
          <w:rFonts w:ascii="Arial" w:cs="Arial" w:eastAsia="Arial" w:hAnsi="Arial"/>
          <w:sz w:val="17"/>
          <w:szCs w:val="17"/>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w:t>
      </w:r>
    </w:p>
    <w:p>
      <w:pPr>
        <w:spacing w:after="0" w:line="110"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4" w:right="479" w:bottom="1440" w:gutter="0" w:footer="0" w:header="0"/>
        </w:sectPr>
      </w:pPr>
    </w:p>
    <w:bookmarkStart w:id="72" w:name="page73"/>
    <w:bookmarkEnd w:id="72"/>
    <w:p>
      <w:pPr>
        <w:jc w:val="both"/>
        <w:ind w:left="440" w:right="2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84"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Amended and Restated Credit Agreement dated as of July 25, 2019,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92"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Securities of this series are issuable only in registered form without coupons in denominations of $1,000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440" w:top="274" w:right="51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Security]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Note due 2030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CUSIP No. 313747 BA4</w:t>
            </w:r>
          </w:p>
        </w:tc>
        <w:tc>
          <w:tcPr>
            <w:tcW w:w="5120" w:type="dxa"/>
            <w:vAlign w:val="bottom"/>
          </w:tcPr>
          <w:p>
            <w:pPr>
              <w:jc w:val="right"/>
              <w:spacing w:after="0"/>
              <w:rPr>
                <w:sz w:val="20"/>
                <w:szCs w:val="20"/>
                <w:color w:val="auto"/>
              </w:rPr>
            </w:pPr>
            <w:r>
              <w:rPr>
                <w:rFonts w:ascii="Arial" w:cs="Arial" w:eastAsia="Arial" w:hAnsi="Arial"/>
                <w:sz w:val="18"/>
                <w:szCs w:val="18"/>
                <w:color w:val="auto"/>
              </w:rPr>
              <w:t>$400,000,000</w:t>
            </w:r>
          </w:p>
        </w:tc>
      </w:tr>
    </w:tbl>
    <w:p>
      <w:pPr>
        <w:spacing w:after="0" w:line="1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UNLESS THIS NOTE IS PRESENTED BY AN AUTHORIZED REPRESENTATIVE OF THE DEPOSITORY TRUST COMPANY (55 WATER STREET, NEW YORK, NEW YORK) (THE “DEPOSITORY”) TO THE ISSUER OR ITS AGENT FOR REGISTRATION OF TRANSFER, EXCHANGE OR PAYMENT, AND SUCH NOTE ISSUED IS REGISTERED IN THE NAME OF CEDE &amp; CO., OR SUCH OTHER NAME AS REQUESTED BY AN AUTHORIZED REPRESENTATIVE OF THE DEPOSITORY, ANY TRANSFER, PLEDGE OR OTHER USE HEREOF FOR VALUE OR OTHERWISE BY OR TO ANY PERSON IS WRONGFUL, SINCE THE REGISTERED OWNER HEREOF, CEDE &amp; CO., HAS AN INTEREST HEREIN.</w:t>
      </w:r>
    </w:p>
    <w:p>
      <w:pPr>
        <w:spacing w:after="0" w:line="18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color w:val="auto"/>
        </w:rPr>
        <w:t>UNLESS AND UNTIL THIS NOTE IS EXCHANGED IN WHOLE OR IN PART FOR NOTES IN CERTIFICATED FORM, THIS NOTE MAY NOT BE TRANSFERRED EXCEPT AS A WHOLE BY THE DEPOSITORY TO A NOMINEE THEREOF OR BY A NOMINEE THEREOF TO THE DEPOSITORY OR ANOTHER NOMINEE OF THE DEPOSITORY OR BY THE DEPOSITORY OR ANY SUCH NOMINEE TO A SUCCESSOR OF THE DEPOSITORY OR A NOMINEE OF SUCH SUCCESSOR.</w:t>
      </w:r>
    </w:p>
    <w:p>
      <w:pPr>
        <w:spacing w:after="0" w:line="180"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THIS NOTE WILL BE ISSUED AND MAY BE TRANSFERRED ONLY IN MINIMUM DENOMINATIONS OF $2,000 AND INTEGRAL MULTIPLES OF $1,000 IN EXCESS THEREOF.</w:t>
      </w:r>
    </w:p>
    <w:p>
      <w:pPr>
        <w:spacing w:after="0" w:line="166"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FEDERAL REALTY INVESTMENT TRUST, a Maryland real estate investment trust (herein referred to as the “Company,” which term includes any successor corporation under the Indenture referred to on the reverse hereof), for value received, hereby promises to pay to Cede &amp; Co. or registered assigns the principal sum of Four Hundred Million Dollars ($400,000,000) on June 1, 2030 (the “Stated Maturity Date”) or the date fixed for earlier redemption (the “Redemption Date,” and together with the Stated Maturity Date with respect to principal repayable on such date, the “Maturity Date”), and to pay interest on the outstanding principal amount thereof from May 11, 2020 or from the most recent interest payment date to which interest has been paid or duly provided for, semi-annually on June 1 and December 1 in each year (each, an “Interest Payment Date”), commencing December 1, 2020, at the rate of 3.50% per annum, until the principal hereof is paid or duly provided for. The interest so payable, and punctually paid or duly provided for, on any Interest Payment Date will, as provided in such Indenture, be paid to the Holder in whose name this Note (or one or more Predecessor Securities) is registered at the close of business on the Regular Record Date for such interest, which shall be on May 15 and November 15 (whether or not a Business Day, as defined below), as the case may be, next preceding such Interest Payment Date at the office or agency of the Company maintained for such purpose; provided, however, that such interest may be paid, at the Company’s option, by mailing a check to such Holder at its registered address or by transfer of funds to an account maintained by such Holder within the</w:t>
      </w:r>
    </w:p>
    <w:p>
      <w:pPr>
        <w:sectPr>
          <w:pgSz w:w="11900" w:h="16838" w:orient="portrait"/>
          <w:cols w:equalWidth="0" w:num="1">
            <w:col w:w="11020"/>
          </w:cols>
          <w:pgMar w:left="440" w:top="121" w:right="439" w:bottom="1440" w:gutter="0" w:footer="0" w:header="0"/>
        </w:sectPr>
      </w:pPr>
    </w:p>
    <w:bookmarkStart w:id="74" w:name="page75"/>
    <w:bookmarkEnd w:id="74"/>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 Any such interest not so punctually paid or duly provided for shall forthwith cease to be payable to the Holder on such Regular Record Date, and may be paid to the Holder in whose name this Note (or one or more Predecessor Securities) is registered at the close of business on a Special Record Date for the payment of such Defaulted Interest to be fixed by the Trustee referred to on the reverse hereof, notice whereof shall be given to Holders of Notes of this series not less than 10 days prior to such Special Record Date, or may be paid at any time in any other lawful manner not inconsistent with the requirements of any securities exchange on which the Notes of this series may be listed, and upon such notice as may be required by such exchange, all as more fully provided in the Indenture. Interest will be computed on the basis of a 360-day year of twelve 30-day months.</w:t>
      </w:r>
    </w:p>
    <w:p>
      <w:pPr>
        <w:spacing w:after="0" w:line="164"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The principal of this Note payable on the Stated Maturity Date or the principal of, premium, if any, and, if the Redemption Date is not an Interest Payment Date, interest on this Note payable on the Redemption Date will be paid against presentation of this Note at the office or agency of the Company maintained for that purpose in the Borough of Manhattan, The City of New York, in such coin or currency of the United States of America as at the time of payment is legal tender for the payment of public and private debts.</w:t>
      </w:r>
    </w:p>
    <w:p>
      <w:pPr>
        <w:spacing w:after="0" w:line="187" w:lineRule="exact"/>
        <w:rPr>
          <w:sz w:val="20"/>
          <w:szCs w:val="20"/>
          <w:color w:val="auto"/>
        </w:rPr>
      </w:pPr>
    </w:p>
    <w:p>
      <w:pPr>
        <w:ind w:right="40" w:firstLine="991"/>
        <w:spacing w:after="0" w:line="290" w:lineRule="auto"/>
        <w:rPr>
          <w:sz w:val="20"/>
          <w:szCs w:val="20"/>
          <w:color w:val="auto"/>
        </w:rPr>
      </w:pPr>
      <w:r>
        <w:rPr>
          <w:rFonts w:ascii="Arial" w:cs="Arial" w:eastAsia="Arial" w:hAnsi="Arial"/>
          <w:sz w:val="16"/>
          <w:szCs w:val="16"/>
          <w:color w:val="auto"/>
        </w:rPr>
        <w:t>Interest payable on this Note on any Interest Payment Date and on the Maturity Date, as the case may be, will include interest accrued from and including the next preceding Interest Payment Date in respect of which interest has been paid or duly provided for (or from and including May 11, 2020, if no interest has been paid on this Note) to but excluding such Interest Payment Date or the Maturity Date, as the case may be. If any Interest Payment Date or the Maturity Date falls on a day that is not a Business Day, principal, premium, if any, and/or interest payable with respect to such Interest Payment Date or Maturity Date, as the case may be, will be paid on the next succeeding Business Day with the same force and effect as if it were paid on the date such payment was due, and no interest shall accrue on the amount so payable for the period from and after such Interest Payment Date or Maturity Date, as the case may be. “Business Day” means any day, other than a Saturday or Sunday, on which banks in The City of New York and the City of Charlotte, State of North Carolina, are not required or authorized by law or executive order to close.</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All payments of principal, premium, if any, and interest in respect of this Note will be made by the Company in immediately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funds.</w:t>
      </w:r>
    </w:p>
    <w:p>
      <w:pPr>
        <w:spacing w:after="0" w:line="211"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further provisions shall for all purposes have the same effect as if set forth at this place.</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of one of its authorized signatories, this Note shall not be entitled to any benefit under the Indenture, or be valid or obligatory for any purpose.</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[This space intentionally left blank]</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74" w:right="539" w:bottom="1440" w:gutter="0" w:footer="0" w:header="0"/>
        </w:sectPr>
      </w:pPr>
    </w:p>
    <w:bookmarkStart w:id="75" w:name="page76"/>
    <w:bookmarkEnd w:id="7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Donald C. Wood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Daniel Guglielmone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6"/>
          <w:szCs w:val="16"/>
          <w:color w:val="auto"/>
        </w:rPr>
        <w:t>Executive Vice President-Chief Financial Officer and</w:t>
      </w:r>
    </w:p>
    <w:p>
      <w:pPr>
        <w:spacing w:after="0" w:line="3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27946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the Note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11,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U.S. BANK NATIONAL ASSOCIATION, as Trustee</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820"/>
          </w:cols>
          <w:pgMar w:left="440" w:top="274" w:right="6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3.50% Note due 2030</w:t>
      </w:r>
    </w:p>
    <w:p>
      <w:pPr>
        <w:spacing w:after="0" w:line="225" w:lineRule="exact"/>
        <w:rPr>
          <w:sz w:val="20"/>
          <w:szCs w:val="20"/>
          <w:color w:val="auto"/>
        </w:rPr>
      </w:pPr>
    </w:p>
    <w:p>
      <w:pPr>
        <w:ind w:right="80" w:firstLine="991"/>
        <w:spacing w:after="0" w:line="287" w:lineRule="auto"/>
        <w:rPr>
          <w:sz w:val="20"/>
          <w:szCs w:val="20"/>
          <w:color w:val="auto"/>
        </w:rPr>
      </w:pPr>
      <w:r>
        <w:rPr>
          <w:rFonts w:ascii="Arial" w:cs="Arial" w:eastAsia="Arial" w:hAnsi="Arial"/>
          <w:sz w:val="16"/>
          <w:szCs w:val="16"/>
          <w:color w:val="auto"/>
        </w:rPr>
        <w:t>This Note is one of a duly authorized issue of securities of the Company (herein called the “Securities”), issued and to be issued in one or more series under an Indenture, dated as of September 1, 1998 (herein called the “Indenture”), between the Company and U.S. Bank National Association, as Trustee (herein called the “Trustee”, which term includes any successor trustee under the Indenture with respect to the series of which this Note is a part),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Note is one of the duly authorized series of Securities designated as “3.50% Notes due 2030” (collectively, the “Notes”), and the aggregate principal amount of the Notes to be issued under such series is limited to $400,000,000 as of the date hereof (except for Notes authenticated and delivered upon transfer of, or in exchange for, or in lieu of other Notes). The Company may, without the consent of the Holders of any Securities, create and issue additional notes in the future having the same terms other than the date of original issuance, the issue price and the date on which interest begins to accrue so as to form a single series with the Notes. The Notes are the unsecured and unsubordinated obligations of the Company and rank equally with all existing and future unsecured and unsubordinated indebtedness of the Company. All terms used in this Note which are defined in the Indenture shall have the meanings assigned to them in the Indenture.</w:t>
      </w:r>
    </w:p>
    <w:p>
      <w:pPr>
        <w:spacing w:after="0" w:line="168"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If an Event of Default, as defined herein, shall occur and be continuing, the principal of the Securities of this series may be declared due and payable in the manner and with the effect provided in the Indenture.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right="4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w:t>
      </w:r>
    </w:p>
    <w:p>
      <w:pPr>
        <w:spacing w:after="0" w:line="76" w:lineRule="exact"/>
        <w:rPr>
          <w:sz w:val="20"/>
          <w:szCs w:val="20"/>
          <w:color w:val="auto"/>
        </w:rPr>
      </w:pPr>
    </w:p>
    <w:p>
      <w:pPr>
        <w:ind w:left="440" w:right="140" w:firstLine="419"/>
        <w:spacing w:after="0" w:line="277" w:lineRule="auto"/>
        <w:tabs>
          <w:tab w:leader="none" w:pos="1118"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any interest upon or any Additional Amounts payable in respect of the Notes when such interest or Additional Amounts becomes due and payable, and continuance of such default for a period of 30 days;</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the Notes when it becomes due and payable at its Maturity;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the Notes;</w:t>
      </w:r>
    </w:p>
    <w:p>
      <w:pPr>
        <w:sectPr>
          <w:pgSz w:w="11900" w:h="16838" w:orient="portrait"/>
          <w:cols w:equalWidth="0" w:num="1">
            <w:col w:w="11020"/>
          </w:cols>
          <w:pgMar w:left="440" w:top="270" w:right="439" w:bottom="1440" w:gutter="0" w:footer="0" w:header="0"/>
        </w:sectPr>
      </w:pPr>
    </w:p>
    <w:bookmarkStart w:id="77" w:name="page78"/>
    <w:bookmarkEnd w:id="77"/>
    <w:p>
      <w:pPr>
        <w:ind w:right="40" w:firstLine="419"/>
        <w:spacing w:after="0" w:line="296" w:lineRule="auto"/>
        <w:tabs>
          <w:tab w:leader="none" w:pos="678" w:val="left"/>
        </w:tabs>
        <w:numPr>
          <w:ilvl w:val="0"/>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default in the performance, or a breach, of any covenant or agreement by the Company under the Indenture (other than a covenant or agreement a default in whose performance or whose breach is elsewhere in this definition of Event of Default specifically dealt with), and continuance of such default or breach for a period of 60 days after there has been given, by registered or certified mail, to the Company by the Trustee or to the Company and the Trustee by the Holders of at least 25% in aggregate principal amount of the outstanding Notes a written notice specifying such default or breach and requiring it to be remedied and stating that such notice is a “Notice of Default” under the Indenture;</w:t>
      </w:r>
    </w:p>
    <w:p>
      <w:pPr>
        <w:spacing w:after="0" w:line="53" w:lineRule="exact"/>
        <w:rPr>
          <w:rFonts w:ascii="Arial" w:cs="Arial" w:eastAsia="Arial" w:hAnsi="Arial"/>
          <w:sz w:val="16"/>
          <w:szCs w:val="16"/>
          <w:color w:val="auto"/>
        </w:rPr>
      </w:pPr>
    </w:p>
    <w:p>
      <w:pPr>
        <w:ind w:firstLine="419"/>
        <w:spacing w:after="0" w:line="270" w:lineRule="auto"/>
        <w:tabs>
          <w:tab w:leader="none" w:pos="678"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default under any bond, debenture, note or other evidence of indebtedness for money borrowed by the Company (including obligations under leases required to be reflected on the balance sheet of the lessee as financing lease liabilities under generally accepted accounting principles but not including any indebtedness or obligations for which recourse is limited to one or more properties) in an aggregate principal amount in excess of $50,000,000 or under any mortgage, indenture or instrument under which there may be issued or by which there may be secured or evidenced any indebtedness for money borrowed by the Company (including such leases but not including such indebtedness or obligations for which recourse is limited to one or more properties) in an aggregate principal amount in excess of $50,000,000 by the Company,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w:t>
      </w:r>
    </w:p>
    <w:p>
      <w:pPr>
        <w:spacing w:after="0" w:line="72" w:lineRule="exact"/>
        <w:rPr>
          <w:rFonts w:ascii="Arial" w:cs="Arial" w:eastAsia="Arial" w:hAnsi="Arial"/>
          <w:sz w:val="17"/>
          <w:szCs w:val="17"/>
          <w:color w:val="auto"/>
        </w:rPr>
      </w:pPr>
    </w:p>
    <w:p>
      <w:pPr>
        <w:ind w:left="680" w:hanging="26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an involuntary case,</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7"/>
          <w:szCs w:val="17"/>
          <w:color w:val="auto"/>
        </w:rPr>
      </w:pPr>
      <w:r>
        <w:rPr>
          <w:rFonts w:ascii="Arial" w:cs="Arial" w:eastAsia="Arial" w:hAnsi="Arial"/>
          <w:sz w:val="17"/>
          <w:szCs w:val="17"/>
          <w:color w:val="auto"/>
        </w:rPr>
        <w:t>appoints a Custodian of the Company or any Significant Subsidiary or for all or substantially all of either of its property, or</w:t>
      </w:r>
    </w:p>
    <w:p>
      <w:pPr>
        <w:spacing w:after="0" w:line="128" w:lineRule="exact"/>
        <w:rPr>
          <w:rFonts w:ascii="Arial" w:cs="Arial" w:eastAsia="Arial" w:hAnsi="Arial"/>
          <w:sz w:val="17"/>
          <w:szCs w:val="17"/>
          <w:color w:val="auto"/>
        </w:rPr>
      </w:pPr>
    </w:p>
    <w:p>
      <w:pPr>
        <w:ind w:left="1240" w:hanging="252"/>
        <w:spacing w:after="0"/>
        <w:tabs>
          <w:tab w:leader="none" w:pos="12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orders the liquidation of the Company or any Significant Subsidiary, and the order or decree remains unstayed and in effect for</w:t>
      </w:r>
    </w:p>
    <w:p>
      <w:pPr>
        <w:spacing w:after="0" w:line="46"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90 days; or</w:t>
      </w:r>
    </w:p>
    <w:p>
      <w:pPr>
        <w:spacing w:after="0" w:line="102" w:lineRule="exact"/>
        <w:rPr>
          <w:rFonts w:ascii="Arial" w:cs="Arial" w:eastAsia="Arial" w:hAnsi="Arial"/>
          <w:sz w:val="16"/>
          <w:szCs w:val="16"/>
          <w:color w:val="auto"/>
        </w:rPr>
      </w:pPr>
    </w:p>
    <w:p>
      <w:pPr>
        <w:ind w:left="680" w:hanging="261"/>
        <w:spacing w:after="0"/>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Bankruptcy Law:</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commences a voluntary case or proceeding,</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 or proceeding,</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 or</w:t>
      </w:r>
    </w:p>
    <w:p>
      <w:pPr>
        <w:spacing w:after="0" w:line="117" w:lineRule="exact"/>
        <w:rPr>
          <w:rFonts w:ascii="Arial" w:cs="Arial" w:eastAsia="Arial" w:hAnsi="Arial"/>
          <w:sz w:val="18"/>
          <w:szCs w:val="18"/>
          <w:color w:val="auto"/>
        </w:rPr>
      </w:pPr>
    </w:p>
    <w:p>
      <w:pPr>
        <w:ind w:left="1240" w:hanging="252"/>
        <w:spacing w:after="0"/>
        <w:tabs>
          <w:tab w:leader="none" w:pos="1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880" w:top="274" w:right="519" w:bottom="1440" w:gutter="0" w:footer="0" w:header="0"/>
        </w:sectPr>
      </w:pPr>
    </w:p>
    <w:bookmarkStart w:id="78" w:name="page79"/>
    <w:bookmarkEnd w:id="78"/>
    <w:p>
      <w:pPr>
        <w:ind w:right="2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defeasance and covenant defeasance provisions of the Indenture apply to the Notes. The Notes will not be entitled to the benefits of any sinking fund.</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The Notes are subject to redemption at any time, in whole or in part, at the election of the Company, at a redemption price equal to (x) if the Notes are redeemed before March 1, 2030 (the “Par Call Date”), the sum of (1) 100% of the principal amount of the Notes being redeemed plus accrued and unpaid interest thereon up to, but excluding, the Redemption Date, and (2) the Make-Whole Amount or (y) if the Notes are redeemed on or after the Par Call Date, 100% of the principal amount of the Notes to be redeemed plus accrued and unpaid interest to, but excluding, the Redemption Date; provided, however, that installments of interest on this Note whose Stated Maturity Date is on or prior to such Redemption Date will be payable to the Holder of this Note, or one or more Predecessor Securities, of record at the close of business on the relevant Record Dates referred to on the face hereof, all as provided in the Indenture.</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firstLine="423"/>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Make-Whole Amount</w:t>
      </w:r>
      <w:r>
        <w:rPr>
          <w:rFonts w:ascii="Arial" w:cs="Arial" w:eastAsia="Arial" w:hAnsi="Arial"/>
          <w:sz w:val="16"/>
          <w:szCs w:val="16"/>
          <w:color w:val="auto"/>
        </w:rPr>
        <w:t>” means, in connection with any redemption of the Notes, the excess, if any, of (x) the aggregate present value as of the Redemption Date of each dollar of principal being redeemed and the amount of interest, calculated by the Company, excluding interest accrued to the Redemption Date, that would have been payable in respect of such dollar if such redemption had been made on the Par Call Date, determined by discounting, on a semi-annual basis, such principal and interest at the Reinvestment Rate, determined on the third Business Day preceding the date notice of such redemption is given, from the respective dates on which the principal and interest would have been payable if such redemption had been made on the Par Call Date, over the aggregate principal amount of the Notes being redeemed.</w:t>
      </w:r>
    </w:p>
    <w:p>
      <w:pPr>
        <w:spacing w:after="0" w:line="56" w:lineRule="exact"/>
        <w:rPr>
          <w:sz w:val="20"/>
          <w:szCs w:val="20"/>
          <w:color w:val="auto"/>
        </w:rPr>
      </w:pPr>
    </w:p>
    <w:p>
      <w:pPr>
        <w:ind w:left="440" w:right="20" w:firstLine="423"/>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Reinvestment Rate</w:t>
      </w:r>
      <w:r>
        <w:rPr>
          <w:rFonts w:ascii="Arial" w:cs="Arial" w:eastAsia="Arial" w:hAnsi="Arial"/>
          <w:sz w:val="17"/>
          <w:szCs w:val="17"/>
          <w:color w:val="auto"/>
        </w:rPr>
        <w:t>” means a rate per annum equal to the sum of forty-five basis points (0.45%) plus the yield on treasury securities at constant maturity under the heading “Week Ending” published in the Statistical Release under the caption “Treasury Constant Maturities” for the maturity (rounded to the nearest month) corresponding to the remaining life to maturity of the Notes (which maturity shall be deemed to be the Par Call Date) as of the payment date of the principal being redeemed. If no maturity exactly corresponds to such maturity, yields for the two published maturities most closely corresponding to such maturity shall be calculated pursuant to the immediately preceding sentence and the Reinvestment Rate shall be interpolated or extrapolated from such yields on a straight-line basis, rounding in each of such relevant periods to the nearest month. For purposes of calculating the Reinvestment Rate, the most recent Statistical Release published prior to the date of determination of the Make-Whole Amount shall be used. If the format or content of the Statistical Release changes in a manner that precludes determination of the yield on treasury in the above manner, then the yield on treasury will be determined in the manner that most closely approximates the above manner, as the Company reasonably determines.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79" w:name="page80"/>
    <w:bookmarkEnd w:id="79"/>
    <w:p>
      <w:pPr>
        <w:jc w:val="both"/>
        <w:ind w:left="440" w:firstLine="423"/>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i w:val="1"/>
          <w:iCs w:val="1"/>
          <w:color w:val="auto"/>
        </w:rPr>
        <w:t>Statistical Release</w:t>
      </w:r>
      <w:r>
        <w:rPr>
          <w:rFonts w:ascii="Arial" w:cs="Arial" w:eastAsia="Arial" w:hAnsi="Arial"/>
          <w:sz w:val="16"/>
          <w:szCs w:val="16"/>
          <w:color w:val="auto"/>
        </w:rPr>
        <w:t>” means the statistical release designated “Selected Interest Rates (Daily)—H.15” or any successor publication which is published by the Federal Reserve System and which establishes yields on actively traded United States government securities adjusted to constant maturities or, if such statistical release is not published at the time of any determination under the Indenture, then any publicly available source of similar market data used for this purpose in accordance with customary market practice which the Company shall designate.</w:t>
      </w:r>
    </w:p>
    <w:p>
      <w:pPr>
        <w:spacing w:after="0" w:line="157"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Notice of any redemption of the Notes will be given by mail to Holders of Securities, not less than 15 nor more than 60 days prior to the Redemption Date, all as provided in the Indenture.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the event of redemption of this Note in part only, a new Note or Notes for the unredeemed portion hereof shall be issued in the name of the Holder hereof upon the cancellation hereof.</w:t>
      </w:r>
    </w:p>
    <w:p>
      <w:pPr>
        <w:spacing w:after="0" w:line="170"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of the aggregate principal amount of all Securities issued under the Indenture at the time Outstanding and affected thereby. The Indenture also contains provisions permitting the Holders of not less than a majority of the aggregate principal amount of the Outstanding Securities, on behalf of the Holders of all such Securities, to waive compliance by the Company with certain provisions of the Indenture. Furthermore, provisions in the Indenture permit the Holders of not less than a majority of the aggregate principal amount, in certain instances, of the Outstanding Securities of any series to waive, on behalf of all of the Holders of Securities of such series, certain past defaults under the Indenture and their consequences. Any such consent or waiver by the Holder of this Note shall be conclusive and binding upon such Holder and upon all future Holders of this Note and other Notes issued upon the registration of transfer hereof or in exchange herefor or in lieu hereof, whether or not notation of such consent or waiver is made upon this Note.</w:t>
      </w:r>
    </w:p>
    <w:p>
      <w:pPr>
        <w:spacing w:after="0" w:line="185"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the principal of (and premium, if any) and interest on this Note at the times, places and rate, and in the coin or currency, herein prescribed.</w:t>
      </w:r>
    </w:p>
    <w:p>
      <w:pPr>
        <w:spacing w:after="0" w:line="184"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The Company will not, and will not permit any Subsidiary to, incur any Debt (as defined below) if, immediately after giving effect to the incurrence of such Debt and the application of the proceeds thereof, the aggregate principal amount of all outstanding Debt of the Company and its Subsidiaries on a consolidated basis determined in accordance with generally accepted accounting principles is greater than 60% of the sum of (without duplication) (i)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(ii)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80" w:name="page81"/>
    <w:bookmarkEnd w:id="80"/>
    <w:p>
      <w:pPr>
        <w:ind w:right="4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the foregoing limitation on the incurrence of Debt, the Company will not, and will not permit any Subsidiary to, incur any Debt secured by any mortgage, lien, charge, pledge, encumbrance or security interest of any kind upon any property of the Company or any Subsidiary if, immediately after giving effect to the incurrence of such Debt and the application of the proceeds thereof, the aggregate principal amount of all outstanding Debt of the Company and its Subsidiaries on a consolidated basis which is secured by any mortgage, lien, charge, pledge, encumbrance or security interest on property of the Company or any Subsidiary is greater than 40% of the sum of (without duplication) (1) Total Assets as of the end of the calendar quarter covered in the Company’s Annual Report on Form 10-K or Quarterly Report on Form 10-Q, as the case may be, most recently filed with the Securities and Exchange Commission (or, if such filing is not permitted under the Securities Exchange Act of 1934,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the Company or any Subsidiary since the end of such calendar quarter, including those proceeds obtained in connection with the incurrence of such additional Debt; provided, however, that for purposes of this limitation, the amount of obligations under capital leases shown as a liability on the Company’s consolidated balance sheet shall be deducted from Debt and from Total Assets.</w:t>
      </w:r>
    </w:p>
    <w:p>
      <w:pPr>
        <w:spacing w:after="0" w:line="16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Furthermore, the Company will not, and will not permit any Subsidiary to, incur any Debt if the ratio of Consolidated Income Available for Debt Service (as defined below) to the Annual Debt Service Charge (as defined below)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(i) such Debt and any other Debt incurred by the Company and its Subsidiaries since the first day of such four-quarter period and the application of the proceeds therefrom, including to refinance other Debt, had occurred at the beginning of such period; (ii) the repayment or retirement of any other Debt by the Company and its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(iii)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(iv) in the case of any acquisition or disposition by the Company or its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81" w:name="page82"/>
    <w:bookmarkEnd w:id="81"/>
    <w:p>
      <w:pPr>
        <w:ind w:right="4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Furthermore, the Company and its Subsidiaries taken as a whole, will, at all times maintain an Unencumbered Total Asset Value (as defined below) in an amount not less than 150% of the aggregate outstanding principal amount of the unsecured Debt of the Company and its Subsidiaries, taken as a whole.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used herein,</w:t>
      </w:r>
    </w:p>
    <w:p>
      <w:pPr>
        <w:spacing w:after="0" w:line="117" w:lineRule="exact"/>
        <w:rPr>
          <w:sz w:val="20"/>
          <w:szCs w:val="20"/>
          <w:color w:val="auto"/>
        </w:rPr>
      </w:pPr>
    </w:p>
    <w:p>
      <w:pPr>
        <w:ind w:left="440" w:firstLine="42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(i) existing at the time such Person becomes a Subsidiary or (ii)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79" w:lineRule="exact"/>
        <w:rPr>
          <w:sz w:val="20"/>
          <w:szCs w:val="20"/>
          <w:color w:val="auto"/>
        </w:rPr>
      </w:pPr>
    </w:p>
    <w:p>
      <w:pPr>
        <w:ind w:left="4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Debt of the Company and its Subsidiaries and the amount of dividends which are payable in respect of any Disqualified Stock (as defined below).</w:t>
      </w:r>
    </w:p>
    <w:p>
      <w:pPr>
        <w:spacing w:after="0" w:line="76" w:lineRule="exact"/>
        <w:rPr>
          <w:sz w:val="20"/>
          <w:szCs w:val="20"/>
          <w:color w:val="auto"/>
        </w:rPr>
      </w:pPr>
    </w:p>
    <w:p>
      <w:pPr>
        <w:ind w:left="440" w:right="4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76" w:lineRule="exact"/>
        <w:rPr>
          <w:sz w:val="20"/>
          <w:szCs w:val="20"/>
          <w:color w:val="auto"/>
        </w:rPr>
      </w:pPr>
    </w:p>
    <w:p>
      <w:pPr>
        <w:ind w:left="440" w:right="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Funds from Operations (as defined below) of the Company and its Subsidiaries plus amounts which have been deducted for interest on Debt of the Company and its Subsidiaries.</w:t>
      </w:r>
    </w:p>
    <w:p>
      <w:pPr>
        <w:spacing w:after="0" w:line="62" w:lineRule="exact"/>
        <w:rPr>
          <w:sz w:val="20"/>
          <w:szCs w:val="20"/>
          <w:color w:val="auto"/>
        </w:rPr>
      </w:pPr>
    </w:p>
    <w:p>
      <w:pPr>
        <w:ind w:left="440" w:firstLine="423"/>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means any indebtedness of the Company, or any Subsidiary, whether or not contingent, in respect of (without duplication) (i) borrowed money evidenced by bonds, notes, debentures or similar instruments, (ii) indebtedness secured by any mortgage, pledge, lien, charge, encumbrance or any security interest existing on property owned by the Company or any Subsidiary, (iii)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(iv) the principal amount of all obligations of the Company or any Subsidiary with respect to redemption, repayment or other repurchase of any Disqualified Stock or (v) any lease of property by the Company or any Subsidiary as lessee which is reflected on the Company’s consolidated balance sheet as a financing lease liability in accordance with generally accepted accounting principles to the extent, in the case of items of indebtedness under (i) through (iii) above, that any such items (other than letters of credit) would appear as a liability on the Company’s consolidated balance sheet in accordance with generally accepted accounting principles,</w:t>
      </w:r>
    </w:p>
    <w:p>
      <w:pPr>
        <w:spacing w:after="0" w:line="1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4" w:right="539" w:bottom="1440" w:gutter="0" w:footer="0" w:header="0"/>
        </w:sectPr>
      </w:pPr>
    </w:p>
    <w:bookmarkStart w:id="82" w:name="page83"/>
    <w:bookmarkEnd w:id="82"/>
    <w:p>
      <w:pPr>
        <w:ind w:left="4"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also includes, to the extent not otherwise included, any obligation of the Company or any Subsidiary to be liable for, or to pay, as obligor, guarantor or otherwise (other than for purposes of collection in the ordinary course of business or for the purposes of guaranteeing the payment of all amounts due and owing pursuant to leases to which the Company is a party and has assigned its interest,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assignee of the Company is not in default of any amounts due and owing under such leases), Debt of another Person (other than the Company or any Subsidiary) (it being understood that Debt shall be deemed to be incurred by the Company or any Subsidiary whenever the Company or such Subsidiary shall create, assume, guarantee or otherwise become liable in respect thereof).</w:t>
      </w:r>
    </w:p>
    <w:p>
      <w:pPr>
        <w:spacing w:after="0" w:line="70" w:lineRule="exact"/>
        <w:rPr>
          <w:sz w:val="20"/>
          <w:szCs w:val="20"/>
          <w:color w:val="auto"/>
        </w:rPr>
      </w:pPr>
    </w:p>
    <w:p>
      <w:pPr>
        <w:ind w:left="4" w:right="40" w:firstLine="42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w:t>
      </w:r>
    </w:p>
    <w:p>
      <w:pPr>
        <w:ind w:left="4" w:hanging="4"/>
        <w:spacing w:after="0" w:line="255" w:lineRule="auto"/>
        <w:tabs>
          <w:tab w:leader="none" w:pos="218"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matures or is mandatorily redeemable, pursuant to a sinking fund obligation or otherwise, (ii) is convertible into or exchangeable or exercisable for Debt or Disqualified Stock or (iii) is redeemable at the option of the holder thereof, in whole or in part, in each case on or prior to the Stated Maturity of the Notes.</w:t>
      </w:r>
    </w:p>
    <w:p>
      <w:pPr>
        <w:spacing w:after="0" w:line="82" w:lineRule="exact"/>
        <w:rPr>
          <w:sz w:val="20"/>
          <w:szCs w:val="20"/>
          <w:color w:val="auto"/>
        </w:rPr>
      </w:pPr>
    </w:p>
    <w:p>
      <w:pPr>
        <w:ind w:left="4" w:right="42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62" w:lineRule="exact"/>
        <w:rPr>
          <w:sz w:val="20"/>
          <w:szCs w:val="20"/>
          <w:color w:val="auto"/>
        </w:rPr>
      </w:pPr>
    </w:p>
    <w:p>
      <w:pPr>
        <w:ind w:left="4" w:right="240" w:firstLine="42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Total Assets</w:t>
      </w:r>
      <w:r>
        <w:rPr>
          <w:rFonts w:ascii="Arial" w:cs="Arial" w:eastAsia="Arial" w:hAnsi="Arial"/>
          <w:sz w:val="16"/>
          <w:szCs w:val="16"/>
          <w:color w:val="auto"/>
        </w:rPr>
        <w:t>” as of any date means the sum of (i) the Company’s and its Subsidiaries’ Undepreciated Real Estate Assets and (ii) all other assets of the Company and its Subsidiaries determined in accordance with generally accepted accounting principles (but excluding goodwill).</w:t>
      </w:r>
    </w:p>
    <w:p>
      <w:pPr>
        <w:spacing w:after="0" w:line="16" w:lineRule="exact"/>
        <w:rPr>
          <w:sz w:val="20"/>
          <w:szCs w:val="20"/>
          <w:color w:val="auto"/>
        </w:rPr>
      </w:pPr>
    </w:p>
    <w:p>
      <w:pPr>
        <w:ind w:left="4" w:right="8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Undepreciated Real Estate Assets</w:t>
      </w:r>
      <w:r>
        <w:rPr>
          <w:rFonts w:ascii="Arial" w:cs="Arial" w:eastAsia="Arial" w:hAnsi="Arial"/>
          <w:sz w:val="18"/>
          <w:szCs w:val="18"/>
          <w:color w:val="auto"/>
        </w:rPr>
        <w:t>” as of any date means the cost (original cost plus capital improvements) of real estate assets and finance lease right of use assets of the Company and its Subsidiaries on such date, before depreciation and amortization determined on a consolidated basis in accordance with generally accepted accounting principles.</w:t>
      </w:r>
    </w:p>
    <w:p>
      <w:pPr>
        <w:spacing w:after="0" w:line="76" w:lineRule="exact"/>
        <w:rPr>
          <w:sz w:val="20"/>
          <w:szCs w:val="20"/>
          <w:color w:val="auto"/>
        </w:rPr>
      </w:pPr>
    </w:p>
    <w:p>
      <w:pPr>
        <w:ind w:left="4" w:right="100" w:firstLine="42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Unencumbered Total Asset Value</w:t>
      </w:r>
      <w:r>
        <w:rPr>
          <w:rFonts w:ascii="Arial" w:cs="Arial" w:eastAsia="Arial" w:hAnsi="Arial"/>
          <w:sz w:val="16"/>
          <w:szCs w:val="16"/>
          <w:color w:val="auto"/>
        </w:rPr>
        <w:t>” as of any date means the sum of (i) those Undepreciated Real Estate Assets not encumbered by any mortgage, lien, charge, pledge or security interest and (ii) all other assets of the Company and each of its Subsidiaries on a consolidated basis determined in accordance with generally accepted accounting principles (but excluding intangibles and accounts receivable), in each case which are unencumbered by any mortgage, lien, charge, pledge or security interest; provided, however, that in determining Unencumbered Total Asset Value for purposes of the covenant relating to the maintenance of Unencumbered Total Asset Value, all investments by the Company and any of the Company’s subsidiaries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9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4"/>
          </w:cols>
          <w:pgMar w:left="876" w:top="274" w:right="479" w:bottom="1440" w:gutter="0" w:footer="0" w:header="0"/>
        </w:sectPr>
      </w:pPr>
    </w:p>
    <w:bookmarkStart w:id="83" w:name="page84"/>
    <w:bookmarkEnd w:id="83"/>
    <w:p>
      <w:pPr>
        <w:ind w:right="4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Furthermore, the Company will, and will cause each of its Subsidiaries to, maintain insurance with financially sound and reputable insurance companies against such risks and in such amounts as is customarily maintained by Persons engaged in similar businesses or as may be required by applicable law, and the Company will from time to time deliver to the Administrative Agent (as such term is defined in the Amended and Restated Credit Agreement dated as of July 25, 2019, between the Company and the various financial institutions named therein,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78"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As provided in the Indenture and subject to certain limitations therein and herein set forth, the transfer of this Note is registrable in the Security Register of the Company upon surrender of this Note for registration of transfer at the office or agency of the Company in any place where the principal of (and premium, if any) and interest on this Note are payable, duly endorsed by, or accompanied by a written instrument of transfer in form satisfactory to the Company and the Security Registrar duly executed by, the Holder hereof or by his attorney duly authorized in writing, and thereupon one or more new Notes, of authorized denominations and for the same aggregate principal amount, will be issued to the designated transferee or transferees.</w:t>
      </w:r>
    </w:p>
    <w:p>
      <w:pPr>
        <w:spacing w:after="0" w:line="192"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As provided in the Indenture and subject to certain limitations therein and herein set forth, this Note is exchangeable for a like aggregate principal amount of Notes of different authorized denominations but otherwise having the same terms and conditions, as requested by the Holder hereof surrendering the same.</w:t>
      </w:r>
    </w:p>
    <w:p>
      <w:pPr>
        <w:spacing w:after="0" w:line="184"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The Securities of this series are issuable only in registered form without coupons in denominations of $2,000 and any integral multiples of $1,000 in excess thereof.</w:t>
      </w:r>
    </w:p>
    <w:p>
      <w:pPr>
        <w:spacing w:after="0" w:line="170"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The Indenture and the Notes shall be governed by and construed in accordance with the laws of the State of New York applicable to agreements made and to be performed entirely in such State.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sectPr>
      <w:pgSz w:w="11900" w:h="16838" w:orient="portrait"/>
      <w:cols w:equalWidth="0" w:num="1">
        <w:col w:w="10940"/>
      </w:cols>
      <w:pgMar w:left="440" w:top="27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1)"/>
      <w:numFmt w:val="lowerLetter"/>
      <w:start w:val="4"/>
    </w:lvl>
  </w:abstractNum>
  <w:abstractNum w:abstractNumId="2">
    <w:nsid w:val="54E49EB4"/>
    <w:multiLevelType w:val="hybridMultilevel"/>
    <w:lvl w:ilvl="0">
      <w:lvlJc w:val="left"/>
      <w:lvlText w:val="%1"/>
      <w:numFmt w:val="decimal"/>
      <w:start w:val="104"/>
    </w:lvl>
  </w:abstractNum>
  <w:abstractNum w:abstractNumId="3">
    <w:nsid w:val="71F32454"/>
    <w:multiLevelType w:val="hybridMultilevel"/>
    <w:lvl w:ilvl="0">
      <w:lvlJc w:val="left"/>
      <w:lvlText w:val="%1."/>
      <w:numFmt w:val="decimal"/>
      <w:start w:val="1"/>
    </w:lvl>
    <w:lvl w:ilvl="1">
      <w:lvlJc w:val="left"/>
      <w:lvlText w:val="(%2)"/>
      <w:numFmt w:val="lowerLetter"/>
      <w:start w:val="1"/>
    </w:lvl>
  </w:abstractNum>
  <w:abstractNum w:abstractNumId="4">
    <w:nsid w:val="2CA88611"/>
    <w:multiLevelType w:val="hybridMultilevel"/>
    <w:lvl w:ilvl="0">
      <w:lvlJc w:val="left"/>
      <w:lvlText w:val="(%1)"/>
      <w:numFmt w:val="lowerLetter"/>
      <w:start w:val="2"/>
    </w:lvl>
  </w:abstractNum>
  <w:abstractNum w:abstractNumId="5">
    <w:nsid w:val="836C40E"/>
    <w:multiLevelType w:val="hybridMultilevel"/>
    <w:lvl w:ilvl="0">
      <w:lvlJc w:val="left"/>
      <w:lvlText w:val="(%1)"/>
      <w:numFmt w:val="lowerLetter"/>
      <w:start w:val="3"/>
    </w:lvl>
  </w:abstractNum>
  <w:abstractNum w:abstractNumId="6">
    <w:nsid w:val="2901D82"/>
    <w:multiLevelType w:val="hybridMultilevel"/>
    <w:lvl w:ilvl="0">
      <w:lvlJc w:val="left"/>
      <w:lvlText w:val="(%1)"/>
      <w:numFmt w:val="upperLetter"/>
      <w:start w:val="1"/>
    </w:lvl>
  </w:abstractNum>
  <w:abstractNum w:abstractNumId="7">
    <w:nsid w:val="3A95F874"/>
    <w:multiLevelType w:val="hybridMultilevel"/>
    <w:lvl w:ilvl="0">
      <w:lvlJc w:val="left"/>
      <w:lvlText w:val="(%1)"/>
      <w:numFmt w:val="lowerLetter"/>
      <w:start w:val="4"/>
    </w:lvl>
  </w:abstractNum>
  <w:abstractNum w:abstractNumId="8">
    <w:nsid w:val="8138641"/>
    <w:multiLevelType w:val="hybridMultilevel"/>
    <w:lvl w:ilvl="0">
      <w:lvlJc w:val="left"/>
      <w:lvlText w:val="(%1)"/>
      <w:numFmt w:val="lowerLetter"/>
      <w:start w:val="7"/>
    </w:lvl>
  </w:abstractNum>
  <w:abstractNum w:abstractNumId="9">
    <w:nsid w:val="1E7FF521"/>
    <w:multiLevelType w:val="hybridMultilevel"/>
    <w:lvl w:ilvl="0">
      <w:lvlJc w:val="left"/>
      <w:lvlText w:val="%1"/>
      <w:numFmt w:val="lowerLetter"/>
      <w:start w:val="1"/>
    </w:lvl>
    <w:lvl w:ilvl="1">
      <w:lvlJc w:val="left"/>
      <w:lvlText w:val="(%2)"/>
      <w:numFmt w:val="lowerLetter"/>
      <w:start w:val="8"/>
    </w:lvl>
  </w:abstractNum>
  <w:abstractNum w:abstractNumId="10">
    <w:nsid w:val="7C3DBD3D"/>
    <w:multiLevelType w:val="hybridMultilevel"/>
    <w:lvl w:ilvl="0">
      <w:lvlJc w:val="left"/>
      <w:lvlText w:val="(%1)"/>
      <w:numFmt w:val="lowerLetter"/>
      <w:start w:val="61"/>
    </w:lvl>
    <w:lvl w:ilvl="1">
      <w:lvlJc w:val="left"/>
      <w:lvlText w:val="%2"/>
      <w:numFmt w:val="lowerLetter"/>
      <w:start w:val="1"/>
    </w:lvl>
  </w:abstractNum>
  <w:abstractNum w:abstractNumId="11">
    <w:nsid w:val="737B8DDC"/>
    <w:multiLevelType w:val="hybridMultilevel"/>
    <w:lvl w:ilvl="0">
      <w:lvlJc w:val="left"/>
      <w:lvlText w:val="(%1)"/>
      <w:numFmt w:val="lowerLetter"/>
      <w:start w:val="12"/>
    </w:lvl>
  </w:abstractNum>
  <w:abstractNum w:abstractNumId="12">
    <w:nsid w:val="6CEAF087"/>
    <w:multiLevelType w:val="hybridMultilevel"/>
    <w:lvl w:ilvl="0">
      <w:lvlJc w:val="left"/>
      <w:lvlText w:val="(%1)"/>
      <w:numFmt w:val="lowerLetter"/>
      <w:start w:val="14"/>
    </w:lvl>
  </w:abstractNum>
  <w:abstractNum w:abstractNumId="13">
    <w:nsid w:val="22221A70"/>
    <w:multiLevelType w:val="hybridMultilevel"/>
    <w:lvl w:ilvl="0">
      <w:lvlJc w:val="left"/>
      <w:lvlText w:val="(%1)"/>
      <w:numFmt w:val="lowerLetter"/>
      <w:start w:val="35"/>
    </w:lvl>
    <w:lvl w:ilvl="1">
      <w:lvlJc w:val="left"/>
      <w:lvlText w:val="(%2)"/>
      <w:numFmt w:val="lowerLetter"/>
      <w:start w:val="20"/>
    </w:lvl>
  </w:abstractNum>
  <w:abstractNum w:abstractNumId="14">
    <w:nsid w:val="4516DDE9"/>
    <w:multiLevelType w:val="hybridMultilevel"/>
    <w:lvl w:ilvl="0">
      <w:lvlJc w:val="left"/>
      <w:lvlText w:val="(%1)"/>
      <w:numFmt w:val="lowerLetter"/>
      <w:start w:val="23"/>
    </w:lvl>
  </w:abstractNum>
  <w:abstractNum w:abstractNumId="15">
    <w:nsid w:val="3006C83E"/>
    <w:multiLevelType w:val="hybridMultilevel"/>
    <w:lvl w:ilvl="0">
      <w:lvlJc w:val="left"/>
      <w:lvlText w:val="(%1)"/>
      <w:numFmt w:val="lowerLetter"/>
      <w:start w:val="26"/>
    </w:lvl>
  </w:abstractNum>
  <w:abstractNum w:abstractNumId="16">
    <w:nsid w:val="614FD4A1"/>
    <w:multiLevelType w:val="hybridMultilevel"/>
    <w:lvl w:ilvl="0">
      <w:lvlJc w:val="left"/>
      <w:lvlText w:val="(%1)"/>
      <w:numFmt w:val="lowerLetter"/>
      <w:start w:val="27"/>
    </w:lvl>
  </w:abstractNum>
  <w:abstractNum w:abstractNumId="17">
    <w:nsid w:val="419AC241"/>
    <w:multiLevelType w:val="hybridMultilevel"/>
    <w:lvl w:ilvl="0">
      <w:lvlJc w:val="left"/>
      <w:lvlText w:val="%1."/>
      <w:numFmt w:val="decimal"/>
      <w:start w:val="3"/>
    </w:lvl>
    <w:lvl w:ilvl="1">
      <w:lvlJc w:val="left"/>
      <w:lvlText w:val="(%2)"/>
      <w:numFmt w:val="lowerLetter"/>
      <w:start w:val="1"/>
    </w:lvl>
  </w:abstractNum>
  <w:abstractNum w:abstractNumId="18">
    <w:nsid w:val="5577F8E1"/>
    <w:multiLevelType w:val="hybridMultilevel"/>
    <w:lvl w:ilvl="0">
      <w:lvlJc w:val="left"/>
      <w:lvlText w:val="(%1)"/>
      <w:numFmt w:val="lowerLetter"/>
      <w:start w:val="2"/>
    </w:lvl>
  </w:abstractNum>
  <w:abstractNum w:abstractNumId="19">
    <w:nsid w:val="440BADFC"/>
    <w:multiLevelType w:val="hybridMultilevel"/>
    <w:lvl w:ilvl="0">
      <w:lvlJc w:val="left"/>
      <w:lvlText w:val="(%1)"/>
      <w:numFmt w:val="lowerLetter"/>
      <w:start w:val="4"/>
    </w:lvl>
  </w:abstractNum>
  <w:abstractNum w:abstractNumId="20">
    <w:nsid w:val="5072367"/>
    <w:multiLevelType w:val="hybridMultilevel"/>
    <w:lvl w:ilvl="0">
      <w:lvlJc w:val="left"/>
      <w:lvlText w:val="(%1)"/>
      <w:numFmt w:val="lowerLetter"/>
      <w:start w:val="7"/>
    </w:lvl>
  </w:abstractNum>
  <w:abstractNum w:abstractNumId="21">
    <w:nsid w:val="3804823E"/>
    <w:multiLevelType w:val="hybridMultilevel"/>
    <w:lvl w:ilvl="0">
      <w:lvlJc w:val="left"/>
      <w:lvlText w:val="%1"/>
      <w:numFmt w:val="decimal"/>
      <w:start w:val="1"/>
    </w:lvl>
    <w:lvl w:ilvl="1">
      <w:lvlJc w:val="left"/>
      <w:lvlText w:val="(%2)"/>
      <w:numFmt w:val="lowerLetter"/>
      <w:start w:val="9"/>
    </w:lvl>
  </w:abstractNum>
  <w:abstractNum w:abstractNumId="22">
    <w:nsid w:val="77465F01"/>
    <w:multiLevelType w:val="hybridMultilevel"/>
    <w:lvl w:ilvl="0">
      <w:lvlJc w:val="left"/>
      <w:lvlText w:val="%1."/>
      <w:numFmt w:val="decimal"/>
      <w:start w:val="6"/>
    </w:lvl>
    <w:lvl w:ilvl="1">
      <w:lvlJc w:val="left"/>
      <w:lvlText w:val="%2"/>
      <w:numFmt w:val="lowerLetter"/>
      <w:start w:val="1"/>
    </w:lvl>
  </w:abstractNum>
  <w:abstractNum w:abstractNumId="23">
    <w:nsid w:val="7724C67E"/>
    <w:multiLevelType w:val="hybridMultilevel"/>
    <w:lvl w:ilvl="0">
      <w:lvlJc w:val="left"/>
      <w:lvlText w:val="%1."/>
      <w:numFmt w:val="decimal"/>
      <w:start w:val="7"/>
    </w:lvl>
    <w:lvl w:ilvl="1">
      <w:lvlJc w:val="left"/>
      <w:lvlText w:val="(%2)"/>
      <w:numFmt w:val="lowerLetter"/>
      <w:start w:val="1"/>
    </w:lvl>
  </w:abstractNum>
  <w:abstractNum w:abstractNumId="24">
    <w:nsid w:val="5C482A97"/>
    <w:multiLevelType w:val="hybridMultilevel"/>
    <w:lvl w:ilvl="0">
      <w:lvlJc w:val="left"/>
      <w:lvlText w:val="%1"/>
      <w:numFmt w:val="upperLetter"/>
      <w:start w:val="1"/>
    </w:lvl>
    <w:lvl w:ilvl="1">
      <w:lvlJc w:val="left"/>
      <w:lvlText w:val="(%2)"/>
      <w:numFmt w:val="lowerLetter"/>
      <w:start w:val="2"/>
    </w:lvl>
  </w:abstractNum>
  <w:abstractNum w:abstractNumId="25">
    <w:nsid w:val="2463B9EA"/>
    <w:multiLevelType w:val="hybridMultilevel"/>
    <w:lvl w:ilvl="0">
      <w:lvlJc w:val="left"/>
      <w:lvlText w:val="(%1)"/>
      <w:numFmt w:val="upperLetter"/>
      <w:start w:val="2"/>
    </w:lvl>
    <w:lvl w:ilvl="1">
      <w:lvlJc w:val="left"/>
      <w:lvlText w:val="%2"/>
      <w:numFmt w:val="lowerLetter"/>
      <w:start w:val="1"/>
    </w:lvl>
  </w:abstractNum>
  <w:abstractNum w:abstractNumId="26">
    <w:nsid w:val="5E884ADC"/>
    <w:multiLevelType w:val="hybridMultilevel"/>
    <w:lvl w:ilvl="0">
      <w:lvlJc w:val="left"/>
      <w:lvlText w:val="%1"/>
      <w:numFmt w:val="lowerLetter"/>
      <w:start w:val="1"/>
    </w:lvl>
    <w:lvl w:ilvl="1">
      <w:lvlJc w:val="left"/>
      <w:lvlText w:val="(%2)"/>
      <w:numFmt w:val="lowerLetter"/>
      <w:start w:val="7"/>
    </w:lvl>
  </w:abstractNum>
  <w:abstractNum w:abstractNumId="27">
    <w:nsid w:val="51EAD36B"/>
    <w:multiLevelType w:val="hybridMultilevel"/>
    <w:lvl w:ilvl="0">
      <w:lvlJc w:val="left"/>
      <w:lvlText w:val="(%1)"/>
      <w:numFmt w:val="lowerLetter"/>
      <w:start w:val="9"/>
    </w:lvl>
    <w:lvl w:ilvl="1">
      <w:lvlJc w:val="left"/>
      <w:lvlText w:val="%2"/>
      <w:numFmt w:val="lowerLetter"/>
      <w:start w:val="1"/>
    </w:lvl>
  </w:abstractNum>
  <w:abstractNum w:abstractNumId="28">
    <w:nsid w:val="2D517796"/>
    <w:multiLevelType w:val="hybridMultilevel"/>
    <w:lvl w:ilvl="0">
      <w:lvlJc w:val="left"/>
      <w:lvlText w:val="%1"/>
      <w:numFmt w:val="decimal"/>
      <w:start w:val="1"/>
    </w:lvl>
    <w:lvl w:ilvl="1">
      <w:lvlJc w:val="left"/>
      <w:lvlText w:val="(%2)"/>
      <w:numFmt w:val="lowerLetter"/>
      <w:start w:val="9"/>
    </w:lvl>
  </w:abstractNum>
  <w:abstractNum w:abstractNumId="29">
    <w:nsid w:val="580BD78F"/>
    <w:multiLevelType w:val="hybridMultilevel"/>
    <w:lvl w:ilvl="0">
      <w:lvlJc w:val="left"/>
      <w:lvlText w:val="%1."/>
      <w:numFmt w:val="decimal"/>
      <w:start w:val="8"/>
    </w:lvl>
    <w:lvl w:ilvl="1">
      <w:lvlJc w:val="left"/>
      <w:lvlText w:val="%2"/>
      <w:numFmt w:val="lowerLetter"/>
      <w:start w:val="1"/>
    </w:lvl>
  </w:abstractNum>
  <w:abstractNum w:abstractNumId="30">
    <w:nsid w:val="153EA438"/>
    <w:multiLevelType w:val="hybridMultilevel"/>
    <w:lvl w:ilvl="0">
      <w:lvlJc w:val="left"/>
      <w:lvlText w:val="(%1)"/>
      <w:numFmt w:val="lowerLetter"/>
      <w:start w:val="2"/>
    </w:lvl>
  </w:abstractNum>
  <w:abstractNum w:abstractNumId="31">
    <w:nsid w:val="3855585C"/>
    <w:multiLevelType w:val="hybridMultilevel"/>
    <w:lvl w:ilvl="0">
      <w:lvlJc w:val="left"/>
      <w:lvlText w:val="%1"/>
      <w:numFmt w:val="lowerLetter"/>
      <w:start w:val="1"/>
    </w:lvl>
    <w:lvl w:ilvl="1">
      <w:lvlJc w:val="left"/>
      <w:lvlText w:val="(%2)"/>
      <w:numFmt w:val="lowerLetter"/>
      <w:start w:val="3"/>
    </w:lvl>
  </w:abstractNum>
  <w:abstractNum w:abstractNumId="32">
    <w:nsid w:val="70A64E2A"/>
    <w:multiLevelType w:val="hybridMultilevel"/>
    <w:lvl w:ilvl="0">
      <w:lvlJc w:val="left"/>
      <w:lvlText w:val="(%1)"/>
      <w:numFmt w:val="lowerLetter"/>
      <w:start w:val="1"/>
    </w:lvl>
    <w:lvl w:ilvl="1">
      <w:lvlJc w:val="left"/>
      <w:lvlText w:val="%2"/>
      <w:numFmt w:val="lowerLetter"/>
      <w:start w:val="1"/>
    </w:lvl>
  </w:abstractNum>
  <w:abstractNum w:abstractNumId="33">
    <w:nsid w:val="6A2342EC"/>
    <w:multiLevelType w:val="hybridMultilevel"/>
    <w:lvl w:ilvl="0">
      <w:lvlJc w:val="left"/>
      <w:lvlText w:val="(%1)"/>
      <w:numFmt w:val="lowerLetter"/>
      <w:start w:val="3"/>
    </w:lvl>
    <w:lvl w:ilvl="1">
      <w:lvlJc w:val="left"/>
      <w:lvlText w:val="(%2)"/>
      <w:numFmt w:val="lowerLetter"/>
      <w:start w:val="5"/>
    </w:lvl>
  </w:abstractNum>
  <w:abstractNum w:abstractNumId="34">
    <w:nsid w:val="2A487CB0"/>
    <w:multiLevelType w:val="hybridMultilevel"/>
    <w:lvl w:ilvl="0">
      <w:lvlJc w:val="left"/>
      <w:lvlText w:val="%1."/>
      <w:numFmt w:val="decimal"/>
      <w:start w:val="9"/>
    </w:lvl>
  </w:abstractNum>
  <w:abstractNum w:abstractNumId="35">
    <w:nsid w:val="1D4ED43B"/>
    <w:multiLevelType w:val="hybridMultilevel"/>
    <w:lvl w:ilvl="0">
      <w:lvlJc w:val="left"/>
      <w:lvlText w:val="(%1)"/>
      <w:numFmt w:val="lowerLetter"/>
      <w:start w:val="2"/>
    </w:lvl>
  </w:abstractNum>
  <w:abstractNum w:abstractNumId="36">
    <w:nsid w:val="725A06FB"/>
    <w:multiLevelType w:val="hybridMultilevel"/>
    <w:lvl w:ilvl="0">
      <w:lvlJc w:val="left"/>
      <w:lvlText w:val="%1."/>
      <w:numFmt w:val="decimal"/>
      <w:start w:val="10"/>
    </w:lvl>
  </w:abstractNum>
  <w:abstractNum w:abstractNumId="37">
    <w:nsid w:val="2CD89A32"/>
    <w:multiLevelType w:val="hybridMultilevel"/>
    <w:lvl w:ilvl="0">
      <w:lvlJc w:val="left"/>
      <w:lvlText w:val="%1."/>
      <w:numFmt w:val="decimal"/>
      <w:start w:val="13"/>
    </w:lvl>
  </w:abstractNum>
  <w:abstractNum w:abstractNumId="38">
    <w:nsid w:val="57E4CCAF"/>
    <w:multiLevelType w:val="hybridMultilevel"/>
    <w:lvl w:ilvl="0">
      <w:lvlJc w:val="left"/>
      <w:lvlText w:val="(%1)"/>
      <w:numFmt w:val="lowerRoman"/>
      <w:start w:val="3"/>
    </w:lvl>
  </w:abstractNum>
  <w:abstractNum w:abstractNumId="39">
    <w:nsid w:val="7A6D8D3C"/>
    <w:multiLevelType w:val="hybridMultilevel"/>
    <w:lvl w:ilvl="0">
      <w:lvlJc w:val="left"/>
      <w:lvlText w:val="%1."/>
      <w:numFmt w:val="decimal"/>
      <w:start w:val="18"/>
    </w:lvl>
  </w:abstractNum>
  <w:abstractNum w:abstractNumId="40">
    <w:nsid w:val="4B588F54"/>
    <w:multiLevelType w:val="hybridMultilevel"/>
    <w:lvl w:ilvl="0">
      <w:lvlJc w:val="left"/>
      <w:lvlText w:val="(%1)"/>
      <w:numFmt w:val="lowerRoman"/>
      <w:start w:val="1"/>
    </w:lvl>
  </w:abstractNum>
  <w:abstractNum w:abstractNumId="41">
    <w:nsid w:val="542289EC"/>
    <w:multiLevelType w:val="hybridMultilevel"/>
    <w:lvl w:ilvl="0">
      <w:lvlJc w:val="left"/>
      <w:lvlText w:val="1"/>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bullet"/>
      <w:start w:val="1"/>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4"/>
    </w:lvl>
    <w:lvl w:ilvl="1">
      <w:lvlJc w:val="left"/>
      <w:lvlText w:val="(%2)"/>
      <w:numFmt w:val="lowerLetter"/>
      <w:start w:val="1"/>
    </w:lvl>
  </w:abstractNum>
  <w:abstractNum w:abstractNumId="47">
    <w:nsid w:val="579478FE"/>
    <w:multiLevelType w:val="hybridMultilevel"/>
    <w:lvl w:ilvl="0">
      <w:lvlJc w:val="left"/>
      <w:lvlText w:val="(%1)"/>
      <w:numFmt w:val="lowerRoman"/>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1)"/>
      <w:numFmt w:val="decimal"/>
      <w:start w:val="4"/>
    </w:lvl>
    <w:lvl w:ilvl="1">
      <w:lvlJc w:val="left"/>
      <w:lvlText w:val="(%2)"/>
      <w:numFmt w:val="lowerLetter"/>
      <w:start w:val="1"/>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2020-05-12T15:16:42Z</dcterms:created>
  <dcterms:modified xsi:type="dcterms:W3CDTF">2020-05-12T15:16:42Z</dcterms:modified>
</cp:coreProperties>
</file>