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00"/>
        <w:spacing w:after="0"/>
        <w:rPr>
          <w:sz w:val="20"/>
          <w:szCs w:val="20"/>
          <w:color w:val="auto"/>
        </w:rPr>
      </w:pPr>
      <w:r>
        <w:rPr>
          <w:rFonts w:ascii="Courier New" w:cs="Courier New" w:eastAsia="Courier New" w:hAnsi="Courier New"/>
          <w:sz w:val="15"/>
          <w:szCs w:val="15"/>
          <w:color w:val="auto"/>
        </w:rPr>
        <w:t>UNITED STATES</w:t>
      </w:r>
    </w:p>
    <w:p>
      <w:pPr>
        <w:ind w:left="19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ANNUAL REPORT PURSUANT TO SECTION 13 OR 15 (d)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SECURITIES EXCHANGE ACT OF 1934</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FORM 10-K</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Fiscal Year Ended: December 31, 1995 Commission File No.17533</w:t>
      </w:r>
    </w:p>
    <w:p>
      <w:pPr>
        <w:ind w:left="6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ind w:left="1500"/>
        <w:spacing w:after="0"/>
        <w:tabs>
          <w:tab w:leader="none" w:pos="4540" w:val="left"/>
        </w:tabs>
        <w:rPr>
          <w:sz w:val="20"/>
          <w:szCs w:val="20"/>
          <w:color w:val="auto"/>
        </w:rPr>
      </w:pPr>
      <w:r>
        <w:rPr>
          <w:rFonts w:ascii="Courier New" w:cs="Courier New" w:eastAsia="Courier New" w:hAnsi="Courier New"/>
          <w:sz w:val="15"/>
          <w:szCs w:val="15"/>
          <w:color w:val="auto"/>
        </w:rPr>
        <w:t>District of Columbia</w:t>
      </w:r>
      <w:r>
        <w:rPr>
          <w:sz w:val="20"/>
          <w:szCs w:val="20"/>
          <w:color w:val="auto"/>
        </w:rPr>
        <w:tab/>
      </w:r>
      <w:r>
        <w:rPr>
          <w:rFonts w:ascii="Courier New" w:cs="Courier New" w:eastAsia="Courier New" w:hAnsi="Courier New"/>
          <w:sz w:val="14"/>
          <w:szCs w:val="14"/>
          <w:color w:val="auto"/>
        </w:rPr>
        <w:t>52-0782497</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tabs>
          <w:tab w:leader="none" w:pos="418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1140"/>
        <w:spacing w:after="0"/>
        <w:tabs>
          <w:tab w:leader="none" w:pos="428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67" w:lineRule="exact"/>
        <w:rPr>
          <w:sz w:val="24"/>
          <w:szCs w:val="24"/>
          <w:color w:val="auto"/>
        </w:rPr>
      </w:pPr>
    </w:p>
    <w:p>
      <w:pPr>
        <w:ind w:left="1060"/>
        <w:spacing w:after="0"/>
        <w:tabs>
          <w:tab w:leader="none" w:pos="5420" w:val="left"/>
        </w:tabs>
        <w:rPr>
          <w:sz w:val="20"/>
          <w:szCs w:val="20"/>
          <w:color w:val="auto"/>
        </w:rPr>
      </w:pPr>
      <w:r>
        <w:rPr>
          <w:rFonts w:ascii="Courier New" w:cs="Courier New" w:eastAsia="Courier New" w:hAnsi="Courier New"/>
          <w:sz w:val="15"/>
          <w:szCs w:val="15"/>
          <w:color w:val="auto"/>
        </w:rPr>
        <w:t>4800 Hampden Lane, Suite 500, Bethesda, Maryland</w:t>
      </w:r>
      <w:r>
        <w:rPr>
          <w:sz w:val="20"/>
          <w:szCs w:val="20"/>
          <w:color w:val="auto"/>
        </w:rPr>
        <w:tab/>
      </w:r>
      <w:r>
        <w:rPr>
          <w:rFonts w:ascii="Courier New" w:cs="Courier New" w:eastAsia="Courier New" w:hAnsi="Courier New"/>
          <w:sz w:val="14"/>
          <w:szCs w:val="14"/>
          <w:color w:val="auto"/>
        </w:rPr>
        <w:t>20814</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tabs>
          <w:tab w:leader="none" w:pos="49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(301) 652-3360</w:t>
      </w:r>
    </w:p>
    <w:p>
      <w:pPr>
        <w:jc w:val="center"/>
        <w:ind w:right="3399"/>
        <w:spacing w:after="0" w:line="237" w:lineRule="auto"/>
        <w:rPr>
          <w:sz w:val="20"/>
          <w:szCs w:val="20"/>
          <w:color w:val="auto"/>
        </w:rPr>
      </w:pPr>
      <w:r>
        <w:rPr>
          <w:rFonts w:ascii="Courier New" w:cs="Courier New" w:eastAsia="Courier New" w:hAnsi="Courier New"/>
          <w:sz w:val="15"/>
          <w:szCs w:val="15"/>
          <w:color w:val="auto"/>
        </w:rPr>
        <w:t>----------------------------------------------------</w:t>
      </w:r>
    </w:p>
    <w:p>
      <w:pPr>
        <w:jc w:val="center"/>
        <w:ind w:right="3399"/>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ind w:left="3780"/>
        <w:spacing w:after="0" w:line="237" w:lineRule="auto"/>
        <w:rPr>
          <w:sz w:val="20"/>
          <w:szCs w:val="20"/>
          <w:color w:val="auto"/>
        </w:rPr>
      </w:pPr>
      <w:r>
        <w:rPr>
          <w:rFonts w:ascii="Courier New" w:cs="Courier New" w:eastAsia="Courier New" w:hAnsi="Courier New"/>
          <w:sz w:val="15"/>
          <w:szCs w:val="15"/>
          <w:color w:val="auto"/>
        </w:rPr>
        <w:t>Name of Each Exchange</w:t>
      </w:r>
    </w:p>
    <w:p>
      <w:pPr>
        <w:spacing w:after="0"/>
        <w:tabs>
          <w:tab w:leader="none" w:pos="3760"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spacing w:after="0"/>
        <w:tabs>
          <w:tab w:leader="none" w:pos="39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tabs>
          <w:tab w:leader="none" w:pos="3760" w:val="left"/>
        </w:tabs>
        <w:rPr>
          <w:sz w:val="20"/>
          <w:szCs w:val="20"/>
          <w:color w:val="auto"/>
        </w:rPr>
      </w:pPr>
      <w:r>
        <w:rPr>
          <w:rFonts w:ascii="Courier New" w:cs="Courier New" w:eastAsia="Courier New" w:hAnsi="Courier New"/>
          <w:sz w:val="15"/>
          <w:szCs w:val="15"/>
          <w:color w:val="auto"/>
        </w:rPr>
        <w:t>Common Shares of Beneficial Interest</w:t>
      </w:r>
      <w:r>
        <w:rPr>
          <w:sz w:val="20"/>
          <w:szCs w:val="20"/>
          <w:color w:val="auto"/>
        </w:rPr>
        <w:tab/>
      </w:r>
      <w:r>
        <w:rPr>
          <w:rFonts w:ascii="Courier New" w:cs="Courier New" w:eastAsia="Courier New" w:hAnsi="Courier New"/>
          <w:sz w:val="14"/>
          <w:szCs w:val="14"/>
          <w:color w:val="auto"/>
        </w:rPr>
        <w:t>New York Stock Exchange</w:t>
      </w:r>
    </w:p>
    <w:p>
      <w:pPr>
        <w:spacing w:after="0"/>
        <w:tabs>
          <w:tab w:leader="none" w:pos="3760" w:val="left"/>
        </w:tabs>
        <w:rPr>
          <w:sz w:val="20"/>
          <w:szCs w:val="20"/>
          <w:color w:val="auto"/>
        </w:rPr>
      </w:pPr>
      <w:r>
        <w:rPr>
          <w:rFonts w:ascii="Courier New" w:cs="Courier New" w:eastAsia="Courier New" w:hAnsi="Courier New"/>
          <w:sz w:val="15"/>
          <w:szCs w:val="15"/>
          <w:color w:val="auto"/>
        </w:rPr>
        <w:t>Common Stock Purchase Rights</w:t>
      </w:r>
      <w:r>
        <w:rPr>
          <w:sz w:val="20"/>
          <w:szCs w:val="20"/>
          <w:color w:val="auto"/>
        </w:rPr>
        <w:tab/>
      </w:r>
      <w:r>
        <w:rPr>
          <w:rFonts w:ascii="Courier New" w:cs="Courier New" w:eastAsia="Courier New" w:hAnsi="Courier New"/>
          <w:sz w:val="14"/>
          <w:szCs w:val="14"/>
          <w:color w:val="auto"/>
        </w:rPr>
        <w:t>New York Stock Exchange</w:t>
      </w:r>
    </w:p>
    <w:p>
      <w:pPr>
        <w:spacing w:after="0" w:line="238" w:lineRule="auto"/>
        <w:rPr>
          <w:sz w:val="20"/>
          <w:szCs w:val="20"/>
          <w:color w:val="auto"/>
        </w:rPr>
      </w:pPr>
      <w:r>
        <w:rPr>
          <w:rFonts w:ascii="Courier New" w:cs="Courier New" w:eastAsia="Courier New" w:hAnsi="Courier New"/>
          <w:sz w:val="15"/>
          <w:szCs w:val="15"/>
          <w:color w:val="auto"/>
        </w:rPr>
        <w:t>Preferred Shares of Beneficial Interest*</w:t>
      </w:r>
    </w:p>
    <w:p>
      <w:pPr>
        <w:spacing w:after="0" w:line="5" w:lineRule="exact"/>
        <w:rPr>
          <w:sz w:val="24"/>
          <w:szCs w:val="24"/>
          <w:color w:val="auto"/>
        </w:rPr>
      </w:pPr>
    </w:p>
    <w:p>
      <w:pPr>
        <w:ind w:right="5059" w:firstLine="10"/>
        <w:spacing w:after="0" w:line="509"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issued, registered pursuant to a shelf registration Securities registered pursuant to Section 12(g) of the Act:</w:t>
      </w:r>
    </w:p>
    <w:p>
      <w:pPr>
        <w:spacing w:after="0" w:line="230" w:lineRule="auto"/>
        <w:rPr>
          <w:sz w:val="20"/>
          <w:szCs w:val="20"/>
          <w:color w:val="auto"/>
        </w:rPr>
      </w:pPr>
      <w:r>
        <w:rPr>
          <w:rFonts w:ascii="Courier New" w:cs="Courier New" w:eastAsia="Courier New" w:hAnsi="Courier New"/>
          <w:sz w:val="15"/>
          <w:szCs w:val="15"/>
          <w:color w:val="auto"/>
        </w:rPr>
        <w:t>8 7/8% Senior Notes</w:t>
      </w:r>
    </w:p>
    <w:p>
      <w:pPr>
        <w:spacing w:after="0" w:line="238" w:lineRule="auto"/>
        <w:rPr>
          <w:sz w:val="20"/>
          <w:szCs w:val="20"/>
          <w:color w:val="auto"/>
        </w:rPr>
      </w:pPr>
      <w:r>
        <w:rPr>
          <w:rFonts w:ascii="Courier New" w:cs="Courier New" w:eastAsia="Courier New" w:hAnsi="Courier New"/>
          <w:sz w:val="15"/>
          <w:szCs w:val="15"/>
          <w:color w:val="auto"/>
        </w:rPr>
        <w:t>8% Senior Notes</w:t>
      </w:r>
    </w:p>
    <w:p>
      <w:pPr>
        <w:spacing w:after="0" w:line="238" w:lineRule="auto"/>
        <w:rPr>
          <w:sz w:val="20"/>
          <w:szCs w:val="20"/>
          <w:color w:val="auto"/>
        </w:rPr>
      </w:pPr>
      <w:r>
        <w:rPr>
          <w:rFonts w:ascii="Courier New" w:cs="Courier New" w:eastAsia="Courier New" w:hAnsi="Courier New"/>
          <w:sz w:val="15"/>
          <w:szCs w:val="15"/>
          <w:color w:val="auto"/>
        </w:rPr>
        <w:t>6 5/8% Senior Notes</w:t>
      </w:r>
    </w:p>
    <w:p>
      <w:pPr>
        <w:spacing w:after="0" w:line="237" w:lineRule="auto"/>
        <w:rPr>
          <w:sz w:val="20"/>
          <w:szCs w:val="20"/>
          <w:color w:val="auto"/>
        </w:rPr>
      </w:pPr>
      <w:r>
        <w:rPr>
          <w:rFonts w:ascii="Courier New" w:cs="Courier New" w:eastAsia="Courier New" w:hAnsi="Courier New"/>
          <w:sz w:val="15"/>
          <w:szCs w:val="15"/>
          <w:color w:val="auto"/>
        </w:rPr>
        <w:t>Subordinated Debt Securities*</w:t>
      </w:r>
    </w:p>
    <w:p>
      <w:pPr>
        <w:spacing w:after="0" w:line="238" w:lineRule="auto"/>
        <w:rPr>
          <w:sz w:val="20"/>
          <w:szCs w:val="20"/>
          <w:color w:val="auto"/>
        </w:rPr>
      </w:pPr>
      <w:r>
        <w:rPr>
          <w:rFonts w:ascii="Courier New" w:cs="Courier New" w:eastAsia="Courier New" w:hAnsi="Courier New"/>
          <w:sz w:val="15"/>
          <w:szCs w:val="15"/>
          <w:color w:val="auto"/>
        </w:rPr>
        <w:t>* None issued, registered pursuant to a shelf registration</w:t>
      </w:r>
    </w:p>
    <w:p>
      <w:pPr>
        <w:spacing w:after="0" w:line="173" w:lineRule="exact"/>
        <w:rPr>
          <w:sz w:val="24"/>
          <w:szCs w:val="24"/>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w:t>
      </w:r>
    </w:p>
    <w:p>
      <w:pPr>
        <w:spacing w:after="0" w:line="1" w:lineRule="exact"/>
        <w:rPr>
          <w:sz w:val="24"/>
          <w:szCs w:val="24"/>
          <w:color w:val="auto"/>
        </w:rPr>
      </w:pPr>
    </w:p>
    <w:p>
      <w:pPr>
        <w:ind w:right="3319"/>
        <w:spacing w:after="0"/>
        <w:rPr>
          <w:sz w:val="20"/>
          <w:szCs w:val="20"/>
          <w:color w:val="auto"/>
        </w:rPr>
      </w:pPr>
      <w:r>
        <w:rPr>
          <w:rFonts w:ascii="Courier New" w:cs="Courier New" w:eastAsia="Courier New" w:hAnsi="Courier New"/>
          <w:sz w:val="15"/>
          <w:szCs w:val="15"/>
          <w:color w:val="auto"/>
        </w:rPr>
        <w:t>1934 during the preceding 12 months (or for such shorter period that the registrant was required to file such reports), and (2) has been subject to such filing requirements for the past 90 days. Yes x No _____. -----</w:t>
      </w:r>
    </w:p>
    <w:p>
      <w:pPr>
        <w:spacing w:after="0" w:line="331"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March 12, 1996, the aggregate market value of Common Shares of Beneficial Interest of Federal Realty Investment Trust held by nonaffiliates was $733.0 million based upon the closing price of such Shares on the New York Stock Exchange.</w:t>
      </w:r>
    </w:p>
    <w:p>
      <w:pPr>
        <w:spacing w:after="0" w:line="175" w:lineRule="exact"/>
        <w:rPr>
          <w:sz w:val="24"/>
          <w:szCs w:val="24"/>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w:t>
      </w:r>
    </w:p>
    <w:p>
      <w:pPr>
        <w:sectPr>
          <w:pgSz w:w="11900" w:h="16838" w:orient="portrait"/>
          <w:cols w:equalWidth="0" w:num="1">
            <w:col w:w="10239"/>
          </w:cols>
          <w:pgMar w:left="220" w:top="561"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Class</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Outstanding at March 12, 1996</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860"/>
        <w:spacing w:after="0"/>
        <w:rPr>
          <w:sz w:val="20"/>
          <w:szCs w:val="20"/>
          <w:color w:val="auto"/>
        </w:rPr>
      </w:pPr>
      <w:r>
        <w:rPr>
          <w:rFonts w:ascii="Courier New" w:cs="Courier New" w:eastAsia="Courier New" w:hAnsi="Courier New"/>
          <w:sz w:val="15"/>
          <w:szCs w:val="15"/>
          <w:color w:val="auto"/>
        </w:rPr>
        <w:t>32,221,086</w:t>
      </w:r>
    </w:p>
    <w:p>
      <w:pPr>
        <w:sectPr>
          <w:pgSz w:w="11900" w:h="16838" w:orient="portrait"/>
          <w:cols w:equalWidth="0" w:num="2">
            <w:col w:w="3160" w:space="620"/>
            <w:col w:w="6459"/>
          </w:cols>
          <w:pgMar w:left="220" w:top="561" w:right="1440" w:bottom="1440" w:gutter="0" w:footer="0" w:header="0"/>
          <w:type w:val="continuous"/>
        </w:sectPr>
      </w:pPr>
    </w:p>
    <w:bookmarkStart w:id="1" w:name="page2"/>
    <w:bookmarkEnd w:id="1"/>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3239"/>
        <w:spacing w:after="0" w:line="255" w:lineRule="auto"/>
        <w:rPr>
          <w:sz w:val="20"/>
          <w:szCs w:val="20"/>
          <w:color w:val="auto"/>
        </w:rPr>
      </w:pPr>
      <w:r>
        <w:rPr>
          <w:rFonts w:ascii="Courier New" w:cs="Courier New" w:eastAsia="Courier New" w:hAnsi="Courier New"/>
          <w:sz w:val="14"/>
          <w:szCs w:val="14"/>
          <w:color w:val="auto"/>
        </w:rPr>
        <w:t>Portions of the Trust's Proxy Statement in connection with its Annual Meeting to be held on May 2, 1996 (hereinafter called "1996 Proxy Statement"). Specifically, the Sections entitled "Summary Compensation Table", "Employment Agreements", "Aggregated Option Exercises in 1995 and December 31, 1995 Option Values", "Retirement and Disability Plans", and "Compensation Committee Interlocks and Insider Participation", "Ownership of Shares by Trustees and Officers", and "Certain Transactions" appearing in the 1996 Proxy Statement are incorporated herein by reference.</w:t>
      </w:r>
    </w:p>
    <w:p>
      <w:pPr>
        <w:spacing w:after="0" w:line="200" w:lineRule="exact"/>
        <w:rPr>
          <w:sz w:val="20"/>
          <w:szCs w:val="20"/>
          <w:color w:val="auto"/>
        </w:rPr>
      </w:pPr>
    </w:p>
    <w:p>
      <w:pPr>
        <w:spacing w:after="0" w:line="29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Exhibit Index for this report is found on page 25.</w:t>
      </w:r>
    </w:p>
    <w:p>
      <w:pPr>
        <w:ind w:left="180"/>
        <w:spacing w:after="0" w:line="237" w:lineRule="auto"/>
        <w:rPr>
          <w:sz w:val="20"/>
          <w:szCs w:val="20"/>
          <w:color w:val="auto"/>
        </w:rPr>
      </w:pPr>
      <w:r>
        <w:rPr>
          <w:rFonts w:ascii="Courier New" w:cs="Courier New" w:eastAsia="Courier New" w:hAnsi="Courier New"/>
          <w:sz w:val="15"/>
          <w:szCs w:val="15"/>
          <w:color w:val="auto"/>
        </w:rPr>
        <w:t>This report, including Exhibits, contains 60 pages.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&amp; II</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237" w:lineRule="auto"/>
        <w:tabs>
          <w:tab w:leader="none" w:pos="860" w:val="left"/>
        </w:tabs>
        <w:rPr>
          <w:sz w:val="20"/>
          <w:szCs w:val="20"/>
          <w:color w:val="auto"/>
        </w:rPr>
      </w:pPr>
      <w:r>
        <w:rPr>
          <w:rFonts w:ascii="Courier New" w:cs="Courier New" w:eastAsia="Courier New" w:hAnsi="Courier New"/>
          <w:sz w:val="15"/>
          <w:szCs w:val="15"/>
          <w:color w:val="auto"/>
        </w:rPr>
        <w:t>-------</w:t>
        <w:tab/>
        <w:t>--------</w:t>
      </w:r>
    </w:p>
    <w:p>
      <w:pPr>
        <w:spacing w:after="0" w:line="34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Federal Realty Investment Trust is an owner, operator and redeveloper of retail properties. Founded in 1962 as a District of Columbia business trust of unlimited duration, the Trust is a self-administered equity real estate investment trust. The Trust consolidates the financial statements of one wholly owned subsidiary, eight partnerships and a joint venture. At December 31, 1995 the Trust owned 70 retail properties and one apartment complex.</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operates in a manner intended to enable it to qualify as a real estate investment trust (REIT) under Sections 856- 860 of the Internal Revenue Code. Under those sections, a REIT which distributes at least 95% of its real estate investment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The Trust continually evaluates its properties for renovation, retenanting and expansion opportunities. Similarly, the Trust regularly reviews its portfolio and from time to time considers selling certain of its properties.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Trust's portfolio of properties has increased from 44 as of January 1, 1991 to 71 at December 31, 1995. During this five year period the Trust acquired 31 retail properties for approximately $305.3 million. Six of the acquisitions were in the Chicago, Illinois area and three were in the Boston, Massachusetts area, both of which are markets the Trust entered during the past five years. During this same period four shopping centers were sold. Also during this period the Trust spent over $145 million to renovate, expand, improve and retenant its properties. One of the retail properties acquired during the last five years was acquired by means of capital and ground leases, one was acquired for common shares of the Trust as well as the assumption of a mortgage and the remainder were acquired primarily for cash. This growth was financed through borrowing and equity offerings, since each year the Trust has distributed all or the majority of its cash provided by operating activities to its shareholders.</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The Trust's 70 retail properties, consisting of 55 shopping centers and 15 main street retail buildings, are located in 13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059"/>
          </w:cols>
          <w:pgMar w:left="400" w:top="617" w:right="1440" w:bottom="1440" w:gutter="0" w:footer="0" w:header="0"/>
        </w:sectPr>
      </w:pPr>
    </w:p>
    <w:bookmarkStart w:id="3" w:name="page4"/>
    <w:bookmarkEnd w:id="3"/>
    <w:p>
      <w:pPr>
        <w:ind w:right="3239"/>
        <w:spacing w:after="0" w:line="255" w:lineRule="auto"/>
        <w:rPr>
          <w:sz w:val="20"/>
          <w:szCs w:val="20"/>
          <w:color w:val="auto"/>
        </w:rPr>
      </w:pPr>
      <w:r>
        <w:rPr>
          <w:rFonts w:ascii="Courier New" w:cs="Courier New" w:eastAsia="Courier New" w:hAnsi="Courier New"/>
          <w:sz w:val="14"/>
          <w:szCs w:val="14"/>
          <w:color w:val="auto"/>
        </w:rPr>
        <w:t>states and the District of Columbia, primarily along the East Coast between the Boston metropolitan area and Richmond, Virginia. Nineteen of the shopping centers are located in the Washington, D.C. metropolitan area; ten are in Pennsylvania, primarily in the Philadelphia area; nine are in New Jersey; five are in Illinois; three are in Virginia; two are in Massachusetts; and there is one in each of the following states, Connecticut, Georgia, Louisiana, Michigan, New York, North Carolina and Tennessee. No single property accounts for over 10% of the Trust's revenues.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 has over 1,700 tenants, ranging from sole proprietors to major national retailers; no one tenant or corporate group of tenants accounts for 5% or more of revenue. The Trust's leases with these tenants are classified as operating leases and typically are structured to include minimum rents, percentage rents based on tenants' sales volumes and reimbursement of certain operating expenses and real estate taxes.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intends to continue its strategy of acquiring older, well-located shopping centers and retail buildings and then enhancing their revenue potential through a program of renovation, retenanting and remerchandising. The Trust is also studying sites which are suitable for the development of new shopping centers. During the years ended December 31, 1995, 1994 and 1993, retail properties have contributed 96%, 95% and 94%, respectively of the Trust's total revenue.</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 is currently limited to investing east of the Mississippi River; to change this limitation requires Trustee approval. Investments are not required to be based on specific allocation by type of property. The extent to which the Trust might mortgage or otherwise finance investments varies with the investment involved and the economic climate.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success of the Trust depends upon, among other factors, the trends of the economy, including interest rates, construction costs, retailing trends, income tax laws, increases or decreases in operating expenses, governmental regulations, population trends, zoning laws, legislation and the ability of the Trust to keep its properties leased at profitable levels. The Trust competes for tenants with other real estate owners and the Trust's properties account for only a small fraction of the retail space available for lease. The Trust competes for investment opportunities and debt and equity capital with individuals, partnerships, corporations, financial institutions, life insurance companies, pension funds, trust funds and other real estate investment trusts.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Investments in real property create a potential for environmental liability on the part of the current and previous owners of, or any mortgage lender on, such real property. If hazardous substances are discovered on or emanating from any property, the owner or operator of the property may be held liable for costs and liabilities relating to such hazardous substances. The Trust's current policy is to obtain an environmental study on each property it seeks to acquire. On recent acquisitions, any substances identified prior to closing</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059"/>
          </w:cols>
          <w:pgMar w:left="400" w:top="624" w:right="1440" w:bottom="1440" w:gutter="0" w:footer="0" w:header="0"/>
        </w:sectPr>
      </w:pPr>
    </w:p>
    <w:bookmarkStart w:id="4" w:name="page5"/>
    <w:bookmarkEnd w:id="4"/>
    <w:p>
      <w:pPr>
        <w:ind w:right="3319"/>
        <w:spacing w:after="0" w:line="236" w:lineRule="auto"/>
        <w:rPr>
          <w:sz w:val="20"/>
          <w:szCs w:val="20"/>
          <w:color w:val="auto"/>
        </w:rPr>
      </w:pPr>
      <w:r>
        <w:rPr>
          <w:rFonts w:ascii="Courier New" w:cs="Courier New" w:eastAsia="Courier New" w:hAnsi="Courier New"/>
          <w:sz w:val="15"/>
          <w:szCs w:val="15"/>
          <w:color w:val="auto"/>
        </w:rPr>
        <w:t>which present an immediate environmental hazard have been or are in the process of remediation. Costs related to the abatement of asbestos which increase the value of Trust properties are capitalized. Other costs are expensed. In 1995 approximately $1.0 million, of which $796,000 was capitalized abatement costs, was spent on environmental matters. The Trust has budgeted approximately $2.0 million for 1996 for environmental matters, a majority of which is projected for asbestos abatement. (See Note 6 of Notes to Consolidated Financial Statements.)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Developments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1995 the Trust purchased 20 retail properties. Finley Square Shopping Center in suburban Chicago, Illinois was purchased for approximately $18.8 million in cash; Bristol Shopping Center in Bristol, Connecticut was purchased for $19.6 million, by assuming a $11.3 million mortgage and by issuing common shares valued at $7.3 million with the balance in cash; Park &amp; Shop Center in Washington, D.C. was purchased for $11.2 million in cash; and Shirlington Shopping Center in Arlington, Virginia was purchased for $23.5 million in cash. Retail building acquisitions during 1995 were as follows: seven buildings in West Hartford, Connecticut for $15.3 million; two buildings in Greenwich,Connecticut for $14.9 million; one building in Westport, Connecticut for $5.7 million; one building in Brookline, Massachusetts for $3.8 million; one building in Westfield, New Jersey for $2.2 million; two buildings in Evanston, Illinois for $3.6 million; and a building contiguous to Bethesda Row in Bethesda, Maryland for $2.0 million. In addition, the Trust purchased a building abutting Flourtown Shopping Center, one of its existing centers, for $3.1 million.</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continued its strategy of renovating, expanding and retenanting its centers in 1995, spending approximately $33.8 million. These improvements included an additional $3.8 million on the redevelopment of Congressional Plaza in Rockville, Maryland, $5.5 million to complete the redevelopment and retenanting of Gaithersburg Square in Gaithersburg, Maryland and $5.8 million for the renovation of Brick Plaza in Brick, New Jersey.</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Trust funded its 1995 acquisitions, capital improvement projects and major debt repayment requirements primarily through three issues of senior notes, totalling $165.0 million. The notes bear interest at rates ranging from 6.625% to 8.875% and mature from 2000 to 2005.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December 31, 1995 the Trust had 195 full-time employees.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059"/>
          </w:cols>
          <w:pgMar w:left="400" w:top="62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Properties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right="3240"/>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each retail property in which the Trust owns an equity interest or has a leasehold interest as of December 31, 1995. Except as otherwise noted, retail properties are 100% owned in fee by the Trust.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Year</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Year</w:t>
            </w:r>
          </w:p>
        </w:tc>
        <w:tc>
          <w:tcPr>
            <w:tcW w:w="192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9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Completed</w:t>
            </w:r>
          </w:p>
        </w:tc>
        <w:tc>
          <w:tcPr>
            <w:tcW w:w="15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Square Feet (1)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Tenants</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Acres</w:t>
            </w:r>
          </w:p>
        </w:tc>
      </w:tr>
      <w:tr>
        <w:trPr>
          <w:trHeight w:val="168"/>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Allwood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1958</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1988</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52,000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Clifton, NJ</w:t>
            </w:r>
          </w:p>
        </w:tc>
        <w:tc>
          <w:tcPr>
            <w:tcW w:w="3240" w:type="dxa"/>
            <w:vAlign w:val="bottom"/>
            <w:gridSpan w:val="3"/>
          </w:tcPr>
          <w:p>
            <w:pPr>
              <w:jc w:val="right"/>
              <w:ind w:right="2207"/>
              <w:spacing w:after="0" w:line="168" w:lineRule="exact"/>
              <w:rPr>
                <w:sz w:val="20"/>
                <w:szCs w:val="20"/>
                <w:color w:val="auto"/>
              </w:rPr>
            </w:pPr>
            <w:r>
              <w:rPr>
                <w:rFonts w:ascii="Courier New" w:cs="Courier New" w:eastAsia="Courier New" w:hAnsi="Courier New"/>
                <w:sz w:val="15"/>
                <w:szCs w:val="15"/>
                <w:color w:val="auto"/>
              </w:rPr>
              <w:t>07013 (2)</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Andorra</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1953</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1988</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257,000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46</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23</w:t>
            </w:r>
          </w:p>
        </w:tc>
      </w:tr>
      <w:tr>
        <w:trPr>
          <w:trHeight w:val="168"/>
        </w:trPr>
        <w:tc>
          <w:tcPr>
            <w:tcW w:w="1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Philadelphia, PA</w:t>
            </w:r>
          </w:p>
        </w:tc>
        <w:tc>
          <w:tcPr>
            <w:tcW w:w="2700" w:type="dxa"/>
            <w:vAlign w:val="bottom"/>
            <w:gridSpan w:val="2"/>
          </w:tcPr>
          <w:p>
            <w:pPr>
              <w:jc w:val="right"/>
              <w:ind w:right="1767"/>
              <w:spacing w:after="0" w:line="168" w:lineRule="exact"/>
              <w:rPr>
                <w:sz w:val="20"/>
                <w:szCs w:val="20"/>
                <w:color w:val="auto"/>
              </w:rPr>
            </w:pPr>
            <w:r>
              <w:rPr>
                <w:rFonts w:ascii="Courier New" w:cs="Courier New" w:eastAsia="Courier New" w:hAnsi="Courier New"/>
                <w:sz w:val="15"/>
                <w:szCs w:val="15"/>
                <w:color w:val="auto"/>
              </w:rPr>
              <w:t>19128 (3)</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Bala Cynwyd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1955</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1993</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266,000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22</w:t>
            </w:r>
          </w:p>
        </w:tc>
      </w:tr>
      <w:tr>
        <w:trPr>
          <w:trHeight w:val="168"/>
        </w:trPr>
        <w:tc>
          <w:tcPr>
            <w:tcW w:w="1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Bala Cynwyd, PA</w:t>
            </w:r>
          </w:p>
        </w:tc>
        <w:tc>
          <w:tcPr>
            <w:tcW w:w="2700" w:type="dxa"/>
            <w:vAlign w:val="bottom"/>
            <w:gridSpan w:val="2"/>
          </w:tcPr>
          <w:p>
            <w:pPr>
              <w:jc w:val="right"/>
              <w:ind w:right="2207"/>
              <w:spacing w:after="0" w:line="168" w:lineRule="exact"/>
              <w:rPr>
                <w:sz w:val="20"/>
                <w:szCs w:val="20"/>
                <w:color w:val="auto"/>
              </w:rPr>
            </w:pPr>
            <w:r>
              <w:rPr>
                <w:rFonts w:ascii="Courier New" w:cs="Courier New" w:eastAsia="Courier New" w:hAnsi="Courier New"/>
                <w:sz w:val="15"/>
                <w:szCs w:val="15"/>
                <w:color w:val="auto"/>
                <w:w w:val="88"/>
              </w:rPr>
              <w:t>19004</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Barracks Road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1958</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1985</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478,000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85</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39</w:t>
            </w:r>
          </w:p>
        </w:tc>
      </w:tr>
      <w:tr>
        <w:trPr>
          <w:trHeight w:val="168"/>
        </w:trPr>
        <w:tc>
          <w:tcPr>
            <w:tcW w:w="43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Charlottesville, VA 22905 (3)</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Bethesda Row</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1945-1991</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1993</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238,000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70</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w:t>
            </w:r>
          </w:p>
        </w:tc>
      </w:tr>
      <w:tr>
        <w:trPr>
          <w:trHeight w:val="168"/>
        </w:trPr>
        <w:tc>
          <w:tcPr>
            <w:tcW w:w="43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Bethesda, MD 20814 (2) (5)</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Blue Star</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1959</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1988</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392,000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36</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55</w:t>
            </w:r>
          </w:p>
        </w:tc>
      </w:tr>
      <w:tr>
        <w:trPr>
          <w:trHeight w:val="168"/>
        </w:trPr>
        <w:tc>
          <w:tcPr>
            <w:tcW w:w="43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Watchung, NJ 07060 (2)</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Brainerd Village</w:t>
            </w: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1960</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1987</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218,000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27</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20</w:t>
            </w:r>
          </w:p>
        </w:tc>
      </w:tr>
      <w:tr>
        <w:trPr>
          <w:trHeight w:val="168"/>
        </w:trPr>
        <w:tc>
          <w:tcPr>
            <w:tcW w:w="1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Chattanooga, TN</w:t>
            </w:r>
          </w:p>
        </w:tc>
        <w:tc>
          <w:tcPr>
            <w:tcW w:w="2700" w:type="dxa"/>
            <w:vAlign w:val="bottom"/>
            <w:gridSpan w:val="2"/>
          </w:tcPr>
          <w:p>
            <w:pPr>
              <w:jc w:val="right"/>
              <w:ind w:right="2207"/>
              <w:spacing w:after="0" w:line="168" w:lineRule="exact"/>
              <w:rPr>
                <w:sz w:val="20"/>
                <w:szCs w:val="20"/>
                <w:color w:val="auto"/>
              </w:rPr>
            </w:pPr>
            <w:r>
              <w:rPr>
                <w:rFonts w:ascii="Courier New" w:cs="Courier New" w:eastAsia="Courier New" w:hAnsi="Courier New"/>
                <w:sz w:val="15"/>
                <w:szCs w:val="15"/>
                <w:color w:val="auto"/>
                <w:w w:val="88"/>
              </w:rPr>
              <w:t>37411</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Brick Plaza</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1958</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1989</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310,000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r>
      <w:tr>
        <w:trPr>
          <w:trHeight w:val="168"/>
        </w:trPr>
        <w:tc>
          <w:tcPr>
            <w:tcW w:w="43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Brick Township, NJ 08723 (2)</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Bristol</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1959</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1995</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296,000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22</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Bristol,</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CT 06010</w:t>
            </w:r>
          </w:p>
        </w:tc>
        <w:tc>
          <w:tcPr>
            <w:tcW w:w="2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Brunswick</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1957</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1988</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261,000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22</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22</w:t>
            </w:r>
          </w:p>
        </w:tc>
      </w:tr>
      <w:tr>
        <w:trPr>
          <w:trHeight w:val="168"/>
        </w:trPr>
        <w:tc>
          <w:tcPr>
            <w:tcW w:w="19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North Brunswick, NJ</w:t>
            </w:r>
          </w:p>
        </w:tc>
        <w:tc>
          <w:tcPr>
            <w:tcW w:w="244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08902 (2)</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Clifton</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1959</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1988</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80,000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Clifton, NJ</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07013</w:t>
            </w:r>
          </w:p>
        </w:tc>
        <w:tc>
          <w:tcPr>
            <w:tcW w:w="24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(2)</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w w:val="97"/>
              </w:rPr>
              <w:t>Congressional Plaza</w:t>
            </w:r>
          </w:p>
        </w:tc>
        <w:tc>
          <w:tcPr>
            <w:tcW w:w="260" w:type="dxa"/>
            <w:vAlign w:val="bottom"/>
          </w:tcPr>
          <w:p>
            <w:pPr>
              <w:spacing w:after="0"/>
              <w:rPr>
                <w:sz w:val="24"/>
                <w:szCs w:val="24"/>
                <w:color w:val="auto"/>
              </w:rPr>
            </w:pP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4"/>
              </w:rPr>
              <w:t>1965</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1965</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311,000</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44</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22</w:t>
            </w:r>
          </w:p>
        </w:tc>
      </w:tr>
      <w:tr>
        <w:trPr>
          <w:trHeight w:val="168"/>
        </w:trPr>
        <w:tc>
          <w:tcPr>
            <w:tcW w:w="19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Rockville, MD 20852</w:t>
            </w:r>
          </w:p>
        </w:tc>
        <w:tc>
          <w:tcPr>
            <w:tcW w:w="24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(4)</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Occupancy (1)</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Principal</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Overall / Economic</w:t>
            </w:r>
          </w:p>
        </w:tc>
        <w:tc>
          <w:tcPr>
            <w:tcW w:w="17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Tenants</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Allwood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Clifton, NJ  07013</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4"/>
                <w:szCs w:val="14"/>
                <w:color w:val="auto"/>
              </w:rPr>
            </w:pPr>
          </w:p>
        </w:tc>
        <w:tc>
          <w:tcPr>
            <w:tcW w:w="2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100% / 100%</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Grand Union</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Mandee Shop</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Andorra</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Philadelphia, PA</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19128</w:t>
            </w:r>
          </w:p>
        </w:tc>
        <w:tc>
          <w:tcPr>
            <w:tcW w:w="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2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99% / 91%</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Acme Markets</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Andorra Theater</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Clover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 Cynwyd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 Cynwyd, PA</w:t>
            </w:r>
          </w:p>
        </w:tc>
        <w:tc>
          <w:tcPr>
            <w:tcW w:w="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19004</w:t>
            </w:r>
          </w:p>
        </w:tc>
        <w:tc>
          <w:tcPr>
            <w:tcW w:w="960" w:type="dxa"/>
            <w:vAlign w:val="bottom"/>
          </w:tcPr>
          <w:p>
            <w:pPr>
              <w:spacing w:after="0"/>
              <w:rPr>
                <w:sz w:val="14"/>
                <w:szCs w:val="14"/>
                <w:color w:val="auto"/>
              </w:rPr>
            </w:pPr>
          </w:p>
        </w:tc>
        <w:tc>
          <w:tcPr>
            <w:tcW w:w="2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100% / 100%</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Lord &amp; Taylor</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Acme Markets</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Barracks Road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24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Charlottesville, VA 22905</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2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99% / 97%</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Rose's</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Safeway</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Superfresh</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Bethesda Row</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Bethesda, MD 20814</w:t>
            </w:r>
          </w:p>
        </w:tc>
        <w:tc>
          <w:tcPr>
            <w:tcW w:w="162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(2) (5)</w:t>
            </w:r>
          </w:p>
        </w:tc>
        <w:tc>
          <w:tcPr>
            <w:tcW w:w="27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94% /89%</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Giant Food</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Giant Pharmacy</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Blue Star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Watchung, NJ 07060</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14"/>
                <w:szCs w:val="14"/>
                <w:color w:val="auto"/>
              </w:rPr>
            </w:pPr>
          </w:p>
        </w:tc>
        <w:tc>
          <w:tcPr>
            <w:tcW w:w="2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99% / 99%</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Caldor</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Shop Rite</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Toys R Us</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Brainerd Village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Chattanooga, TN</w:t>
            </w:r>
          </w:p>
        </w:tc>
        <w:tc>
          <w:tcPr>
            <w:tcW w:w="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37411</w:t>
            </w:r>
          </w:p>
        </w:tc>
        <w:tc>
          <w:tcPr>
            <w:tcW w:w="960" w:type="dxa"/>
            <w:vAlign w:val="bottom"/>
          </w:tcPr>
          <w:p>
            <w:pPr>
              <w:spacing w:after="0"/>
              <w:rPr>
                <w:sz w:val="14"/>
                <w:szCs w:val="14"/>
                <w:color w:val="auto"/>
              </w:rPr>
            </w:pPr>
          </w:p>
        </w:tc>
        <w:tc>
          <w:tcPr>
            <w:tcW w:w="2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92% / 92%</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Office Town</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50 Off</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5"/>
              </w:rPr>
              <w:t>Sports Authority</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Brick Plaza</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Brick Township, NJ</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08723</w:t>
            </w: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270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90% / 89%</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A&amp;P Supermarket</w:t>
            </w:r>
          </w:p>
        </w:tc>
      </w:tr>
      <w:tr>
        <w:trPr>
          <w:trHeight w:val="168"/>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Steinbach's</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Bristol</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ectPr>
          <w:pgSz w:w="11900" w:h="16838" w:orient="portrait"/>
          <w:cols w:equalWidth="0" w:num="1">
            <w:col w:w="10240"/>
          </w:cols>
          <w:pgMar w:left="220" w:top="617" w:right="14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Bristol,</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CT 06010</w:t>
            </w:r>
          </w:p>
        </w:tc>
        <w:tc>
          <w:tcPr>
            <w:tcW w:w="1260" w:type="dxa"/>
            <w:vAlign w:val="bottom"/>
          </w:tcPr>
          <w:p>
            <w:pPr>
              <w:spacing w:after="0"/>
              <w:rPr>
                <w:sz w:val="14"/>
                <w:szCs w:val="14"/>
                <w:color w:val="auto"/>
              </w:rPr>
            </w:pPr>
          </w:p>
        </w:tc>
        <w:tc>
          <w:tcPr>
            <w:tcW w:w="25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98% / 98%</w:t>
            </w:r>
          </w:p>
        </w:tc>
        <w:tc>
          <w:tcPr>
            <w:tcW w:w="2180" w:type="dxa"/>
            <w:vAlign w:val="bottom"/>
          </w:tcPr>
          <w:p>
            <w:pPr>
              <w:ind w:left="620"/>
              <w:spacing w:after="0"/>
              <w:rPr>
                <w:sz w:val="20"/>
                <w:szCs w:val="20"/>
                <w:color w:val="auto"/>
              </w:rPr>
            </w:pPr>
            <w:r>
              <w:rPr>
                <w:rFonts w:ascii="Courier New" w:cs="Courier New" w:eastAsia="Courier New" w:hAnsi="Courier New"/>
                <w:sz w:val="15"/>
                <w:szCs w:val="15"/>
                <w:color w:val="auto"/>
              </w:rPr>
              <w:t>Bradlees</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Super Stop &amp; Shop</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Brunswick</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1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North Brunswick, NJ</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08902   (2)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99%</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Caldor</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Grand Union</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Schwartz Furniture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Clifton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Clifton, NJ</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07013</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98%</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Acme Markets</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Rickel Home Center</w:t>
            </w: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Congressional Plaza</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1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Rockville, MD 20852</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83%</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Fresh Fields</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Tower Records</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Container Store</w:t>
            </w:r>
          </w:p>
        </w:tc>
      </w:tr>
      <w:tr>
        <w:trPr>
          <w:trHeight w:val="505"/>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7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c>
          <w:tcPr>
            <w:tcW w:w="2000" w:type="dxa"/>
            <w:vAlign w:val="bottom"/>
          </w:tcPr>
          <w:p>
            <w:pPr>
              <w:spacing w:after="0"/>
              <w:rPr>
                <w:sz w:val="14"/>
                <w:szCs w:val="14"/>
                <w:color w:val="auto"/>
              </w:rPr>
            </w:pP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Number of</w:t>
            </w:r>
          </w:p>
        </w:tc>
        <w:tc>
          <w:tcPr>
            <w:tcW w:w="9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Completed</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2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Square Feet (1)</w:t>
            </w: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5"/>
              </w:rPr>
              <w:t>Tenants</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Acres</w:t>
            </w: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2"/>
          </w:tcPr>
          <w:p>
            <w:pPr>
              <w:ind w:left="14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Crossroads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192,000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28</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15</w:t>
            </w: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Highland Park, IL</w:t>
            </w:r>
          </w:p>
        </w:tc>
        <w:tc>
          <w:tcPr>
            <w:tcW w:w="214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60035</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Dedham</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253,000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35</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18</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Dedham, MA</w:t>
            </w: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02026</w:t>
            </w: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Eastgate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1963</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1986</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159,000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17</w:t>
            </w: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Chapel Hill, NC</w:t>
            </w:r>
          </w:p>
        </w:tc>
        <w:tc>
          <w:tcPr>
            <w:tcW w:w="2140" w:type="dxa"/>
            <w:vAlign w:val="bottom"/>
          </w:tcPr>
          <w:p>
            <w:pPr>
              <w:jc w:val="right"/>
              <w:ind w:right="1647"/>
              <w:spacing w:after="0" w:line="168" w:lineRule="exact"/>
              <w:rPr>
                <w:sz w:val="20"/>
                <w:szCs w:val="20"/>
                <w:color w:val="auto"/>
              </w:rPr>
            </w:pPr>
            <w:r>
              <w:rPr>
                <w:rFonts w:ascii="Courier New" w:cs="Courier New" w:eastAsia="Courier New" w:hAnsi="Courier New"/>
                <w:sz w:val="15"/>
                <w:szCs w:val="15"/>
                <w:color w:val="auto"/>
                <w:w w:val="88"/>
              </w:rPr>
              <w:t>27514</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Ellisburg Circle</w:t>
            </w: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1992</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258,000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27</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Cherry Hill,</w:t>
            </w:r>
          </w:p>
        </w:tc>
        <w:tc>
          <w:tcPr>
            <w:tcW w:w="160" w:type="dxa"/>
            <w:vAlign w:val="bottom"/>
          </w:tcPr>
          <w:p>
            <w:pPr>
              <w:spacing w:after="0"/>
              <w:rPr>
                <w:sz w:val="14"/>
                <w:szCs w:val="14"/>
                <w:color w:val="auto"/>
              </w:rPr>
            </w:pP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NJ</w:t>
            </w:r>
          </w:p>
        </w:tc>
        <w:tc>
          <w:tcPr>
            <w:tcW w:w="21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08034</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Falls Plaza</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1967</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60,000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w:t>
            </w: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Falls Church, VA</w:t>
            </w:r>
          </w:p>
        </w:tc>
        <w:tc>
          <w:tcPr>
            <w:tcW w:w="21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22046</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Feasterville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1958</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1980</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104,000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12</w:t>
            </w: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Feasterville, PA 19047 (2)</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Federal Plaza</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1970</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1989</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243,000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38</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18</w:t>
            </w: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Rockville, MD 20852</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Finley Square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1974</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306,000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21</w:t>
            </w: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Downers Grove, IL 60515</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Flourtown</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1980</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183,000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15</w:t>
            </w:r>
          </w:p>
        </w:tc>
      </w:tr>
      <w:tr>
        <w:trPr>
          <w:trHeight w:val="168"/>
        </w:trPr>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Flourtown, PA</w:t>
            </w:r>
          </w:p>
        </w:tc>
        <w:tc>
          <w:tcPr>
            <w:tcW w:w="2420" w:type="dxa"/>
            <w:vAlign w:val="bottom"/>
            <w:gridSpan w:val="2"/>
          </w:tcPr>
          <w:p>
            <w:pPr>
              <w:jc w:val="right"/>
              <w:ind w:right="1807"/>
              <w:spacing w:after="0" w:line="168" w:lineRule="exact"/>
              <w:rPr>
                <w:sz w:val="20"/>
                <w:szCs w:val="20"/>
                <w:color w:val="auto"/>
              </w:rPr>
            </w:pPr>
            <w:r>
              <w:rPr>
                <w:rFonts w:ascii="Courier New" w:cs="Courier New" w:eastAsia="Courier New" w:hAnsi="Courier New"/>
                <w:sz w:val="15"/>
                <w:szCs w:val="15"/>
                <w:color w:val="auto"/>
              </w:rPr>
              <w:t>19031</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w w:val="97"/>
              </w:rPr>
              <w:t>Gaithersburg Square</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1966</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207,000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35</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17</w:t>
            </w: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Gaithersburg, MD</w:t>
            </w:r>
          </w:p>
        </w:tc>
        <w:tc>
          <w:tcPr>
            <w:tcW w:w="21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20878</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Garden Market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1958</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134,000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12</w:t>
            </w: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Western Springs, IL 60558</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Governor Plaza</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1963</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1985</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252,000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26</w:t>
            </w: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Glen Burnie, MD 21961 (3)</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Hamilton</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c>
          <w:tcPr>
            <w:tcW w:w="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1988</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180,000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18</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Hamilton, NJ</w:t>
            </w:r>
          </w:p>
        </w:tc>
        <w:tc>
          <w:tcPr>
            <w:tcW w:w="160" w:type="dxa"/>
            <w:vAlign w:val="bottom"/>
          </w:tcPr>
          <w:p>
            <w:pPr>
              <w:spacing w:after="0"/>
              <w:rPr>
                <w:sz w:val="14"/>
                <w:szCs w:val="14"/>
                <w:color w:val="auto"/>
              </w:rPr>
            </w:pPr>
          </w:p>
        </w:tc>
        <w:tc>
          <w:tcPr>
            <w:tcW w:w="2420" w:type="dxa"/>
            <w:vAlign w:val="bottom"/>
            <w:gridSpan w:val="2"/>
          </w:tcPr>
          <w:p>
            <w:pPr>
              <w:jc w:val="right"/>
              <w:ind w:right="1547"/>
              <w:spacing w:after="0" w:line="168" w:lineRule="exact"/>
              <w:rPr>
                <w:sz w:val="20"/>
                <w:szCs w:val="20"/>
                <w:color w:val="auto"/>
              </w:rPr>
            </w:pPr>
            <w:r>
              <w:rPr>
                <w:rFonts w:ascii="Courier New" w:cs="Courier New" w:eastAsia="Courier New" w:hAnsi="Courier New"/>
                <w:sz w:val="15"/>
                <w:szCs w:val="15"/>
                <w:color w:val="auto"/>
                <w:w w:val="96"/>
              </w:rPr>
              <w:t>08690 (2)</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gridSpan w:val="3"/>
          </w:tcPr>
          <w:p>
            <w:pPr>
              <w:ind w:left="1820"/>
              <w:spacing w:after="0"/>
              <w:rPr>
                <w:sz w:val="20"/>
                <w:szCs w:val="20"/>
                <w:color w:val="auto"/>
              </w:rPr>
            </w:pPr>
            <w:r>
              <w:rPr>
                <w:rFonts w:ascii="Courier New" w:cs="Courier New" w:eastAsia="Courier New" w:hAnsi="Courier New"/>
                <w:sz w:val="15"/>
                <w:szCs w:val="15"/>
                <w:color w:val="auto"/>
              </w:rPr>
              <w:t>Occupancy (1)</w:t>
            </w:r>
          </w:p>
        </w:tc>
        <w:tc>
          <w:tcPr>
            <w:tcW w:w="2000" w:type="dxa"/>
            <w:vAlign w:val="bottom"/>
          </w:tcPr>
          <w:p>
            <w:pPr>
              <w:ind w:left="520"/>
              <w:spacing w:after="0"/>
              <w:rPr>
                <w:sz w:val="20"/>
                <w:szCs w:val="20"/>
                <w:color w:val="auto"/>
              </w:rPr>
            </w:pPr>
            <w:r>
              <w:rPr>
                <w:rFonts w:ascii="Courier New" w:cs="Courier New" w:eastAsia="Courier New" w:hAnsi="Courier New"/>
                <w:sz w:val="15"/>
                <w:szCs w:val="15"/>
                <w:color w:val="auto"/>
              </w:rPr>
              <w:t>Principal</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60" w:type="dxa"/>
            <w:vAlign w:val="bottom"/>
            <w:gridSpan w:val="3"/>
          </w:tcPr>
          <w:p>
            <w:pPr>
              <w:ind w:left="1480"/>
              <w:spacing w:after="0" w:line="168" w:lineRule="exact"/>
              <w:rPr>
                <w:sz w:val="20"/>
                <w:szCs w:val="20"/>
                <w:color w:val="auto"/>
              </w:rPr>
            </w:pPr>
            <w:r>
              <w:rPr>
                <w:rFonts w:ascii="Courier New" w:cs="Courier New" w:eastAsia="Courier New" w:hAnsi="Courier New"/>
                <w:sz w:val="15"/>
                <w:szCs w:val="15"/>
                <w:color w:val="auto"/>
              </w:rPr>
              <w:t>Overall / Economic</w:t>
            </w:r>
          </w:p>
        </w:tc>
        <w:tc>
          <w:tcPr>
            <w:tcW w:w="20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Tenants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6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Crossroads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88%</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Gold Standard Liquors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Highland Park, IL</w:t>
            </w:r>
          </w:p>
        </w:tc>
        <w:tc>
          <w:tcPr>
            <w:tcW w:w="214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60035</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TJ Maxx</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Dedham</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 / 100%</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Ames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Dedham, MA</w:t>
            </w: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02026</w:t>
            </w: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Cherry &amp; Webb</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Eastgate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98%</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Food Lion</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Chapel Hill, NC</w:t>
            </w:r>
          </w:p>
        </w:tc>
        <w:tc>
          <w:tcPr>
            <w:tcW w:w="2140" w:type="dxa"/>
            <w:vAlign w:val="bottom"/>
          </w:tcPr>
          <w:p>
            <w:pPr>
              <w:jc w:val="right"/>
              <w:ind w:right="1647"/>
              <w:spacing w:after="0" w:line="168" w:lineRule="exact"/>
              <w:rPr>
                <w:sz w:val="20"/>
                <w:szCs w:val="20"/>
                <w:color w:val="auto"/>
              </w:rPr>
            </w:pPr>
            <w:r>
              <w:rPr>
                <w:rFonts w:ascii="Courier New" w:cs="Courier New" w:eastAsia="Courier New" w:hAnsi="Courier New"/>
                <w:sz w:val="15"/>
                <w:szCs w:val="15"/>
                <w:color w:val="auto"/>
                <w:w w:val="88"/>
              </w:rPr>
              <w:t>27514</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Southern Season</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Ellisburg Circle</w:t>
            </w: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98%</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Shop Rite</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Cherry Hill,</w:t>
            </w:r>
          </w:p>
        </w:tc>
        <w:tc>
          <w:tcPr>
            <w:tcW w:w="160" w:type="dxa"/>
            <w:vAlign w:val="bottom"/>
          </w:tcPr>
          <w:p>
            <w:pPr>
              <w:spacing w:after="0"/>
              <w:rPr>
                <w:sz w:val="14"/>
                <w:szCs w:val="14"/>
                <w:color w:val="auto"/>
              </w:rPr>
            </w:pP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NJ</w:t>
            </w:r>
          </w:p>
        </w:tc>
        <w:tc>
          <w:tcPr>
            <w:tcW w:w="21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08034</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Bed, Bath &amp; Beyond</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Falls Plaza</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97%</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Giant Food</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Falls Church, VA</w:t>
            </w:r>
          </w:p>
        </w:tc>
        <w:tc>
          <w:tcPr>
            <w:tcW w:w="21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22046</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CVS Pharmacy</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Feasterville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94%</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Eric Theater</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Feasterville, PA 19047 (2)</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Genuardi Markets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 Max</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Federal Plaza</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100% / 97%</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Bed, Bath &amp; Beyond</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Rockville, MD 20852</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Comp USA</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TJ  Maxx</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Finley Square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94%</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Bed, Bath &amp; Beyond</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Downers Grove, IL 60515</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Service Merchandise</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Flourtown</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 / 100%</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Rickel Home Center</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Flourtown, PA</w:t>
            </w:r>
          </w:p>
        </w:tc>
        <w:tc>
          <w:tcPr>
            <w:tcW w:w="2420" w:type="dxa"/>
            <w:vAlign w:val="bottom"/>
            <w:gridSpan w:val="2"/>
          </w:tcPr>
          <w:p>
            <w:pPr>
              <w:jc w:val="right"/>
              <w:ind w:right="1807"/>
              <w:spacing w:after="0" w:line="168" w:lineRule="exact"/>
              <w:rPr>
                <w:sz w:val="20"/>
                <w:szCs w:val="20"/>
                <w:color w:val="auto"/>
              </w:rPr>
            </w:pPr>
            <w:r>
              <w:rPr>
                <w:rFonts w:ascii="Courier New" w:cs="Courier New" w:eastAsia="Courier New" w:hAnsi="Courier New"/>
                <w:sz w:val="15"/>
                <w:szCs w:val="15"/>
                <w:color w:val="auto"/>
              </w:rPr>
              <w:t>19031</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Genuardi Markets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K Mart</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w w:val="97"/>
              </w:rPr>
              <w:t>Gaithersburg Square</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86%</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Borders Books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Gaithersburg, MD</w:t>
            </w:r>
          </w:p>
        </w:tc>
        <w:tc>
          <w:tcPr>
            <w:tcW w:w="21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20878</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Fresh Fields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Bed, Bath &amp; Beyond</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Garden Market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89%</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Dominick's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Western Springs, IL 60558</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Ace Hardware</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Governor Plaza</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99%</w:t>
            </w:r>
          </w:p>
        </w:tc>
        <w:tc>
          <w:tcPr>
            <w:tcW w:w="9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Comp USA</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Glen Burnie, MD 21961 (3)</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 Depot</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ectPr>
          <w:pgSz w:w="11900" w:h="16838" w:orient="portrait"/>
          <w:cols w:equalWidth="0" w:num="1">
            <w:col w:w="10239"/>
          </w:cols>
          <w:pgMar w:left="220" w:top="112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5"/>
                <w:szCs w:val="15"/>
                <w:color w:val="auto"/>
              </w:rPr>
              <w:t>Syms</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Hamilton</w:t>
            </w: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 / 97%</w:t>
            </w:r>
          </w:p>
        </w:tc>
        <w:tc>
          <w:tcPr>
            <w:tcW w:w="2140" w:type="dxa"/>
            <w:vAlign w:val="bottom"/>
          </w:tcPr>
          <w:p>
            <w:pPr>
              <w:ind w:left="560"/>
              <w:spacing w:after="0"/>
              <w:rPr>
                <w:sz w:val="20"/>
                <w:szCs w:val="20"/>
                <w:color w:val="auto"/>
              </w:rPr>
            </w:pPr>
            <w:r>
              <w:rPr>
                <w:rFonts w:ascii="Courier New" w:cs="Courier New" w:eastAsia="Courier New" w:hAnsi="Courier New"/>
                <w:sz w:val="15"/>
                <w:szCs w:val="15"/>
                <w:color w:val="auto"/>
              </w:rPr>
              <w:t>Shop Rite</w:t>
            </w: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Hamilton, NJ  08690 (2)</w:t>
            </w:r>
          </w:p>
        </w:tc>
        <w:tc>
          <w:tcPr>
            <w:tcW w:w="2160" w:type="dxa"/>
            <w:vAlign w:val="bottom"/>
          </w:tcPr>
          <w:p>
            <w:pPr>
              <w:spacing w:after="0"/>
              <w:rPr>
                <w:sz w:val="14"/>
                <w:szCs w:val="14"/>
                <w:color w:val="auto"/>
              </w:rPr>
            </w:pPr>
          </w:p>
        </w:tc>
        <w:tc>
          <w:tcPr>
            <w:tcW w:w="21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Steven's Furniture</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A.C. Moore</w:t>
            </w:r>
          </w:p>
        </w:tc>
      </w:tr>
      <w:tr>
        <w:trPr>
          <w:trHeight w:val="505"/>
        </w:trPr>
        <w:tc>
          <w:tcPr>
            <w:tcW w:w="2800" w:type="dxa"/>
            <w:vAlign w:val="bottom"/>
          </w:tcPr>
          <w:p>
            <w:pPr>
              <w:spacing w:after="0"/>
              <w:rPr>
                <w:sz w:val="24"/>
                <w:szCs w:val="24"/>
                <w:color w:val="auto"/>
              </w:rPr>
            </w:pPr>
          </w:p>
        </w:tc>
        <w:tc>
          <w:tcPr>
            <w:tcW w:w="216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7</w:t>
            </w:r>
          </w:p>
        </w:tc>
        <w:tc>
          <w:tcPr>
            <w:tcW w:w="214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ind w:left="640"/>
              <w:spacing w:after="0"/>
              <w:rPr>
                <w:sz w:val="20"/>
                <w:szCs w:val="20"/>
                <w:color w:val="auto"/>
              </w:rPr>
            </w:pPr>
            <w:r>
              <w:rPr>
                <w:rFonts w:ascii="Courier New" w:cs="Courier New" w:eastAsia="Courier New" w:hAnsi="Courier New"/>
                <w:sz w:val="15"/>
                <w:szCs w:val="15"/>
                <w:color w:val="auto"/>
              </w:rPr>
              <w:t>Year</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Year</w:t>
            </w:r>
          </w:p>
        </w:tc>
        <w:tc>
          <w:tcPr>
            <w:tcW w:w="1520" w:type="dxa"/>
            <w:vAlign w:val="bottom"/>
          </w:tcPr>
          <w:p>
            <w:pPr>
              <w:spacing w:after="0"/>
              <w:rPr>
                <w:sz w:val="14"/>
                <w:szCs w:val="14"/>
                <w:color w:val="auto"/>
              </w:rPr>
            </w:pPr>
          </w:p>
        </w:tc>
        <w:tc>
          <w:tcPr>
            <w:tcW w:w="11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Number of</w:t>
            </w:r>
          </w:p>
        </w:tc>
        <w:tc>
          <w:tcPr>
            <w:tcW w:w="114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Occupancy (1)</w:t>
            </w: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Completed</w:t>
            </w: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Square Feet (1)</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Tenants</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Acres</w:t>
            </w: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Overall/Economic</w:t>
            </w: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Huntington</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1962</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1988</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274,000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90%</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Huntington, NY</w:t>
            </w:r>
          </w:p>
        </w:tc>
        <w:tc>
          <w:tcPr>
            <w:tcW w:w="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11746</w:t>
            </w: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Idylwood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1991</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1994</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79%</w:t>
            </w:r>
          </w:p>
        </w:tc>
      </w:tr>
      <w:tr>
        <w:trPr>
          <w:trHeight w:val="168"/>
        </w:trPr>
        <w:tc>
          <w:tcPr>
            <w:tcW w:w="21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5"/>
              </w:rPr>
              <w:t>Falls Church, VA 22030</w:t>
            </w: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Lancaster</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1958</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1980</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99%</w:t>
            </w: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Lancaster, PA 17601</w:t>
            </w:r>
          </w:p>
        </w:tc>
        <w:tc>
          <w:tcPr>
            <w:tcW w:w="1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Langhorne Square</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1966</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1985</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208,000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86%</w:t>
            </w: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Levittown, PA 19056</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Laurel Centre</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1956</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1986</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382,000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90%</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Laurel, MD</w:t>
            </w:r>
          </w:p>
        </w:tc>
        <w:tc>
          <w:tcPr>
            <w:tcW w:w="6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20707</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Lawrence Park</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1972</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1980</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340,000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97%</w:t>
            </w: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Broomall, PA 19008</w:t>
            </w:r>
          </w:p>
        </w:tc>
        <w:tc>
          <w:tcPr>
            <w:tcW w:w="1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Loehmann's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1971</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1983</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245,000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49</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94%</w:t>
            </w: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Fairfax, VA 22042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w:t>
            </w: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Mid-Pike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1963</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1982</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99%</w:t>
            </w: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Rockville, MD 20852</w:t>
            </w:r>
          </w:p>
        </w:tc>
        <w:tc>
          <w:tcPr>
            <w:tcW w:w="260" w:type="dxa"/>
            <w:vAlign w:val="bottom"/>
          </w:tcPr>
          <w:p>
            <w:pPr>
              <w:spacing w:after="0"/>
              <w:rPr>
                <w:sz w:val="14"/>
                <w:szCs w:val="14"/>
                <w:color w:val="auto"/>
              </w:rPr>
            </w:pPr>
          </w:p>
        </w:tc>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w:t>
            </w: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1959</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1983</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97%</w:t>
            </w:r>
          </w:p>
        </w:tc>
      </w:tr>
      <w:tr>
        <w:trPr>
          <w:trHeight w:val="168"/>
        </w:trPr>
        <w:tc>
          <w:tcPr>
            <w:tcW w:w="21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5"/>
              </w:rPr>
              <w:t>Philadelphia, PA 19114</w:t>
            </w: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Northeast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1952</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1986</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446,000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79%</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Atlanta, GA</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30329</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North Lake Commons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1989</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1994</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123,000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95%</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Lake Zurich, IL</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60047</w:t>
            </w: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Old Keene Mill</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1968</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1976</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92,000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90%</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Springfield, VA</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22152</w:t>
            </w: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Pan Am</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1979</w:t>
            </w:r>
          </w:p>
        </w:tc>
        <w:tc>
          <w:tcPr>
            <w:tcW w:w="11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1993</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218,000</w:t>
            </w:r>
          </w:p>
        </w:tc>
        <w:tc>
          <w:tcPr>
            <w:tcW w:w="1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98%</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Fairfax, VA</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22031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6"/>
              </w:rPr>
              <w:t>Principal</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gridSpan w:val="2"/>
          </w:tcPr>
          <w:p>
            <w:pPr>
              <w:jc w:val="center"/>
              <w:ind w:left="227"/>
              <w:spacing w:after="0" w:line="168" w:lineRule="exact"/>
              <w:rPr>
                <w:sz w:val="20"/>
                <w:szCs w:val="20"/>
                <w:color w:val="auto"/>
              </w:rPr>
            </w:pPr>
            <w:r>
              <w:rPr>
                <w:rFonts w:ascii="Courier New" w:cs="Courier New" w:eastAsia="Courier New" w:hAnsi="Courier New"/>
                <w:sz w:val="15"/>
                <w:szCs w:val="15"/>
                <w:color w:val="auto"/>
                <w:w w:val="98"/>
              </w:rPr>
              <w:t>Tenants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gridSpan w:val="2"/>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Huntington</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Bed, Bath and Beyond</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Huntington, NY</w:t>
            </w:r>
          </w:p>
        </w:tc>
        <w:tc>
          <w:tcPr>
            <w:tcW w:w="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11746</w:t>
            </w: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Service Merchandise</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Toys R Us</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Idylwood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Storehouse</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1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5"/>
              </w:rPr>
              <w:t>Falls Church, VA 22030</w:t>
            </w:r>
          </w:p>
        </w:tc>
        <w:tc>
          <w:tcPr>
            <w:tcW w:w="760" w:type="dxa"/>
            <w:vAlign w:val="bottom"/>
          </w:tcPr>
          <w:p>
            <w:pPr>
              <w:spacing w:after="0"/>
              <w:rPr>
                <w:sz w:val="14"/>
                <w:szCs w:val="14"/>
                <w:color w:val="auto"/>
              </w:rPr>
            </w:pP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Fresh Fields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Lancaster</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w w:val="94"/>
              </w:rPr>
              <w:t>Giant Eagle</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Lancaster, PA 17601</w:t>
            </w:r>
          </w:p>
        </w:tc>
        <w:tc>
          <w:tcPr>
            <w:tcW w:w="1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A.C. Moore</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Langhorne Square</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Drug Emporium</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Levittown, PA 19056</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Marshalls</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Jubilee Lanes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Laurel Centre</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Giant Food</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Laurel, MD</w:t>
            </w:r>
          </w:p>
        </w:tc>
        <w:tc>
          <w:tcPr>
            <w:tcW w:w="6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20707</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Marshalls</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Toys R US</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Lawrence Park</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Acme Markets</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Broomall, PA 19008</w:t>
            </w:r>
          </w:p>
        </w:tc>
        <w:tc>
          <w:tcPr>
            <w:tcW w:w="10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Best Products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Rickel Home Center</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Loehmann's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Scan Furniture</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Fairfax, VA 22042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w:t>
            </w:r>
          </w:p>
        </w:tc>
        <w:tc>
          <w:tcPr>
            <w:tcW w:w="760" w:type="dxa"/>
            <w:vAlign w:val="bottom"/>
          </w:tcPr>
          <w:p>
            <w:pPr>
              <w:spacing w:after="0"/>
              <w:rPr>
                <w:sz w:val="14"/>
                <w:szCs w:val="14"/>
                <w:color w:val="auto"/>
              </w:rPr>
            </w:pP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Linens N Things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Mid-Pike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Syms</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8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Rockville, MD 20852</w:t>
            </w:r>
          </w:p>
        </w:tc>
        <w:tc>
          <w:tcPr>
            <w:tcW w:w="260" w:type="dxa"/>
            <w:vAlign w:val="bottom"/>
          </w:tcPr>
          <w:p>
            <w:pPr>
              <w:spacing w:after="0"/>
              <w:rPr>
                <w:sz w:val="14"/>
                <w:szCs w:val="14"/>
                <w:color w:val="auto"/>
              </w:rPr>
            </w:pPr>
          </w:p>
        </w:tc>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Toys R Us</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G Street Fabrics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Burlington Coat Factory</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1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5"/>
              </w:rPr>
              <w:t>Philadelphia, PA 19114</w:t>
            </w:r>
          </w:p>
        </w:tc>
        <w:tc>
          <w:tcPr>
            <w:tcW w:w="76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Marshalls</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Northeast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Publix</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Atlanta, GA</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30329</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Levitz Furniture</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North Lake Commons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Dominick's</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Lake Zurich, IL</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60047</w:t>
            </w: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Old Keene Mill</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Fresh Fields</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Springfield, VA</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22152</w:t>
            </w:r>
          </w:p>
        </w:tc>
        <w:tc>
          <w:tcPr>
            <w:tcW w:w="76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Rite Aid</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1300"/>
          </w:cols>
          <w:pgMar w:left="220" w:top="953" w:right="379"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Pan Am</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Fairfax, VA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Micro Center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Safeway</w:t>
      </w:r>
    </w:p>
    <w:p>
      <w:pPr>
        <w:spacing w:after="0" w:line="237" w:lineRule="auto"/>
        <w:rPr>
          <w:sz w:val="20"/>
          <w:szCs w:val="20"/>
          <w:color w:val="auto"/>
        </w:rPr>
      </w:pPr>
      <w:r>
        <w:rPr>
          <w:rFonts w:ascii="Courier New" w:cs="Courier New" w:eastAsia="Courier New" w:hAnsi="Courier New"/>
          <w:sz w:val="15"/>
          <w:szCs w:val="15"/>
          <w:color w:val="auto"/>
        </w:rPr>
        <w:t>MJ Designs</w:t>
      </w:r>
    </w:p>
    <w:p>
      <w:pPr>
        <w:spacing w:after="0" w:line="200" w:lineRule="exact"/>
        <w:rPr>
          <w:sz w:val="20"/>
          <w:szCs w:val="20"/>
          <w:color w:val="auto"/>
        </w:rPr>
      </w:pPr>
    </w:p>
    <w:p>
      <w:pPr>
        <w:sectPr>
          <w:pgSz w:w="11900" w:h="16838" w:orient="portrait"/>
          <w:cols w:equalWidth="0" w:num="3">
            <w:col w:w="1140" w:space="180"/>
            <w:col w:w="1560" w:space="720"/>
            <w:col w:w="6639"/>
          </w:cols>
          <w:pgMar w:left="220" w:top="303" w:right="1440" w:bottom="1440" w:gutter="0" w:footer="0" w:header="0"/>
        </w:sectPr>
      </w:pPr>
    </w:p>
    <w:p>
      <w:pPr>
        <w:spacing w:after="0" w:line="14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303"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Year</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Number of</w:t>
            </w:r>
          </w:p>
        </w:tc>
        <w:tc>
          <w:tcPr>
            <w:tcW w:w="8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Completed</w:t>
            </w: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284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Square Feet (1) Tenants</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Acres</w:t>
            </w:r>
          </w:p>
        </w:tc>
      </w:tr>
      <w:tr>
        <w:trPr>
          <w:trHeight w:val="168"/>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Park &amp; Shop</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1930</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1995</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47,000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1</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Washington, DC</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20036</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Perring Plaza</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1963</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1985</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437,000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27</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Baltimore, MD</w:t>
            </w: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21134</w:t>
            </w:r>
          </w:p>
        </w:tc>
        <w:tc>
          <w:tcPr>
            <w:tcW w:w="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(3)</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Queen Anne Plaza</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1967</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1994</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149,000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18</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Norwell, MA</w:t>
            </w:r>
          </w:p>
        </w:tc>
        <w:tc>
          <w:tcPr>
            <w:tcW w:w="7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02061</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Quince Orchard</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1975</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1993</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238,000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16</w:t>
            </w: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Gaithersburg, MD 20877</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1320" w:type="dxa"/>
            <w:vAlign w:val="bottom"/>
          </w:tcPr>
          <w:p>
            <w:pPr>
              <w:spacing w:after="0"/>
              <w:rPr>
                <w:sz w:val="20"/>
                <w:szCs w:val="20"/>
                <w:color w:val="auto"/>
              </w:rPr>
            </w:pPr>
            <w:r>
              <w:rPr>
                <w:rFonts w:ascii="Courier New" w:cs="Courier New" w:eastAsia="Courier New" w:hAnsi="Courier New"/>
                <w:sz w:val="15"/>
                <w:szCs w:val="15"/>
                <w:color w:val="auto"/>
              </w:rPr>
              <w:t>Roseville</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1964</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1973</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143,000</w:t>
            </w:r>
          </w:p>
        </w:tc>
        <w:tc>
          <w:tcPr>
            <w:tcW w:w="11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20</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Roseville, MI</w:t>
            </w: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48066</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Rutgers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1973</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1988</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216,000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27</w:t>
            </w: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Franklin, N.J. 08873</w:t>
            </w:r>
          </w:p>
        </w:tc>
        <w:tc>
          <w:tcPr>
            <w:tcW w:w="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Shillington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1956</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1980</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74,000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8</w:t>
            </w: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Shillington, PA 19607</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Shirlington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1940</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1995</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349,000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16</w:t>
            </w: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Arlington, VA 22206</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Town &amp; Country</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1968</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1973</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236,000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19</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Springfield, IL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62704</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Town &amp; Country</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1974</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1990</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215,000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26</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Hammond, LA</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70401 (5)</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Troy</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1966</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1980</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205,000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19</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Parsippany-Troy,</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NJ 07054</w:t>
            </w:r>
          </w:p>
        </w:tc>
        <w:tc>
          <w:tcPr>
            <w:tcW w:w="2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1320" w:type="dxa"/>
            <w:vAlign w:val="bottom"/>
          </w:tcPr>
          <w:p>
            <w:pPr>
              <w:spacing w:after="0"/>
              <w:rPr>
                <w:sz w:val="20"/>
                <w:szCs w:val="20"/>
                <w:color w:val="auto"/>
              </w:rPr>
            </w:pPr>
            <w:r>
              <w:rPr>
                <w:rFonts w:ascii="Courier New" w:cs="Courier New" w:eastAsia="Courier New" w:hAnsi="Courier New"/>
                <w:sz w:val="15"/>
                <w:szCs w:val="15"/>
                <w:color w:val="auto"/>
              </w:rPr>
              <w:t>Tysons Station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1954</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1978</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50,000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4</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Falls Church, VA</w:t>
            </w:r>
          </w:p>
        </w:tc>
        <w:tc>
          <w:tcPr>
            <w:tcW w:w="11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22043</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West Falls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1960</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1972</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62,000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5</w:t>
            </w: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Falls Church, VA</w:t>
            </w:r>
          </w:p>
        </w:tc>
        <w:tc>
          <w:tcPr>
            <w:tcW w:w="11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22046</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Wildwood</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Courier New" w:cs="Courier New" w:eastAsia="Courier New" w:hAnsi="Courier New"/>
                <w:sz w:val="15"/>
                <w:szCs w:val="15"/>
                <w:color w:val="auto"/>
              </w:rPr>
              <w:t>1958</w:t>
            </w:r>
          </w:p>
        </w:tc>
        <w:tc>
          <w:tcPr>
            <w:tcW w:w="11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1969</w:t>
            </w:r>
          </w:p>
        </w:tc>
        <w:tc>
          <w:tcPr>
            <w:tcW w:w="16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85,000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13</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Bethesda, MD</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20814</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880"/>
              <w:spacing w:after="0"/>
              <w:rPr>
                <w:sz w:val="20"/>
                <w:szCs w:val="20"/>
                <w:color w:val="auto"/>
              </w:rPr>
            </w:pPr>
            <w:r>
              <w:rPr>
                <w:rFonts w:ascii="Courier New" w:cs="Courier New" w:eastAsia="Courier New" w:hAnsi="Courier New"/>
                <w:sz w:val="15"/>
                <w:szCs w:val="15"/>
                <w:color w:val="auto"/>
              </w:rPr>
              <w:t>Occupancy (1)</w:t>
            </w:r>
          </w:p>
        </w:tc>
        <w:tc>
          <w:tcPr>
            <w:tcW w:w="52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Principal</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00" w:type="dxa"/>
            <w:vAlign w:val="bottom"/>
            <w:gridSpan w:val="2"/>
          </w:tcPr>
          <w:p>
            <w:pPr>
              <w:ind w:left="1700"/>
              <w:spacing w:after="0" w:line="168" w:lineRule="exact"/>
              <w:rPr>
                <w:sz w:val="20"/>
                <w:szCs w:val="20"/>
                <w:color w:val="auto"/>
              </w:rPr>
            </w:pPr>
            <w:r>
              <w:rPr>
                <w:rFonts w:ascii="Courier New" w:cs="Courier New" w:eastAsia="Courier New" w:hAnsi="Courier New"/>
                <w:sz w:val="15"/>
                <w:szCs w:val="15"/>
                <w:color w:val="auto"/>
              </w:rPr>
              <w:t>Overall / Economy</w:t>
            </w:r>
          </w:p>
        </w:tc>
        <w:tc>
          <w:tcPr>
            <w:tcW w:w="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Tenants</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00" w:type="dxa"/>
            <w:vAlign w:val="bottom"/>
            <w:gridSpan w:val="2"/>
          </w:tcPr>
          <w:p>
            <w:pPr>
              <w:ind w:left="1700"/>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Park &amp; Shop</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700"/>
              <w:spacing w:after="0"/>
              <w:rPr>
                <w:sz w:val="20"/>
                <w:szCs w:val="20"/>
                <w:color w:val="auto"/>
              </w:rPr>
            </w:pPr>
            <w:r>
              <w:rPr>
                <w:rFonts w:ascii="Courier New" w:cs="Courier New" w:eastAsia="Courier New" w:hAnsi="Courier New"/>
                <w:sz w:val="15"/>
                <w:szCs w:val="15"/>
                <w:color w:val="auto"/>
              </w:rPr>
              <w:t>93%/93%</w:t>
            </w:r>
          </w:p>
        </w:tc>
        <w:tc>
          <w:tcPr>
            <w:tcW w:w="1100" w:type="dxa"/>
            <w:vAlign w:val="bottom"/>
          </w:tcPr>
          <w:p>
            <w:pPr>
              <w:spacing w:after="0"/>
              <w:rPr>
                <w:sz w:val="24"/>
                <w:szCs w:val="24"/>
                <w:color w:val="auto"/>
              </w:rPr>
            </w:pPr>
          </w:p>
        </w:tc>
        <w:tc>
          <w:tcPr>
            <w:tcW w:w="28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Herman's Sporting Goods</w:t>
            </w:r>
          </w:p>
        </w:tc>
        <w:tc>
          <w:tcPr>
            <w:tcW w:w="880" w:type="dxa"/>
            <w:vAlign w:val="bottom"/>
          </w:tcPr>
          <w:p>
            <w:pPr>
              <w:spacing w:after="0"/>
              <w:rPr>
                <w:sz w:val="24"/>
                <w:szCs w:val="24"/>
                <w:color w:val="auto"/>
              </w:rPr>
            </w:pP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Washington, DC</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20036</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Pizzeria Uno</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Perring Plaza</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100% /100%</w:t>
            </w: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Home Depot</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Baltimore, MD</w:t>
            </w: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21134</w:t>
            </w:r>
          </w:p>
        </w:tc>
        <w:tc>
          <w:tcPr>
            <w:tcW w:w="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(3)</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Metro Foods</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4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Burlington Coat Factory</w:t>
            </w:r>
          </w:p>
        </w:tc>
        <w:tc>
          <w:tcPr>
            <w:tcW w:w="880" w:type="dxa"/>
            <w:vAlign w:val="bottom"/>
          </w:tcPr>
          <w:p>
            <w:pPr>
              <w:spacing w:after="0"/>
              <w:rPr>
                <w:sz w:val="14"/>
                <w:szCs w:val="14"/>
                <w:color w:val="auto"/>
              </w:rPr>
            </w:pPr>
          </w:p>
        </w:tc>
      </w:tr>
      <w:tr>
        <w:trPr>
          <w:trHeight w:val="33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Queen Anne Plaza</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100% / 100%</w:t>
            </w: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TJ Maxx</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Norwell, MA</w:t>
            </w:r>
          </w:p>
        </w:tc>
        <w:tc>
          <w:tcPr>
            <w:tcW w:w="7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02061</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Star Markets</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Quince Orchard</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97% / 73%</w:t>
            </w: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Circuit City</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Gaithersburg, MD 20877</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MJ</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Design</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1320" w:type="dxa"/>
            <w:vAlign w:val="bottom"/>
          </w:tcPr>
          <w:p>
            <w:pPr>
              <w:spacing w:after="0"/>
              <w:rPr>
                <w:sz w:val="20"/>
                <w:szCs w:val="20"/>
                <w:color w:val="auto"/>
              </w:rPr>
            </w:pPr>
            <w:r>
              <w:rPr>
                <w:rFonts w:ascii="Courier New" w:cs="Courier New" w:eastAsia="Courier New" w:hAnsi="Courier New"/>
                <w:sz w:val="15"/>
                <w:szCs w:val="15"/>
                <w:color w:val="auto"/>
              </w:rPr>
              <w:t>Roseville</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100% / 100%</w:t>
            </w: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Drug Emporium</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Roseville, MI</w:t>
            </w: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48066</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Handy Andy</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Rutgers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96% / 96%</w:t>
            </w: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Foodtown</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Franklin, N.J. 08873</w:t>
            </w:r>
          </w:p>
        </w:tc>
        <w:tc>
          <w:tcPr>
            <w:tcW w:w="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K</w:t>
            </w: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Mart</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Shillington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100% / 67%</w:t>
            </w: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Rite Aid</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Shillington, PA 19607</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Shirlington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700"/>
              <w:spacing w:after="0"/>
              <w:rPr>
                <w:sz w:val="20"/>
                <w:szCs w:val="20"/>
                <w:color w:val="auto"/>
              </w:rPr>
            </w:pPr>
            <w:r>
              <w:rPr>
                <w:rFonts w:ascii="Courier New" w:cs="Courier New" w:eastAsia="Courier New" w:hAnsi="Courier New"/>
                <w:sz w:val="15"/>
                <w:szCs w:val="15"/>
                <w:color w:val="auto"/>
              </w:rPr>
              <w:t>96%/96%</w:t>
            </w:r>
          </w:p>
        </w:tc>
        <w:tc>
          <w:tcPr>
            <w:tcW w:w="1100" w:type="dxa"/>
            <w:vAlign w:val="bottom"/>
          </w:tcPr>
          <w:p>
            <w:pPr>
              <w:spacing w:after="0"/>
              <w:rPr>
                <w:sz w:val="24"/>
                <w:szCs w:val="24"/>
                <w:color w:val="auto"/>
              </w:rPr>
            </w:pP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Best Products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1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Arlington, VA 22206</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Cineplex Odeon</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Town &amp; Country</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96% / 96%</w:t>
            </w:r>
          </w:p>
        </w:tc>
        <w:tc>
          <w:tcPr>
            <w:tcW w:w="28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Burlington Coat Factory</w:t>
            </w:r>
          </w:p>
        </w:tc>
        <w:tc>
          <w:tcPr>
            <w:tcW w:w="880" w:type="dxa"/>
            <w:vAlign w:val="bottom"/>
          </w:tcPr>
          <w:p>
            <w:pPr>
              <w:spacing w:after="0"/>
              <w:rPr>
                <w:sz w:val="24"/>
                <w:szCs w:val="24"/>
                <w:color w:val="auto"/>
              </w:rPr>
            </w:pP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Springfield, IL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62704</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Schnuck Market</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Town &amp; Country</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700"/>
              <w:spacing w:after="0"/>
              <w:rPr>
                <w:sz w:val="20"/>
                <w:szCs w:val="20"/>
                <w:color w:val="auto"/>
              </w:rPr>
            </w:pPr>
            <w:r>
              <w:rPr>
                <w:rFonts w:ascii="Courier New" w:cs="Courier New" w:eastAsia="Courier New" w:hAnsi="Courier New"/>
                <w:sz w:val="15"/>
                <w:szCs w:val="15"/>
                <w:color w:val="auto"/>
                <w:w w:val="94"/>
              </w:rPr>
              <w:t>91% /91%</w:t>
            </w:r>
          </w:p>
        </w:tc>
        <w:tc>
          <w:tcPr>
            <w:tcW w:w="1100" w:type="dxa"/>
            <w:vAlign w:val="bottom"/>
          </w:tcPr>
          <w:p>
            <w:pPr>
              <w:spacing w:after="0"/>
              <w:rPr>
                <w:sz w:val="24"/>
                <w:szCs w:val="24"/>
                <w:color w:val="auto"/>
              </w:rPr>
            </w:pPr>
          </w:p>
        </w:tc>
        <w:tc>
          <w:tcPr>
            <w:tcW w:w="28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Weiner's Department Store</w:t>
            </w:r>
          </w:p>
        </w:tc>
        <w:tc>
          <w:tcPr>
            <w:tcW w:w="880" w:type="dxa"/>
            <w:vAlign w:val="bottom"/>
          </w:tcPr>
          <w:p>
            <w:pPr>
              <w:spacing w:after="0"/>
              <w:rPr>
                <w:sz w:val="24"/>
                <w:szCs w:val="2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Hammond, LA</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70401 (5)</w:t>
            </w: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Winn-Dixie</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Troy</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gridSpan w:val="2"/>
          </w:tcPr>
          <w:p>
            <w:pPr>
              <w:ind w:left="1700"/>
              <w:spacing w:after="0"/>
              <w:rPr>
                <w:sz w:val="20"/>
                <w:szCs w:val="20"/>
                <w:color w:val="auto"/>
              </w:rPr>
            </w:pPr>
            <w:r>
              <w:rPr>
                <w:rFonts w:ascii="Courier New" w:cs="Courier New" w:eastAsia="Courier New" w:hAnsi="Courier New"/>
                <w:sz w:val="15"/>
                <w:szCs w:val="15"/>
                <w:color w:val="auto"/>
              </w:rPr>
              <w:t>99% / 99%</w:t>
            </w: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Comp USA</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Parsippany-Troy,</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NJ 07054</w:t>
            </w:r>
          </w:p>
        </w:tc>
        <w:tc>
          <w:tcPr>
            <w:tcW w:w="2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K</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Mart</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Pathmark</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Tysons Station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ind w:left="1700"/>
              <w:spacing w:after="0"/>
              <w:rPr>
                <w:sz w:val="20"/>
                <w:szCs w:val="20"/>
                <w:color w:val="auto"/>
              </w:rPr>
            </w:pPr>
            <w:r>
              <w:rPr>
                <w:rFonts w:ascii="Courier New" w:cs="Courier New" w:eastAsia="Courier New" w:hAnsi="Courier New"/>
                <w:sz w:val="15"/>
                <w:szCs w:val="15"/>
                <w:color w:val="auto"/>
                <w:w w:val="94"/>
              </w:rPr>
              <w:t>92% /92%</w:t>
            </w:r>
          </w:p>
        </w:tc>
        <w:tc>
          <w:tcPr>
            <w:tcW w:w="1100" w:type="dxa"/>
            <w:vAlign w:val="bottom"/>
          </w:tcPr>
          <w:p>
            <w:pPr>
              <w:spacing w:after="0"/>
              <w:rPr>
                <w:sz w:val="24"/>
                <w:szCs w:val="24"/>
                <w:color w:val="auto"/>
              </w:rPr>
            </w:pPr>
          </w:p>
        </w:tc>
        <w:tc>
          <w:tcPr>
            <w:tcW w:w="16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Linens N Things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1122"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Falls Church,</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VA</w:t>
            </w:r>
          </w:p>
        </w:tc>
        <w:tc>
          <w:tcPr>
            <w:tcW w:w="4180" w:type="dxa"/>
            <w:vAlign w:val="bottom"/>
          </w:tcPr>
          <w:p>
            <w:pPr>
              <w:jc w:val="right"/>
              <w:ind w:right="3587"/>
              <w:spacing w:after="0"/>
              <w:rPr>
                <w:sz w:val="20"/>
                <w:szCs w:val="20"/>
                <w:color w:val="auto"/>
              </w:rPr>
            </w:pPr>
            <w:r>
              <w:rPr>
                <w:rFonts w:ascii="Courier New" w:cs="Courier New" w:eastAsia="Courier New" w:hAnsi="Courier New"/>
                <w:sz w:val="15"/>
                <w:szCs w:val="15"/>
                <w:color w:val="auto"/>
              </w:rPr>
              <w:t>22043</w:t>
            </w:r>
          </w:p>
        </w:tc>
        <w:tc>
          <w:tcPr>
            <w:tcW w:w="238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West Falls</w:t>
            </w:r>
          </w:p>
        </w:tc>
        <w:tc>
          <w:tcPr>
            <w:tcW w:w="320" w:type="dxa"/>
            <w:vAlign w:val="bottom"/>
          </w:tcPr>
          <w:p>
            <w:pPr>
              <w:spacing w:after="0"/>
              <w:rPr>
                <w:sz w:val="24"/>
                <w:szCs w:val="24"/>
                <w:color w:val="auto"/>
              </w:rPr>
            </w:pPr>
          </w:p>
        </w:tc>
        <w:tc>
          <w:tcPr>
            <w:tcW w:w="4180" w:type="dxa"/>
            <w:vAlign w:val="bottom"/>
          </w:tcPr>
          <w:p>
            <w:pPr>
              <w:ind w:left="2700"/>
              <w:spacing w:after="0"/>
              <w:rPr>
                <w:sz w:val="20"/>
                <w:szCs w:val="20"/>
                <w:color w:val="auto"/>
              </w:rPr>
            </w:pPr>
            <w:r>
              <w:rPr>
                <w:rFonts w:ascii="Courier New" w:cs="Courier New" w:eastAsia="Courier New" w:hAnsi="Courier New"/>
                <w:sz w:val="15"/>
                <w:szCs w:val="15"/>
                <w:color w:val="auto"/>
              </w:rPr>
              <w:t>96% /96%</w:t>
            </w:r>
          </w:p>
        </w:tc>
        <w:tc>
          <w:tcPr>
            <w:tcW w:w="2380" w:type="dxa"/>
            <w:vAlign w:val="bottom"/>
          </w:tcPr>
          <w:p>
            <w:pPr>
              <w:ind w:left="620"/>
              <w:spacing w:after="0"/>
              <w:rPr>
                <w:sz w:val="20"/>
                <w:szCs w:val="20"/>
                <w:color w:val="auto"/>
              </w:rPr>
            </w:pPr>
            <w:r>
              <w:rPr>
                <w:rFonts w:ascii="Courier New" w:cs="Courier New" w:eastAsia="Courier New" w:hAnsi="Courier New"/>
                <w:sz w:val="15"/>
                <w:szCs w:val="15"/>
                <w:color w:val="auto"/>
              </w:rPr>
              <w:t>Staples</w:t>
            </w:r>
          </w:p>
        </w:tc>
      </w:tr>
      <w:tr>
        <w:trPr>
          <w:trHeight w:val="168"/>
        </w:trPr>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Falls Church,</w:t>
            </w:r>
          </w:p>
        </w:tc>
        <w:tc>
          <w:tcPr>
            <w:tcW w:w="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w:t>
            </w:r>
          </w:p>
        </w:tc>
        <w:tc>
          <w:tcPr>
            <w:tcW w:w="4180" w:type="dxa"/>
            <w:vAlign w:val="bottom"/>
          </w:tcPr>
          <w:p>
            <w:pPr>
              <w:jc w:val="right"/>
              <w:ind w:right="3587"/>
              <w:spacing w:after="0" w:line="168" w:lineRule="exact"/>
              <w:rPr>
                <w:sz w:val="20"/>
                <w:szCs w:val="20"/>
                <w:color w:val="auto"/>
              </w:rPr>
            </w:pPr>
            <w:r>
              <w:rPr>
                <w:rFonts w:ascii="Courier New" w:cs="Courier New" w:eastAsia="Courier New" w:hAnsi="Courier New"/>
                <w:sz w:val="15"/>
                <w:szCs w:val="15"/>
                <w:color w:val="auto"/>
              </w:rPr>
              <w:t>22046</w:t>
            </w:r>
          </w:p>
        </w:tc>
        <w:tc>
          <w:tcPr>
            <w:tcW w:w="238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Wildwood</w:t>
            </w:r>
          </w:p>
        </w:tc>
        <w:tc>
          <w:tcPr>
            <w:tcW w:w="320" w:type="dxa"/>
            <w:vAlign w:val="bottom"/>
          </w:tcPr>
          <w:p>
            <w:pPr>
              <w:spacing w:after="0"/>
              <w:rPr>
                <w:sz w:val="24"/>
                <w:szCs w:val="24"/>
                <w:color w:val="auto"/>
              </w:rPr>
            </w:pPr>
          </w:p>
        </w:tc>
        <w:tc>
          <w:tcPr>
            <w:tcW w:w="4180" w:type="dxa"/>
            <w:vAlign w:val="bottom"/>
          </w:tcPr>
          <w:p>
            <w:pPr>
              <w:ind w:left="2700"/>
              <w:spacing w:after="0"/>
              <w:rPr>
                <w:sz w:val="20"/>
                <w:szCs w:val="20"/>
                <w:color w:val="auto"/>
              </w:rPr>
            </w:pPr>
            <w:r>
              <w:rPr>
                <w:rFonts w:ascii="Courier New" w:cs="Courier New" w:eastAsia="Courier New" w:hAnsi="Courier New"/>
                <w:sz w:val="15"/>
                <w:szCs w:val="15"/>
                <w:color w:val="auto"/>
              </w:rPr>
              <w:t>100% / 97%</w:t>
            </w:r>
          </w:p>
        </w:tc>
        <w:tc>
          <w:tcPr>
            <w:tcW w:w="2380" w:type="dxa"/>
            <w:vAlign w:val="bottom"/>
          </w:tcPr>
          <w:p>
            <w:pPr>
              <w:ind w:left="620"/>
              <w:spacing w:after="0"/>
              <w:rPr>
                <w:sz w:val="20"/>
                <w:szCs w:val="20"/>
                <w:color w:val="auto"/>
              </w:rPr>
            </w:pPr>
            <w:r>
              <w:rPr>
                <w:rFonts w:ascii="Courier New" w:cs="Courier New" w:eastAsia="Courier New" w:hAnsi="Courier New"/>
                <w:sz w:val="15"/>
                <w:szCs w:val="15"/>
                <w:color w:val="auto"/>
              </w:rPr>
              <w:t>CVS Pharmacy</w:t>
            </w:r>
          </w:p>
        </w:tc>
      </w:tr>
      <w:tr>
        <w:trPr>
          <w:trHeight w:val="168"/>
        </w:trPr>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Bethesda, MD</w:t>
            </w:r>
          </w:p>
        </w:tc>
        <w:tc>
          <w:tcPr>
            <w:tcW w:w="45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20814</w:t>
            </w:r>
          </w:p>
        </w:tc>
        <w:tc>
          <w:tcPr>
            <w:tcW w:w="2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Sutton Place Gourmet</w:t>
            </w:r>
          </w:p>
        </w:tc>
      </w:tr>
      <w:tr>
        <w:trPr>
          <w:trHeight w:val="673"/>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8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9</w:t>
            </w:r>
          </w:p>
        </w:tc>
        <w:tc>
          <w:tcPr>
            <w:tcW w:w="23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ind w:left="70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Year</w:t>
            </w:r>
          </w:p>
        </w:tc>
        <w:tc>
          <w:tcPr>
            <w:tcW w:w="1660" w:type="dxa"/>
            <w:vAlign w:val="bottom"/>
          </w:tcPr>
          <w:p>
            <w:pPr>
              <w:spacing w:after="0"/>
              <w:rPr>
                <w:sz w:val="14"/>
                <w:szCs w:val="14"/>
                <w:color w:val="auto"/>
              </w:rPr>
            </w:pPr>
          </w:p>
        </w:tc>
        <w:tc>
          <w:tcPr>
            <w:tcW w:w="12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Number of</w:t>
            </w: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Completed</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Acquired</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Square Feet (1)</w:t>
            </w:r>
          </w:p>
        </w:tc>
        <w:tc>
          <w:tcPr>
            <w:tcW w:w="12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Tenants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Acres</w:t>
            </w: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Williamsburg</w:t>
            </w:r>
          </w:p>
        </w:tc>
        <w:tc>
          <w:tcPr>
            <w:tcW w:w="1140" w:type="dxa"/>
            <w:vAlign w:val="bottom"/>
          </w:tcPr>
          <w:p>
            <w:pPr>
              <w:spacing w:after="0"/>
              <w:rPr>
                <w:sz w:val="24"/>
                <w:szCs w:val="24"/>
                <w:color w:val="auto"/>
              </w:rPr>
            </w:pPr>
          </w:p>
        </w:tc>
        <w:tc>
          <w:tcPr>
            <w:tcW w:w="1960" w:type="dxa"/>
            <w:vAlign w:val="bottom"/>
          </w:tcPr>
          <w:p>
            <w:pPr>
              <w:ind w:left="700"/>
              <w:spacing w:after="0"/>
              <w:rPr>
                <w:sz w:val="20"/>
                <w:szCs w:val="20"/>
                <w:color w:val="auto"/>
              </w:rPr>
            </w:pPr>
            <w:r>
              <w:rPr>
                <w:rFonts w:ascii="Courier New" w:cs="Courier New" w:eastAsia="Courier New" w:hAnsi="Courier New"/>
                <w:sz w:val="15"/>
                <w:szCs w:val="15"/>
                <w:color w:val="auto"/>
              </w:rPr>
              <w:t>1961</w:t>
            </w:r>
          </w:p>
        </w:tc>
        <w:tc>
          <w:tcPr>
            <w:tcW w:w="11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1986</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248,000</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Williamsburg, VA</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23187</w:t>
            </w: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Willow Grove Shopping Center</w:t>
            </w:r>
          </w:p>
        </w:tc>
        <w:tc>
          <w:tcPr>
            <w:tcW w:w="1960" w:type="dxa"/>
            <w:vAlign w:val="bottom"/>
          </w:tcPr>
          <w:p>
            <w:pPr>
              <w:ind w:left="700"/>
              <w:spacing w:after="0"/>
              <w:rPr>
                <w:sz w:val="20"/>
                <w:szCs w:val="20"/>
                <w:color w:val="auto"/>
              </w:rPr>
            </w:pPr>
            <w:r>
              <w:rPr>
                <w:rFonts w:ascii="Courier New" w:cs="Courier New" w:eastAsia="Courier New" w:hAnsi="Courier New"/>
                <w:sz w:val="15"/>
                <w:szCs w:val="15"/>
                <w:color w:val="auto"/>
              </w:rPr>
              <w:t>1953</w:t>
            </w:r>
          </w:p>
        </w:tc>
        <w:tc>
          <w:tcPr>
            <w:tcW w:w="11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1984</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228,000</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Willow Grove, PA</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19090</w:t>
            </w: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The Shops at Willow Lawn</w:t>
            </w:r>
          </w:p>
        </w:tc>
        <w:tc>
          <w:tcPr>
            <w:tcW w:w="1960" w:type="dxa"/>
            <w:vAlign w:val="bottom"/>
          </w:tcPr>
          <w:p>
            <w:pPr>
              <w:ind w:left="700"/>
              <w:spacing w:after="0"/>
              <w:rPr>
                <w:sz w:val="20"/>
                <w:szCs w:val="20"/>
                <w:color w:val="auto"/>
              </w:rPr>
            </w:pPr>
            <w:r>
              <w:rPr>
                <w:rFonts w:ascii="Courier New" w:cs="Courier New" w:eastAsia="Courier New" w:hAnsi="Courier New"/>
                <w:sz w:val="15"/>
                <w:szCs w:val="15"/>
                <w:color w:val="auto"/>
              </w:rPr>
              <w:t>1957</w:t>
            </w:r>
          </w:p>
        </w:tc>
        <w:tc>
          <w:tcPr>
            <w:tcW w:w="11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1983</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435,000</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106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Richmond, VA 23230</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w:t>
            </w: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Retail buildings</w:t>
            </w: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Eleven buildings in CT</w:t>
            </w:r>
          </w:p>
        </w:tc>
        <w:tc>
          <w:tcPr>
            <w:tcW w:w="1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1900-1991</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1994- 1995</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192,000</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62</w:t>
            </w:r>
          </w:p>
        </w:tc>
        <w:tc>
          <w:tcPr>
            <w:tcW w:w="840" w:type="dxa"/>
            <w:vAlign w:val="bottom"/>
          </w:tcPr>
          <w:p>
            <w:pPr>
              <w:spacing w:after="0"/>
              <w:rPr>
                <w:sz w:val="14"/>
                <w:szCs w:val="14"/>
                <w:color w:val="auto"/>
              </w:rPr>
            </w:pPr>
          </w:p>
        </w:tc>
      </w:tr>
      <w:tr>
        <w:trPr>
          <w:trHeight w:val="505"/>
        </w:trPr>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One building in MA</w:t>
            </w:r>
          </w:p>
        </w:tc>
        <w:tc>
          <w:tcPr>
            <w:tcW w:w="1140" w:type="dxa"/>
            <w:vAlign w:val="bottom"/>
          </w:tcPr>
          <w:p>
            <w:pPr>
              <w:spacing w:after="0"/>
              <w:rPr>
                <w:sz w:val="24"/>
                <w:szCs w:val="24"/>
                <w:color w:val="auto"/>
              </w:rPr>
            </w:pPr>
          </w:p>
        </w:tc>
        <w:tc>
          <w:tcPr>
            <w:tcW w:w="1960" w:type="dxa"/>
            <w:vAlign w:val="bottom"/>
          </w:tcPr>
          <w:p>
            <w:pPr>
              <w:ind w:left="700"/>
              <w:spacing w:after="0"/>
              <w:rPr>
                <w:sz w:val="20"/>
                <w:szCs w:val="20"/>
                <w:color w:val="auto"/>
              </w:rPr>
            </w:pPr>
            <w:r>
              <w:rPr>
                <w:rFonts w:ascii="Courier New" w:cs="Courier New" w:eastAsia="Courier New" w:hAnsi="Courier New"/>
                <w:sz w:val="15"/>
                <w:szCs w:val="15"/>
                <w:color w:val="auto"/>
              </w:rPr>
              <w:t>1930</w:t>
            </w:r>
          </w:p>
        </w:tc>
        <w:tc>
          <w:tcPr>
            <w:tcW w:w="11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1995</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12,000</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spacing w:after="0"/>
              <w:rPr>
                <w:sz w:val="24"/>
                <w:szCs w:val="2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One building in NJ</w:t>
            </w:r>
          </w:p>
        </w:tc>
        <w:tc>
          <w:tcPr>
            <w:tcW w:w="1140" w:type="dxa"/>
            <w:vAlign w:val="bottom"/>
          </w:tcPr>
          <w:p>
            <w:pPr>
              <w:spacing w:after="0"/>
              <w:rPr>
                <w:sz w:val="14"/>
                <w:szCs w:val="14"/>
                <w:color w:val="auto"/>
              </w:rPr>
            </w:pPr>
          </w:p>
        </w:tc>
        <w:tc>
          <w:tcPr>
            <w:tcW w:w="1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1940</w:t>
            </w: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1995</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11,000</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spacing w:after="0"/>
              <w:rPr>
                <w:sz w:val="14"/>
                <w:szCs w:val="14"/>
                <w:color w:val="auto"/>
              </w:rPr>
            </w:pPr>
          </w:p>
        </w:tc>
      </w:tr>
      <w:tr>
        <w:trPr>
          <w:trHeight w:val="168"/>
        </w:trPr>
        <w:tc>
          <w:tcPr>
            <w:tcW w:w="2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Two buildings in IL</w:t>
            </w:r>
          </w:p>
        </w:tc>
        <w:tc>
          <w:tcPr>
            <w:tcW w:w="1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1920-1927</w:t>
            </w: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1995</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19,000</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14"/>
                <w:szCs w:val="14"/>
                <w:color w:val="auto"/>
              </w:rPr>
            </w:pPr>
          </w:p>
        </w:tc>
      </w:tr>
      <w:tr>
        <w:trPr>
          <w:trHeight w:val="505"/>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ind w:left="780"/>
              <w:spacing w:after="0"/>
              <w:rPr>
                <w:sz w:val="20"/>
                <w:szCs w:val="20"/>
                <w:color w:val="auto"/>
              </w:rPr>
            </w:pPr>
            <w:r>
              <w:rPr>
                <w:rFonts w:ascii="Courier New" w:cs="Courier New" w:eastAsia="Courier New" w:hAnsi="Courier New"/>
                <w:sz w:val="15"/>
                <w:szCs w:val="15"/>
                <w:color w:val="auto"/>
                <w:w w:val="99"/>
              </w:rPr>
              <w:t>Occupancy (1)</w:t>
            </w:r>
          </w:p>
        </w:tc>
        <w:tc>
          <w:tcPr>
            <w:tcW w:w="110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Overall / Economic</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Tenants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Williamsburg</w:t>
            </w:r>
          </w:p>
        </w:tc>
        <w:tc>
          <w:tcPr>
            <w:tcW w:w="114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w w:val="99"/>
              </w:rPr>
              <w:t>100% /100%</w:t>
            </w:r>
          </w:p>
        </w:tc>
        <w:tc>
          <w:tcPr>
            <w:tcW w:w="1100" w:type="dxa"/>
            <w:vAlign w:val="bottom"/>
          </w:tcPr>
          <w:p>
            <w:pPr>
              <w:spacing w:after="0"/>
              <w:rPr>
                <w:sz w:val="24"/>
                <w:szCs w:val="24"/>
                <w:color w:val="auto"/>
              </w:rPr>
            </w:pP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Food Lion</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Williamsburg, VA</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23187</w:t>
            </w: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Peebles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Rose's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Willow Grove Shopping Center</w:t>
            </w: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rPr>
              <w:t>87% /77%</w:t>
            </w:r>
          </w:p>
        </w:tc>
        <w:tc>
          <w:tcPr>
            <w:tcW w:w="1100" w:type="dxa"/>
            <w:vAlign w:val="bottom"/>
          </w:tcPr>
          <w:p>
            <w:pPr>
              <w:spacing w:after="0"/>
              <w:rPr>
                <w:sz w:val="24"/>
                <w:szCs w:val="24"/>
                <w:color w:val="auto"/>
              </w:rPr>
            </w:pP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Marshalls</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Willow Grove, PA</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19090</w:t>
            </w: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Toys R Us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The Shops at Willow Lawn</w:t>
            </w: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rPr>
              <w:t>91% / 91%</w:t>
            </w:r>
          </w:p>
        </w:tc>
        <w:tc>
          <w:tcPr>
            <w:tcW w:w="1100" w:type="dxa"/>
            <w:vAlign w:val="bottom"/>
          </w:tcPr>
          <w:p>
            <w:pPr>
              <w:spacing w:after="0"/>
              <w:rPr>
                <w:sz w:val="24"/>
                <w:szCs w:val="24"/>
                <w:color w:val="auto"/>
              </w:rPr>
            </w:pP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Leggett Stores</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Richmond, VA 23230</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w:t>
            </w: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Barnes &amp; Noble</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Cineplex Odeon</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Retail buildings</w:t>
            </w: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Eleven buildings in CT</w:t>
            </w:r>
          </w:p>
        </w:tc>
        <w:tc>
          <w:tcPr>
            <w:tcW w:w="19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96%/93%</w:t>
            </w: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Barney's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Eddie Bauer</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Saks Fifth Avenue</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One building in MA</w:t>
            </w:r>
          </w:p>
        </w:tc>
        <w:tc>
          <w:tcPr>
            <w:tcW w:w="1140" w:type="dxa"/>
            <w:vAlign w:val="bottom"/>
          </w:tcPr>
          <w:p>
            <w:pPr>
              <w:spacing w:after="0"/>
              <w:rPr>
                <w:sz w:val="14"/>
                <w:szCs w:val="14"/>
                <w:color w:val="auto"/>
              </w:rPr>
            </w:pPr>
          </w:p>
        </w:tc>
        <w:tc>
          <w:tcPr>
            <w:tcW w:w="19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100%/100%</w:t>
            </w: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 Joseph</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One building in NJ</w:t>
            </w:r>
          </w:p>
        </w:tc>
        <w:tc>
          <w:tcPr>
            <w:tcW w:w="1140" w:type="dxa"/>
            <w:vAlign w:val="bottom"/>
          </w:tcPr>
          <w:p>
            <w:pPr>
              <w:spacing w:after="0"/>
              <w:rPr>
                <w:sz w:val="14"/>
                <w:szCs w:val="14"/>
                <w:color w:val="auto"/>
              </w:rPr>
            </w:pPr>
          </w:p>
        </w:tc>
        <w:tc>
          <w:tcPr>
            <w:tcW w:w="19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35%/35%</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Two buildings in IL</w:t>
            </w:r>
          </w:p>
        </w:tc>
        <w:tc>
          <w:tcPr>
            <w:tcW w:w="19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100%/100%</w:t>
            </w:r>
          </w:p>
        </w:tc>
        <w:tc>
          <w:tcPr>
            <w:tcW w:w="1100" w:type="dxa"/>
            <w:vAlign w:val="bottom"/>
          </w:tcPr>
          <w:p>
            <w:pPr>
              <w:spacing w:after="0"/>
              <w:rPr>
                <w:sz w:val="14"/>
                <w:szCs w:val="14"/>
                <w:color w:val="auto"/>
              </w:rPr>
            </w:pP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Foodstuff</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70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Overall occupancy is expressed as a percentage of rentable square feet</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0" w:type="dxa"/>
            <w:vAlign w:val="bottom"/>
          </w:tcPr>
          <w:p>
            <w:pPr>
              <w:spacing w:after="0"/>
              <w:rPr>
                <w:sz w:val="14"/>
                <w:szCs w:val="14"/>
                <w:color w:val="auto"/>
              </w:rPr>
            </w:pPr>
          </w:p>
        </w:tc>
        <w:tc>
          <w:tcPr>
            <w:tcW w:w="704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and includes square feet covered by leases for stores not yet opened.</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704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Economic occupancy is expressed as a percentage of rentable square</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704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feet, but only includes leases currently generating rental income.</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53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The Trust has a leasehold interest in this property.</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c>
          <w:tcPr>
            <w:tcW w:w="53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6"/>
              </w:rPr>
              <w:t>The Trust owns a 99.9% partnership interest in this center.</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w:t>
            </w:r>
          </w:p>
        </w:tc>
        <w:tc>
          <w:tcPr>
            <w:tcW w:w="53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The Trust owns a 49% equity interest in this center.</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w:t>
            </w:r>
          </w:p>
        </w:tc>
        <w:tc>
          <w:tcPr>
            <w:tcW w:w="53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The Trust owns this property subject to a ground lease.</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(6)</w:t>
            </w:r>
          </w:p>
        </w:tc>
        <w:tc>
          <w:tcPr>
            <w:tcW w:w="70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The Trust has a 1% general partnership interest and manages the</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0" w:type="dxa"/>
            <w:vAlign w:val="bottom"/>
          </w:tcPr>
          <w:p>
            <w:pPr>
              <w:spacing w:after="0"/>
              <w:rPr>
                <w:sz w:val="14"/>
                <w:szCs w:val="14"/>
                <w:color w:val="auto"/>
              </w:rPr>
            </w:pPr>
          </w:p>
        </w:tc>
        <w:tc>
          <w:tcPr>
            <w:tcW w:w="538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8"/>
              </w:rPr>
              <w:t>partnership. A 99% interest was sold to a limited partner.</w:t>
            </w: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Apartments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the Trust's apartment development as of December 31, 1995 which is 100% owned by the Trust in fee. This development is not subject to rent control.</w:t>
      </w:r>
    </w:p>
    <w:p>
      <w:pPr>
        <w:spacing w:after="0" w:line="200" w:lineRule="exact"/>
        <w:rPr>
          <w:sz w:val="20"/>
          <w:szCs w:val="20"/>
          <w:color w:val="auto"/>
        </w:rPr>
      </w:pPr>
    </w:p>
    <w:p>
      <w:pPr>
        <w:spacing w:after="0" w:line="304" w:lineRule="exact"/>
        <w:rPr>
          <w:sz w:val="20"/>
          <w:szCs w:val="20"/>
          <w:color w:val="auto"/>
        </w:rPr>
      </w:pPr>
    </w:p>
    <w:p>
      <w:pPr>
        <w:ind w:left="3600"/>
        <w:spacing w:after="0"/>
        <w:tabs>
          <w:tab w:leader="none" w:pos="506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Year</w:t>
      </w:r>
    </w:p>
    <w:p>
      <w:pPr>
        <w:spacing w:after="0"/>
        <w:tabs>
          <w:tab w:leader="none" w:pos="3320" w:val="left"/>
          <w:tab w:leader="none" w:pos="4880" w:val="left"/>
          <w:tab w:leader="none" w:pos="6380" w:val="left"/>
          <w:tab w:leader="none" w:pos="7860" w:val="left"/>
          <w:tab w:leader="none" w:pos="9260" w:val="left"/>
        </w:tabs>
        <w:rPr>
          <w:sz w:val="20"/>
          <w:szCs w:val="20"/>
          <w:color w:val="auto"/>
        </w:rPr>
      </w:pPr>
      <w:r>
        <w:rPr>
          <w:rFonts w:ascii="Courier New" w:cs="Courier New" w:eastAsia="Courier New" w:hAnsi="Courier New"/>
          <w:sz w:val="15"/>
          <w:szCs w:val="15"/>
          <w:color w:val="auto"/>
        </w:rPr>
        <w:t>Property</w:t>
      </w:r>
      <w:r>
        <w:rPr>
          <w:sz w:val="20"/>
          <w:szCs w:val="20"/>
          <w:color w:val="auto"/>
        </w:rPr>
        <w:tab/>
      </w:r>
      <w:r>
        <w:rPr>
          <w:rFonts w:ascii="Courier New" w:cs="Courier New" w:eastAsia="Courier New" w:hAnsi="Courier New"/>
          <w:sz w:val="15"/>
          <w:szCs w:val="15"/>
          <w:color w:val="auto"/>
        </w:rPr>
        <w:t>Completed</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Acres</w:t>
      </w:r>
      <w:r>
        <w:rPr>
          <w:sz w:val="20"/>
          <w:szCs w:val="20"/>
          <w:color w:val="auto"/>
        </w:rPr>
        <w:tab/>
      </w:r>
      <w:r>
        <w:rPr>
          <w:rFonts w:ascii="Courier New" w:cs="Courier New" w:eastAsia="Courier New" w:hAnsi="Courier New"/>
          <w:sz w:val="15"/>
          <w:szCs w:val="15"/>
          <w:color w:val="auto"/>
        </w:rPr>
        <w:t>1-BR</w:t>
      </w:r>
      <w:r>
        <w:rPr>
          <w:sz w:val="20"/>
          <w:szCs w:val="20"/>
          <w:color w:val="auto"/>
        </w:rPr>
        <w:tab/>
      </w:r>
      <w:r>
        <w:rPr>
          <w:rFonts w:ascii="Courier New" w:cs="Courier New" w:eastAsia="Courier New" w:hAnsi="Courier New"/>
          <w:sz w:val="14"/>
          <w:szCs w:val="14"/>
          <w:color w:val="auto"/>
        </w:rPr>
        <w:t>2-BR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Rollingwood</w:t>
            </w:r>
          </w:p>
        </w:tc>
        <w:tc>
          <w:tcPr>
            <w:tcW w:w="17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1960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1971</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Silver Spring, MD</w:t>
            </w: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 three-story buildings</w:t>
            </w: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2860" w:type="dxa"/>
            <w:vAlign w:val="bottom"/>
          </w:tcPr>
          <w:p>
            <w:pPr>
              <w:spacing w:after="0"/>
              <w:rPr>
                <w:sz w:val="24"/>
                <w:szCs w:val="24"/>
                <w:color w:val="auto"/>
              </w:rPr>
            </w:pPr>
          </w:p>
        </w:tc>
        <w:tc>
          <w:tcPr>
            <w:tcW w:w="1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Eff. and</w:t>
            </w: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860" w:type="dxa"/>
            <w:vAlign w:val="bottom"/>
          </w:tcPr>
          <w:p>
            <w:pPr>
              <w:spacing w:after="0"/>
              <w:rPr>
                <w:sz w:val="14"/>
                <w:szCs w:val="14"/>
                <w:color w:val="auto"/>
              </w:rPr>
            </w:pP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3-BR</w:t>
            </w:r>
          </w:p>
        </w:tc>
        <w:tc>
          <w:tcPr>
            <w:tcW w:w="10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Total</w:t>
            </w:r>
          </w:p>
        </w:tc>
        <w:tc>
          <w:tcPr>
            <w:tcW w:w="17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Occupancy</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450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Rollingwood</w:t>
            </w:r>
          </w:p>
        </w:tc>
        <w:tc>
          <w:tcPr>
            <w:tcW w:w="17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282</w:t>
            </w:r>
          </w:p>
        </w:tc>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96%</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Silver Spring, MD</w:t>
            </w: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 three-story buildings</w:t>
            </w: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0239"/>
          </w:cols>
          <w:pgMar w:left="220" w:top="953" w:right="1440" w:bottom="180" w:gutter="0" w:footer="0" w:header="0"/>
        </w:sectPr>
      </w:pPr>
    </w:p>
    <w:bookmarkStart w:id="14" w:name="page15"/>
    <w:bookmarkEnd w:id="14"/>
    <w:p>
      <w:pPr>
        <w:ind w:left="2120"/>
        <w:spacing w:after="0"/>
        <w:rPr>
          <w:sz w:val="20"/>
          <w:szCs w:val="20"/>
          <w:color w:val="auto"/>
        </w:rPr>
      </w:pPr>
      <w:r>
        <w:rPr>
          <w:rFonts w:ascii="Courier New" w:cs="Courier New" w:eastAsia="Courier New" w:hAnsi="Courier New"/>
          <w:sz w:val="12"/>
          <w:szCs w:val="12"/>
          <w:color w:val="auto"/>
        </w:rPr>
        <w:t>10</w:t>
      </w:r>
    </w:p>
    <w:p>
      <w:pPr>
        <w:sectPr>
          <w:pgSz w:w="11900" w:h="16838" w:orient="portrait"/>
          <w:cols w:equalWidth="0" w:num="1">
            <w:col w:w="9019"/>
          </w:cols>
          <w:pgMar w:left="1440" w:top="310" w:right="1440" w:bottom="1440" w:gutter="0" w:footer="0" w:header="0"/>
        </w:sectPr>
      </w:pPr>
    </w:p>
    <w:bookmarkStart w:id="15" w:name="page16"/>
    <w:bookmarkEnd w:id="15"/>
    <w:p>
      <w:pPr>
        <w:ind w:left="180"/>
        <w:spacing w:after="0"/>
        <w:rPr>
          <w:sz w:val="20"/>
          <w:szCs w:val="20"/>
          <w:color w:val="auto"/>
        </w:rPr>
      </w:pPr>
      <w:r>
        <w:rPr>
          <w:rFonts w:ascii="Courier New" w:cs="Courier New" w:eastAsia="Courier New" w:hAnsi="Courier New"/>
          <w:sz w:val="14"/>
          <w:szCs w:val="14"/>
          <w:color w:val="auto"/>
        </w:rPr>
        <w:t>Item 3.</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Legal Proceedings.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ectPr>
          <w:pgSz w:w="11900" w:h="16838" w:orient="portrait"/>
          <w:cols w:equalWidth="0" w:num="2">
            <w:col w:w="800" w:space="260"/>
            <w:col w:w="9179"/>
          </w:cols>
          <w:pgMar w:left="220" w:top="624" w:right="1440" w:bottom="1440" w:gutter="0" w:footer="0" w:header="0"/>
        </w:sectPr>
      </w:pPr>
    </w:p>
    <w:p>
      <w:pPr>
        <w:ind w:left="62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24" w:right="1440" w:bottom="1440" w:gutter="0" w:footer="0" w:header="0"/>
          <w:type w:val="continuous"/>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Item 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Submission of Matters to a Vote of Security Holders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800" w:space="260"/>
            <w:col w:w="9179"/>
          </w:cols>
          <w:pgMar w:left="220" w:top="624" w:right="1440" w:bottom="1440"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24" w:right="1440" w:bottom="1440" w:gutter="0" w:footer="0" w:header="0"/>
          <w:type w:val="continuous"/>
        </w:sectPr>
      </w:pP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Item 5.</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for Registrant's Common Equity and Related Stockholder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800" w:space="260"/>
            <w:col w:w="9179"/>
          </w:cols>
          <w:pgMar w:left="220" w:top="624"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Market Quotations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Dividends</w:t>
            </w:r>
          </w:p>
        </w:tc>
      </w:tr>
      <w:tr>
        <w:trPr>
          <w:trHeight w:val="168"/>
        </w:trPr>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Quarter ended</w:t>
            </w: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High</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300" w:type="dxa"/>
            <w:vAlign w:val="bottom"/>
          </w:tcPr>
          <w:p>
            <w:pPr>
              <w:spacing w:after="0"/>
              <w:rPr>
                <w:sz w:val="14"/>
                <w:szCs w:val="14"/>
                <w:color w:val="auto"/>
              </w:rPr>
            </w:pP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Paid</w:t>
            </w:r>
          </w:p>
        </w:tc>
      </w:tr>
      <w:tr>
        <w:trPr>
          <w:trHeight w:val="168"/>
        </w:trPr>
        <w:tc>
          <w:tcPr>
            <w:tcW w:w="18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8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December 31, 1995</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$23 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r>
      <w:tr>
        <w:trPr>
          <w:trHeight w:val="168"/>
        </w:trPr>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September 30, 1995</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23</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1995</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March</w:t>
            </w:r>
          </w:p>
        </w:tc>
        <w:tc>
          <w:tcPr>
            <w:tcW w:w="12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31, 1995</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.395</w:t>
            </w:r>
          </w:p>
        </w:tc>
      </w:tr>
      <w:tr>
        <w:trPr>
          <w:trHeight w:val="336"/>
        </w:trPr>
        <w:tc>
          <w:tcPr>
            <w:tcW w:w="18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December 31, 1994</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$23 3/4</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 5/8</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$.395</w:t>
            </w:r>
          </w:p>
        </w:tc>
      </w:tr>
      <w:tr>
        <w:trPr>
          <w:trHeight w:val="168"/>
        </w:trPr>
        <w:tc>
          <w:tcPr>
            <w:tcW w:w="18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September 30, 1994</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26</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1994</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March</w:t>
            </w:r>
          </w:p>
        </w:tc>
        <w:tc>
          <w:tcPr>
            <w:tcW w:w="12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31, 1994</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29</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30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w:t>
            </w:r>
          </w:p>
        </w:tc>
      </w:tr>
    </w:tbl>
    <w:p>
      <w:pPr>
        <w:spacing w:after="0" w:line="341" w:lineRule="exact"/>
        <w:rPr>
          <w:sz w:val="20"/>
          <w:szCs w:val="20"/>
          <w:color w:val="auto"/>
        </w:rPr>
      </w:pPr>
    </w:p>
    <w:p>
      <w:pPr>
        <w:ind w:left="180" w:right="3579" w:firstLine="437"/>
        <w:spacing w:after="0" w:line="234" w:lineRule="auto"/>
        <w:rPr>
          <w:sz w:val="20"/>
          <w:szCs w:val="20"/>
          <w:color w:val="auto"/>
        </w:rPr>
      </w:pPr>
      <w:r>
        <w:rPr>
          <w:rFonts w:ascii="Courier New" w:cs="Courier New" w:eastAsia="Courier New" w:hAnsi="Courier New"/>
          <w:sz w:val="15"/>
          <w:szCs w:val="15"/>
          <w:color w:val="auto"/>
        </w:rPr>
        <w:t>The number of holders of record for Federal Realty's common shares of beneficial interest at December 31, 1995 was 5,342.</w:t>
      </w:r>
    </w:p>
    <w:p>
      <w:pPr>
        <w:spacing w:after="0" w:line="173" w:lineRule="exact"/>
        <w:rPr>
          <w:sz w:val="20"/>
          <w:szCs w:val="20"/>
          <w:color w:val="auto"/>
        </w:rPr>
      </w:pPr>
    </w:p>
    <w:p>
      <w:pPr>
        <w:ind w:left="180" w:right="4199" w:firstLine="437"/>
        <w:spacing w:after="0" w:line="261" w:lineRule="auto"/>
        <w:rPr>
          <w:sz w:val="20"/>
          <w:szCs w:val="20"/>
          <w:color w:val="auto"/>
        </w:rPr>
      </w:pPr>
      <w:r>
        <w:rPr>
          <w:rFonts w:ascii="Courier New" w:cs="Courier New" w:eastAsia="Courier New" w:hAnsi="Courier New"/>
          <w:sz w:val="14"/>
          <w:szCs w:val="14"/>
          <w:color w:val="auto"/>
        </w:rPr>
        <w:t>For the years ended December 31, 1995 and 1994, $.43 and $.75, respectively, of dividends paid represented a return of capital.</w:t>
      </w:r>
    </w:p>
    <w:p>
      <w:pPr>
        <w:spacing w:after="0" w:line="160" w:lineRule="exact"/>
        <w:rPr>
          <w:sz w:val="20"/>
          <w:szCs w:val="20"/>
          <w:color w:val="auto"/>
        </w:rPr>
      </w:pPr>
    </w:p>
    <w:p>
      <w:pPr>
        <w:ind w:left="180" w:right="3399" w:firstLine="437"/>
        <w:spacing w:after="0" w:line="234" w:lineRule="auto"/>
        <w:rPr>
          <w:sz w:val="20"/>
          <w:szCs w:val="20"/>
          <w:color w:val="auto"/>
        </w:rPr>
      </w:pPr>
      <w:r>
        <w:rPr>
          <w:rFonts w:ascii="Courier New" w:cs="Courier New" w:eastAsia="Courier New" w:hAnsi="Courier New"/>
          <w:sz w:val="15"/>
          <w:szCs w:val="15"/>
          <w:color w:val="auto"/>
        </w:rPr>
        <w:t>Dividends declared per quarter during the last two fiscal years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52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 .39</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.395</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.395</w:t>
            </w:r>
          </w:p>
        </w:tc>
      </w:tr>
    </w:tbl>
    <w:p>
      <w:pPr>
        <w:spacing w:after="0" w:line="173" w:lineRule="exact"/>
        <w:rPr>
          <w:sz w:val="20"/>
          <w:szCs w:val="20"/>
          <w:color w:val="auto"/>
        </w:rPr>
      </w:pPr>
    </w:p>
    <w:p>
      <w:pPr>
        <w:ind w:left="180" w:right="3499" w:firstLine="437"/>
        <w:spacing w:after="0" w:line="234" w:lineRule="auto"/>
        <w:rPr>
          <w:sz w:val="20"/>
          <w:szCs w:val="20"/>
          <w:color w:val="auto"/>
        </w:rPr>
      </w:pPr>
      <w:r>
        <w:rPr>
          <w:rFonts w:ascii="Courier New" w:cs="Courier New" w:eastAsia="Courier New" w:hAnsi="Courier New"/>
          <w:sz w:val="15"/>
          <w:szCs w:val="15"/>
          <w:color w:val="auto"/>
        </w:rPr>
        <w:t>The Trust's common shares of beneficial interest are listed on the New York Stock Exchange.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type w:val="continuous"/>
        </w:sectPr>
      </w:pPr>
    </w:p>
    <w:bookmarkStart w:id="16" w:name="page17"/>
    <w:bookmarkEnd w:id="16"/>
    <w:p>
      <w:pPr>
        <w:ind w:left="180"/>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w w:val="96"/>
              </w:rPr>
              <w:t>In thousands, except per share</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DECEMBER 31,</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ind w:left="180"/>
        <w:spacing w:after="0" w:line="237" w:lineRule="auto"/>
        <w:rPr>
          <w:sz w:val="20"/>
          <w:szCs w:val="20"/>
          <w:color w:val="auto"/>
        </w:rPr>
      </w:pPr>
      <w:r>
        <w:rPr>
          <w:rFonts w:ascii="Courier New" w:cs="Courier New" w:eastAsia="Courier New" w:hAnsi="Courier New"/>
          <w:sz w:val="15"/>
          <w:szCs w:val="15"/>
          <w:color w:val="auto"/>
        </w:rPr>
        <w:t>OPERATING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$142,841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$128,133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$105,948</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$89,971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$88,350</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Income before gain</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on sale of real</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estate and extra-</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ordinary item</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23,655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20,466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16,114</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6,987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4,324</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Gain (loss)on sale</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of real estate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Extraordinary item -</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gain (loss) on early</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extinguishment of</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&lt;58&gt;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23,110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20,466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18,130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9,430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4,800</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Net cash provided</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by operating</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activities (1)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65,117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45,199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35,183</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28,236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26,111</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Funds from</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Operations (2)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57,034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50,404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40,824</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29,374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25,701</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Dividends declared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51,392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48,196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42,021</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36,306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25,771</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shares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31,860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30,679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27,009</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22,767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17,304</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Dividends declared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bl>
    <w:p>
      <w:pPr>
        <w:spacing w:after="0" w:line="173"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BALANCE SHEET DATA</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cost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$1,009,682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$852,722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$758,088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$598,867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$566,056</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886,154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751,804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689,803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603,365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565,716</w:t>
            </w:r>
          </w:p>
        </w:tc>
      </w:tr>
      <w:tr>
        <w:trPr>
          <w:trHeight w:val="336"/>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Mortgage and capital</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lease obligations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222,317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235,705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218,545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245,694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225,859</w:t>
            </w:r>
          </w:p>
        </w:tc>
      </w:tr>
      <w:tr>
        <w:trPr>
          <w:trHeight w:val="505"/>
        </w:trPr>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88"/>
              </w:rPr>
              <w:t>12</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49,980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61,883</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30,519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11,665</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165,000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subordinated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debentures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75,289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75,289</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115,167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92,003</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327,468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343,222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283,059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222,432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151,134</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32,160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31,609</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28,018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19,687</w:t>
            </w:r>
          </w:p>
        </w:tc>
      </w:tr>
    </w:tbl>
    <w:p>
      <w:pPr>
        <w:spacing w:after="0" w:line="341" w:lineRule="exact"/>
        <w:rPr>
          <w:sz w:val="20"/>
          <w:szCs w:val="20"/>
          <w:color w:val="auto"/>
        </w:rPr>
      </w:pPr>
    </w:p>
    <w:p>
      <w:pPr>
        <w:ind w:right="3939" w:firstLine="5"/>
        <w:spacing w:after="0" w:line="234"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in accordance with Financial Accounting Standards Board Statement No. 95.</w:t>
      </w:r>
    </w:p>
    <w:p>
      <w:pPr>
        <w:spacing w:after="0" w:line="166" w:lineRule="exact"/>
        <w:rPr>
          <w:rFonts w:ascii="Courier New" w:cs="Courier New" w:eastAsia="Courier New" w:hAnsi="Courier New"/>
          <w:sz w:val="15"/>
          <w:szCs w:val="15"/>
          <w:color w:val="auto"/>
        </w:rPr>
      </w:pPr>
    </w:p>
    <w:p>
      <w:pPr>
        <w:ind w:left="360" w:hanging="355"/>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as income before  depreciation and amortization of real estate</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before extraordinary items and significant nonrecurring events less gains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059"/>
          </w:cols>
          <w:pgMar w:left="400" w:top="953" w:right="1440" w:bottom="1440" w:gutter="0" w:footer="0" w:header="0"/>
        </w:sectPr>
      </w:pPr>
    </w:p>
    <w:bookmarkStart w:id="18" w:name="page19"/>
    <w:bookmarkEnd w:id="18"/>
    <w:p>
      <w:pPr>
        <w:ind w:right="357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cash provided by operating activities increased from $35.2 million in 1993 to $45.2 million in 1994 to $65.1 million in 1995. The major source of the $10.0 million increase from 1993 to 1994 was an increase in net income of $2.3 million and an increase of $4.4 million in depreciation and amortization. The $19.9 million increase from 1994 to 1995 resulted primarily from a $2.6 million increase in net income, a $5.1 million increase in depreciation and amortization and a $12.9 million increase in cash provided by changes in operating assets and liabilities. Dividends paid in cash were $38.1 million in 1993, $44.0 million in 1994 and $47.9 million in 1995.</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1995 net cash provided by operating activities was comprised primarily of $23.1 million in net income increased by $34.9 million of depreciation and amortization and $6.1 million of cash provided by changes in operating assets and liabilities. In 1994 net cash provided by operating activities was primarily comprised of $20.5 million in net income increased by $29.8 million in depreciation and amortization and decreased by cash used for operating assets and liabilities of $6.8 million. In 1993 net cash provided by operating activities was comprised primarily of $18.1 million in net income increased by $25.4 million of depreciation and amortization and decreased by $6.4 million of cash used for operating assets and liabilities.</w:t>
      </w:r>
    </w:p>
    <w:p>
      <w:pPr>
        <w:spacing w:after="0" w:line="16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During the period 1993 through 1995, the Trust spent over $370 million to acquire properties and to improve its properties. These expenditures were primarily funded from the proceeds of various debt and equity transactions.</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1995 the Trust purchased 19 retail properties. The Trust also purchased a building abutting Flourtown Shopping Center, one of its existing centers, for $3.1 million. The 302,000 square foot Finley Square Shopping Center in suburban Chicago, Illinois was purchased on April 27, 1995 for approximately $18.8 million in cash; the 284,000 square foot Bristol Shopping Center in Bristol, Connecticut was purchased on September 22, 1995 for $19.6 million, by assuming a $11.3 million mortgage and by issuing common shares valued at $7.3 million with the balance in cash; the 47,000 square foot Park &amp; Shop Center in Washington, D.C. was purchased on December 1, 1995 for $11.2 million in cash; and on December 21, 1995 the 349,000 square foot Shirlington Shopping Center in Arlington, Virginia was purchased for $23.5 million in cash. The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059"/>
          </w:cols>
          <w:pgMar w:left="400" w:top="624" w:right="1440" w:bottom="1440" w:gutter="0" w:footer="0" w:header="0"/>
        </w:sectPr>
      </w:pPr>
    </w:p>
    <w:bookmarkStart w:id="19" w:name="page20"/>
    <w:bookmarkEnd w:id="19"/>
    <w:p>
      <w:pPr>
        <w:ind w:right="3239"/>
        <w:spacing w:after="0" w:line="236" w:lineRule="auto"/>
        <w:rPr>
          <w:sz w:val="20"/>
          <w:szCs w:val="20"/>
          <w:color w:val="auto"/>
        </w:rPr>
      </w:pPr>
      <w:r>
        <w:rPr>
          <w:rFonts w:ascii="Courier New" w:cs="Courier New" w:eastAsia="Courier New" w:hAnsi="Courier New"/>
          <w:sz w:val="15"/>
          <w:szCs w:val="15"/>
          <w:color w:val="auto"/>
        </w:rPr>
        <w:t>retail building acquisitions during 1995 were as follows: seven buildings in West Hartford, Connecticut for $15.3 million; two buildings in Greenwich, Connecticut for $14.9 million; one building in Westport, Connecticut for $5.7 million; one building in Brookline, Massachusetts for $3.8 million; one building in Westfield, New Jersey for $2.2 million; two buildings in Evanston, Illinois for $3.6 million; and a building contiguous to Bethesda Row in Bethesda, Maryland for $2.0 million.</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During 1995 $33.8 million was expended on improvements to Trust properties. These improvements included $3.8 million on the redevelopment of Congressional Plaza in Rockville, Maryland, $5.5 million to complete the redevelopment and retenanting of Gaithersburg Square in Gaithersburg, Maryland and $5.8 million for the renovation of Brick Plaza in Brick, New Jersey.</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1994 the Trust purchased four shopping centers and one retail building, Idylwood Plaza in Falls Church, Virginia, North Lake Commons in Lake Zurich, Illinois, Garden Market Shopping Center in Western Springs, Illinois, Queen Anne Plaza in Norwell, Massachusetts and the Ship's Building in Westport, Connecticut. In addition, the Trust purchased a 3.9 acre parcel of land, on which there is a supermarket, which adjoins its Bala Cynwyd Shopping Center. These properties were acquired for a total cash investment of $48.3 million and a $1.1 million note.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1994, $42.3 million was expended on improvements to Trust properties. These improvements included $15.5 million on the renovation and expansion of Congressional Plaza in Rockville, Maryland, $4.1 million to complete the redevelopment of Ellisburg Circle Shopping Center in Cherry Hill, New Jersey, and $3.9 million to begin the redevelopment and retenanting of Gaithersburg Square Shopping Center in Gaithersburg, Maryland.</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1993 the Trust spent $101.8 million to acquire six shopping centers (Gaithersburg Square and Quince Orchard Shopping Centers in Gaithersburg, Maryland, Pan Am Shopping Center in Fairfax, Virginia, Crossroads Shopping Center in Highland Park, Illinois, Bala Cynwyd Shopping Center in suburban Philadelphia, Pennsylvania, and Dedham Plaza in Dedham, Massachusetts), $6.2 million in connection with the long term lease of Bethesda Row in Bethesda, Maryland, and $34.3 million in improvements to its properties.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These acquisitions and improvements, as well as debt repayment requirements, were funded through a variety of equity and debt issues. During 1995 the Trust issued $165 million of senior notes: $100.0 million at 8 7/8% interest in January netting proceeds of approximately $98.9 million; $25.0 million at 8% interest in April, netting approximately $24.9 million; and $40.0 million at 6 5/8% interest in December, netting approximately $39.6 million. In January 1995 the Trust repaid a $22.5 million mortgage which had been borrowed in 1994 and a $1.1 million note issued in connection with the purchase of Queen Anne Plaza in 1994.</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order to protect itself against the risk that the general level of interest rates for senior notes would rise before the senior notes were priced in January 1995, the Trust entered into two interest rate hedge agreements in December 1994 on a total principal</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059"/>
          </w:cols>
          <w:pgMar w:left="400" w:top="624" w:right="1440" w:bottom="1440" w:gutter="0" w:footer="0" w:header="0"/>
        </w:sectPr>
      </w:pPr>
    </w:p>
    <w:bookmarkStart w:id="20" w:name="page21"/>
    <w:bookmarkEnd w:id="20"/>
    <w:p>
      <w:pPr>
        <w:ind w:right="3319"/>
        <w:spacing w:after="0" w:line="235" w:lineRule="auto"/>
        <w:rPr>
          <w:sz w:val="20"/>
          <w:szCs w:val="20"/>
          <w:color w:val="auto"/>
        </w:rPr>
      </w:pPr>
      <w:r>
        <w:rPr>
          <w:rFonts w:ascii="Courier New" w:cs="Courier New" w:eastAsia="Courier New" w:hAnsi="Courier New"/>
          <w:sz w:val="15"/>
          <w:szCs w:val="15"/>
          <w:color w:val="auto"/>
        </w:rPr>
        <w:t>amount of $75.0 million. The cost of the agreements, which terminated on January 20, 1995, was $21,000, which is being amortized into interest expense over the life of the notes.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1995 in connection with the issuance of the $100.0 million of senior notes, the Trust executed a five year interest rate swap on $25.0 million, whereby the Trust swappped fixed interest payment obligations of 8.1% for a floating rate interest payment of three month LIBOR (London Interbank Offered Rate). The floating rate during the first quarter of 1995 was 6.2%. In May 1995 the swap was terminated and the Trust sold the swap for $1.5 million, which is being amortized as a deduction to interest expense over the remaining term.</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April 1994 the Trust raised net proceeds of $61.3 million from a public offering of 2.5 million common shares of beneficial interest ("shares"). In a concurrent offering of 840,000 shares to an institutional investor, the Trust raised net proceeds of $21.7 million. In April 1994 the Trust redeemed $39.8 million principal amount of its 5 1/4% convertible subordinated debentures due 2002 at a price equal to 120% of their principal amount or $47.8 million. In November 1994 the Trust spent $4.2 million to exercise the option to purchase the land at Northeast Shopping Center, $3.4 million of which had been recorded as a capital lease obligation.</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April 1993, 2.8 million shares were issued in a public offering, netting proceeds of $72.8 million. In December 1993 another 220,000 shares were issued for $5.4 million in a private placement in connection with the long term lease of Bethesda Row. The Trust called its 8 3/4% convertible subordinated debentures and its 8.65% Senior Notes for redemption in 1993. The Trust redeemed $173,000 principal amount of the 8 3/4% debentures at a price of $1017.50 per debenture on March 15; the balance of the debentures that had been outstanding or $2.2 million were converted into shares. The senior notes were redeemed on May 14, at a price of $1010 for a total redemption price of $50.5 million. In October 1993 the Trust issued $75.0 million of 5 1/4% convertible subordinated debentures, realizing cash proceeds of approximately $73.0 million. The debentures, which mature in 2003, are convertible into shares at $36 per share.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December 31, 1995 and 1994 the Trust had $130 million of unsecured medium term revolving credit facilities with four banks. The facilities require fees and have covenants requiring a minimum shareholders' equity and a maximum ratio of debt to net worth. The Trust uses these facilities to fund acquisitions and other cash requirements until conditions are favorable for issuing equity or long term debt. At December 31, 1995 there was $40.1 million drawn under these facilities; the maximum amount borrowed under these facilities during 1995 was $66.8 million. Amounts advanced under these facilities bear interest at LIBOR plus 75 - 100 basis points; the weighted average interest rate on borrowings during 1995 was 6.9%. At December 31, 1994 there was $54.7 million drawn under these facilities, which was the maximum drawn during 1994. The weighted average interest rate on borrowings during 1994 was 5.6%.</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At December 1993 the Trust had $70.0 million of unsecured medium term revolving credit facilities with three banks. The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059"/>
          </w:cols>
          <w:pgMar w:left="400" w:top="624" w:right="1440" w:bottom="1440" w:gutter="0" w:footer="0" w:header="0"/>
        </w:sectPr>
      </w:pPr>
    </w:p>
    <w:bookmarkStart w:id="21" w:name="page22"/>
    <w:bookmarkEnd w:id="21"/>
    <w:p>
      <w:pPr>
        <w:jc w:val="both"/>
        <w:ind w:right="3239"/>
        <w:spacing w:after="0" w:line="235" w:lineRule="auto"/>
        <w:rPr>
          <w:sz w:val="20"/>
          <w:szCs w:val="20"/>
          <w:color w:val="auto"/>
        </w:rPr>
      </w:pPr>
      <w:r>
        <w:rPr>
          <w:rFonts w:ascii="Courier New" w:cs="Courier New" w:eastAsia="Courier New" w:hAnsi="Courier New"/>
          <w:sz w:val="15"/>
          <w:szCs w:val="15"/>
          <w:color w:val="auto"/>
        </w:rPr>
        <w:t>maximum drawn under these facilities in 1993 was $64.1 million and at December 31, 1993, there was $24.4 million outstanding. The weighted average interest rate on borrowing during 1993 was 4.2%.</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has budgeted $48.0 million for capital improvements to its properties in 1996. These improvements include: (1) $12.0 million at Congressional Plaza whose renovation has been expanded to include the construction of an additional 30,000 square feet of space; (2) $6.7 million to renovate and expand a portion of Bethesda Row; (3) $5.6 million to retenant and renovate a portion of Troy Shopping Center; and (4) $2.1 million to complete the retenanting of Brick Plaza.</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Trust's long term debt has varying maturity dates and in a number of instances includes balloon payments or other contractual provisions that could require significant repayments during a particular period. The next significant maturity is approximately $53.5 million of mortgage obligations which are due in 1998.</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Trust intends to continue to acquire existing retail properties, both shopping centers and main street retail buildings. In addition, the Trust is searching for site acquisitions in its core markets to permit the Trust to build new shopping centers.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will need additional capital in order to fund these acquisitions, expansions and refinancings. Sources of this funding may be proceeds from the sale of existing properties, additional debt and additional equity. The timing and choice between additional debt or equity will depend upon many factors, including the market price for the Trust's shares, interest rates and the ratio of debt to net worth. The Trust believes that it will be able to raise this capital as needed, based on its past success in so doing.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State of New Jersey Division of Taxation assessed the Trust $364,000 in taxes, penalty and interest for the years 1985 through 1990, since the State disallowed the dividends paid deduction in computing New Jersey taxable income. The Trust protested this assessment since the Trust believed that it was entitled to the deduction. The case was dismissed in December 1995 in favor of the Trust.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previously reported, certain of the Trust's shopping centers have some</w:t>
      </w:r>
    </w:p>
    <w:p>
      <w:pPr>
        <w:spacing w:after="0" w:line="3"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environmental contamination.</w:t>
      </w:r>
      <w:r>
        <w:rPr>
          <w:sz w:val="20"/>
          <w:szCs w:val="20"/>
          <w:color w:val="auto"/>
        </w:rPr>
        <w:tab/>
      </w:r>
      <w:r>
        <w:rPr>
          <w:rFonts w:ascii="Courier New" w:cs="Courier New" w:eastAsia="Courier New" w:hAnsi="Courier New"/>
          <w:sz w:val="14"/>
          <w:szCs w:val="14"/>
          <w:color w:val="auto"/>
        </w:rPr>
        <w:t>The North Carolina Department of the</w:t>
      </w:r>
    </w:p>
    <w:p>
      <w:pPr>
        <w:spacing w:after="0" w:line="237" w:lineRule="auto"/>
        <w:rPr>
          <w:sz w:val="20"/>
          <w:szCs w:val="20"/>
          <w:color w:val="auto"/>
        </w:rPr>
      </w:pPr>
      <w:r>
        <w:rPr>
          <w:rFonts w:ascii="Courier New" w:cs="Courier New" w:eastAsia="Courier New" w:hAnsi="Courier New"/>
          <w:sz w:val="15"/>
          <w:szCs w:val="15"/>
          <w:color w:val="auto"/>
        </w:rPr>
        <w:t>Environment, Health and Natural Resources ("DEHNR") issued a Notice of</w:t>
      </w:r>
    </w:p>
    <w:p>
      <w:pPr>
        <w:spacing w:after="0" w:line="238" w:lineRule="auto"/>
        <w:rPr>
          <w:sz w:val="20"/>
          <w:szCs w:val="20"/>
          <w:color w:val="auto"/>
        </w:rPr>
      </w:pPr>
      <w:r>
        <w:rPr>
          <w:rFonts w:ascii="Courier New" w:cs="Courier New" w:eastAsia="Courier New" w:hAnsi="Courier New"/>
          <w:sz w:val="15"/>
          <w:szCs w:val="15"/>
          <w:color w:val="auto"/>
        </w:rPr>
        <w:t>Violation ("NOV") against a former dry cleaner tenant at Eastgate Shopping</w:t>
      </w:r>
    </w:p>
    <w:p>
      <w:pPr>
        <w:spacing w:after="0" w:line="237" w:lineRule="auto"/>
        <w:rPr>
          <w:sz w:val="20"/>
          <w:szCs w:val="20"/>
          <w:color w:val="auto"/>
        </w:rPr>
      </w:pPr>
      <w:r>
        <w:rPr>
          <w:rFonts w:ascii="Courier New" w:cs="Courier New" w:eastAsia="Courier New" w:hAnsi="Courier New"/>
          <w:sz w:val="15"/>
          <w:szCs w:val="15"/>
          <w:color w:val="auto"/>
        </w:rPr>
        <w:t>Center in Chapel Hill, North Carolina concerning a spill at the shopping</w:t>
      </w:r>
    </w:p>
    <w:p>
      <w:pPr>
        <w:spacing w:after="0" w:line="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center.</w:t>
        <w:tab/>
        <w:t>As owner of the shopping center, the Trust was named in and received</w:t>
      </w:r>
    </w:p>
    <w:p>
      <w:pPr>
        <w:spacing w:after="0" w:line="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a copy of the NOV.</w:t>
      </w:r>
      <w:r>
        <w:rPr>
          <w:sz w:val="20"/>
          <w:szCs w:val="20"/>
          <w:color w:val="auto"/>
        </w:rPr>
        <w:tab/>
      </w:r>
      <w:r>
        <w:rPr>
          <w:rFonts w:ascii="Courier New" w:cs="Courier New" w:eastAsia="Courier New" w:hAnsi="Courier New"/>
          <w:sz w:val="14"/>
          <w:szCs w:val="14"/>
          <w:color w:val="auto"/>
        </w:rPr>
        <w:t>Estimates to remediate the spill range from $300,000 to</w:t>
      </w:r>
    </w:p>
    <w:p>
      <w:pPr>
        <w:spacing w:after="0"/>
        <w:tabs>
          <w:tab w:leader="none" w:pos="940" w:val="left"/>
        </w:tabs>
        <w:rPr>
          <w:sz w:val="20"/>
          <w:szCs w:val="20"/>
          <w:color w:val="auto"/>
        </w:rPr>
      </w:pPr>
      <w:r>
        <w:rPr>
          <w:rFonts w:ascii="Courier New" w:cs="Courier New" w:eastAsia="Courier New" w:hAnsi="Courier New"/>
          <w:sz w:val="15"/>
          <w:szCs w:val="15"/>
          <w:color w:val="auto"/>
        </w:rPr>
        <w:t>$500,000.</w:t>
      </w:r>
      <w:r>
        <w:rPr>
          <w:sz w:val="20"/>
          <w:szCs w:val="20"/>
          <w:color w:val="auto"/>
        </w:rPr>
        <w:tab/>
      </w:r>
      <w:r>
        <w:rPr>
          <w:rFonts w:ascii="Courier New" w:cs="Courier New" w:eastAsia="Courier New" w:hAnsi="Courier New"/>
          <w:sz w:val="14"/>
          <w:szCs w:val="14"/>
          <w:color w:val="auto"/>
        </w:rPr>
        <w:t>The Trust has entered into an agreement with two previous owners of</w:t>
      </w:r>
    </w:p>
    <w:p>
      <w:pPr>
        <w:spacing w:after="0"/>
        <w:tabs>
          <w:tab w:leader="none" w:pos="5660" w:val="left"/>
        </w:tabs>
        <w:rPr>
          <w:sz w:val="20"/>
          <w:szCs w:val="20"/>
          <w:color w:val="auto"/>
        </w:rPr>
      </w:pPr>
      <w:r>
        <w:rPr>
          <w:rFonts w:ascii="Courier New" w:cs="Courier New" w:eastAsia="Courier New" w:hAnsi="Courier New"/>
          <w:sz w:val="15"/>
          <w:szCs w:val="15"/>
          <w:color w:val="auto"/>
        </w:rPr>
        <w:t>the shopping center to share the costs to assess and remediate.</w:t>
      </w:r>
      <w:r>
        <w:rPr>
          <w:sz w:val="20"/>
          <w:szCs w:val="20"/>
          <w:color w:val="auto"/>
        </w:rPr>
        <w:tab/>
      </w:r>
      <w:r>
        <w:rPr>
          <w:rFonts w:ascii="Courier New" w:cs="Courier New" w:eastAsia="Courier New" w:hAnsi="Courier New"/>
          <w:sz w:val="14"/>
          <w:szCs w:val="14"/>
          <w:color w:val="auto"/>
        </w:rPr>
        <w:t>In 1993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 recorded a liability of $120,000 as its estimated share of the cleanup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059"/>
          </w:cols>
          <w:pgMar w:left="400" w:top="624" w:right="1440" w:bottom="1440" w:gutter="0" w:footer="0" w:header="0"/>
        </w:sectPr>
      </w:pPr>
    </w:p>
    <w:bookmarkStart w:id="22" w:name="page23"/>
    <w:bookmarkEnd w:id="22"/>
    <w:p>
      <w:pPr>
        <w:ind w:right="3239" w:firstLine="437"/>
        <w:spacing w:after="0" w:line="237"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September 22, 1995 the Trust purchased the Bristol Shopping Center in Bristol, Connecticut. Pursuant to an agreement executed at closing,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 such remedial measures and has indemnified the Trust in connection with the identified contamination.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 During the third quarter of 1995 the reserve was reduced by $269,000 with a corresponding reduction in the basis of land at one shopping center since the environmental issue there was resolved.</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was historically defined as income before depreciation and amortization and extraordinary items less gains on sale of real estate. The National Association of Real Estate Investment Trusts (NAREIT)</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059"/>
          </w:cols>
          <w:pgMar w:left="400" w:top="624" w:right="1440" w:bottom="1440" w:gutter="0" w:footer="0" w:header="0"/>
        </w:sectPr>
      </w:pPr>
    </w:p>
    <w:bookmarkStart w:id="23" w:name="page24"/>
    <w:bookmarkEnd w:id="23"/>
    <w:p>
      <w:pPr>
        <w:ind w:left="180" w:right="3239"/>
        <w:spacing w:after="0" w:line="255" w:lineRule="auto"/>
        <w:rPr>
          <w:sz w:val="20"/>
          <w:szCs w:val="20"/>
          <w:color w:val="auto"/>
        </w:rPr>
      </w:pPr>
      <w:r>
        <w:rPr>
          <w:rFonts w:ascii="Courier New" w:cs="Courier New" w:eastAsia="Courier New" w:hAnsi="Courier New"/>
          <w:sz w:val="14"/>
          <w:szCs w:val="14"/>
          <w:color w:val="auto"/>
        </w:rPr>
        <w:t>issued a white paper during 1995, which has amended the definition as follows: income before depreciation and amortization of real estate assets and before extraordinary items and significant non-recurring events less gains on sale of real estate. The Trust is complying with this new definition and has consequently restated funds from operations for prior periods.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reconciliation of net income to funds from operations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4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240" w:type="dxa"/>
            <w:vAlign w:val="bottom"/>
          </w:tcPr>
          <w:p>
            <w:pPr>
              <w:spacing w:after="0"/>
              <w:rPr>
                <w:sz w:val="14"/>
                <w:szCs w:val="14"/>
                <w:color w:val="auto"/>
              </w:rPr>
            </w:pPr>
          </w:p>
        </w:tc>
        <w:tc>
          <w:tcPr>
            <w:tcW w:w="24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168"/>
        </w:trPr>
        <w:tc>
          <w:tcPr>
            <w:tcW w:w="32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$23,110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$20,466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$18,130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real estate assets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30,986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26,479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22,489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initial direct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costs of leases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real estate, extra-</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ordinary and non-recurring items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(2,016)</w:t>
            </w:r>
          </w:p>
        </w:tc>
      </w:tr>
      <w:tr>
        <w:trPr>
          <w:trHeight w:val="168"/>
        </w:trPr>
        <w:tc>
          <w:tcPr>
            <w:tcW w:w="32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$50,404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$40,824</w:t>
            </w:r>
          </w:p>
        </w:tc>
      </w:tr>
      <w:tr>
        <w:trPr>
          <w:trHeight w:val="168"/>
        </w:trPr>
        <w:tc>
          <w:tcPr>
            <w:tcW w:w="32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80" w:right="3399" w:firstLine="437"/>
        <w:spacing w:after="0" w:line="255" w:lineRule="auto"/>
        <w:rPr>
          <w:sz w:val="20"/>
          <w:szCs w:val="20"/>
          <w:color w:val="auto"/>
        </w:rPr>
      </w:pPr>
      <w:r>
        <w:rPr>
          <w:rFonts w:ascii="Courier New" w:cs="Courier New" w:eastAsia="Courier New" w:hAnsi="Courier New"/>
          <w:sz w:val="14"/>
          <w:szCs w:val="14"/>
          <w:color w:val="auto"/>
        </w:rPr>
        <w:t>The Trust's retail leases generally provide for minimum rents, with periodic increases. Most retail tenants pay a majority of on-site operating expenses.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66" w:lineRule="exact"/>
        <w:rPr>
          <w:sz w:val="20"/>
          <w:szCs w:val="20"/>
          <w:color w:val="auto"/>
        </w:rPr>
      </w:pPr>
    </w:p>
    <w:p>
      <w:pPr>
        <w:ind w:left="180" w:right="3319" w:firstLine="437"/>
        <w:spacing w:after="0" w:line="236"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20.9% from $105.9 million in 1993 to $128.1 million in 1994 and 11.5% in 1995 to $142.8 million. If centers acquired and sold in 1993, 1994 and 1995 are excluded, rental income increased 6.1% from 1993 to 1994 and 3.6% from 1994 to 1995.</w:t>
      </w:r>
    </w:p>
    <w:p>
      <w:pPr>
        <w:spacing w:after="0" w:line="174" w:lineRule="exact"/>
        <w:rPr>
          <w:sz w:val="20"/>
          <w:szCs w:val="20"/>
          <w:color w:val="auto"/>
        </w:rPr>
      </w:pPr>
    </w:p>
    <w:p>
      <w:pPr>
        <w:ind w:left="180" w:right="3319" w:firstLine="437"/>
        <w:spacing w:after="0" w:line="255" w:lineRule="auto"/>
        <w:rPr>
          <w:sz w:val="20"/>
          <w:szCs w:val="20"/>
          <w:color w:val="auto"/>
        </w:rPr>
      </w:pPr>
      <w:r>
        <w:rPr>
          <w:rFonts w:ascii="Courier New" w:cs="Courier New" w:eastAsia="Courier New" w:hAnsi="Courier New"/>
          <w:sz w:val="14"/>
          <w:szCs w:val="14"/>
          <w:color w:val="auto"/>
        </w:rPr>
        <w:t>Minimum rents increased 19.4% in 1994 to $99.9 million from $83.6 million in 1993 and 14% in 1995 to $113.9 million. If centers acquired and sold in 1993, 1994 and 1995 are excluded, minimum rents increased 4.3% from 1993 to 1994 and 6.2% from 1994 to 1995. Thirty-four percent of the increase in minimum rent in 1995 was from Congressional Plaza whose occupancy has increased since its redevelopment was substantially completed in late 1994.</w:t>
      </w:r>
    </w:p>
    <w:p>
      <w:pPr>
        <w:spacing w:after="0" w:line="166" w:lineRule="exact"/>
        <w:rPr>
          <w:sz w:val="20"/>
          <w:szCs w:val="20"/>
          <w:color w:val="auto"/>
        </w:rPr>
      </w:pPr>
    </w:p>
    <w:p>
      <w:pPr>
        <w:ind w:left="180" w:right="3239" w:firstLine="437"/>
        <w:spacing w:after="0" w:line="236" w:lineRule="auto"/>
        <w:rPr>
          <w:sz w:val="20"/>
          <w:szCs w:val="20"/>
          <w:color w:val="auto"/>
        </w:rPr>
      </w:pPr>
      <w:r>
        <w:rPr>
          <w:rFonts w:ascii="Courier New" w:cs="Courier New" w:eastAsia="Courier New" w:hAnsi="Courier New"/>
          <w:sz w:val="15"/>
          <w:szCs w:val="15"/>
          <w:color w:val="auto"/>
        </w:rPr>
        <w:t>Cost reimbursements consist of tenant reimbursements of real estate taxes (real estate tax recovery) and common area maintenance expenses (CAM recovery). After removing the effect of properties purchased and sold during the past three years, real estate tax recovery has remained fairly constant, with the largest fluctuation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4" w:name="page25"/>
    <w:bookmarkEnd w:id="24"/>
    <w:p>
      <w:pPr>
        <w:ind w:right="3239"/>
        <w:spacing w:after="0" w:line="236" w:lineRule="auto"/>
        <w:rPr>
          <w:sz w:val="20"/>
          <w:szCs w:val="20"/>
          <w:color w:val="auto"/>
        </w:rPr>
      </w:pPr>
      <w:r>
        <w:rPr>
          <w:rFonts w:ascii="Courier New" w:cs="Courier New" w:eastAsia="Courier New" w:hAnsi="Courier New"/>
          <w:sz w:val="15"/>
          <w:szCs w:val="15"/>
          <w:color w:val="auto"/>
        </w:rPr>
        <w:t>being at Congressional Plaza. Recovery was down in 1994 from 1993 as the center was vacated for renovation and recovery was up in 1995 compared to 1994 as the center was leased following the renovation. CAM recovery on the portfolio, adjusted to remove the effect of properties purchased in 1993, 1994 and 1995, was $8.4 million in 1993, $11.7 million in 1994 and $10.0 million in 1995. These fluctuations correspond to fluctuations in CAM expenses, primarily snow removal, landscaping and security which were up in 1994 as compared to 1993, but which decreased in 1995.</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property income includes items which tend to fluctuate from period to period, such as utility reimbursements, telephone income, merchant association dues, lease termination fees, late fees and temporary tenant income. The increases from 1993 to 1995 were due in part to the acquisition of new properties and in part to the fluctuating nature of the income. Major increases in 1995 over 1994 resulted from lease termination fees, an unexpected recovery from a bankrupt tenant, merchant association dues and a commission on telephone services.</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Rental expenses went from $26.5 million in 1993 to $35.8 million in 1994 to $35.1 million in 1995, which represents 23.8% of property income (rental income plus other property income) in 1993, 26.8% in 1994 and 23.3% in 1995. The components of rental expense with the greatest percentage increase in 1994 were repairs and maintenance and ground rent. Snow removal expense, a component of repairs and maintenance, increased from $910,000 in 1993 to over $2.4 million in 1994 because of new properties and because of increased expense on the core portfolio resulting from the harsh weather conditions during 1994. Ground rent increased $2.1 million in 1994 over 1993 because of the acquisition of Bethesda Row on December 31, 1993, a large part of which is ground leased. In 1995 the greatest percentage changes were decreases in repairs and maintenance and in maintenance and security payroll costs. Snow removal expense decreased to $1.3 million despite the acquisition of new properties and there has been a decrease in payroll costs as the Trust has taken measures to control these costs. If rental expenses are adjusted to remove the effect of properties purchased in 1993, 1994 and 1995, rental expenses ranged from $24.9 million in 1993 to $27.2 million in 1994 to $24.5 million in 1995. Real estate taxes have ranged from 9.3% of rental income in 1993 to 9.0% in 1994 to 9.6% in 1995. The decline in 1994 was primarily due to Congressional Plaza, which received a refund of prior year taxes in 1994.</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Depreciation and amortization expenses have increased because of the recent acquisitions and also because of the depreciation on recent tenant work and property improvements.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income has remained relatively constant in each of the past three years. The Trust's major sources of interest income are on its mortgage notes receivable, its notes to officers, and its available cash balances. Included in interest income in 1995 is the effect of the sale in December 1995 of the Trust's investment in Olympia and York Senior First Mortgage Notes and other real estate investment trusts, both of which were written down to market in prior years.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059"/>
          </w:cols>
          <w:pgMar w:left="400" w:top="624" w:right="1440" w:bottom="1440" w:gutter="0" w:footer="0" w:header="0"/>
        </w:sectPr>
      </w:pPr>
    </w:p>
    <w:bookmarkStart w:id="25" w:name="page26"/>
    <w:bookmarkEnd w:id="25"/>
    <w:p>
      <w:pPr>
        <w:ind w:right="3239" w:firstLine="437"/>
        <w:spacing w:after="0" w:line="255" w:lineRule="auto"/>
        <w:rPr>
          <w:sz w:val="20"/>
          <w:szCs w:val="20"/>
          <w:color w:val="auto"/>
        </w:rPr>
      </w:pPr>
      <w:r>
        <w:rPr>
          <w:rFonts w:ascii="Courier New" w:cs="Courier New" w:eastAsia="Courier New" w:hAnsi="Courier New"/>
          <w:sz w:val="14"/>
          <w:szCs w:val="14"/>
          <w:color w:val="auto"/>
        </w:rPr>
        <w:t>Interest expense increased to $39.3 million in 1995 from $31.5 million in 1994, primarily due to interest on the three issues of senior notes in 1995. Interest expense was relatively constant in 1994 and 1993, $31.5 million and $31.6 million, respectively. Decreases in interest expense in 1994 from the repayment of several mortgages, an issue of senior notes and an issue of convertible subordinated debentures was offset by increases due to an issuance of convertible subordinated debentures, the interest portion of the capital lease at Bethesda Row and increased usage of the revolving credit facilities. The ratio of earnings to fixed charges was 1.55x, 1.61X and 1.5X in 1995, 1994 and 1993, respectively. The ratio of funds from operations to fixed charges was 2.35x, 2.52x, and 2.27x in 1995, 1994 and 1993, respectively.</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While administrative expenses are increasing as the Trust grows and as it seeks acquisition and development opportunities, administrative expenses as a percentage of total income have remained relatively constant, at 4.7%, 4.8% and 4.1%, in 1995, 1994 and 1993, respectively. The major components of the increase in 1995 over 1994 were in payroll and in costs related to a business combination that the Trust decided not to pursue. The major component of the increase in 1994 over 1993 was an increase in costs connected with the review and analysis of potential property acquisitions which were not purchased.</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charges consisted of three nonrecurring items in 1994, a $758,000 write off of a mortgage note receivable and accrued interest thereon, an unrealized loss of $449,000 on an investment in common shares of another real estate investment trust and a $152,000 recovery of a legal settlement paid in 1987. During 1995 the Trust sold its investments in common shares of other real estate investment trusts.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Investors' share of operations represents the minority interest in Congressional Plaza, Loehmann's Plaza and North City Plaza. In 1995 minority net losses at Loehmann's and North City exceeded the minority net income at Congressional Plaza.</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Income before loss on sale of real estate and extraordinary item increased from $16.1 million in 1993 to $20.5 million in 1994 to $23.7 million in 1995, reflecting increased revenues from the Trust's acquisitions and from improved operating results of the core portfolio.</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Loss or gain on the sale of real estate is dependent on the extent and timing of sales. The Trust regularly reviews its portfolio and does from time to time sell properties. In 1995 the Trust sold North City Plaza for $1.8 million resulting in a loss on sale of $545,000.</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1993 the Trust had a net gain of $2.0 million on the early extinguishment of debt, resulting from a gain on the extinguishment of one mortgage offset by losses on the redemption of an issue of senior notes, an issue of convertible subordinated debentures and two other mortgages.</w:t>
      </w:r>
    </w:p>
    <w:p>
      <w:pPr>
        <w:spacing w:after="0" w:line="16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As a result of the foregoing items, net income rose from $18.1 million in 1993 to $20.5 million in 1994 to $23.1 million in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059"/>
          </w:cols>
          <w:pgMar w:left="400" w:top="624" w:right="1440" w:bottom="1440" w:gutter="0" w:footer="0" w:header="0"/>
        </w:sectPr>
      </w:pPr>
    </w:p>
    <w:bookmarkStart w:id="26" w:name="page27"/>
    <w:bookmarkEnd w:id="26"/>
    <w:p>
      <w:pPr>
        <w:ind w:right="3239" w:firstLine="525"/>
        <w:spacing w:after="0" w:line="255" w:lineRule="auto"/>
        <w:rPr>
          <w:sz w:val="20"/>
          <w:szCs w:val="20"/>
          <w:color w:val="auto"/>
        </w:rPr>
      </w:pPr>
      <w:r>
        <w:rPr>
          <w:rFonts w:ascii="Courier New" w:cs="Courier New" w:eastAsia="Courier New" w:hAnsi="Courier New"/>
          <w:sz w:val="14"/>
          <w:szCs w:val="14"/>
          <w:color w:val="auto"/>
        </w:rPr>
        <w:t>The Trust intends to continue to acquire properties in 1996. If successful in so doing, these acquisitions should contribute to growth in rental income and expenses and, thereby, net income. The growth of the core portfolio, however, is, in part, dependent on controlling expenses, some of which are beyond the complete control of the Trust, such as snow removal, and trends in the retailing environment. Recently there have been a number of retailer bankruptcies and others are anticipated. These bankruptcies and a further weakening of the retail environment could adversely impact the Trust, by increasing vacancies and by decreasing rents. In past weak retail and real estate environments, the Trust has been able to replace weak and bankrupt tenants with stronger tenants; management believes that the quality of the Trust's properties will continue to generate demand for its retail space.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New Accounting Standards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October 1995 the Financial Accounting Standards Board (FASB) issued FASB 123, "Accounting for Stock-Based Compensation". This standard will be effective for 1996 financial statements and requires that stock based compensation be accounted for on the fair value method described in FASB 123, or on the intrinsic value based method of APB 25, whereby if options are priced at fair market value or above on the date of grant, there is no compensation expense of the options to the Trust. If APB 25 is used, proforma net income and earnings per share must be disclosed as if the fair value based method had been applied. The Trust intends to continue accounting for its employee stock option plan under APB 25 and therefore the only effect on the Trust's financial statements will be the proforma disclosure.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Item 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Disagreements on Accounting and Financial Disclosure.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059"/>
          </w:cols>
          <w:pgMar w:left="400" w:top="624" w:right="1440" w:bottom="1440" w:gutter="0" w:footer="0" w:header="0"/>
        </w:sectPr>
      </w:pPr>
    </w:p>
    <w:bookmarkStart w:id="27" w:name="page28"/>
    <w:bookmarkEnd w:id="27"/>
    <w:p>
      <w:pPr>
        <w:ind w:left="2900"/>
        <w:spacing w:after="0"/>
        <w:rPr>
          <w:sz w:val="20"/>
          <w:szCs w:val="20"/>
          <w:color w:val="auto"/>
        </w:rPr>
      </w:pPr>
      <w:r>
        <w:rPr>
          <w:rFonts w:ascii="Courier New" w:cs="Courier New" w:eastAsia="Courier New" w:hAnsi="Courier New"/>
          <w:sz w:val="15"/>
          <w:szCs w:val="15"/>
          <w:color w:val="auto"/>
        </w:rPr>
        <w:t>Part III</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4"/>
          </w:tcPr>
          <w:p>
            <w:pPr>
              <w:spacing w:after="0"/>
              <w:rPr>
                <w:sz w:val="20"/>
                <w:szCs w:val="20"/>
                <w:color w:val="auto"/>
              </w:rPr>
            </w:pPr>
            <w:r>
              <w:rPr>
                <w:rFonts w:ascii="Courier New" w:cs="Courier New" w:eastAsia="Courier New" w:hAnsi="Courier New"/>
                <w:sz w:val="15"/>
                <w:szCs w:val="15"/>
                <w:color w:val="auto"/>
                <w:w w:val="98"/>
              </w:rPr>
              <w:t>Item 10. Directors and Executive Officers of the Registrant.</w:t>
            </w:r>
          </w:p>
        </w:tc>
        <w:tc>
          <w:tcPr>
            <w:tcW w:w="1660" w:type="dxa"/>
            <w:vAlign w:val="bottom"/>
          </w:tcPr>
          <w:p>
            <w:pPr>
              <w:spacing w:after="0"/>
              <w:rPr>
                <w:sz w:val="14"/>
                <w:szCs w:val="14"/>
                <w:color w:val="auto"/>
              </w:rPr>
            </w:pPr>
          </w:p>
        </w:tc>
      </w:tr>
      <w:tr>
        <w:trPr>
          <w:trHeight w:val="168"/>
        </w:trPr>
        <w:tc>
          <w:tcPr>
            <w:tcW w:w="5340" w:type="dxa"/>
            <w:vAlign w:val="bottom"/>
            <w:gridSpan w:val="4"/>
          </w:tcPr>
          <w:p>
            <w:pPr>
              <w:ind w:left="800"/>
              <w:spacing w:after="0" w:line="168" w:lineRule="exact"/>
              <w:rPr>
                <w:sz w:val="20"/>
                <w:szCs w:val="20"/>
                <w:color w:val="auto"/>
              </w:rPr>
            </w:pPr>
            <w:r>
              <w:rPr>
                <w:rFonts w:ascii="Courier New" w:cs="Courier New" w:eastAsia="Courier New" w:hAnsi="Courier New"/>
                <w:sz w:val="15"/>
                <w:szCs w:val="15"/>
                <w:color w:val="auto"/>
                <w:w w:val="98"/>
              </w:rPr>
              <w:t>---------------------------------------------------</w:t>
            </w:r>
          </w:p>
        </w:tc>
        <w:tc>
          <w:tcPr>
            <w:tcW w:w="1660" w:type="dxa"/>
            <w:vAlign w:val="bottom"/>
          </w:tcPr>
          <w:p>
            <w:pPr>
              <w:spacing w:after="0"/>
              <w:rPr>
                <w:sz w:val="14"/>
                <w:szCs w:val="14"/>
                <w:color w:val="auto"/>
              </w:rPr>
            </w:pPr>
          </w:p>
        </w:tc>
      </w:tr>
      <w:tr>
        <w:trPr>
          <w:trHeight w:val="505"/>
        </w:trPr>
        <w:tc>
          <w:tcPr>
            <w:tcW w:w="5340" w:type="dxa"/>
            <w:vAlign w:val="bottom"/>
            <w:gridSpan w:val="4"/>
          </w:tcPr>
          <w:p>
            <w:pPr>
              <w:jc w:val="center"/>
              <w:ind w:left="1067"/>
              <w:spacing w:after="0"/>
              <w:rPr>
                <w:sz w:val="20"/>
                <w:szCs w:val="20"/>
                <w:color w:val="auto"/>
              </w:rPr>
            </w:pPr>
            <w:r>
              <w:rPr>
                <w:rFonts w:ascii="Courier New" w:cs="Courier New" w:eastAsia="Courier New" w:hAnsi="Courier New"/>
                <w:sz w:val="15"/>
                <w:szCs w:val="15"/>
                <w:color w:val="auto"/>
                <w:w w:val="97"/>
              </w:rPr>
              <w:t>Executive Officers of the Registrant</w:t>
            </w:r>
          </w:p>
        </w:tc>
        <w:tc>
          <w:tcPr>
            <w:tcW w:w="1660" w:type="dxa"/>
            <w:vAlign w:val="bottom"/>
          </w:tcPr>
          <w:p>
            <w:pPr>
              <w:spacing w:after="0"/>
              <w:rPr>
                <w:sz w:val="24"/>
                <w:szCs w:val="24"/>
                <w:color w:val="auto"/>
              </w:rPr>
            </w:pPr>
          </w:p>
        </w:tc>
      </w:tr>
      <w:tr>
        <w:trPr>
          <w:trHeight w:val="168"/>
        </w:trPr>
        <w:tc>
          <w:tcPr>
            <w:tcW w:w="5340" w:type="dxa"/>
            <w:vAlign w:val="bottom"/>
            <w:gridSpan w:val="4"/>
          </w:tcPr>
          <w:p>
            <w:pPr>
              <w:jc w:val="center"/>
              <w:ind w:left="106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spacing w:after="0"/>
              <w:rPr>
                <w:sz w:val="14"/>
                <w:szCs w:val="14"/>
                <w:color w:val="auto"/>
              </w:rPr>
            </w:pPr>
          </w:p>
        </w:tc>
      </w:tr>
      <w:tr>
        <w:trPr>
          <w:trHeight w:val="673"/>
        </w:trPr>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The Executive Officers are:</w:t>
            </w:r>
          </w:p>
        </w:tc>
      </w:tr>
      <w:tr>
        <w:trPr>
          <w:trHeight w:val="336"/>
        </w:trPr>
        <w:tc>
          <w:tcPr>
            <w:tcW w:w="232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8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Age</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Position with Trust</w:t>
            </w:r>
          </w:p>
        </w:tc>
      </w:tr>
      <w:tr>
        <w:trPr>
          <w:trHeight w:val="168"/>
        </w:trPr>
        <w:tc>
          <w:tcPr>
            <w:tcW w:w="23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Steven J. Guttman</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President and Chief Executive</w:t>
            </w:r>
          </w:p>
        </w:tc>
      </w:tr>
      <w:tr>
        <w:trPr>
          <w:trHeight w:val="168"/>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Officer and Trustee</w:t>
            </w:r>
          </w:p>
        </w:tc>
      </w:tr>
      <w:tr>
        <w:trPr>
          <w:trHeight w:val="336"/>
        </w:trPr>
        <w:tc>
          <w:tcPr>
            <w:tcW w:w="2320" w:type="dxa"/>
            <w:vAlign w:val="bottom"/>
          </w:tcPr>
          <w:p>
            <w:pPr>
              <w:ind w:left="1060"/>
              <w:spacing w:after="0"/>
              <w:rPr>
                <w:sz w:val="20"/>
                <w:szCs w:val="20"/>
                <w:color w:val="auto"/>
              </w:rPr>
            </w:pPr>
            <w:r>
              <w:rPr>
                <w:rFonts w:ascii="Courier New" w:cs="Courier New" w:eastAsia="Courier New" w:hAnsi="Courier New"/>
                <w:sz w:val="15"/>
                <w:szCs w:val="15"/>
                <w:color w:val="auto"/>
              </w:rPr>
              <w:t>Ron D. Kaplan</w:t>
            </w:r>
          </w:p>
        </w:tc>
        <w:tc>
          <w:tcPr>
            <w:tcW w:w="8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President-Capital Markets</w:t>
            </w:r>
          </w:p>
        </w:tc>
      </w:tr>
      <w:tr>
        <w:trPr>
          <w:trHeight w:val="336"/>
        </w:trPr>
        <w:tc>
          <w:tcPr>
            <w:tcW w:w="316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Catherine R. Mack</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President-General Counsel</w:t>
            </w:r>
          </w:p>
        </w:tc>
      </w:tr>
      <w:tr>
        <w:trPr>
          <w:trHeight w:val="168"/>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Secretary</w:t>
            </w:r>
          </w:p>
        </w:tc>
        <w:tc>
          <w:tcPr>
            <w:tcW w:w="1660" w:type="dxa"/>
            <w:vAlign w:val="bottom"/>
          </w:tcPr>
          <w:p>
            <w:pPr>
              <w:spacing w:after="0"/>
              <w:rPr>
                <w:sz w:val="14"/>
                <w:szCs w:val="14"/>
                <w:color w:val="auto"/>
              </w:rPr>
            </w:pPr>
          </w:p>
        </w:tc>
      </w:tr>
      <w:tr>
        <w:trPr>
          <w:trHeight w:val="336"/>
        </w:trPr>
        <w:tc>
          <w:tcPr>
            <w:tcW w:w="316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Mary Jane Morrow</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w w:val="96"/>
              </w:rPr>
              <w:t>Senior Vice President-Finance and</w:t>
            </w:r>
          </w:p>
        </w:tc>
      </w:tr>
      <w:tr>
        <w:trPr>
          <w:trHeight w:val="168"/>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Treasurer</w:t>
            </w:r>
          </w:p>
        </w:tc>
        <w:tc>
          <w:tcPr>
            <w:tcW w:w="1660" w:type="dxa"/>
            <w:vAlign w:val="bottom"/>
          </w:tcPr>
          <w:p>
            <w:pPr>
              <w:spacing w:after="0"/>
              <w:rPr>
                <w:sz w:val="14"/>
                <w:szCs w:val="14"/>
                <w:color w:val="auto"/>
              </w:rPr>
            </w:pPr>
          </w:p>
        </w:tc>
      </w:tr>
      <w:tr>
        <w:trPr>
          <w:trHeight w:val="336"/>
        </w:trPr>
        <w:tc>
          <w:tcPr>
            <w:tcW w:w="2320" w:type="dxa"/>
            <w:vAlign w:val="bottom"/>
          </w:tcPr>
          <w:p>
            <w:pPr>
              <w:ind w:left="1060"/>
              <w:spacing w:after="0"/>
              <w:rPr>
                <w:sz w:val="20"/>
                <w:szCs w:val="20"/>
                <w:color w:val="auto"/>
              </w:rPr>
            </w:pPr>
            <w:r>
              <w:rPr>
                <w:rFonts w:ascii="Courier New" w:cs="Courier New" w:eastAsia="Courier New" w:hAnsi="Courier New"/>
                <w:sz w:val="15"/>
                <w:szCs w:val="15"/>
                <w:color w:val="auto"/>
                <w:w w:val="98"/>
              </w:rPr>
              <w:t>Hal A. Vasvari</w:t>
            </w:r>
          </w:p>
        </w:tc>
        <w:tc>
          <w:tcPr>
            <w:tcW w:w="8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 President and</w:t>
            </w:r>
          </w:p>
        </w:tc>
      </w:tr>
      <w:tr>
        <w:trPr>
          <w:trHeight w:val="168"/>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Chief Operating Officer</w:t>
            </w:r>
          </w:p>
        </w:tc>
      </w:tr>
      <w:tr>
        <w:trPr>
          <w:trHeight w:val="336"/>
        </w:trPr>
        <w:tc>
          <w:tcPr>
            <w:tcW w:w="2320" w:type="dxa"/>
            <w:vAlign w:val="bottom"/>
          </w:tcPr>
          <w:p>
            <w:pPr>
              <w:ind w:left="1060"/>
              <w:spacing w:after="0"/>
              <w:rPr>
                <w:sz w:val="20"/>
                <w:szCs w:val="20"/>
                <w:color w:val="auto"/>
              </w:rPr>
            </w:pPr>
            <w:r>
              <w:rPr>
                <w:rFonts w:ascii="Courier New" w:cs="Courier New" w:eastAsia="Courier New" w:hAnsi="Courier New"/>
                <w:sz w:val="15"/>
                <w:szCs w:val="15"/>
                <w:color w:val="auto"/>
                <w:w w:val="98"/>
              </w:rPr>
              <w:t>Cecily A. Ward</w:t>
            </w:r>
          </w:p>
        </w:tc>
        <w:tc>
          <w:tcPr>
            <w:tcW w:w="8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President-Controller</w:t>
            </w:r>
          </w:p>
        </w:tc>
      </w:tr>
      <w:tr>
        <w:trPr>
          <w:trHeight w:val="336"/>
        </w:trPr>
        <w:tc>
          <w:tcPr>
            <w:tcW w:w="316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Robert S. Wennett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w:t>
            </w:r>
          </w:p>
        </w:tc>
        <w:tc>
          <w:tcPr>
            <w:tcW w:w="1660" w:type="dxa"/>
            <w:vAlign w:val="bottom"/>
          </w:tcPr>
          <w:p>
            <w:pPr>
              <w:spacing w:after="0"/>
              <w:rPr>
                <w:sz w:val="14"/>
                <w:szCs w:val="14"/>
                <w:color w:val="auto"/>
              </w:rPr>
            </w:pP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Steven J. Guttman has been</w:t>
            </w:r>
          </w:p>
        </w:tc>
        <w:tc>
          <w:tcPr>
            <w:tcW w:w="3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Trust's President and Chief</w:t>
            </w: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 since April 1980.</w:t>
            </w:r>
          </w:p>
        </w:tc>
        <w:tc>
          <w:tcPr>
            <w:tcW w:w="1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Mr. Guttman has been</w:t>
            </w:r>
          </w:p>
        </w:tc>
        <w:tc>
          <w:tcPr>
            <w:tcW w:w="28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associated with the Trust</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since 1972, became Chief Operating</w:t>
            </w:r>
          </w:p>
        </w:tc>
        <w:tc>
          <w:tcPr>
            <w:tcW w:w="384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Officer in 1975 and became a Managing</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Trustee in 1979.</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Ron D. Kaplan joined the Trust in November 1992 as Vice President-Capital Markets. Mr. Kaplan was formerly a Vice President of Salomon Brothers Inc where he was responsible for capital raising and financial advisory services for public and private real estate companies. While at Salomon Brothers which he joined in 1987, he participated in two of the Trust's debt offerings.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w w:val="97"/>
              </w:rPr>
              <w:t>Catherine R. Mack came to the Trust</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w w:val="97"/>
              </w:rPr>
              <w:t>in January 1985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as General</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Counsel and</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became a Vice President in February</w:t>
            </w:r>
          </w:p>
        </w:tc>
        <w:tc>
          <w:tcPr>
            <w:tcW w:w="1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1986.  Before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joining the</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Trust, Ms.</w:t>
            </w:r>
          </w:p>
        </w:tc>
      </w:tr>
      <w:tr>
        <w:trPr>
          <w:trHeight w:val="0"/>
        </w:trPr>
        <w:tc>
          <w:tcPr>
            <w:tcW w:w="3100" w:type="dxa"/>
            <w:vAlign w:val="bottom"/>
          </w:tcPr>
          <w:p>
            <w:pPr>
              <w:spacing w:after="0"/>
              <w:rPr>
                <w:sz w:val="20"/>
                <w:szCs w:val="20"/>
                <w:color w:val="auto"/>
              </w:rPr>
            </w:pPr>
            <w:r>
              <w:rPr>
                <w:rFonts w:ascii="Courier New" w:cs="Courier New" w:eastAsia="Courier New" w:hAnsi="Courier New"/>
                <w:sz w:val="15"/>
                <w:szCs w:val="15"/>
                <w:color w:val="auto"/>
                <w:w w:val="97"/>
              </w:rPr>
              <w:t>Mack was an Assistant United States</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w w:val="98"/>
              </w:rPr>
              <w:t>Attorney for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the District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of Columbia</w:t>
            </w:r>
          </w:p>
        </w:tc>
      </w:tr>
    </w:tbl>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and, prior to that, an attorney with Fried, Frank, Harris, Shriver and Jacobson in Washington, D.C. where she represented several local real estate entities. She has practiced law since 1974.</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Mary Jane Morrow joined the Trust in January 1987 as Vice President-Finance and Treasurer. Before joining Federal Realty, Ms.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059"/>
          </w:cols>
          <w:pgMar w:left="400" w:top="617" w:right="1440" w:bottom="1440" w:gutter="0" w:footer="0" w:header="0"/>
        </w:sectPr>
      </w:pPr>
    </w:p>
    <w:bookmarkStart w:id="28" w:name="page29"/>
    <w:bookmarkEnd w:id="28"/>
    <w:p>
      <w:pPr>
        <w:ind w:right="3839"/>
        <w:spacing w:after="0" w:line="235" w:lineRule="auto"/>
        <w:rPr>
          <w:sz w:val="20"/>
          <w:szCs w:val="20"/>
          <w:color w:val="auto"/>
        </w:rPr>
      </w:pPr>
      <w:r>
        <w:rPr>
          <w:rFonts w:ascii="Courier New" w:cs="Courier New" w:eastAsia="Courier New" w:hAnsi="Courier New"/>
          <w:sz w:val="15"/>
          <w:szCs w:val="15"/>
          <w:color w:val="auto"/>
        </w:rPr>
        <w:t>Morrow was a Partner with Grant Thornton LLP, the Trust's independent accountants. She was with Grant Thornton LLP for over 10 years and has extensive experience in real estate and accounting.</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Hal A. Vasvari joined Federal Realty Management, Inc., the Trust's former managing agent, in August 1985 as Executive Vice President. In January 1989, Mr. Vasvari became Executive Vice President-Management of the Trust. In December 1994, Mr. Vasvari was appointed Chief Operating Officer. Prior to August 1985, he was director of leasing for Kravco Co., a developer of shopping malls and shopping centers.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Cecily A. Ward joined the Trust in April 1987 as Controller. Prior to joining the Trust, Ms. Ward, a certified public accountant, was with Grant Thornton LLP, the Trust's independent accountants.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Robert S. Wennett joined the Trust's acquisitions department in April 1986. Prior to joining the Trust, Mr. Wennett was an associate with Chemical Realty Corporation in New York where he was involved in real estate financing for corporate clients.</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schedule identifying Trustees under the caption "Election of Trustees" of the 1996 Proxy Statement is incorporated herein by reference thereto.</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sections entitled "Summary Compensation Table" and "Aggregated Option Exercises in 1995 and December 31, 1995 Option Values" of the 1996 Proxy Statement are incorporated herein by reference thereto.</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section entitled "Ownership of Shares by Trustees and Officers" of the 1996 Proxy Statement is incorporated herein by reference thereto.</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section entitled "Certain Transactions" of the 1996 Proxy Statement is incorporated herein by reference thereto.</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059"/>
          </w:cols>
          <w:pgMar w:left="400" w:top="62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ind w:left="2100"/>
              <w:spacing w:after="0"/>
              <w:rPr>
                <w:sz w:val="20"/>
                <w:szCs w:val="20"/>
                <w:color w:val="auto"/>
              </w:rPr>
            </w:pPr>
            <w:r>
              <w:rPr>
                <w:rFonts w:ascii="Courier New" w:cs="Courier New" w:eastAsia="Courier New" w:hAnsi="Courier New"/>
                <w:sz w:val="15"/>
                <w:szCs w:val="15"/>
                <w:color w:val="auto"/>
              </w:rPr>
              <w:t>Part IV</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Exhibits, Financial Statement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68"/>
        </w:trPr>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Schedules, and Reports on</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8-K</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Certified</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Public Accountants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F-2</w:t>
            </w: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1995 and 1994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F-3</w:t>
            </w: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Operations - years ended</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1995, 1994</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1993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Shareholders' Equity - years</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ended December 31, 1995, 1994</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1993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F-5</w:t>
            </w: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 years ended</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1995, 1994 and</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31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F-6</w:t>
            </w: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(Including Selected Quarterly</w:t>
            </w:r>
          </w:p>
        </w:tc>
        <w:tc>
          <w:tcPr>
            <w:tcW w:w="9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Data)</w:t>
            </w:r>
          </w:p>
        </w:tc>
        <w:tc>
          <w:tcPr>
            <w:tcW w:w="31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F-7 - F20</w:t>
            </w:r>
          </w:p>
        </w:tc>
      </w:tr>
      <w:tr>
        <w:trPr>
          <w:trHeight w:val="505"/>
        </w:trPr>
        <w:tc>
          <w:tcPr>
            <w:tcW w:w="4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2. Financial Statement Schedules</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505"/>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Schedule III - Summary of Real Estate</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and Accumulated Depreciation.............</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F21 - F24</w:t>
            </w: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Schedule IV - Mortgage Loans on Real</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Estate ..................................</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F25 - F26</w:t>
            </w:r>
          </w:p>
        </w:tc>
      </w:tr>
      <w:tr>
        <w:trPr>
          <w:trHeight w:val="336"/>
        </w:trPr>
        <w:tc>
          <w:tcPr>
            <w:tcW w:w="44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Certified</w:t>
            </w:r>
          </w:p>
        </w:tc>
        <w:tc>
          <w:tcPr>
            <w:tcW w:w="9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3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7"/>
              </w:rPr>
              <w:t>Public Accountants...........................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F27</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Pr>
          <w:p>
            <w:pPr>
              <w:ind w:left="2360"/>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spacing w:after="0"/>
              <w:rPr>
                <w:sz w:val="24"/>
                <w:szCs w:val="24"/>
                <w:color w:val="auto"/>
              </w:rPr>
            </w:pPr>
          </w:p>
        </w:tc>
      </w:tr>
    </w:tbl>
    <w:p>
      <w:pPr>
        <w:sectPr>
          <w:pgSz w:w="11900" w:h="16838" w:orient="portrait"/>
          <w:cols w:equalWidth="0" w:num="1">
            <w:col w:w="10059"/>
          </w:cols>
          <w:pgMar w:left="400" w:top="617" w:right="1440" w:bottom="1440" w:gutter="0" w:footer="0" w:header="0"/>
        </w:sectPr>
      </w:pPr>
    </w:p>
    <w:bookmarkStart w:id="30" w:name="page31"/>
    <w:bookmarkEnd w:id="30"/>
    <w:p>
      <w:pPr>
        <w:spacing w:after="0"/>
        <w:tabs>
          <w:tab w:leader="none" w:pos="420" w:val="left"/>
          <w:tab w:leader="none" w:pos="1300" w:val="left"/>
        </w:tabs>
        <w:rPr>
          <w:sz w:val="20"/>
          <w:szCs w:val="20"/>
          <w:color w:val="auto"/>
        </w:rPr>
      </w:pPr>
      <w:r>
        <w:rPr>
          <w:rFonts w:ascii="Courier New" w:cs="Courier New" w:eastAsia="Courier New" w:hAnsi="Courier New"/>
          <w:sz w:val="15"/>
          <w:szCs w:val="15"/>
          <w:color w:val="auto"/>
        </w:rPr>
        <w:t>(a)</w:t>
        <w:tab/>
        <w:t>3.</w:t>
      </w:r>
      <w:r>
        <w:rPr>
          <w:sz w:val="20"/>
          <w:szCs w:val="20"/>
          <w:color w:val="auto"/>
        </w:rPr>
        <w:tab/>
      </w:r>
      <w:r>
        <w:rPr>
          <w:rFonts w:ascii="Courier New" w:cs="Courier New" w:eastAsia="Courier New" w:hAnsi="Courier New"/>
          <w:sz w:val="14"/>
          <w:szCs w:val="14"/>
          <w:color w:val="auto"/>
        </w:rPr>
        <w:t>Exhibits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80" w:right="3239" w:hanging="438"/>
        <w:spacing w:after="0" w:line="235"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Trust's Third Amended and Restated Declaration of Trust dated May 24, 1984, filed with the Commission on July 5, 1984 as Exhibit 4 to the Trust's Registration Statement on Form S-2 (file No. 2-92057) is incorporated herein by reference thereto.</w:t>
      </w:r>
    </w:p>
    <w:p>
      <w:pPr>
        <w:spacing w:after="0" w:line="175" w:lineRule="exact"/>
        <w:rPr>
          <w:rFonts w:ascii="Courier New" w:cs="Courier New" w:eastAsia="Courier New" w:hAnsi="Courier New"/>
          <w:sz w:val="15"/>
          <w:szCs w:val="15"/>
          <w:color w:val="auto"/>
        </w:rPr>
      </w:pPr>
    </w:p>
    <w:p>
      <w:pPr>
        <w:ind w:left="880" w:right="3239" w:hanging="1"/>
        <w:spacing w:after="0" w:line="236" w:lineRule="auto"/>
        <w:tabs>
          <w:tab w:leader="none" w:pos="1492"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filed with the Commission as an exhibit to the Trust's Current Report on Form 8-K dated February 20, 1985, as most recently amended and filed with the Commission as an exhibit to the Trust's Current Report on Form 8-K dated November 30, 1994, is incorporated herein by reference thereto.</w:t>
      </w:r>
    </w:p>
    <w:p>
      <w:pPr>
        <w:spacing w:after="0" w:line="173" w:lineRule="exact"/>
        <w:rPr>
          <w:rFonts w:ascii="Courier New" w:cs="Courier New" w:eastAsia="Courier New" w:hAnsi="Courier New"/>
          <w:sz w:val="15"/>
          <w:szCs w:val="15"/>
          <w:color w:val="auto"/>
        </w:rPr>
      </w:pPr>
    </w:p>
    <w:p>
      <w:pPr>
        <w:ind w:left="880" w:right="3939" w:hanging="526"/>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Specimen Share of Beneficial Interest, filed with the Commission on November 23, 1982 as Exhibit 4 to the Trust's Registration Statement on Form S-2 (file No. 2-80524), is incorporated herein by reference thereto.</w:t>
      </w:r>
    </w:p>
    <w:p>
      <w:pPr>
        <w:spacing w:after="0" w:line="168" w:lineRule="exact"/>
        <w:rPr>
          <w:rFonts w:ascii="Courier New" w:cs="Courier New" w:eastAsia="Courier New" w:hAnsi="Courier New"/>
          <w:sz w:val="15"/>
          <w:szCs w:val="15"/>
          <w:color w:val="auto"/>
        </w:rPr>
      </w:pPr>
    </w:p>
    <w:p>
      <w:pPr>
        <w:ind w:left="1500" w:hanging="621"/>
        <w:spacing w:after="0"/>
        <w:tabs>
          <w:tab w:leader="none" w:pos="1500"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March 15, 1985, relating to the Trust's</w:t>
      </w:r>
    </w:p>
    <w:p>
      <w:pPr>
        <w:spacing w:after="0" w:line="5"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8 3/4% Convertible Subordinated Debentures Due 2010, filed with the Commission on March 1, 1985 as Exhibit 4 (a) (2) to the Trust's Registration Statement on Form S-2 (File No. 2-96136) is incorporated herein by reference thereto.</w:t>
      </w:r>
    </w:p>
    <w:p>
      <w:pPr>
        <w:spacing w:after="0" w:line="169" w:lineRule="exact"/>
        <w:rPr>
          <w:sz w:val="20"/>
          <w:szCs w:val="20"/>
          <w:color w:val="auto"/>
        </w:rPr>
      </w:pPr>
    </w:p>
    <w:p>
      <w:pPr>
        <w:ind w:left="1500" w:hanging="621"/>
        <w:spacing w:after="0"/>
        <w:tabs>
          <w:tab w:leader="none" w:pos="1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April 1, 1986, relating to the Trust's</w:t>
      </w:r>
    </w:p>
    <w:p>
      <w:pPr>
        <w:spacing w:after="0" w:line="5"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8.65% Senior Notes due 1996, filed with the commission on March 27, 1986 as exhibit 4 (a) 1 to the Trust's Registration Statement on Form S-3, (File No. 33-3934) is incorporated herein by reference thereto.</w:t>
      </w:r>
    </w:p>
    <w:p>
      <w:pPr>
        <w:spacing w:after="0" w:line="175" w:lineRule="exact"/>
        <w:rPr>
          <w:sz w:val="20"/>
          <w:szCs w:val="20"/>
          <w:color w:val="auto"/>
        </w:rPr>
      </w:pPr>
    </w:p>
    <w:p>
      <w:pPr>
        <w:ind w:left="880" w:right="3319" w:hanging="1"/>
        <w:spacing w:after="0" w:line="235" w:lineRule="auto"/>
        <w:tabs>
          <w:tab w:leader="none" w:pos="14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 1/4% Convertible Subordinated Debenture due 2002 as described in Amendment No. 1 to Form S-3 (File No. 33-15264), filed with the Commission on August 4, 1987 is incorporated herein by reference thereto.</w:t>
      </w:r>
    </w:p>
    <w:p>
      <w:pPr>
        <w:spacing w:after="0" w:line="175" w:lineRule="exact"/>
        <w:rPr>
          <w:rFonts w:ascii="Courier New" w:cs="Courier New" w:eastAsia="Courier New" w:hAnsi="Courier New"/>
          <w:sz w:val="15"/>
          <w:szCs w:val="15"/>
          <w:color w:val="auto"/>
        </w:rPr>
      </w:pPr>
    </w:p>
    <w:p>
      <w:pPr>
        <w:ind w:left="880" w:right="3239" w:hanging="1"/>
        <w:spacing w:after="0" w:line="258" w:lineRule="auto"/>
        <w:tabs>
          <w:tab w:leader="none" w:pos="149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 Plan, dated April 13, 1989, filed with the Commission as an exhibit to the Trust's Current Report on Form 8-K, dated April 13, 1989, is incorporated herein by reference thereto.</w:t>
      </w:r>
    </w:p>
    <w:p>
      <w:pPr>
        <w:spacing w:after="0" w:line="154" w:lineRule="exact"/>
        <w:rPr>
          <w:rFonts w:ascii="Courier New" w:cs="Courier New" w:eastAsia="Courier New" w:hAnsi="Courier New"/>
          <w:sz w:val="14"/>
          <w:szCs w:val="14"/>
          <w:color w:val="auto"/>
        </w:rPr>
      </w:pPr>
    </w:p>
    <w:p>
      <w:pPr>
        <w:ind w:left="1500" w:hanging="621"/>
        <w:spacing w:after="0"/>
        <w:tabs>
          <w:tab w:leader="none" w:pos="15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December 13, 1993, related to the Trust's</w:t>
      </w:r>
    </w:p>
    <w:p>
      <w:pPr>
        <w:spacing w:after="0" w:line="5"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8 7/8% Senior Notes due January 15, 2000, the Trust's 8% Notes due April 21, 2002 and the Trust's 6 5/8% Notes due 2005, filed with the commission on December 13, 1993 as exhibit 4 (a) to the Trust's Registration Statement on Form S-3, (File No. 33-51029) is incorporated herein by reference thereto.</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( 9) Voting Trust Agreement..................................*</w:t>
      </w:r>
    </w:p>
    <w:p>
      <w:pPr>
        <w:spacing w:after="0" w:line="173" w:lineRule="exact"/>
        <w:rPr>
          <w:sz w:val="20"/>
          <w:szCs w:val="20"/>
          <w:color w:val="auto"/>
        </w:rPr>
      </w:pPr>
    </w:p>
    <w:p>
      <w:pPr>
        <w:ind w:left="880" w:right="3499" w:hanging="438"/>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Consultancy Agreement with Samuel J. Gorlitz, as amended, filed with the Commission as Exhibit 10 (v) to the Trust's Annual Report on Form 10-K for the year ended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059"/>
          </w:cols>
          <w:pgMar w:left="400" w:top="617" w:right="1440" w:bottom="1440" w:gutter="0" w:footer="0" w:header="0"/>
        </w:sectPr>
      </w:pPr>
    </w:p>
    <w:bookmarkStart w:id="31" w:name="page32"/>
    <w:bookmarkEnd w:id="31"/>
    <w:p>
      <w:pPr>
        <w:ind w:left="880"/>
        <w:spacing w:after="0"/>
        <w:rPr>
          <w:sz w:val="20"/>
          <w:szCs w:val="20"/>
          <w:color w:val="auto"/>
        </w:rPr>
      </w:pPr>
      <w:r>
        <w:rPr>
          <w:rFonts w:ascii="Courier New" w:cs="Courier New" w:eastAsia="Courier New" w:hAnsi="Courier New"/>
          <w:sz w:val="15"/>
          <w:szCs w:val="15"/>
          <w:color w:val="auto"/>
        </w:rPr>
        <w:t>December 31, 1983, is incorporated herein by reference thereto.</w:t>
      </w:r>
    </w:p>
    <w:p>
      <w:pPr>
        <w:spacing w:after="0" w:line="173" w:lineRule="exact"/>
        <w:rPr>
          <w:sz w:val="20"/>
          <w:szCs w:val="20"/>
          <w:color w:val="auto"/>
        </w:rPr>
      </w:pPr>
    </w:p>
    <w:p>
      <w:pPr>
        <w:ind w:left="880" w:right="3399" w:hanging="1"/>
        <w:spacing w:after="0" w:line="235" w:lineRule="auto"/>
        <w:tabs>
          <w:tab w:leader="none" w:pos="149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1983 Stock Option Plan adopted May 12, 1983, filed with the Commission as Exhibit 10 (vi) to the Trust's Annual Report on Form 10-K for the year ended December 31, 1983, is incorporated herein by reference.</w:t>
      </w:r>
    </w:p>
    <w:p>
      <w:pPr>
        <w:spacing w:after="0" w:line="175" w:lineRule="exact"/>
        <w:rPr>
          <w:rFonts w:ascii="Courier New" w:cs="Courier New" w:eastAsia="Courier New" w:hAnsi="Courier New"/>
          <w:sz w:val="15"/>
          <w:szCs w:val="15"/>
          <w:color w:val="auto"/>
        </w:rPr>
      </w:pPr>
    </w:p>
    <w:p>
      <w:pPr>
        <w:ind w:left="880" w:right="3579" w:hanging="1"/>
        <w:spacing w:after="0" w:line="254" w:lineRule="auto"/>
        <w:tabs>
          <w:tab w:leader="none" w:pos="149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Agreement with Steven J. Guttman dated December 13, 1978, filed with the Commission as Exhibit 10</w:t>
      </w:r>
    </w:p>
    <w:p>
      <w:pPr>
        <w:ind w:left="880" w:right="3499" w:hanging="1"/>
        <w:spacing w:after="0" w:line="261" w:lineRule="auto"/>
        <w:tabs>
          <w:tab w:leader="none" w:pos="131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Trust's Annual Report on Form 10-K for the year ended December 31, 1980 is incorporated herein by reference thereto.</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Exhibit 10 to the Trust's Annual Report on Form 10-K for the year ended December 31, 1985, are incorporated herein by reference thereto.</w:t>
      </w:r>
    </w:p>
    <w:p>
      <w:pPr>
        <w:spacing w:after="0" w:line="174" w:lineRule="exact"/>
        <w:rPr>
          <w:sz w:val="20"/>
          <w:szCs w:val="20"/>
          <w:color w:val="auto"/>
        </w:rPr>
      </w:pPr>
    </w:p>
    <w:p>
      <w:pPr>
        <w:ind w:left="880" w:right="3319" w:hanging="1"/>
        <w:spacing w:after="0" w:line="234" w:lineRule="auto"/>
        <w:tabs>
          <w:tab w:leader="none" w:pos="149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1985 Non-Qualified Stock Option Plan, adopted on September 13, 1985</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Exhibit 10, to the Trust's Annual Report on Form 10-K for the year ended December 31, 1980, have been modified as noted below, and are incorporated herein by reference thereto.</w:t>
      </w:r>
    </w:p>
    <w:p>
      <w:pPr>
        <w:spacing w:after="0" w:line="175" w:lineRule="exact"/>
        <w:rPr>
          <w:sz w:val="20"/>
          <w:szCs w:val="20"/>
          <w:color w:val="auto"/>
        </w:rPr>
      </w:pPr>
    </w:p>
    <w:p>
      <w:pPr>
        <w:jc w:val="both"/>
        <w:ind w:left="880" w:right="3239" w:hanging="1"/>
        <w:spacing w:after="0" w:line="235" w:lineRule="auto"/>
        <w:tabs>
          <w:tab w:leader="none" w:pos="149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Consultancy Agreement with Daniel M. Lyons dated February 22, 1980, as amended (modified as of December l, 1983, to provide for an annual cost of living increase, not to exceed 10%).</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documents filed as portions of Exhibit 10 to the Trust's Annual Report on Form 10-K for the year ended December 31, 1988 are incorporated herein by reference thereto:</w:t>
      </w:r>
    </w:p>
    <w:p>
      <w:pPr>
        <w:spacing w:after="0" w:line="167" w:lineRule="exact"/>
        <w:rPr>
          <w:sz w:val="20"/>
          <w:szCs w:val="20"/>
          <w:color w:val="auto"/>
        </w:rPr>
      </w:pPr>
    </w:p>
    <w:p>
      <w:pPr>
        <w:ind w:left="1500" w:hanging="621"/>
        <w:spacing w:after="0"/>
        <w:tabs>
          <w:tab w:leader="none" w:pos="15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1988 Share Bonus Plan.</w:t>
      </w:r>
    </w:p>
    <w:p>
      <w:pPr>
        <w:spacing w:after="0" w:line="172" w:lineRule="exact"/>
        <w:rPr>
          <w:rFonts w:ascii="Courier New" w:cs="Courier New" w:eastAsia="Courier New" w:hAnsi="Courier New"/>
          <w:sz w:val="15"/>
          <w:szCs w:val="15"/>
          <w:color w:val="auto"/>
        </w:rPr>
      </w:pPr>
    </w:p>
    <w:p>
      <w:pPr>
        <w:ind w:left="880" w:right="3759" w:hanging="1"/>
        <w:spacing w:after="0" w:line="234" w:lineRule="auto"/>
        <w:tabs>
          <w:tab w:leader="none" w:pos="149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3 to Consultancy Agreement with Samuel J. Gorlitz.</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Item 6 to the Trust's Quarterly Report on Form 10-Q for the quarter ended March 31, 1989 are incorporated herein by reference thereto;</w:t>
      </w:r>
    </w:p>
    <w:p>
      <w:pPr>
        <w:spacing w:after="0" w:line="174" w:lineRule="exact"/>
        <w:rPr>
          <w:sz w:val="20"/>
          <w:szCs w:val="20"/>
          <w:color w:val="auto"/>
        </w:rPr>
      </w:pPr>
    </w:p>
    <w:p>
      <w:pPr>
        <w:ind w:left="880" w:right="4099" w:hanging="1"/>
        <w:spacing w:after="0" w:line="234" w:lineRule="auto"/>
        <w:tabs>
          <w:tab w:leader="none" w:pos="149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Steven J. Guttman, dated April 13, 1989.</w:t>
      </w:r>
    </w:p>
    <w:p>
      <w:pPr>
        <w:spacing w:after="0" w:line="173" w:lineRule="exact"/>
        <w:rPr>
          <w:rFonts w:ascii="Courier New" w:cs="Courier New" w:eastAsia="Courier New" w:hAnsi="Courier New"/>
          <w:sz w:val="15"/>
          <w:szCs w:val="15"/>
          <w:color w:val="auto"/>
        </w:rPr>
      </w:pPr>
    </w:p>
    <w:p>
      <w:pPr>
        <w:ind w:left="880" w:right="3319" w:hanging="1"/>
        <w:spacing w:after="0" w:line="234" w:lineRule="auto"/>
        <w:tabs>
          <w:tab w:leader="none" w:pos="149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Catherine R. Mack, dated April 13, 1989.</w:t>
      </w:r>
    </w:p>
    <w:p>
      <w:pPr>
        <w:spacing w:after="0" w:line="173" w:lineRule="exact"/>
        <w:rPr>
          <w:rFonts w:ascii="Courier New" w:cs="Courier New" w:eastAsia="Courier New" w:hAnsi="Courier New"/>
          <w:sz w:val="15"/>
          <w:szCs w:val="15"/>
          <w:color w:val="auto"/>
        </w:rPr>
      </w:pPr>
    </w:p>
    <w:p>
      <w:pPr>
        <w:ind w:left="880" w:right="3399" w:hanging="1"/>
        <w:spacing w:after="0" w:line="234" w:lineRule="auto"/>
        <w:tabs>
          <w:tab w:leader="none" w:pos="149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Mary Jane Morrow, dated April 13, 1989.</w:t>
      </w:r>
    </w:p>
    <w:p>
      <w:pPr>
        <w:spacing w:after="0" w:line="173" w:lineRule="exact"/>
        <w:rPr>
          <w:rFonts w:ascii="Courier New" w:cs="Courier New" w:eastAsia="Courier New" w:hAnsi="Courier New"/>
          <w:sz w:val="15"/>
          <w:szCs w:val="15"/>
          <w:color w:val="auto"/>
        </w:rPr>
      </w:pPr>
    </w:p>
    <w:p>
      <w:pPr>
        <w:ind w:left="880" w:right="3579" w:hanging="1"/>
        <w:spacing w:after="0" w:line="234" w:lineRule="auto"/>
        <w:tabs>
          <w:tab w:leader="none" w:pos="149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Hal A. Vasvari, dated April 13, 1989.</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059"/>
          </w:cols>
          <w:pgMar w:left="400" w:top="617" w:right="1440" w:bottom="1440" w:gutter="0" w:footer="0" w:header="0"/>
        </w:sectPr>
      </w:pPr>
    </w:p>
    <w:bookmarkStart w:id="32" w:name="page33"/>
    <w:bookmarkEnd w:id="32"/>
    <w:p>
      <w:pPr>
        <w:ind w:left="880" w:right="3239" w:hanging="1"/>
        <w:spacing w:after="0" w:line="234" w:lineRule="auto"/>
        <w:tabs>
          <w:tab w:leader="none" w:pos="149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Steven J. Guttman, dated April 13, 1989.</w:t>
      </w:r>
    </w:p>
    <w:p>
      <w:pPr>
        <w:spacing w:after="0" w:line="173" w:lineRule="exact"/>
        <w:rPr>
          <w:rFonts w:ascii="Courier New" w:cs="Courier New" w:eastAsia="Courier New" w:hAnsi="Courier New"/>
          <w:sz w:val="15"/>
          <w:szCs w:val="15"/>
          <w:color w:val="auto"/>
        </w:rPr>
      </w:pPr>
    </w:p>
    <w:p>
      <w:pPr>
        <w:ind w:left="880" w:right="3759" w:hanging="1"/>
        <w:spacing w:after="0" w:line="234" w:lineRule="auto"/>
        <w:tabs>
          <w:tab w:leader="none" w:pos="149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Catherine R. Mack, dated April 13, 1989.</w:t>
      </w:r>
    </w:p>
    <w:p>
      <w:pPr>
        <w:spacing w:after="0" w:line="166" w:lineRule="exact"/>
        <w:rPr>
          <w:rFonts w:ascii="Courier New" w:cs="Courier New" w:eastAsia="Courier New" w:hAnsi="Courier New"/>
          <w:sz w:val="15"/>
          <w:szCs w:val="15"/>
          <w:color w:val="auto"/>
        </w:rPr>
      </w:pPr>
    </w:p>
    <w:p>
      <w:pPr>
        <w:ind w:left="1500" w:hanging="621"/>
        <w:spacing w:after="0"/>
        <w:tabs>
          <w:tab w:leader="none" w:pos="15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Robert S.</w:t>
      </w:r>
    </w:p>
    <w:p>
      <w:pPr>
        <w:spacing w:after="0" w:line="5"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Wennett, dated April 13 ,1989, modified January 1, 1990, filed with the Commission as a portion of Exhibit 10 to the Trust's Annual Report on Form 10-K for the year ended December 31, 1989 is incorporated herein by reference thereto.</w:t>
      </w:r>
    </w:p>
    <w:p>
      <w:pPr>
        <w:spacing w:after="0" w:line="175" w:lineRule="exact"/>
        <w:rPr>
          <w:sz w:val="20"/>
          <w:szCs w:val="20"/>
          <w:color w:val="auto"/>
        </w:rPr>
      </w:pPr>
    </w:p>
    <w:p>
      <w:pPr>
        <w:ind w:left="880" w:right="3239" w:hanging="1"/>
        <w:spacing w:after="0" w:line="235" w:lineRule="auto"/>
        <w:tabs>
          <w:tab w:leader="none" w:pos="14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1991 Share Purchase Plan, dated January 31, 1991, filed with the Commission as a portion of Exhibit 10 to the Trust's Annual Report on Form 10-K for the year ended December 31, 1990 is incorporated herein by reference thereto.</w:t>
      </w:r>
    </w:p>
    <w:p>
      <w:pPr>
        <w:spacing w:after="0" w:line="175" w:lineRule="exact"/>
        <w:rPr>
          <w:rFonts w:ascii="Courier New" w:cs="Courier New" w:eastAsia="Courier New" w:hAnsi="Courier New"/>
          <w:sz w:val="15"/>
          <w:szCs w:val="15"/>
          <w:color w:val="auto"/>
        </w:rPr>
      </w:pPr>
    </w:p>
    <w:p>
      <w:pPr>
        <w:ind w:left="880" w:right="3239" w:hanging="1"/>
        <w:spacing w:after="0" w:line="256" w:lineRule="auto"/>
        <w:tabs>
          <w:tab w:leader="none" w:pos="149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between the Trust and Robert S. Wennett, dated January 1, 1992, filed with the Commission as an exhibit to the Trust's Annual Report on Form 10-K for the year ended December 31, 1991 is incorporated herein by reference thereto.</w:t>
      </w:r>
    </w:p>
    <w:p>
      <w:pPr>
        <w:spacing w:after="0" w:line="164" w:lineRule="exact"/>
        <w:rPr>
          <w:rFonts w:ascii="Courier New" w:cs="Courier New" w:eastAsia="Courier New" w:hAnsi="Courier New"/>
          <w:sz w:val="14"/>
          <w:szCs w:val="14"/>
          <w:color w:val="auto"/>
        </w:rPr>
      </w:pPr>
    </w:p>
    <w:p>
      <w:pPr>
        <w:ind w:left="880" w:right="3399" w:hanging="1"/>
        <w:spacing w:after="0" w:line="235" w:lineRule="auto"/>
        <w:tabs>
          <w:tab w:leader="none" w:pos="14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175" w:lineRule="exact"/>
        <w:rPr>
          <w:rFonts w:ascii="Courier New" w:cs="Courier New" w:eastAsia="Courier New" w:hAnsi="Courier New"/>
          <w:sz w:val="15"/>
          <w:szCs w:val="15"/>
          <w:color w:val="auto"/>
        </w:rPr>
      </w:pPr>
    </w:p>
    <w:p>
      <w:pPr>
        <w:ind w:left="880" w:right="3239" w:hanging="1"/>
        <w:spacing w:after="0" w:line="235" w:lineRule="auto"/>
        <w:tabs>
          <w:tab w:leader="none" w:pos="19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175" w:lineRule="exact"/>
        <w:rPr>
          <w:rFonts w:ascii="Courier New" w:cs="Courier New" w:eastAsia="Courier New" w:hAnsi="Courier New"/>
          <w:sz w:val="15"/>
          <w:szCs w:val="15"/>
          <w:color w:val="auto"/>
        </w:rPr>
      </w:pPr>
    </w:p>
    <w:p>
      <w:pPr>
        <w:ind w:left="880" w:right="3239" w:hanging="1"/>
        <w:spacing w:after="0" w:line="236" w:lineRule="auto"/>
        <w:tabs>
          <w:tab w:leader="none" w:pos="14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dated October 1, 1992, to Voting Trust Agreement dated as of March 3, 1989 by and between I. Wolford Berman and Dennis L. Berman filed as an exhibit to the Trust's Annual Report on Form 10-K for the year ended December 31, 1992 is incorporated herein by reference thereto.</w:t>
      </w:r>
    </w:p>
    <w:p>
      <w:pPr>
        <w:spacing w:after="0" w:line="173" w:lineRule="exact"/>
        <w:rPr>
          <w:rFonts w:ascii="Courier New" w:cs="Courier New" w:eastAsia="Courier New" w:hAnsi="Courier New"/>
          <w:sz w:val="15"/>
          <w:szCs w:val="15"/>
          <w:color w:val="auto"/>
        </w:rPr>
      </w:pPr>
    </w:p>
    <w:p>
      <w:pPr>
        <w:ind w:left="880" w:right="3319" w:hanging="1"/>
        <w:spacing w:after="0" w:line="236" w:lineRule="auto"/>
        <w:tabs>
          <w:tab w:leader="none" w:pos="149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Long-Term Incentive Plan and Certified Resolution Re: Amendment to 1993 Long-Term Incentive Plan, filed with the Commission as portions of Item 6 to the Trust's Quarterly Report on Form 10-Q for the quarter ended June 30, 1993, are incorporated herein by reference thereto.</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Item 6 to the Trust's Quarterly Report on Form 10-Q for the quarter ended September 30, 1993 are incorporated herein by reference thereto:</w:t>
      </w:r>
    </w:p>
    <w:p>
      <w:pPr>
        <w:spacing w:after="0" w:line="174" w:lineRule="exact"/>
        <w:rPr>
          <w:sz w:val="20"/>
          <w:szCs w:val="20"/>
          <w:color w:val="auto"/>
        </w:rPr>
      </w:pPr>
    </w:p>
    <w:p>
      <w:pPr>
        <w:ind w:left="880" w:right="3679" w:hanging="1"/>
        <w:spacing w:after="0" w:line="261" w:lineRule="auto"/>
        <w:tabs>
          <w:tab w:leader="none" w:pos="149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dated as of September 1, 1993 among Federal Realty Investment Trust and Corestates Bank.</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059"/>
          </w:cols>
          <w:pgMar w:left="400" w:top="624" w:right="1440" w:bottom="1440" w:gutter="0" w:footer="0" w:header="0"/>
        </w:sectPr>
      </w:pPr>
    </w:p>
    <w:bookmarkStart w:id="33" w:name="page34"/>
    <w:bookmarkEnd w:id="33"/>
    <w:p>
      <w:pPr>
        <w:ind w:left="880" w:right="3579" w:hanging="1"/>
        <w:spacing w:after="0" w:line="235" w:lineRule="auto"/>
        <w:tabs>
          <w:tab w:leader="none" w:pos="175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August 25, 1993 between Federal Realty Investment Trust and First Union National Bank of Virginia.</w:t>
      </w:r>
    </w:p>
    <w:p>
      <w:pPr>
        <w:spacing w:after="0" w:line="174" w:lineRule="exact"/>
        <w:rPr>
          <w:sz w:val="20"/>
          <w:szCs w:val="20"/>
          <w:color w:val="auto"/>
        </w:rPr>
      </w:pPr>
    </w:p>
    <w:p>
      <w:pPr>
        <w:ind w:left="880" w:right="3499"/>
        <w:spacing w:after="0" w:line="261" w:lineRule="auto"/>
        <w:rPr>
          <w:sz w:val="20"/>
          <w:szCs w:val="20"/>
          <w:color w:val="auto"/>
        </w:rPr>
      </w:pPr>
      <w:r>
        <w:rPr>
          <w:rFonts w:ascii="Courier New" w:cs="Courier New" w:eastAsia="Courier New" w:hAnsi="Courier New"/>
          <w:sz w:val="14"/>
          <w:szCs w:val="14"/>
          <w:color w:val="auto"/>
        </w:rPr>
        <w:t>(xxiii) Revolving Credit Agreement dated as of June 22, 1993 between Federal Realty Investment Trust and Signet Bank/Maryland.</w:t>
      </w:r>
    </w:p>
    <w:p>
      <w:pPr>
        <w:spacing w:after="0" w:line="160" w:lineRule="exact"/>
        <w:rPr>
          <w:sz w:val="20"/>
          <w:szCs w:val="20"/>
          <w:color w:val="auto"/>
        </w:rPr>
      </w:pPr>
    </w:p>
    <w:p>
      <w:pPr>
        <w:ind w:left="880" w:right="3839" w:hanging="1"/>
        <w:spacing w:after="0" w:line="234" w:lineRule="auto"/>
        <w:tabs>
          <w:tab w:leader="none" w:pos="175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Agreement between Misner Development and Federal Realty Investment Trust.</w:t>
      </w:r>
    </w:p>
    <w:p>
      <w:pPr>
        <w:spacing w:after="0" w:line="173" w:lineRule="exact"/>
        <w:rPr>
          <w:rFonts w:ascii="Courier New" w:cs="Courier New" w:eastAsia="Courier New" w:hAnsi="Courier New"/>
          <w:sz w:val="15"/>
          <w:szCs w:val="15"/>
          <w:color w:val="auto"/>
        </w:rPr>
      </w:pPr>
    </w:p>
    <w:p>
      <w:pPr>
        <w:ind w:left="880" w:right="3759" w:hanging="1"/>
        <w:spacing w:after="0" w:line="261" w:lineRule="auto"/>
        <w:tabs>
          <w:tab w:leader="none" w:pos="175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Agency Agreement dated as of October 28, 1993 between Federal Realty Investment Trust and Citibank, N.A.</w:t>
      </w:r>
    </w:p>
    <w:p>
      <w:pPr>
        <w:spacing w:after="0" w:line="159" w:lineRule="exact"/>
        <w:rPr>
          <w:rFonts w:ascii="Courier New" w:cs="Courier New" w:eastAsia="Courier New" w:hAnsi="Courier New"/>
          <w:sz w:val="14"/>
          <w:szCs w:val="14"/>
          <w:color w:val="auto"/>
        </w:rPr>
      </w:pPr>
    </w:p>
    <w:p>
      <w:pPr>
        <w:ind w:left="880" w:right="3239" w:hanging="1"/>
        <w:spacing w:after="0" w:line="256" w:lineRule="auto"/>
        <w:tabs>
          <w:tab w:leader="none" w:pos="175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February 11, 1994 between Federal Realty Investment Trust and Mellon Bank as filed as an exhibit to the Trust's Annual Report on Form 10-K for the year ended December 31, 1993 is incorporated herein by reference thereto.</w:t>
      </w:r>
    </w:p>
    <w:p>
      <w:pPr>
        <w:spacing w:after="0" w:line="164" w:lineRule="exact"/>
        <w:rPr>
          <w:rFonts w:ascii="Courier New" w:cs="Courier New" w:eastAsia="Courier New" w:hAnsi="Courier New"/>
          <w:sz w:val="14"/>
          <w:szCs w:val="14"/>
          <w:color w:val="auto"/>
        </w:rPr>
      </w:pPr>
    </w:p>
    <w:p>
      <w:pPr>
        <w:ind w:left="880" w:right="3239" w:hanging="1"/>
        <w:spacing w:after="0" w:line="236" w:lineRule="auto"/>
        <w:tabs>
          <w:tab w:leader="none" w:pos="175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 Award and Purchase Note between Federal Realty Investment Trust and Ron D. Kaplan, dated January 1, 1994, filed with the Commission as a portion of Item 6 to the Trust's Quarterly Report on Form 10-Q for the quarter ended March 31, 1994 is incorporated herein by reference thereto.</w:t>
      </w:r>
    </w:p>
    <w:p>
      <w:pPr>
        <w:spacing w:after="0" w:line="174" w:lineRule="exact"/>
        <w:rPr>
          <w:sz w:val="20"/>
          <w:szCs w:val="20"/>
          <w:color w:val="auto"/>
        </w:rPr>
      </w:pPr>
    </w:p>
    <w:p>
      <w:pPr>
        <w:jc w:val="both"/>
        <w:ind w:left="880" w:right="3239"/>
        <w:spacing w:after="0" w:line="236" w:lineRule="auto"/>
        <w:rPr>
          <w:sz w:val="20"/>
          <w:szCs w:val="20"/>
          <w:color w:val="auto"/>
        </w:rPr>
      </w:pPr>
      <w:r>
        <w:rPr>
          <w:rFonts w:ascii="Courier New" w:cs="Courier New" w:eastAsia="Courier New" w:hAnsi="Courier New"/>
          <w:sz w:val="15"/>
          <w:szCs w:val="15"/>
          <w:color w:val="auto"/>
        </w:rPr>
        <w:t>(xxviii) 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Exhibit 10 to the Trust's Annual Report on Form 10-K for the year ended December 31, 1994, are incorporated herein by reference thereto.</w:t>
      </w:r>
    </w:p>
    <w:p>
      <w:pPr>
        <w:spacing w:after="0" w:line="174" w:lineRule="exact"/>
        <w:rPr>
          <w:sz w:val="20"/>
          <w:szCs w:val="20"/>
          <w:color w:val="auto"/>
        </w:rPr>
      </w:pPr>
    </w:p>
    <w:p>
      <w:pPr>
        <w:ind w:left="880" w:right="3939" w:hanging="1"/>
        <w:spacing w:after="0" w:line="235" w:lineRule="auto"/>
        <w:tabs>
          <w:tab w:leader="none" w:pos="175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Severance Agreement between Federal Realty Investment Trust and Certain of its Officers dated December 31, 1994.</w:t>
      </w:r>
    </w:p>
    <w:p>
      <w:pPr>
        <w:spacing w:after="0" w:line="173" w:lineRule="exact"/>
        <w:rPr>
          <w:rFonts w:ascii="Courier New" w:cs="Courier New" w:eastAsia="Courier New" w:hAnsi="Courier New"/>
          <w:sz w:val="15"/>
          <w:szCs w:val="15"/>
          <w:color w:val="auto"/>
        </w:rPr>
      </w:pPr>
    </w:p>
    <w:p>
      <w:pPr>
        <w:ind w:left="880" w:right="3499" w:hanging="1"/>
        <w:spacing w:after="0" w:line="235" w:lineRule="auto"/>
        <w:tabs>
          <w:tab w:leader="none" w:pos="175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September 30, 1994 between Federal Realty Investment Trust and First Union National Bank of Virginia.</w:t>
      </w:r>
    </w:p>
    <w:p>
      <w:pPr>
        <w:spacing w:after="0" w:line="173" w:lineRule="exact"/>
        <w:rPr>
          <w:rFonts w:ascii="Courier New" w:cs="Courier New" w:eastAsia="Courier New" w:hAnsi="Courier New"/>
          <w:sz w:val="15"/>
          <w:szCs w:val="15"/>
          <w:color w:val="auto"/>
        </w:rPr>
      </w:pPr>
    </w:p>
    <w:p>
      <w:pPr>
        <w:ind w:left="880" w:right="3239" w:hanging="1"/>
        <w:spacing w:after="0" w:line="235" w:lineRule="auto"/>
        <w:tabs>
          <w:tab w:leader="none" w:pos="175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Amendment to Revolving Credit Agreement dated as of September 30, 1994 between Federal Realty Investment Trust and Corestates Bank.</w:t>
      </w:r>
    </w:p>
    <w:p>
      <w:pPr>
        <w:spacing w:after="0" w:line="173" w:lineRule="exact"/>
        <w:rPr>
          <w:rFonts w:ascii="Courier New" w:cs="Courier New" w:eastAsia="Courier New" w:hAnsi="Courier New"/>
          <w:sz w:val="15"/>
          <w:szCs w:val="15"/>
          <w:color w:val="auto"/>
        </w:rPr>
      </w:pPr>
    </w:p>
    <w:p>
      <w:pPr>
        <w:ind w:left="880" w:right="3499" w:hanging="1"/>
        <w:spacing w:after="0" w:line="261" w:lineRule="auto"/>
        <w:tabs>
          <w:tab w:leader="none" w:pos="175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Amendment to Credit Agreement dated September 30, 1994 between Federal Realty Investment Trust and Mellon Bank.</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059"/>
          </w:cols>
          <w:pgMar w:left="400" w:top="624" w:right="1440" w:bottom="1440" w:gutter="0" w:footer="0" w:header="0"/>
        </w:sectPr>
      </w:pPr>
    </w:p>
    <w:bookmarkStart w:id="34" w:name="page35"/>
    <w:bookmarkEnd w:id="34"/>
    <w:p>
      <w:pPr>
        <w:ind w:left="880" w:right="3759" w:hanging="1"/>
        <w:spacing w:after="0" w:line="235" w:lineRule="auto"/>
        <w:tabs>
          <w:tab w:leader="none" w:pos="175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Amendment to Revolving Credit Agreement dated September 30, 1994 between Federal Realty Investment Trust and Signet Bank/Maryland.</w:t>
      </w:r>
    </w:p>
    <w:p>
      <w:pPr>
        <w:spacing w:after="0" w:line="173" w:lineRule="exact"/>
        <w:rPr>
          <w:rFonts w:ascii="Courier New" w:cs="Courier New" w:eastAsia="Courier New" w:hAnsi="Courier New"/>
          <w:sz w:val="15"/>
          <w:szCs w:val="15"/>
          <w:color w:val="auto"/>
        </w:rPr>
      </w:pPr>
    </w:p>
    <w:p>
      <w:pPr>
        <w:ind w:left="880" w:right="3239" w:hanging="1"/>
        <w:spacing w:after="0" w:line="235" w:lineRule="auto"/>
        <w:tabs>
          <w:tab w:leader="none" w:pos="175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Brokerage Agreement between Street Retail Inc. and Westport Advisors Corporation filed as an exhibit to the Trust's Quarterly Report on Form 10-Q for quarter ended March 31, 1995 is incorporated herein by reference thereto.</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Item 6 to the Trust's Quarterly Report on Form 10-Q for the quarter ended September 30, 1995 are incorporated herein by reference thereto:</w:t>
      </w:r>
    </w:p>
    <w:p>
      <w:pPr>
        <w:spacing w:after="0" w:line="174" w:lineRule="exact"/>
        <w:rPr>
          <w:sz w:val="20"/>
          <w:szCs w:val="20"/>
          <w:color w:val="auto"/>
        </w:rPr>
      </w:pPr>
    </w:p>
    <w:p>
      <w:pPr>
        <w:ind w:left="880" w:right="3319" w:hanging="1"/>
        <w:spacing w:after="0" w:line="235" w:lineRule="auto"/>
        <w:tabs>
          <w:tab w:leader="none" w:pos="184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Non-Exclusive Brokerage Agreement between Federal Realty Investment Trust and Westport Advisors Corporation and Jack Alan Guttman dated August 20, 1995.</w:t>
      </w:r>
    </w:p>
    <w:p>
      <w:pPr>
        <w:spacing w:after="0" w:line="173" w:lineRule="exact"/>
        <w:rPr>
          <w:rFonts w:ascii="Courier New" w:cs="Courier New" w:eastAsia="Courier New" w:hAnsi="Courier New"/>
          <w:sz w:val="15"/>
          <w:szCs w:val="15"/>
          <w:color w:val="auto"/>
        </w:rPr>
      </w:pPr>
    </w:p>
    <w:p>
      <w:pPr>
        <w:ind w:left="880" w:right="3239" w:hanging="1"/>
        <w:spacing w:after="0" w:line="235" w:lineRule="auto"/>
        <w:tabs>
          <w:tab w:leader="none" w:pos="175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Brokerage Agreement between Street Retail, Inc. and Westport Advisors Corporation and Jack Alan Guttman dated August 20, 1995.</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(11)</w:t>
            </w:r>
          </w:p>
        </w:tc>
        <w:tc>
          <w:tcPr>
            <w:tcW w:w="4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 regarding computation of per share</w:t>
            </w:r>
          </w:p>
        </w:tc>
        <w:tc>
          <w:tcPr>
            <w:tcW w:w="114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earnings.........................................</w:t>
            </w:r>
          </w:p>
        </w:tc>
        <w:tc>
          <w:tcPr>
            <w:tcW w:w="1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(12)</w:t>
            </w:r>
          </w:p>
        </w:tc>
        <w:tc>
          <w:tcPr>
            <w:tcW w:w="4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Statements regarding computation of ratios.......</w:t>
            </w:r>
          </w:p>
        </w:tc>
        <w:tc>
          <w:tcPr>
            <w:tcW w:w="114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(13)</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Annual Report to</w:t>
            </w:r>
          </w:p>
        </w:tc>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6"/>
              </w:rPr>
              <w:t>Shareholders, Form 10Q or quarterly report to</w:t>
            </w:r>
          </w:p>
        </w:tc>
      </w:tr>
      <w:tr>
        <w:trPr>
          <w:trHeight w:val="168"/>
        </w:trPr>
        <w:tc>
          <w:tcPr>
            <w:tcW w:w="400" w:type="dxa"/>
            <w:vAlign w:val="bottom"/>
          </w:tcPr>
          <w:p>
            <w:pPr>
              <w:spacing w:after="0"/>
              <w:rPr>
                <w:sz w:val="14"/>
                <w:szCs w:val="14"/>
                <w:color w:val="auto"/>
              </w:rPr>
            </w:pPr>
          </w:p>
        </w:tc>
        <w:tc>
          <w:tcPr>
            <w:tcW w:w="4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shareholders.....................................</w:t>
            </w:r>
          </w:p>
        </w:tc>
        <w:tc>
          <w:tcPr>
            <w:tcW w:w="1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(18)</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Letter regarding</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change in accounting</w:t>
            </w:r>
          </w:p>
        </w:tc>
        <w:tc>
          <w:tcPr>
            <w:tcW w:w="1140" w:type="dxa"/>
            <w:vAlign w:val="bottom"/>
          </w:tcPr>
          <w:p>
            <w:pPr>
              <w:spacing w:after="0"/>
              <w:rPr>
                <w:sz w:val="24"/>
                <w:szCs w:val="24"/>
                <w:color w:val="auto"/>
              </w:rPr>
            </w:pPr>
          </w:p>
        </w:tc>
      </w:tr>
      <w:tr>
        <w:trPr>
          <w:trHeight w:val="168"/>
        </w:trPr>
        <w:tc>
          <w:tcPr>
            <w:tcW w:w="400" w:type="dxa"/>
            <w:vAlign w:val="bottom"/>
          </w:tcPr>
          <w:p>
            <w:pPr>
              <w:spacing w:after="0"/>
              <w:rPr>
                <w:sz w:val="14"/>
                <w:szCs w:val="14"/>
                <w:color w:val="auto"/>
              </w:rPr>
            </w:pPr>
          </w:p>
        </w:tc>
        <w:tc>
          <w:tcPr>
            <w:tcW w:w="4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principles.......................................</w:t>
            </w:r>
          </w:p>
        </w:tc>
        <w:tc>
          <w:tcPr>
            <w:tcW w:w="1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Report furnished</w:t>
            </w:r>
          </w:p>
        </w:tc>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to security holders.............</w:t>
            </w:r>
          </w:p>
        </w:tc>
        <w:tc>
          <w:tcPr>
            <w:tcW w:w="114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88"/>
              </w:rPr>
              <w:t>*</w:t>
            </w:r>
          </w:p>
        </w:tc>
      </w:tr>
    </w:tbl>
    <w:p>
      <w:pPr>
        <w:spacing w:after="0" w:line="166" w:lineRule="exact"/>
        <w:rPr>
          <w:sz w:val="20"/>
          <w:szCs w:val="20"/>
          <w:color w:val="auto"/>
        </w:rPr>
      </w:pPr>
    </w:p>
    <w:p>
      <w:pPr>
        <w:ind w:left="880" w:hanging="438"/>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4" w:lineRule="exact"/>
        <w:rPr>
          <w:rFonts w:ascii="Courier New" w:cs="Courier New" w:eastAsia="Courier New" w:hAnsi="Courier New"/>
          <w:sz w:val="15"/>
          <w:szCs w:val="15"/>
          <w:color w:val="auto"/>
        </w:rPr>
      </w:pPr>
    </w:p>
    <w:p>
      <w:pPr>
        <w:ind w:left="880" w:right="3239" w:hanging="1"/>
        <w:spacing w:after="0" w:line="235" w:lineRule="auto"/>
        <w:tabs>
          <w:tab w:leader="none" w:pos="175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of Street Retail, Inc. filed with the Commission as a portion of Exhibit 21 to the Trust's Annual Report on Form 10-K for the year ended December 31, 1994 is incorporated herein by reference thereto.</w:t>
      </w:r>
    </w:p>
    <w:p>
      <w:pPr>
        <w:spacing w:after="0" w:line="175" w:lineRule="exact"/>
        <w:rPr>
          <w:rFonts w:ascii="Courier New" w:cs="Courier New" w:eastAsia="Courier New" w:hAnsi="Courier New"/>
          <w:sz w:val="15"/>
          <w:szCs w:val="15"/>
          <w:color w:val="auto"/>
        </w:rPr>
      </w:pPr>
    </w:p>
    <w:p>
      <w:pPr>
        <w:ind w:left="880" w:right="3239" w:hanging="1"/>
        <w:spacing w:after="0" w:line="235" w:lineRule="auto"/>
        <w:tabs>
          <w:tab w:leader="none" w:pos="175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Street Retail, Inc. filed with the Commission as a portion of Exhibit 21 to the Trust's Annual Report on Form 10-K for the year ended December 31 1994 is incorporated herein by reference thereto.</w:t>
      </w:r>
    </w:p>
    <w:p>
      <w:pPr>
        <w:spacing w:after="0" w:line="168" w:lineRule="exact"/>
        <w:rPr>
          <w:rFonts w:ascii="Courier New" w:cs="Courier New" w:eastAsia="Courier New" w:hAnsi="Courier New"/>
          <w:sz w:val="15"/>
          <w:szCs w:val="15"/>
          <w:color w:val="auto"/>
        </w:rPr>
      </w:pPr>
    </w:p>
    <w:p>
      <w:pPr>
        <w:ind w:left="880" w:hanging="438"/>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Published report regarding matters submitted to</w:t>
      </w:r>
    </w:p>
    <w:tbl>
      <w:tblPr>
        <w:tblLayout w:type="fixed"/>
        <w:tblInd w:w="440" w:type="dxa"/>
        <w:tblCellMar>
          <w:top w:w="0" w:type="dxa"/>
          <w:left w:w="0" w:type="dxa"/>
          <w:bottom w:w="0" w:type="dxa"/>
          <w:right w:w="0" w:type="dxa"/>
        </w:tblCellMar>
      </w:tblPr>
      <w:tr>
        <w:trPr>
          <w:trHeight w:val="168"/>
        </w:trPr>
        <w:tc>
          <w:tcPr>
            <w:tcW w:w="400" w:type="dxa"/>
            <w:vAlign w:val="bottom"/>
          </w:tcPr>
          <w:p>
            <w:pPr>
              <w:spacing w:after="0"/>
              <w:rPr>
                <w:sz w:val="14"/>
                <w:szCs w:val="14"/>
                <w:color w:val="auto"/>
              </w:rPr>
            </w:pPr>
          </w:p>
        </w:tc>
        <w:tc>
          <w:tcPr>
            <w:tcW w:w="4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vote of security holders.........................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(23)</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w w:val="96"/>
              </w:rPr>
              <w:t>Consent of Grant Thornton LLP....................</w:t>
            </w:r>
          </w:p>
        </w:tc>
        <w:tc>
          <w:tcPr>
            <w:tcW w:w="100" w:type="dxa"/>
            <w:vAlign w:val="bottom"/>
          </w:tcPr>
          <w:p>
            <w:pPr>
              <w:spacing w:after="0"/>
              <w:rPr>
                <w:sz w:val="24"/>
                <w:szCs w:val="24"/>
                <w:color w:val="auto"/>
              </w:rPr>
            </w:pP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(24)</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w w:val="96"/>
              </w:rPr>
              <w:t>Power of attorney................................</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(27)</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w w:val="96"/>
              </w:rPr>
              <w:t>Financial Data Schedule..........................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(99)</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w w:val="96"/>
              </w:rPr>
              <w:t>Additional exhibits..............................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36"/>
        </w:trPr>
        <w:tc>
          <w:tcPr>
            <w:tcW w:w="400" w:type="dxa"/>
            <w:vAlign w:val="bottom"/>
          </w:tcPr>
          <w:p>
            <w:pPr>
              <w:spacing w:after="0"/>
              <w:rPr>
                <w:sz w:val="24"/>
                <w:szCs w:val="24"/>
                <w:color w:val="auto"/>
              </w:rPr>
            </w:pPr>
          </w:p>
        </w:tc>
        <w:tc>
          <w:tcPr>
            <w:tcW w:w="4320" w:type="dxa"/>
            <w:vAlign w:val="bottom"/>
          </w:tcPr>
          <w:p>
            <w:pPr>
              <w:ind w:left="2400"/>
              <w:spacing w:after="0"/>
              <w:rPr>
                <w:sz w:val="20"/>
                <w:szCs w:val="20"/>
                <w:color w:val="auto"/>
              </w:rPr>
            </w:pPr>
            <w:r>
              <w:rPr>
                <w:rFonts w:ascii="Courier New" w:cs="Courier New" w:eastAsia="Courier New" w:hAnsi="Courier New"/>
                <w:sz w:val="15"/>
                <w:szCs w:val="15"/>
                <w:color w:val="auto"/>
              </w:rPr>
              <w:t>30</w:t>
            </w:r>
          </w:p>
        </w:tc>
        <w:tc>
          <w:tcPr>
            <w:tcW w:w="100" w:type="dxa"/>
            <w:vAlign w:val="bottom"/>
          </w:tcPr>
          <w:p>
            <w:pPr>
              <w:spacing w:after="0"/>
              <w:rPr>
                <w:sz w:val="24"/>
                <w:szCs w:val="24"/>
                <w:color w:val="auto"/>
              </w:rPr>
            </w:pPr>
          </w:p>
        </w:tc>
      </w:tr>
    </w:tbl>
    <w:p>
      <w:pPr>
        <w:sectPr>
          <w:pgSz w:w="11900" w:h="16838" w:orient="portrait"/>
          <w:cols w:equalWidth="0" w:num="1">
            <w:col w:w="10059"/>
          </w:cols>
          <w:pgMar w:left="400" w:top="624" w:right="1440" w:bottom="1440" w:gutter="0" w:footer="0" w:header="0"/>
        </w:sectPr>
      </w:pPr>
    </w:p>
    <w:bookmarkStart w:id="35" w:name="page36"/>
    <w:bookmarkEnd w:id="35"/>
    <w:p>
      <w:pPr>
        <w:ind w:left="360" w:hanging="355"/>
        <w:spacing w:after="0"/>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Filed during the Last Quarter</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A Form 8-K, dated November 17, 1995, was filed in response to Item</w:t>
      </w:r>
    </w:p>
    <w:p>
      <w:pPr>
        <w:spacing w:after="0" w:line="237" w:lineRule="auto"/>
        <w:rPr>
          <w:sz w:val="20"/>
          <w:szCs w:val="20"/>
          <w:color w:val="auto"/>
        </w:rPr>
      </w:pPr>
      <w:r>
        <w:rPr>
          <w:rFonts w:ascii="Courier New" w:cs="Courier New" w:eastAsia="Courier New" w:hAnsi="Courier New"/>
          <w:sz w:val="15"/>
          <w:szCs w:val="15"/>
          <w:color w:val="auto"/>
        </w:rPr>
        <w:t>7.(c)99</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Form 8-K, dated December 20, 1995 was filed in response</w:t>
      </w:r>
    </w:p>
    <w:p>
      <w:pPr>
        <w:spacing w:after="0" w:line="237" w:lineRule="auto"/>
        <w:rPr>
          <w:sz w:val="20"/>
          <w:szCs w:val="20"/>
          <w:color w:val="auto"/>
        </w:rPr>
      </w:pPr>
      <w:r>
        <w:rPr>
          <w:rFonts w:ascii="Courier New" w:cs="Courier New" w:eastAsia="Courier New" w:hAnsi="Courier New"/>
          <w:sz w:val="15"/>
          <w:szCs w:val="15"/>
          <w:color w:val="auto"/>
        </w:rPr>
        <w:t>to Item 5.</w:t>
      </w:r>
    </w:p>
    <w:p>
      <w:pPr>
        <w:spacing w:after="0" w:line="238" w:lineRule="auto"/>
        <w:rPr>
          <w:sz w:val="20"/>
          <w:szCs w:val="20"/>
          <w:color w:val="auto"/>
        </w:rPr>
      </w:pPr>
      <w:r>
        <w:rPr>
          <w:rFonts w:ascii="Courier New" w:cs="Courier New" w:eastAsia="Courier New" w:hAnsi="Courier New"/>
          <w:sz w:val="15"/>
          <w:szCs w:val="15"/>
          <w:color w:val="auto"/>
        </w:rPr>
        <w:t>_________</w:t>
      </w:r>
    </w:p>
    <w:p>
      <w:pPr>
        <w:ind w:left="260" w:hanging="255"/>
        <w:spacing w:after="0" w:line="237" w:lineRule="auto"/>
        <w:tabs>
          <w:tab w:leader="none" w:pos="2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ind w:left="260" w:hanging="255"/>
        <w:spacing w:after="0" w:line="238" w:lineRule="auto"/>
        <w:tabs>
          <w:tab w:leader="none" w:pos="2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Edgar filing only.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059"/>
          </w:cols>
          <w:pgMar w:left="400" w:top="617" w:right="1440" w:bottom="1440" w:gutter="0" w:footer="0" w:header="0"/>
        </w:sectPr>
      </w:pPr>
    </w:p>
    <w:bookmarkStart w:id="36" w:name="page37"/>
    <w:bookmarkEnd w:id="36"/>
    <w:p>
      <w:pPr>
        <w:ind w:left="2980"/>
        <w:spacing w:after="0"/>
        <w:rPr>
          <w:sz w:val="20"/>
          <w:szCs w:val="20"/>
          <w:color w:val="auto"/>
        </w:rPr>
      </w:pPr>
      <w:r>
        <w:rPr>
          <w:rFonts w:ascii="Courier New" w:cs="Courier New" w:eastAsia="Courier New" w:hAnsi="Courier New"/>
          <w:sz w:val="15"/>
          <w:szCs w:val="15"/>
          <w:color w:val="auto"/>
        </w:rPr>
        <w:t>SIGNATURES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FEDERAL REALTY INVESTMENT TRUST</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By:Steven J. Guttman</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Steven J. Guttman</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ectPr>
          <w:pgSz w:w="11900" w:h="16838" w:orient="portrait"/>
          <w:cols w:equalWidth="0" w:num="3">
            <w:col w:w="440" w:space="180"/>
            <w:col w:w="1460" w:space="720"/>
            <w:col w:w="7439"/>
          </w:cols>
          <w:pgMar w:left="220" w:top="617" w:right="1440" w:bottom="1440" w:gutter="0" w:footer="0" w:header="0"/>
          <w:type w:val="continuous"/>
        </w:sect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1980" w:type="dxa"/>
            <w:vAlign w:val="bottom"/>
          </w:tcPr>
          <w:p>
            <w:pPr>
              <w:ind w:left="700"/>
              <w:spacing w:after="0"/>
              <w:rPr>
                <w:sz w:val="20"/>
                <w:szCs w:val="20"/>
                <w:color w:val="auto"/>
              </w:rPr>
            </w:pPr>
            <w:r>
              <w:rPr>
                <w:rFonts w:ascii="Courier New" w:cs="Courier New" w:eastAsia="Courier New" w:hAnsi="Courier New"/>
                <w:sz w:val="15"/>
                <w:szCs w:val="15"/>
                <w:color w:val="auto"/>
              </w:rPr>
              <w:t>Title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5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President and</w:t>
            </w:r>
          </w:p>
        </w:tc>
        <w:tc>
          <w:tcPr>
            <w:tcW w:w="152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Trustee (Chief</w:t>
            </w:r>
          </w:p>
        </w:tc>
        <w:tc>
          <w:tcPr>
            <w:tcW w:w="15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J. Guttman</w:t>
            </w: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J. Guttman</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Vice-President</w:t>
            </w:r>
          </w:p>
        </w:tc>
        <w:tc>
          <w:tcPr>
            <w:tcW w:w="15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Treasurer (Chief</w:t>
            </w:r>
          </w:p>
        </w:tc>
        <w:tc>
          <w:tcPr>
            <w:tcW w:w="15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Mary Jane Morrow</w:t>
            </w: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Officer)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Mary Jane Morrow</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Vice-President and</w:t>
            </w:r>
          </w:p>
        </w:tc>
        <w:tc>
          <w:tcPr>
            <w:tcW w:w="15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Controller (Principal</w:t>
            </w:r>
          </w:p>
        </w:tc>
        <w:tc>
          <w:tcPr>
            <w:tcW w:w="15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Cecily A. Ward</w:t>
            </w:r>
          </w:p>
        </w:tc>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Cecily A. Ward</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5"/>
        </w:trPr>
        <w:tc>
          <w:tcPr>
            <w:tcW w:w="25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Dennis L. Berman</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73"/>
        </w:trPr>
        <w:tc>
          <w:tcPr>
            <w:tcW w:w="2540" w:type="dxa"/>
            <w:vAlign w:val="bottom"/>
          </w:tcPr>
          <w:p>
            <w:pPr>
              <w:spacing w:after="0"/>
              <w:rPr>
                <w:sz w:val="20"/>
                <w:szCs w:val="20"/>
                <w:color w:val="auto"/>
              </w:rPr>
            </w:pPr>
            <w:r>
              <w:rPr>
                <w:rFonts w:ascii="Courier New" w:cs="Courier New" w:eastAsia="Courier New" w:hAnsi="Courier New"/>
                <w:sz w:val="15"/>
                <w:szCs w:val="15"/>
                <w:color w:val="auto"/>
              </w:rPr>
              <w:t>A. Cornet de Ways Ruart</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 Cornet de Ways Ruart</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25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J. Gorlitz</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Kristin Gamble</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Kristin Gamble</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25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Morton S. Lerner</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Walter F. Loeb</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Walter F. Loeb</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Donald H. Misner</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H. Misner</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George L. Perry</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March 13, 1996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980" w:type="dxa"/>
            <w:vAlign w:val="bottom"/>
          </w:tcPr>
          <w:p>
            <w:pPr>
              <w:spacing w:after="0"/>
              <w:rPr>
                <w:sz w:val="14"/>
                <w:szCs w:val="14"/>
                <w:color w:val="auto"/>
              </w:rPr>
            </w:pPr>
          </w:p>
        </w:tc>
        <w:tc>
          <w:tcPr>
            <w:tcW w:w="15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L. Perry</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5"/>
        </w:trPr>
        <w:tc>
          <w:tcPr>
            <w:tcW w:w="2540" w:type="dxa"/>
            <w:vAlign w:val="bottom"/>
          </w:tcPr>
          <w:p>
            <w:pPr>
              <w:spacing w:after="0"/>
              <w:rPr>
                <w:sz w:val="24"/>
                <w:szCs w:val="24"/>
                <w:color w:val="auto"/>
              </w:rPr>
            </w:pPr>
          </w:p>
        </w:tc>
        <w:tc>
          <w:tcPr>
            <w:tcW w:w="1980" w:type="dxa"/>
            <w:vAlign w:val="bottom"/>
          </w:tcPr>
          <w:p>
            <w:pPr>
              <w:ind w:left="880"/>
              <w:spacing w:after="0"/>
              <w:rPr>
                <w:sz w:val="20"/>
                <w:szCs w:val="20"/>
                <w:color w:val="auto"/>
              </w:rPr>
            </w:pPr>
            <w:r>
              <w:rPr>
                <w:rFonts w:ascii="Courier New" w:cs="Courier New" w:eastAsia="Courier New" w:hAnsi="Courier New"/>
                <w:sz w:val="15"/>
                <w:szCs w:val="15"/>
                <w:color w:val="auto"/>
              </w:rPr>
              <w:t>32</w:t>
            </w:r>
          </w:p>
        </w:tc>
        <w:tc>
          <w:tcPr>
            <w:tcW w:w="15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type w:val="continuous"/>
        </w:sectPr>
      </w:pPr>
    </w:p>
    <w:bookmarkStart w:id="37" w:name="page38"/>
    <w:bookmarkEnd w:id="37"/>
    <w:p>
      <w:pPr>
        <w:ind w:left="1160"/>
        <w:spacing w:after="0"/>
        <w:rPr>
          <w:sz w:val="20"/>
          <w:szCs w:val="20"/>
          <w:color w:val="auto"/>
        </w:rPr>
      </w:pPr>
      <w:r>
        <w:rPr>
          <w:rFonts w:ascii="Courier New" w:cs="Courier New" w:eastAsia="Courier New" w:hAnsi="Courier New"/>
          <w:sz w:val="14"/>
          <w:szCs w:val="14"/>
          <w:color w:val="auto"/>
        </w:rPr>
        <w:t>FINANCIAL STATEMENTS AND</w:t>
      </w: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9019"/>
          </w:cols>
          <w:pgMar w:left="1440" w:top="6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REPORT OF INDEPENDENT</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line="237" w:lineRule="auto"/>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Federal Realty Investment Trust as of December 31, 1995 and 1994, and the related consolidated statements of operations, shareholders' equity, and cash flows for each of the three years in the period ended December 31, 1995. These financial statements are the responsibility of the Trust's management. Our responsibility is to express an opinion on these financial statements based on our audits.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Federal Realty Investment Trust as of December 31, 1995 and 1994 and the consolidated results of its operations and its consolidated cash flows for each of the three years in the period ended December 31, 1995 in conformity with generally accepted accounting principles.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237" w:lineRule="auto"/>
        <w:rPr>
          <w:sz w:val="20"/>
          <w:szCs w:val="20"/>
          <w:color w:val="auto"/>
        </w:rPr>
      </w:pPr>
      <w:r>
        <w:rPr>
          <w:rFonts w:ascii="Courier New" w:cs="Courier New" w:eastAsia="Courier New" w:hAnsi="Courier New"/>
          <w:sz w:val="15"/>
          <w:szCs w:val="15"/>
          <w:color w:val="auto"/>
        </w:rPr>
        <w:t>Washington, D.C.</w:t>
      </w:r>
    </w:p>
    <w:p>
      <w:pPr>
        <w:spacing w:after="0" w:line="238" w:lineRule="auto"/>
        <w:rPr>
          <w:sz w:val="20"/>
          <w:szCs w:val="20"/>
          <w:color w:val="auto"/>
        </w:rPr>
      </w:pPr>
      <w:r>
        <w:rPr>
          <w:rFonts w:ascii="Courier New" w:cs="Courier New" w:eastAsia="Courier New" w:hAnsi="Courier New"/>
          <w:sz w:val="15"/>
          <w:szCs w:val="15"/>
          <w:color w:val="auto"/>
        </w:rPr>
        <w:t>February 9, 1996</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059"/>
          </w:cols>
          <w:pgMar w:left="40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1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December 31,</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ind w:left="2100"/>
              <w:spacing w:after="0"/>
              <w:rPr>
                <w:sz w:val="20"/>
                <w:szCs w:val="20"/>
                <w:color w:val="auto"/>
              </w:rPr>
            </w:pPr>
            <w:r>
              <w:rPr>
                <w:rFonts w:ascii="Courier New" w:cs="Courier New" w:eastAsia="Courier New" w:hAnsi="Courier New"/>
                <w:sz w:val="15"/>
                <w:szCs w:val="15"/>
                <w:color w:val="auto"/>
              </w:rPr>
              <w:t>ASSETS</w:t>
            </w:r>
          </w:p>
        </w:tc>
        <w:tc>
          <w:tcPr>
            <w:tcW w:w="34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$1,009,682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$852,722</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(190,795)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(160,636)</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818,887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692,086</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13,561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13,178</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832,448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705,264</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10,521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3,995</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3,588</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receivable-officers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1,011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15,091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16,023</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22,987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19,158</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$3,918,000 and $3,206,000, respectively)</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3,835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2,931</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$886,154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$751,804</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$131,829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$132,924</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payable</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90,488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102,781</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49,980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61,883</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19,048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10,675</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8,571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6,566</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13,191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12,486</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3,083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2,687</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787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1,017</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165,000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75,289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1,420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2,274</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no par</w:t>
            </w: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or stated value, unlimited authorization,</w:t>
            </w: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issued 32,221,670 and 31,669,434 shares,</w:t>
            </w: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6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respectively</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508,870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496,958</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(172,835)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(144,553)</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Allowance for unrealized loss on marketable securities</w:t>
            </w:r>
          </w:p>
        </w:tc>
        <w:tc>
          <w:tcPr>
            <w:tcW w:w="1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336,035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352,352</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Less 61,328 and 60,200 common shares in treasury-at cost, respectively,</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compensation and subscriptions receivable</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(8,567)</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(9,130)</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327,468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343,222</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$886,154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$751,804</w:t>
            </w:r>
          </w:p>
        </w:tc>
      </w:tr>
      <w:tr>
        <w:trPr>
          <w:trHeight w:val="168"/>
        </w:trPr>
        <w:tc>
          <w:tcPr>
            <w:tcW w:w="6700" w:type="dxa"/>
            <w:vAlign w:val="bottom"/>
          </w:tcPr>
          <w:p>
            <w:pPr>
              <w:spacing w:after="0"/>
              <w:rPr>
                <w:sz w:val="14"/>
                <w:szCs w:val="14"/>
                <w:color w:val="auto"/>
              </w:rPr>
            </w:pP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118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232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Rental income</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$142,841</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$128,133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$105,948</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4,113</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3,933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3,894</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7,435</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5,698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5,495</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154,389</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137,764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115,337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w:t>
            </w:r>
          </w:p>
        </w:tc>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Rental</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35,093</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35,830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26,519</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14,471</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12,097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10,324</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39,268</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31,462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31,550</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7,305</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6,661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4,675</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charges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1,055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34,901</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29,801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25,375</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131,038</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116,906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98,443</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investors' share</w:t>
            </w:r>
          </w:p>
        </w:tc>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of operations, loss on sale of real estate and extraordinary item</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23,351</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20,858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16,894</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Investors' share of operations</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304</w:t>
            </w: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(392)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loss on sale of real estate and extraordinary item</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23,655</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20,466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16,114</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Loss on sale of real estate</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(545)</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23,110</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20,466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16,114</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gain on early extinguishment of debt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2,016</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$ 23,110</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$ 20,466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$ 18,130</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31,860</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30,679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27,009</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Income before loss on sale of real estate and extraordinary item</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$0.74</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$0.67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on sale of real estate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(0.02)</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$0.72</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$0.67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58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500"/>
          </w:cols>
          <w:pgMar w:left="220" w:top="617" w:right="1179"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Year ended December 31,</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88"/>
              </w:rPr>
              <w:t>1995</w:t>
            </w:r>
          </w:p>
        </w:tc>
        <w:tc>
          <w:tcPr>
            <w:tcW w:w="108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49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amounts)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Amount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31,669,434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$496,958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28,077,999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$408,005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24,777,831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$322,903</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20,744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47,240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53,384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1,053</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193,965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162,466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131,620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3,588</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Conversion of 8 3/4% subordinated debentures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137,364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Conversion of 5 1/4% subordinated debentures due 2002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purchased under share purchase plan</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to purchase shopping center</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337,527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proceeds from sale of shares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3,340,000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82,963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2,977,800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78,252</w:t>
            </w:r>
          </w:p>
        </w:tc>
      </w:tr>
      <w:tr>
        <w:trPr>
          <w:trHeight w:val="168"/>
        </w:trPr>
        <w:tc>
          <w:tcPr>
            <w:tcW w:w="49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32,221,670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$508,870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31,669,434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$496,958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28,077,999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$408,005</w:t>
            </w:r>
          </w:p>
        </w:tc>
      </w:tr>
      <w:tr>
        <w:trPr>
          <w:trHeight w:val="168"/>
        </w:trPr>
        <w:tc>
          <w:tcPr>
            <w:tcW w:w="49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Treasury, Deferred Compensation and</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Subscriptions Receivable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(539,188)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($9,130)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(496,499)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($7,759)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(465,718)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($7,154)</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32,875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27,875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(increase) decrease in stock option loans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(30,564)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(34,781)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shares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(subscription) under share purchase plan</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(500,095)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($8,567)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(539,188)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($9,130)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(496,499)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($7,759)</w:t>
            </w:r>
          </w:p>
        </w:tc>
      </w:tr>
      <w:tr>
        <w:trPr>
          <w:trHeight w:val="168"/>
        </w:trPr>
        <w:tc>
          <w:tcPr>
            <w:tcW w:w="49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4900" w:type="dxa"/>
            <w:vAlign w:val="bottom"/>
          </w:tcPr>
          <w:p>
            <w:pPr>
              <w:spacing w:after="0"/>
              <w:rPr>
                <w:sz w:val="20"/>
                <w:szCs w:val="20"/>
                <w:color w:val="auto"/>
              </w:rPr>
            </w:pPr>
            <w:r>
              <w:rPr>
                <w:rFonts w:ascii="Courier New" w:cs="Courier New" w:eastAsia="Courier New" w:hAnsi="Courier New"/>
                <w:sz w:val="15"/>
                <w:szCs w:val="15"/>
                <w:color w:val="auto"/>
              </w:rPr>
              <w:t>Allowance for Unrealized Loss on Marketable Securities</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loss on securities</w:t>
            </w:r>
          </w:p>
        </w:tc>
        <w:tc>
          <w:tcPr>
            <w:tcW w:w="10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10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w:t>
            </w:r>
          </w:p>
        </w:tc>
        <w:tc>
          <w:tcPr>
            <w:tcW w:w="10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unrealized (loss) gain</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10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490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($144,553)</w:t>
            </w: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($116,823)</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($92,932)</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23,110</w:t>
            </w:r>
          </w:p>
        </w:tc>
        <w:tc>
          <w:tcPr>
            <w:tcW w:w="10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20,466</w:t>
            </w:r>
          </w:p>
        </w:tc>
        <w:tc>
          <w:tcPr>
            <w:tcW w:w="10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18,130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shareholders</w:t>
            </w:r>
          </w:p>
        </w:tc>
        <w:tc>
          <w:tcPr>
            <w:tcW w:w="10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(51,392)</w:t>
            </w: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(48,196)</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(42,021)</w:t>
            </w:r>
          </w:p>
        </w:tc>
      </w:tr>
      <w:tr>
        <w:trPr>
          <w:trHeight w:val="168"/>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($172,835)</w:t>
            </w:r>
          </w:p>
        </w:tc>
        <w:tc>
          <w:tcPr>
            <w:tcW w:w="10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($144,553)</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($116,823)</w:t>
            </w:r>
          </w:p>
        </w:tc>
      </w:tr>
      <w:tr>
        <w:trPr>
          <w:trHeight w:val="168"/>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120"/>
          </w:cols>
          <w:pgMar w:left="220" w:top="617" w:right="559"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5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Twelve months ended December 31,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3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OPERATING ACTIVITIES</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$23,110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$20,466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$18,130</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34,900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29,801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25,375</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Rent abatements in lieu of leasehold improvements,</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net of tenant improvements retired</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(1,185)</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Imputed interest and amortization of debt cost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Amortization of deferred compensation and</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forgiveness of officers' notes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Write-down of investments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Loss on sale of real estate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Payment of trustees' fees in shares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gain</w:t>
            </w:r>
          </w:p>
        </w:tc>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on early extinguishment of 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(2,016)</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accounts receivable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(5,345)</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(6,484)</w:t>
            </w: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operating accounts payable,</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3,221</w:t>
            </w:r>
          </w:p>
        </w:tc>
      </w:tr>
      <w:tr>
        <w:trPr>
          <w:trHeight w:val="168"/>
        </w:trPr>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w:t>
            </w:r>
          </w:p>
        </w:tc>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(decrease) in accrued expenses, net of the premium</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put on the 5 1/4% convertible subordinated debentures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2,191</w:t>
            </w:r>
          </w:p>
        </w:tc>
      </w:tr>
      <w:tr>
        <w:trPr>
          <w:trHeight w:val="168"/>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65,117</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45,199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35,183</w:t>
            </w:r>
          </w:p>
        </w:tc>
      </w:tr>
      <w:tr>
        <w:trPr>
          <w:trHeight w:val="336"/>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INVESTING ACTIVITIES</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(105,096)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(48,337)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(108,007)</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(33,829)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(42,286)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(34,267)</w:t>
            </w:r>
          </w:p>
        </w:tc>
      </w:tr>
      <w:tr>
        <w:trPr>
          <w:trHeight w:val="168"/>
        </w:trPr>
        <w:tc>
          <w:tcPr>
            <w:tcW w:w="57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(Issuance) payments of mortgage notes receivable, net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7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Issuance of notes receivable - officers, net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Proceeds from</w:t>
            </w: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sale of real estate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decrease</w:t>
            </w:r>
          </w:p>
        </w:tc>
        <w:tc>
          <w:tcPr>
            <w:tcW w:w="4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temporary investments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31,607</w:t>
            </w:r>
          </w:p>
        </w:tc>
      </w:tr>
      <w:tr>
        <w:trPr>
          <w:trHeight w:val="168"/>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(134,360)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(90,465)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(110,694)</w:t>
            </w:r>
          </w:p>
        </w:tc>
      </w:tr>
      <w:tr>
        <w:trPr>
          <w:trHeight w:val="336"/>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FINANCING ACTIVITIES</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of mortgage financings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Regular payments on mortgages, capital leases and notes payable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Balloon payments on mortgages and capital leases,</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including prepayment fees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(23,601)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(32,547)</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Borrowing (repayment) of short-term debt, net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(14,635)</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30,332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24,413</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Early retirement of 5 1/4% convertible debentures due 2002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(4,416)</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Redemption of 5 1/4% convertible debentures due 2002, including</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premium put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(47,790)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Redemption of 8 3/4% convertible debentures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(redemption) of senior notes, net of costs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163,384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(50,505)</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5 1/4% convertible debentures due 2003,</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net of costs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73,025</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(47,918)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(43,973)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(38,087)</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1,682</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84,247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79,489</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Decrease in minority interest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75,769</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39,626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48,830</w:t>
            </w:r>
          </w:p>
        </w:tc>
      </w:tr>
      <w:tr>
        <w:trPr>
          <w:trHeight w:val="168"/>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Increase (decrease) in cash</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(5,640)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(26,681)</w:t>
            </w:r>
          </w:p>
        </w:tc>
      </w:tr>
      <w:tr>
        <w:trPr>
          <w:trHeight w:val="336"/>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Cash at beginning of year</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3,995</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9,635</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36,316</w:t>
            </w:r>
          </w:p>
        </w:tc>
      </w:tr>
      <w:tr>
        <w:trPr>
          <w:trHeight w:val="168"/>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Cash at end of year</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$10,521</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$3,995</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$9,635</w:t>
            </w:r>
          </w:p>
        </w:tc>
      </w:tr>
      <w:tr>
        <w:trPr>
          <w:trHeight w:val="168"/>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6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December 31, 1995, 1994, and 1993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Federal Realty Investment Trust invests predominantly in income-producing real estate properties, primarily community and neighborhood shopping centers. Beginning in late 1994 the Trust expanded its investments to main street retail properties, retail buildings and shopping centers in densely developed urban and suburban areas. The Trust's leases with tenants are classified as operating leases and rental income is recognized on an accrual basis over the terms of the related leases.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uses the straight-line method in providing for depreciation. Estimated useful lives range from three to 25 years on apartment buildings and improvements, and from three to 35 years on retail properties and improvements. Maintenance and repair costs are charged to operations as incurred. Major improvements are capitalized. The gain or loss resulting from the sale of properties is included in net income at the time of sale. The Trust has adopted FAS 121, "Accounting for the Impairment of Long-Lived Assets and for Long-Lived Assets to Be Disposed of". The Trust does not hold any assets that meet the impairment criteria of FAS 121.</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capitalizes certain costs directly related to the acquisition, improvement and leasing of real estate including applicable salaries and other related costs. The capitalized costs associated with unsuccessful acquisitions are charged to operations when that determination is made. The capitalized costs associated with improvements and leasing are depreciated or amortized over the life of the improvement and lease, respectively.</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Costs related to the issuance of debt instruments are capitalized and are amortized as interest expense over the life of the related issue using the interest method. Upon conversion or in the event of redemption, applicable unamortized costs are charged to shareholders' equity or to operations, respectively.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operates in a manner intended to enable it to qualify as a real estate investment trust under Sections 856-860 of the Internal Revenue Code (the "Code"). Under those sections, a trust which distributes at least 95% of its real estate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consolidates the financial statements of one wholly owned subsidiary, eight partnerships, and a joint venture which are controlled by the Trust. The equity interests of other investors are reflected as investors' interest in consolidated assets. All significant intercompany transactions and balances are eliminated.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059"/>
          </w:cols>
          <w:pgMar w:left="400" w:top="617" w:right="1440" w:bottom="1440" w:gutter="0" w:footer="0" w:header="0"/>
        </w:sectPr>
      </w:pPr>
    </w:p>
    <w:bookmarkStart w:id="44" w:name="page45"/>
    <w:bookmarkEnd w:id="44"/>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The Trust defines cash as cash on hand, demand deposits with financial institutions and short term liquid investments with an initial maturity under three months. Cash balances may exceed insurable amounts.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Earnings per share are computed using the weighted average number of shares outstanding during the respective periods, including options. Options are accounted for in accordance with APB 25, whereby if options are priced at fair market value or above at the date of grant, there is no compensation expense of the options to the Trust.</w:t>
      </w:r>
    </w:p>
    <w:p>
      <w:pPr>
        <w:spacing w:after="0" w:line="174" w:lineRule="exact"/>
        <w:rPr>
          <w:sz w:val="20"/>
          <w:szCs w:val="20"/>
          <w:color w:val="auto"/>
        </w:rPr>
      </w:pPr>
    </w:p>
    <w:p>
      <w:pPr>
        <w:jc w:val="both"/>
        <w:ind w:right="3759" w:firstLine="437"/>
        <w:spacing w:after="0" w:line="258" w:lineRule="auto"/>
        <w:rPr>
          <w:sz w:val="20"/>
          <w:szCs w:val="20"/>
          <w:color w:val="auto"/>
        </w:rPr>
      </w:pPr>
      <w:r>
        <w:rPr>
          <w:rFonts w:ascii="Courier New" w:cs="Courier New" w:eastAsia="Courier New" w:hAnsi="Courier New"/>
          <w:sz w:val="14"/>
          <w:szCs w:val="14"/>
          <w:color w:val="auto"/>
        </w:rPr>
        <w:t>Inherent in the preparation of the Trust's financial statements are certain estimates. These estimates are prepared using management's best judgment, after considering past and current events.</w:t>
      </w:r>
    </w:p>
    <w:p>
      <w:pPr>
        <w:spacing w:after="0" w:line="161"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Certain previously reported amounts for 1994 and 1993 have been reclassified to assure comparability of all periods presented. See Note 10.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REAL ESTATE AND ENCUMBRANCES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summary of the Trust's properties at December 31, 1995 is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depreciation and</w:t>
            </w:r>
          </w:p>
        </w:tc>
        <w:tc>
          <w:tcPr>
            <w:tcW w:w="124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Cost</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amortization</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Encumbrances</w:t>
            </w:r>
          </w:p>
        </w:tc>
      </w:tr>
      <w:tr>
        <w:trPr>
          <w:trHeight w:val="168"/>
        </w:trPr>
        <w:tc>
          <w:tcPr>
            <w:tcW w:w="23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802,329</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$134,397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$ 90,488</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capital leases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201,121</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52,236</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131,829</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6,232</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4,162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$1,009,682</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$190,795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$222,317</w:t>
            </w:r>
          </w:p>
        </w:tc>
      </w:tr>
      <w:tr>
        <w:trPr>
          <w:trHeight w:val="168"/>
        </w:trPr>
        <w:tc>
          <w:tcPr>
            <w:tcW w:w="23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Trust's 70 retail properties are located in 13 states and the District of Columbia, primarily along the East Coast between the Boston metropolitan area and Richmond, Virginia. There are approximately 1,700 tenants providing a wide range of retail products and services. These tenants range from sole proprietorships to national retailers; no one tenant or corporate group of tenants account for 5% or more of revenue.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purchased 19 retail properties during 1995 for a total cost of $120.6 million. The Trust also purchased a building abutting Flourtown Shopping Center, one of its existing centers, for $3.1 million. Finley Square Shopping Center in suburban Chicago was purchased on April 27, 1995 for $18.8 million in cash; Bristol Shopping Center in Bristol, Connecticut was purchased on September 22, 1995 for $19.6 million, by assuming a $11.3 million mortgage and by issuing 337,527 common shares valued at $7.3 million with the balance in cash; Park &amp; Shop Center in Washington, D.C. was purchased on December 1, 1995 for $11.2 million in cash; and on December 21, 1995 Shirlington Shopping Center in Arlington, Virginia was purchased for $23.5</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059"/>
          </w:cols>
          <w:pgMar w:left="400" w:top="624" w:right="1440" w:bottom="1440" w:gutter="0" w:footer="0" w:header="0"/>
        </w:sectPr>
      </w:pPr>
    </w:p>
    <w:bookmarkStart w:id="45" w:name="page46"/>
    <w:bookmarkEnd w:id="45"/>
    <w:p>
      <w:pPr>
        <w:ind w:right="3239"/>
        <w:spacing w:after="0" w:line="237" w:lineRule="auto"/>
        <w:rPr>
          <w:sz w:val="20"/>
          <w:szCs w:val="20"/>
          <w:color w:val="auto"/>
        </w:rPr>
      </w:pPr>
      <w:r>
        <w:rPr>
          <w:rFonts w:ascii="Courier New" w:cs="Courier New" w:eastAsia="Courier New" w:hAnsi="Courier New"/>
          <w:sz w:val="15"/>
          <w:szCs w:val="15"/>
          <w:color w:val="auto"/>
        </w:rPr>
        <w:t>million in cash. The retail building acquisitions during 1995 were as follows: seven buildings in West Hartford, Connecticut for $15.3 million; two buildings in Greenwich, Connecticut for $14.9 million; one building in Westport, Connecticut for $5.7 million; one building in Brookline, Massachusetts for $3.8 million; one building in Westfield, New Jersey for $2.2 million; two buildings in Evanston, Illinois for $3.6 million and one building in an infill space at Bethesda Row, one of its existing properties in Bethesda, Maryland, for $2.0 million. In connection with certain of these purchases, brokerage commissions of $671,000 were incurred to a company that is fifty percent owned by a brother of the Trust's president. These commissions were paid pursuant to a brokerage contract on terms comparable to terms contained in contracts which the Trust has with brokers providing similar services in other geographic areas.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August 1, 1995 the Trust sold the 111,000 square foot North City Shopping Center in New Castle, Pennsylvania for $1.8 million, resulting in a loss of $545,000.</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Trust purchased four shopping centers in 1994. Idylwood Plaza in Falls Church, Virginia was purchased for $14.3 million in cash; North Lake Commons in Lake Zurich, Illinois was purchased for $10.9 million in cash; Garden Market Shopping Center in Western Springs, Illinois was purchased for $7.6 million in cash; and Queen Anne Plaza in Norwell, Massachusetts was purchased for $10.7 million in cash and a $1.1 million note which was paid in January 1995. In addition the Trust purchased a 3.9 acre parcel of land underlying a supermarket which adjoins its Bala Cynwyd Shopping Center</w:t>
      </w:r>
    </w:p>
    <w:p>
      <w:pPr>
        <w:spacing w:after="0" w:line="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for cash of $1.1 million and a retail building in Westport, Connecticut for cash of $3.8 million.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1993 the Trust acquired seven shopping centers. Pan Am Shopping Center in Fairfax, Virginia was acquired for $21.6 million in cash; Gaithersburg Square in Gaithersburg, Maryland was purchased for $11.0 million in cash and the assumption of a $2.0 million liability which is the estimated cost to remediate certain preexisting environmental issues; Quince Orchard Plaza in Gaithersburg, Maryland and its adjoining office building were purchased for $10.9 million in cash and the assumption of a liability of approximately $250,000 to remediate preexisting environmental issues; Crossroads Shopping Center in Highland Park, Illinois was purchased for $16.2 million in cash; Bala Cynwyd Shopping Center in suburban Philadelphia, Pennsylvania was purchased for $17.0 million in cash; Dedham Plaza in Dedham, Massachusetts was purchased for $25.0 million in cash and the assumption of a $250,000 liability to remediate existing environmental issues; and the leasehold interest in Bethesda Row in Bethesda, Maryland was acquired with $6.2 million in cash.</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Mortgage notes receivable consist of two notes in 1995 and 1994 and three notes in 1993 collateralized by shopping centers. All three notes were issued in connection with either the acquisition or sale of Trust properties. In 1994 one note for $700,000 with accrued interest thereon was deemed uncollectible and therefore was written off.</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059"/>
          </w:cols>
          <w:pgMar w:left="400" w:top="624" w:right="1440" w:bottom="1440" w:gutter="0" w:footer="0" w:header="0"/>
        </w:sectPr>
      </w:pPr>
    </w:p>
    <w:bookmarkStart w:id="46" w:name="page47"/>
    <w:bookmarkEnd w:id="46"/>
    <w:p>
      <w:pPr>
        <w:ind w:right="3239" w:firstLine="437"/>
        <w:spacing w:after="0" w:line="255" w:lineRule="auto"/>
        <w:rPr>
          <w:sz w:val="20"/>
          <w:szCs w:val="20"/>
          <w:color w:val="auto"/>
        </w:rPr>
      </w:pPr>
      <w:r>
        <w:rPr>
          <w:rFonts w:ascii="Courier New" w:cs="Courier New" w:eastAsia="Courier New" w:hAnsi="Courier New"/>
          <w:sz w:val="14"/>
          <w:szCs w:val="14"/>
          <w:color w:val="auto"/>
        </w:rPr>
        <w:t>In January 1994 a $22.5 million one year mortgage was placed on Northeast Plaza in Atlanta, Georgia. The mortgage, which bore interest at LIBOR (London Interbank Offered Rate), plus 100 to 150 basis points was repaid in January 1995. In 1993 the Trust prepaid mortgages on Laurel, Northeast and Northeast Plaza shopping centers, resulting in a net gain of $2.9 million which was recorded as a component of the net gain on early extinguishment of debt.</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In November 1994 the Trust exercised an option to purchase the ground underlying the Northeast Shopping Center in Philadelphia, Pennsylvania for $4.2 million, $3.4 million of which had been recorded as a capital lease obligation.</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Mortgages payable and capital lease obligations are due in installments over various terms extending to 2060 with actual or imputed interest rates ranging from 7.9% to 11.25%. Certain of the mortgage and capital lease obligations require additional interest payments based upon property performance.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Aggregate mortgage principal payments due during the next five years are $1.3 million, $1.4 million, $54.5 million, $532,000, and $583,000, respectively.</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Future minimum lease payments and their present value for property under capital leases as of December 31, 1995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$ 12,953</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12,969</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13,002</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13,441</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547,387</w:t>
            </w:r>
          </w:p>
        </w:tc>
      </w:tr>
      <w:tr>
        <w:trPr>
          <w:trHeight w:val="168"/>
        </w:trPr>
        <w:tc>
          <w:tcPr>
            <w:tcW w:w="376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612,757</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 representing interest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(480,928)</w:t>
            </w:r>
          </w:p>
        </w:tc>
      </w:tr>
      <w:tr>
        <w:trPr>
          <w:trHeight w:val="168"/>
        </w:trPr>
        <w:tc>
          <w:tcPr>
            <w:tcW w:w="376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$ 131,829</w:t>
            </w:r>
          </w:p>
        </w:tc>
      </w:tr>
      <w:tr>
        <w:trPr>
          <w:trHeight w:val="168"/>
        </w:trPr>
        <w:tc>
          <w:tcPr>
            <w:tcW w:w="376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Leasing Arrangements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Trust's leases with retail property and apartment tenants are classified as operating leases. Leases on apartments are generally for a period of one year, whereas retail property leases generally range from three to 10 years and usually provide for contingent rentals based on sales and sharing of certain operating costs.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059"/>
          </w:cols>
          <w:pgMar w:left="400" w:top="624" w:right="1440" w:bottom="1440" w:gutter="0" w:footer="0" w:header="0"/>
        </w:sectPr>
      </w:pPr>
    </w:p>
    <w:bookmarkStart w:id="47" w:name="page48"/>
    <w:bookmarkEnd w:id="47"/>
    <w:p>
      <w:pPr>
        <w:ind w:left="960"/>
        <w:spacing w:after="0"/>
        <w:rPr>
          <w:sz w:val="20"/>
          <w:szCs w:val="20"/>
          <w:color w:val="auto"/>
        </w:rPr>
      </w:pPr>
      <w:r>
        <w:rPr>
          <w:rFonts w:ascii="Courier New" w:cs="Courier New" w:eastAsia="Courier New" w:hAnsi="Courier New"/>
          <w:sz w:val="15"/>
          <w:szCs w:val="15"/>
          <w:color w:val="auto"/>
        </w:rPr>
        <w:t>The components of rental income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76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44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4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40" w:type="dxa"/>
            <w:vAlign w:val="bottom"/>
          </w:tcPr>
          <w:p>
            <w:pPr>
              <w:ind w:left="80"/>
              <w:spacing w:after="0"/>
              <w:rPr>
                <w:sz w:val="20"/>
                <w:szCs w:val="20"/>
                <w:color w:val="auto"/>
              </w:rPr>
            </w:pPr>
            <w:r>
              <w:rPr>
                <w:rFonts w:ascii="Courier New" w:cs="Courier New" w:eastAsia="Courier New" w:hAnsi="Courier New"/>
                <w:sz w:val="15"/>
                <w:szCs w:val="15"/>
                <w:color w:val="auto"/>
              </w:rPr>
              <w:t>Retail properties</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Minimum rents</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$111,454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$ 97,503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$ 81,291</w:t>
            </w:r>
          </w:p>
        </w:tc>
      </w:tr>
      <w:tr>
        <w:trPr>
          <w:trHeight w:val="168"/>
        </w:trPr>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23,961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23,774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18,171</w:t>
            </w:r>
          </w:p>
        </w:tc>
      </w:tr>
      <w:tr>
        <w:trPr>
          <w:trHeight w:val="168"/>
        </w:trPr>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Percentage rent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4,147</w:t>
            </w:r>
          </w:p>
        </w:tc>
      </w:tr>
      <w:tr>
        <w:trPr>
          <w:trHeight w:val="168"/>
        </w:trPr>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Apartments - rents</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2,339</w:t>
            </w:r>
          </w:p>
        </w:tc>
      </w:tr>
      <w:tr>
        <w:trPr>
          <w:trHeight w:val="168"/>
        </w:trPr>
        <w:tc>
          <w:tcPr>
            <w:tcW w:w="24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$142,841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$128,133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$105,948</w:t>
            </w:r>
          </w:p>
        </w:tc>
      </w:tr>
      <w:tr>
        <w:trPr>
          <w:trHeight w:val="168"/>
        </w:trPr>
        <w:tc>
          <w:tcPr>
            <w:tcW w:w="2440" w:type="dxa"/>
            <w:vAlign w:val="bottom"/>
          </w:tcPr>
          <w:p>
            <w:pPr>
              <w:spacing w:after="0"/>
              <w:rPr>
                <w:sz w:val="14"/>
                <w:szCs w:val="14"/>
                <w:color w:val="auto"/>
              </w:rPr>
            </w:pP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The components of rental expense are as follows:</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5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5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54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 fees and costs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$5,707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5,316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5,213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Repairs and maintenance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8,140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Utilities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4,936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 properties</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3,230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Ground rent</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2,852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2,281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7,947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5,745</w:t>
            </w:r>
          </w:p>
        </w:tc>
      </w:tr>
      <w:tr>
        <w:trPr>
          <w:trHeight w:val="168"/>
        </w:trPr>
        <w:tc>
          <w:tcPr>
            <w:tcW w:w="254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$ 35,093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$ 35,830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$ 26,519</w:t>
            </w:r>
          </w:p>
        </w:tc>
      </w:tr>
      <w:tr>
        <w:trPr>
          <w:trHeight w:val="168"/>
        </w:trPr>
        <w:tc>
          <w:tcPr>
            <w:tcW w:w="254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 w:right="3319" w:firstLine="437"/>
        <w:spacing w:after="0" w:line="234" w:lineRule="auto"/>
        <w:rPr>
          <w:sz w:val="20"/>
          <w:szCs w:val="20"/>
          <w:color w:val="auto"/>
        </w:rPr>
      </w:pPr>
      <w:r>
        <w:rPr>
          <w:rFonts w:ascii="Courier New" w:cs="Courier New" w:eastAsia="Courier New" w:hAnsi="Courier New"/>
          <w:sz w:val="15"/>
          <w:szCs w:val="15"/>
          <w:color w:val="auto"/>
        </w:rPr>
        <w:t>Minimum future retail property rentals on noncancelable operating leases as of December 31, 1995 are as follows:</w:t>
      </w: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$120,878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112,474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100,554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89,803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77,526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347,620</w:t>
            </w:r>
          </w:p>
        </w:tc>
      </w:tr>
      <w:tr>
        <w:trPr>
          <w:trHeight w:val="168"/>
        </w:trPr>
        <w:tc>
          <w:tcPr>
            <w:tcW w:w="3640" w:type="dxa"/>
            <w:vAlign w:val="bottom"/>
          </w:tcPr>
          <w:p>
            <w:pPr>
              <w:spacing w:after="0"/>
              <w:rPr>
                <w:sz w:val="14"/>
                <w:szCs w:val="14"/>
                <w:color w:val="auto"/>
              </w:rPr>
            </w:pP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$848,855</w:t>
            </w:r>
          </w:p>
        </w:tc>
      </w:tr>
      <w:tr>
        <w:trPr>
          <w:trHeight w:val="168"/>
        </w:trPr>
        <w:tc>
          <w:tcPr>
            <w:tcW w:w="3640" w:type="dxa"/>
            <w:vAlign w:val="bottom"/>
          </w:tcPr>
          <w:p>
            <w:pPr>
              <w:spacing w:after="0"/>
              <w:rPr>
                <w:sz w:val="14"/>
                <w:szCs w:val="14"/>
                <w:color w:val="auto"/>
              </w:rPr>
            </w:pPr>
          </w:p>
        </w:tc>
        <w:tc>
          <w:tcPr>
            <w:tcW w:w="2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2. INVESTMENTS</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 w:right="3239" w:firstLine="437"/>
        <w:spacing w:after="0" w:line="236" w:lineRule="auto"/>
        <w:rPr>
          <w:sz w:val="20"/>
          <w:szCs w:val="20"/>
          <w:color w:val="auto"/>
        </w:rPr>
      </w:pPr>
      <w:r>
        <w:rPr>
          <w:rFonts w:ascii="Courier New" w:cs="Courier New" w:eastAsia="Courier New" w:hAnsi="Courier New"/>
          <w:sz w:val="15"/>
          <w:szCs w:val="15"/>
          <w:color w:val="auto"/>
        </w:rPr>
        <w:t>At December 31, 1994 the Trust's investments of $3.6 million consisted of $4.7 million of Olympia and York Senior First Mortgage Notes due March 20, 1999, which were carried at $3.1 million and $500,000 of marketable equity securities and mutual funds which were stated at market. In 1994 the Trust recognized an unrealized loss of $449,000 on these equity securities. In 1995 the Trust sold the equity securities realizing an additional loss of $54,000. The Olympia and York Senior Notes were also sold in 1995, at a gain of $200,000 over their recorded value. At December 31, 1995 investments consisted of mutual funds stated at market.</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3. FAIR VALUE OF FINANCIAL INSTRUMENTS</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 w:right="3499" w:firstLine="437"/>
        <w:spacing w:after="0" w:line="234" w:lineRule="auto"/>
        <w:rPr>
          <w:sz w:val="20"/>
          <w:szCs w:val="20"/>
          <w:color w:val="auto"/>
        </w:rPr>
      </w:pPr>
      <w:r>
        <w:rPr>
          <w:rFonts w:ascii="Courier New" w:cs="Courier New" w:eastAsia="Courier New" w:hAnsi="Courier New"/>
          <w:sz w:val="15"/>
          <w:szCs w:val="15"/>
          <w:color w:val="auto"/>
        </w:rPr>
        <w:t>The following disclosure of estimated fair value was determined by the Trust, using available market information and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39"/>
          </w:cols>
          <w:pgMar w:left="320" w:top="617" w:right="1440" w:bottom="1440" w:gutter="0" w:footer="0" w:header="0"/>
        </w:sectPr>
      </w:pPr>
    </w:p>
    <w:bookmarkStart w:id="48" w:name="page49"/>
    <w:bookmarkEnd w:id="48"/>
    <w:p>
      <w:pPr>
        <w:ind w:right="3319"/>
        <w:spacing w:after="0" w:line="235" w:lineRule="auto"/>
        <w:rPr>
          <w:sz w:val="20"/>
          <w:szCs w:val="20"/>
          <w:color w:val="auto"/>
        </w:rPr>
      </w:pPr>
      <w:r>
        <w:rPr>
          <w:rFonts w:ascii="Courier New" w:cs="Courier New" w:eastAsia="Courier New" w:hAnsi="Courier New"/>
          <w:sz w:val="15"/>
          <w:szCs w:val="15"/>
          <w:color w:val="auto"/>
        </w:rPr>
        <w:t>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 estimate the fair value of long term notes receivable and payable, using the Trust's estimate of current interest rates for similar notes; (4) carrying amounts in the balance sheet approximate fair value for cash and short term borrowings. Notes receivable from officers are excluded from fair value estimation since they have been issued in connection with employee stock ownership programs.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2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December 31, 1995</w:t>
            </w:r>
          </w:p>
        </w:tc>
        <w:tc>
          <w:tcPr>
            <w:tcW w:w="2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1994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Carrying</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Fair</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Carrying</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0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Value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060" w:type="dxa"/>
            <w:vAlign w:val="bottom"/>
          </w:tcPr>
          <w:p>
            <w:pPr>
              <w:spacing w:after="0"/>
              <w:rPr>
                <w:sz w:val="14"/>
                <w:szCs w:val="14"/>
                <w:color w:val="auto"/>
              </w:rPr>
            </w:pPr>
          </w:p>
        </w:tc>
        <w:tc>
          <w:tcPr>
            <w:tcW w:w="2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Cash &amp; equivalents</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$ 10,521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$ 10,521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3,995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3,995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3,588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3,588</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receivable</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13,561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15,027</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13,178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13,459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Mortgages and notes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payable</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140,468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146,801</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164,664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165,700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debentures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75,289</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66,932</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75,289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54,585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165,000</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176,653</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NOTES PAYABLE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December 31, 1995 and 1994 the Trust had notes payable of $50.0 million and $61.9 million, respectively. Of these balances, $40.1 million in 1995 and $54.7 million in 1994 were issued under the Trust's revolving credit facilities.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remaining balance of notes payable was issued in connection with the acquisition, leasing or renovation of properties. A $2.5 million noninterest bearing note which is due on or before December 16, 1996, was issued in September 1995 in connection with a lease transaction at Barracks Road. A note, with a balance of $1.4 million at December 31, 1995, was issued in connection with the buyout of a tenant at Queen Anne Plaza in January 1995. The noninterest bearing note of $2.2 million, due in annual installments of $200,000 for 11 years was recorded at its discounted value using an interest rate of 8 7/8%.</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December 1994 the Trust issued a one month note payable January 1995 for $1.1 million in connection with the purchase of Queen Anne Plaza. A 10% note, payable in equal monthly installments with a final maturity in 2013, issued in connection</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059"/>
          </w:cols>
          <w:pgMar w:left="400" w:top="624" w:right="1440" w:bottom="1440" w:gutter="0" w:footer="0" w:header="0"/>
        </w:sectPr>
      </w:pPr>
    </w:p>
    <w:bookmarkStart w:id="49" w:name="page50"/>
    <w:bookmarkEnd w:id="49"/>
    <w:p>
      <w:pPr>
        <w:ind w:right="3239"/>
        <w:spacing w:after="0" w:line="236" w:lineRule="auto"/>
        <w:rPr>
          <w:sz w:val="20"/>
          <w:szCs w:val="20"/>
          <w:color w:val="auto"/>
        </w:rPr>
      </w:pPr>
      <w:r>
        <w:rPr>
          <w:rFonts w:ascii="Courier New" w:cs="Courier New" w:eastAsia="Courier New" w:hAnsi="Courier New"/>
          <w:sz w:val="15"/>
          <w:szCs w:val="15"/>
          <w:color w:val="auto"/>
        </w:rPr>
        <w:t>with the renovation of Perring Plaza had a balance of $2.9 million in 1995 and $3.0 million in 1994. A note issued in connection with the acquisition of Federal Plaza, bearing interest at 11% and maturing in 1996, with a balance of $2.9 million in 1994 and $3.0 million in 1995 comprises the majority of the balance of the notes payable.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1995 and 1994 the Trust had $130 million of unsecured medium term revolving credit facilities with four banks. The facilities, which bear interest at LIBOR plus 75 to 100 basis points at December 31, 1995, at LIBOR plus 85 to 100 basis points prior to December 1995, require fees and have covenants requiring a minimum shareholders' equity and a maximum ratio of debt to net worth. The maximum drawn under these facilities during 1995 and 1994 was $66.8 million and $54.7 million, respectively. In 1995 and 1994 the weighted average interest rate on borrowings was 6.9% and 5.6%, respectively, and the average amount outstanding was $26.7 million and $26.3 million, respectively.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DIVIDENDS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On November 27, 1995 the Trustees declared a quarterly cash dividend of $.41 per share, payable January 12, 1996 to shareholders of record January 2, 1996. For the years ended December 31, 1995, 1994 and 1993, $.43, $.75 and $.45 of dividends paid per share, respectively, represented a return of capital.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COMMITMENTS AND CONTINGENCIES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Pursuant to the provisions of the Loehmann's Plaza Limited Partnership Agreement, on or after September 1, 1995 the limited partner may require the Trust to purchase his interest in the Partnership at its then fair market value.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Congressional Plaza Shopping Center Joint Venture Agreement provides that upon six months advance notice the Trust can be required to purchase its pro rata share of one venturer's 22.5% or greater joint venture interest for a purchase price based on the appraised fair market value of the shopping center, but no less than the percentage of joint venture interest being sold multiplied by the difference between $17.5 million and the remaining principal balance of any liabilities of the Joint Venture.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State of New Jersey Division of Taxation assessed the Trust $364,000 in taxes, penalty and interest for the years 1985 through 1990, since the State disallowed the dividends paid deduction in computing New Jersey taxable income. The Trust protested this assessment since the Trust believed that it was entitled to the deduction. The case was dismissed in December 1995 in favor of the Trust.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previously reported,certain of the Trust's shopping centers have some environmental contamination. The North Carolina Department of the Environment, Health and Natural</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059"/>
          </w:cols>
          <w:pgMar w:left="400" w:top="624" w:right="1440" w:bottom="1440" w:gutter="0" w:footer="0" w:header="0"/>
        </w:sectPr>
      </w:pPr>
    </w:p>
    <w:bookmarkStart w:id="50" w:name="page51"/>
    <w:bookmarkEnd w:id="50"/>
    <w:p>
      <w:pPr>
        <w:ind w:right="3239"/>
        <w:spacing w:after="0" w:line="255" w:lineRule="auto"/>
        <w:rPr>
          <w:sz w:val="20"/>
          <w:szCs w:val="20"/>
          <w:color w:val="auto"/>
        </w:rPr>
      </w:pPr>
      <w:r>
        <w:rPr>
          <w:rFonts w:ascii="Courier New" w:cs="Courier New" w:eastAsia="Courier New" w:hAnsi="Courier New"/>
          <w:sz w:val="14"/>
          <w:szCs w:val="14"/>
          <w:color w:val="auto"/>
        </w:rPr>
        <w:t>Resources ("DEHNR") issued a Notice of Violation ("NOV") against a former dry 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cleanup costs.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September 22, 1995 the Trust purchased the Bristol Shopping Center in Bristol, Connecticut. Pursuant to an agreement executed at closing,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 such remedial measures and has indemnified the Trust in connection with the identified contamination.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 During the third quarter of 1995 the reserve was reduced by $269,000 with a corresponding reduction in the basis of land at one shopping center since the environmental issue there was resolved.</w:t>
      </w:r>
    </w:p>
    <w:p>
      <w:pPr>
        <w:spacing w:after="0" w:line="16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 nonqualified deferred compensation plan for Trust officers was established in 1994. The plan allows the officers to defer future income until the earlier of age 65 or termination of employment with the Trust. As of December 31, 1995, the Trust is liable to participants for approximately $261,000 under this plan. Although this is an unfunded plan, the Trust has purchased certain investments with which to match this obligation.</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059"/>
          </w:cols>
          <w:pgMar w:left="400" w:top="624" w:right="1440" w:bottom="1440" w:gutter="0" w:footer="0" w:header="0"/>
        </w:sectPr>
      </w:pPr>
    </w:p>
    <w:bookmarkStart w:id="51" w:name="page52"/>
    <w:bookmarkEnd w:id="51"/>
    <w:p>
      <w:pPr>
        <w:ind w:right="3239" w:firstLine="437"/>
        <w:spacing w:after="0" w:line="255" w:lineRule="auto"/>
        <w:rPr>
          <w:sz w:val="20"/>
          <w:szCs w:val="20"/>
          <w:color w:val="auto"/>
        </w:rPr>
      </w:pPr>
      <w:r>
        <w:rPr>
          <w:rFonts w:ascii="Courier New" w:cs="Courier New" w:eastAsia="Courier New" w:hAnsi="Courier New"/>
          <w:sz w:val="14"/>
          <w:szCs w:val="14"/>
          <w:color w:val="auto"/>
        </w:rPr>
        <w:t>The Trust has entered into agreements with certain key employees whereby if these employees voluntarily or involuntarily leave the employment of the Trust within six months after a "change of control" (defined as control of 35% or more of outstanding shares) of the Trust, they will be entitled to a lump sum cash payment equal to one to three times their annual salary as of the date of termination and have their health and welfare benefits and executive privileges continued for a period of one to three years. In the event of a change of control, the Trust also agreed that all restrictions on the exercise or receipt of any stock options and stock grants shall lapse upon termination of employment and that all shares owned at termination shall be redeemed by the Trust at a formula price.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had previously entered into employment agreements with its President and certain other key employees for terms of up to three years, which automatically renewed at the end of each month unless either party notified the other that it elected not to extend the term. During 1994 the Trust offered certain of the employees covered under these agreements, other than the President, a severance agreement in lieu of the employment agreement. Two employees retained their employment agreements, which agreements now have a fixed declining term. The severance agreement prescribes that, among other things, if the employee is terminated without cause, he/she is entitled to salary for up to 18 months and benefits for up to nine months.</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of December 31, 1995 in connection with the renovation of certain shopping centers, the Trust has contractual obligations of $7.4 million. In addition the Trust is contractually obligated under leases to provide up to $6.0 million in building and tenant improvements.</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Trust is obligated under ground lease agreements on several shopping centers requiring minimum annual payments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$2,851</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2,851</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2,851</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2,855</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157,799</w:t>
            </w:r>
          </w:p>
        </w:tc>
      </w:tr>
      <w:tr>
        <w:trPr>
          <w:trHeight w:val="168"/>
        </w:trPr>
        <w:tc>
          <w:tcPr>
            <w:tcW w:w="2620" w:type="dxa"/>
            <w:vAlign w:val="bottom"/>
          </w:tcPr>
          <w:p>
            <w:pPr>
              <w:spacing w:after="0"/>
              <w:rPr>
                <w:sz w:val="14"/>
                <w:szCs w:val="14"/>
                <w:color w:val="auto"/>
              </w:rPr>
            </w:pP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rPr>
                <w:sz w:val="14"/>
                <w:szCs w:val="14"/>
                <w:color w:val="auto"/>
              </w:rPr>
            </w:pP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$172,066</w:t>
            </w:r>
          </w:p>
        </w:tc>
      </w:tr>
      <w:tr>
        <w:trPr>
          <w:trHeight w:val="168"/>
        </w:trPr>
        <w:tc>
          <w:tcPr>
            <w:tcW w:w="2620" w:type="dxa"/>
            <w:vAlign w:val="bottom"/>
          </w:tcPr>
          <w:p>
            <w:pPr>
              <w:spacing w:after="0"/>
              <w:rPr>
                <w:sz w:val="14"/>
                <w:szCs w:val="14"/>
                <w:color w:val="auto"/>
              </w:rPr>
            </w:pPr>
          </w:p>
        </w:tc>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5 1/4% CONVERTIBLE SUBORDINATED DEBENTURES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At December 1995 and 1994 the Trust had outstanding $289,000 of 5 1/4% convertible subordinated debentures due 2002. The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059"/>
          </w:cols>
          <w:pgMar w:left="400" w:top="624" w:right="1440" w:bottom="1440" w:gutter="0" w:footer="0" w:header="0"/>
        </w:sectPr>
      </w:pPr>
    </w:p>
    <w:bookmarkStart w:id="52" w:name="page53"/>
    <w:bookmarkEnd w:id="52"/>
    <w:p>
      <w:pPr>
        <w:ind w:right="3239"/>
        <w:spacing w:after="0" w:line="235" w:lineRule="auto"/>
        <w:rPr>
          <w:sz w:val="20"/>
          <w:szCs w:val="20"/>
          <w:color w:val="auto"/>
        </w:rPr>
      </w:pPr>
      <w:r>
        <w:rPr>
          <w:rFonts w:ascii="Courier New" w:cs="Courier New" w:eastAsia="Courier New" w:hAnsi="Courier New"/>
          <w:sz w:val="15"/>
          <w:szCs w:val="15"/>
          <w:color w:val="auto"/>
        </w:rPr>
        <w:t>debentures which are convertible into shares of beneficial interest at $30.625 were not registered under the Securities Act of 1933 and were not publicly distributed within the United States.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April 1994, $39.8 million of the debentures were redeemed at a price equal to 120% of their principal amount or $47.8 million, in accordance with a premium put. A principal amount of $53,000 of these debentures was converted into 1,729 shares in 1994. During 1993 the Trust purchased $3.7 million of these debentures, resulting in a loss of $74,000 which was recorded as a component of the net gain on early extinguishment of debt.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SENIOR NOTES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January 19, 1995 the Trust issued $100.0 million of 8 7/8% Notes, due January 15, 2000. The notes, which were issued at a price of 99.815%, pay interest semiannually on January 15 and July 15 and are not redeemable prior to maturity. After deducting the underwriting discount and other costs, the Trust netted approximately $98.9 million.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order to protect itself against the risk that the general level of interest rates for such securities would rise before the senior notes were priced, in December 1994, the Trust entered into two interest rate hedge agreements on a total principal amount of $75.0 million. The cost of the agreements, which terminated on January 20, 1995, was $21,000, which is being amortized into interest expense over the life of the notes.</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 January 1995 the Trust executed a five year interest rate swap on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$25.0 million, whereby the Trust swapped fixed interest payment obligations of 8.1% for a floating rate interest payment of three month LIBOR. The floating rate during the first quarter of 1995 was 6.2%. In May 1995 the swap was terminated and the Trust sold the swap for $1.5 million, which is being amortized as a deduction to interest expense over the remaining term.</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April 21, 1995 the Trust issued $25.0 million of senior notes, netting $24.9 million after deducting discounts and costs. The notes, which are due April 21, 2002 and bear interest at 8%, payable semiannually on April 21 and October 21, were issued at a price of 99.683%.</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December 8, 1995 the Trust issued an additional $40.0 million of senior notes, netting $39.6 million after deducting costs. The notes, which mature on December 1, 2005 and bear interest at 6 5/8%, payable June 1 and December 1, were issued at a price of 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SHAREHOLDERS' EQUITY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September 1995 the Trust issued 337,527 shares of beneficial interest valued at $7.3 million in partial consideration for the purchase of Bristol Shopping Center.</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In April 1994 the Trust raised net proceeds of $61.3 million from a public offering of 2.5 million shares of beneficial</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059"/>
          </w:cols>
          <w:pgMar w:left="400" w:top="624" w:right="1440" w:bottom="1440" w:gutter="0" w:footer="0" w:header="0"/>
        </w:sectPr>
      </w:pPr>
    </w:p>
    <w:bookmarkStart w:id="53" w:name="page54"/>
    <w:bookmarkEnd w:id="53"/>
    <w:p>
      <w:pPr>
        <w:ind w:right="3239"/>
        <w:spacing w:after="0" w:line="236" w:lineRule="auto"/>
        <w:rPr>
          <w:sz w:val="20"/>
          <w:szCs w:val="20"/>
          <w:color w:val="auto"/>
        </w:rPr>
      </w:pPr>
      <w:r>
        <w:rPr>
          <w:rFonts w:ascii="Courier New" w:cs="Courier New" w:eastAsia="Courier New" w:hAnsi="Courier New"/>
          <w:sz w:val="15"/>
          <w:szCs w:val="15"/>
          <w:color w:val="auto"/>
        </w:rPr>
        <w:t>interest ("shares"). In a concurrent offering of 840,000 shares to an institutional investor, the Trust raised net proceeds of $21.7 million. In April 1993 the Trust sold 2.8 million shares in a public offering, raising net proceeds of $72.8 million. In December 1993 the Trust sold 220,000 shares for $5.4 million in a private placement in connection with the long term lease of a property.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has a Dividend Reinvestment Plan, whereby shareholders may use their dividends to purchase shares. In November 1995 and March 1993, the Trust registered an additional 1.0 million shares and 500,000 shares, respectively, with the Securities and Exchange Commission in connection with the plan. In 1995, 1994, and 1993, 193,965 shares, 162,466 shares and 131,620 shares, respectively, were issued under the Plan.</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 1994 under the terms of the 1993 Long Term Incentive Plan, an officer of the Trust purchased 40,000 common shares at $25 per share with the assistance of a $1.0 million loan from the Trust. The loan, which has a term of 12 years, bears interest at 6.24%. Forgiveness of up to 75% of the loan is subject to the future performance of the Trust. One eighth of the loan was forgiven on January 31, 1995; another one sixteenth was forgiven on January 31, 1996 as certain performance criteria of the Trust were met.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 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One sixteenth of the loan was forgiven in 1995. The Trust has loaned participants $839,000 to pay the taxes due in connection with the plan. The purchase loans and the tax loans bear interest at 9.39%. The shares purchased under the plan may not be sold, pledged or assigned until both the purchase and tax loans are satisfied and the term has expired.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terms of the 1988 Share Bonus Plan, 108,000 shares were granted to officers and key employees. During the year ended December 31, 1993, the last 4,000 shares were vested and charged to operations. In connection with these shares, the Trust has made loans to the participants to pay the taxes due in connection with the plan. The notes bear interest at the lesser of</w:t>
      </w:r>
    </w:p>
    <w:p>
      <w:pPr>
        <w:spacing w:after="0" w:line="2" w:lineRule="exact"/>
        <w:rPr>
          <w:sz w:val="20"/>
          <w:szCs w:val="20"/>
          <w:color w:val="auto"/>
        </w:rPr>
      </w:pPr>
    </w:p>
    <w:p>
      <w:pPr>
        <w:ind w:right="3239" w:firstLine="5"/>
        <w:spacing w:after="0" w:line="236"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borrowing rate or (ii) the Trust's current indicated annual dividend rate divided by the purchase price of such shares. Notes issued under this plan are being forgiven over three years from issuance if the officer is still employed by the Trust. During the years ended December 31, 1995, 1994 and 1993, $49,000, $74,000 and $80,000, respectively, was forgiven. The tax loans under this plan and the share purchase plan are recorded as notes receivable-officers.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059"/>
          </w:cols>
          <w:pgMar w:left="400" w:top="624" w:right="1440" w:bottom="1440" w:gutter="0" w:footer="0" w:header="0"/>
        </w:sectPr>
      </w:pPr>
    </w:p>
    <w:bookmarkStart w:id="54" w:name="page55"/>
    <w:bookmarkEnd w:id="54"/>
    <w:p>
      <w:pPr>
        <w:ind w:left="440"/>
        <w:spacing w:after="0"/>
        <w:rPr>
          <w:sz w:val="20"/>
          <w:szCs w:val="20"/>
          <w:color w:val="auto"/>
        </w:rPr>
      </w:pPr>
      <w:r>
        <w:rPr>
          <w:rFonts w:ascii="Courier New" w:cs="Courier New" w:eastAsia="Courier New" w:hAnsi="Courier New"/>
          <w:sz w:val="14"/>
          <w:szCs w:val="14"/>
          <w:color w:val="auto"/>
        </w:rPr>
        <w:t>In connection with a restricted share grant, the Trust accepted from the</w:t>
      </w:r>
    </w:p>
    <w:p>
      <w:pPr>
        <w:spacing w:after="0" w:line="3"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President a noninterest bearing note for $210,000.</w:t>
      </w:r>
      <w:r>
        <w:rPr>
          <w:sz w:val="20"/>
          <w:szCs w:val="20"/>
          <w:color w:val="auto"/>
        </w:rPr>
        <w:tab/>
      </w:r>
      <w:r>
        <w:rPr>
          <w:rFonts w:ascii="Courier New" w:cs="Courier New" w:eastAsia="Courier New" w:hAnsi="Courier New"/>
          <w:sz w:val="14"/>
          <w:szCs w:val="14"/>
          <w:color w:val="auto"/>
        </w:rPr>
        <w:t>One installment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$105,000 was paid on the note in 1992 and the second installment is due April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15, 2001.</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1987 the Trust purchased approximately $887,000 worth of shares of other real estate investment trusts ("REITs") as a long term investment. In 1994 the Trust recognized an unrealized loss of $449,000 on these shares, since the decline in value of one investment appeared to be permanent. Due to temporary price declines in the other REITs, the Trust had an allowance for unrealized losses of $53,000 as of December 31, 1994. The Trust sold these shares in 1995, recognizing an additional loss of $54,000.</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At December 31, 1995, the Trust had 61,328 shares in treasury at a cost of $1.2 million . At December 31, 1994 and 1993, the Trust had 60,200 shares in treasury at a cost of $1.1 million.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13, 1989, the Trustees adopted a Shareholder Rights Plan (the Plan). Under the Plan, one right was issued for each outstanding share of common stock held as of April 24, 1989, and a right will be attached to each share issued in the future. The rights are exercisable into common shares upon the occurrence of certain events, including acquisition by a person or group of certain levels of beneficial ownership or a tender offer by such a person or group. The rights are redeemable by the Trust for $.01 and expire on April 24,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OPTION PLAN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1993 Long Term Incentive Plan ("Plan") was approved by shareholders in May 1993. On the date of approval, 472,500 options were awarded to officers, employees and nonemployee Trustees. On December 16, 1993, 69,000 options were awarded to employees. Under the Plan, on each annual meeting date during the term of the plan, each nonemployee Trustee will be awarded 2,500 options. Accordingly on each of May 10, 1995 and May 4, 1994, 20,000 options were awarded to nonemployee Trustees. On February 15, 1995,</w:t>
      </w:r>
    </w:p>
    <w:p>
      <w:pPr>
        <w:spacing w:after="0" w:line="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719,000 stock options at $20.75 per share were granted to employees of the Trust.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option price to acquire shares under the 1993 Plan and previous plans is required to be at least the fair market value at the date of grant. As a result of the exercise of options, the Trust has outstanding from its officers and employees notes for $1.9 million. The notes issued under the 1993 plan bear interest at the dividend rate on the date of exercise divided by the purchase price of such shares. The notes issued under the previous plans bear interest at the lesser of (i) the Trust's borrowing rate or (ii) the current indicated annual dividend rate on the shares acquired pursuant to the option, divided by the purchase price of such shares. The notes are collateralized by the shares and are with recourse. In September 1995 the terms of the option loans were modified. The loans, which previously had a five year term, may now have a term extending to the employee's or officer's retirement date. Consequently these loans are now</w:t>
      </w:r>
    </w:p>
    <w:p>
      <w:pPr>
        <w:spacing w:after="0" w:line="32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059"/>
          </w:cols>
          <w:pgMar w:left="400" w:top="624" w:right="1440" w:bottom="1440" w:gutter="0" w:footer="0" w:header="0"/>
        </w:sectPr>
      </w:pPr>
    </w:p>
    <w:bookmarkStart w:id="55" w:name="page56"/>
    <w:bookmarkEnd w:id="55"/>
    <w:p>
      <w:pPr>
        <w:ind w:right="600"/>
        <w:spacing w:after="0" w:line="235" w:lineRule="auto"/>
        <w:rPr>
          <w:sz w:val="20"/>
          <w:szCs w:val="20"/>
          <w:color w:val="auto"/>
        </w:rPr>
      </w:pPr>
      <w:r>
        <w:rPr>
          <w:rFonts w:ascii="Courier New" w:cs="Courier New" w:eastAsia="Courier New" w:hAnsi="Courier New"/>
          <w:sz w:val="15"/>
          <w:szCs w:val="15"/>
          <w:color w:val="auto"/>
        </w:rPr>
        <w:t>being classified as subscriptions receivable, a component of stockholder's equity, rather than as notes receivable-officers. The 1994 and 1993 balances of notes receivable-officers and subscriptions receivable have been reclassified to allow comparability.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center"/>
              <w:ind w:left="387"/>
              <w:spacing w:after="0"/>
              <w:rPr>
                <w:sz w:val="20"/>
                <w:szCs w:val="20"/>
                <w:color w:val="auto"/>
              </w:rPr>
            </w:pPr>
            <w:r>
              <w:rPr>
                <w:rFonts w:ascii="Courier New" w:cs="Courier New" w:eastAsia="Courier New" w:hAnsi="Courier New"/>
                <w:sz w:val="15"/>
                <w:szCs w:val="15"/>
                <w:color w:val="auto"/>
                <w:w w:val="97"/>
              </w:rPr>
              <w:t>Shares available</w:t>
            </w:r>
          </w:p>
        </w:tc>
        <w:tc>
          <w:tcPr>
            <w:tcW w:w="132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7"/>
              </w:rPr>
              <w:t>for future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w:t>
            </w:r>
          </w:p>
        </w:tc>
      </w:tr>
      <w:tr>
        <w:trPr>
          <w:trHeight w:val="168"/>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 grants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22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31,1992</w:t>
            </w:r>
          </w:p>
        </w:tc>
        <w:tc>
          <w:tcPr>
            <w:tcW w:w="270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171,537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373,250</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Expiration of 1989 plan</w:t>
            </w: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(171,537)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Adoption of 1993 plan</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6,000,000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granted</w:t>
            </w: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(541,500)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541,500</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(53,384)</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expired</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2,500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(8,250)</w:t>
            </w:r>
          </w:p>
        </w:tc>
      </w:tr>
      <w:tr>
        <w:trPr>
          <w:trHeight w:val="168"/>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1993</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5,461,000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853,116</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granted</w:t>
            </w: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(47,240)</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expired</w:t>
            </w:r>
          </w:p>
        </w:tc>
        <w:tc>
          <w:tcPr>
            <w:tcW w:w="27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w:t>
            </w:r>
          </w:p>
        </w:tc>
      </w:tr>
      <w:tr>
        <w:trPr>
          <w:trHeight w:val="168"/>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1994</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5,441,000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824,126</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granted</w:t>
            </w:r>
          </w:p>
        </w:tc>
        <w:tc>
          <w:tcPr>
            <w:tcW w:w="2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(739,000)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739,000</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(20,744)</w:t>
            </w:r>
          </w:p>
        </w:tc>
      </w:tr>
      <w:tr>
        <w:trPr>
          <w:trHeight w:val="168"/>
        </w:trPr>
        <w:tc>
          <w:tcPr>
            <w:tcW w:w="2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expired</w:t>
            </w:r>
          </w:p>
        </w:tc>
        <w:tc>
          <w:tcPr>
            <w:tcW w:w="27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(47,750)</w:t>
            </w:r>
          </w:p>
        </w:tc>
      </w:tr>
      <w:tr>
        <w:trPr>
          <w:trHeight w:val="168"/>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1995</w:t>
            </w: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4,702,000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1,494,632</w:t>
            </w:r>
          </w:p>
        </w:tc>
      </w:tr>
      <w:tr>
        <w:trPr>
          <w:trHeight w:val="168"/>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SAVINGS AND RETIREMENT PLAN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520" w:firstLine="437"/>
        <w:spacing w:after="0" w:line="255" w:lineRule="auto"/>
        <w:rPr>
          <w:sz w:val="20"/>
          <w:szCs w:val="20"/>
          <w:color w:val="auto"/>
        </w:rPr>
      </w:pPr>
      <w:r>
        <w:rPr>
          <w:rFonts w:ascii="Courier New" w:cs="Courier New" w:eastAsia="Courier New" w:hAnsi="Courier New"/>
          <w:sz w:val="14"/>
          <w:szCs w:val="14"/>
          <w:color w:val="auto"/>
        </w:rPr>
        <w:t>The Trust has a savings and retirement plan in accordance with the provisions of Section 401(k) of the Internal Revenue Code. Under the plan, the Trust, out of its current net income, contributed 50% of each employee's contribution. Employees' contributions range, at the discretion of each employee, from 1% to 5% of compensation. In addition, the Trust may make discretionary contributions within the limits of deductibility set forth by the Code. Employees of the Trust, who work over 1,000 hours annually, are eligible to become plan participants. The Trust's expense for the years ended December 31, 1995, 1994 and 1993 was $158,000, $147,000 and $133,000, respectively. In 1995 the Trust recorded a liability for an additional contribution of 1% of salary for all nonofficer employees who are eligible for the 401(k) plan; this is in addition to another 1% of salary which will be paid to all eligible nonofficer employees as a bonus for 1995.</w:t>
      </w:r>
    </w:p>
    <w:p>
      <w:pPr>
        <w:spacing w:after="0" w:line="164" w:lineRule="exact"/>
        <w:rPr>
          <w:sz w:val="20"/>
          <w:szCs w:val="20"/>
          <w:color w:val="auto"/>
        </w:rPr>
      </w:pPr>
    </w:p>
    <w:p>
      <w:pPr>
        <w:ind w:right="680" w:firstLine="437"/>
        <w:spacing w:after="0" w:line="235" w:lineRule="auto"/>
        <w:rPr>
          <w:sz w:val="20"/>
          <w:szCs w:val="20"/>
          <w:color w:val="auto"/>
        </w:rPr>
      </w:pPr>
      <w:r>
        <w:rPr>
          <w:rFonts w:ascii="Courier New" w:cs="Courier New" w:eastAsia="Courier New" w:hAnsi="Courier New"/>
          <w:sz w:val="15"/>
          <w:szCs w:val="15"/>
          <w:color w:val="auto"/>
        </w:rPr>
        <w:t>The plan was amended in December 1995 so that effective January 1, 1996 nonofficer participants may defer compensation to the maximum levels allowable, currently the lesser of $9,500 or 17% of income. The Trust will continue to contribute 50% of the deferral up to 5% of compensation.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INTEREST EXPENSE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520" w:firstLine="437"/>
        <w:spacing w:after="0" w:line="235" w:lineRule="auto"/>
        <w:rPr>
          <w:sz w:val="20"/>
          <w:szCs w:val="20"/>
          <w:color w:val="auto"/>
        </w:rPr>
      </w:pPr>
      <w:r>
        <w:rPr>
          <w:rFonts w:ascii="Courier New" w:cs="Courier New" w:eastAsia="Courier New" w:hAnsi="Courier New"/>
          <w:sz w:val="15"/>
          <w:szCs w:val="15"/>
          <w:color w:val="auto"/>
        </w:rPr>
        <w:t>The Trust incurred interest expense totaling $40.2 million, $31.8 million and $31.8 million, in 1995, 1994 and 1993, respectively, of which $975,000, $348,000 and $216,000,</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Price</w:t>
      </w:r>
    </w:p>
    <w:p>
      <w:pPr>
        <w:jc w:val="center"/>
        <w:ind w:right="1039"/>
        <w:spacing w:after="0" w:line="237" w:lineRule="auto"/>
        <w:rPr>
          <w:sz w:val="20"/>
          <w:szCs w:val="20"/>
          <w:color w:val="auto"/>
        </w:rPr>
      </w:pPr>
      <w:r>
        <w:rPr>
          <w:rFonts w:ascii="Courier New" w:cs="Courier New" w:eastAsia="Courier New" w:hAnsi="Courier New"/>
          <w:sz w:val="15"/>
          <w:szCs w:val="15"/>
          <w:color w:val="auto"/>
        </w:rPr>
        <w:t>per share</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$25.75-$26.00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$15.00-$24.125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$20.875-$26.00</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$24.875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$18.00-$22.625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$20.875-$25.75</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$20.75-$22.00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$15.00-$20.875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$17.25-$26.00</w:t>
      </w:r>
    </w:p>
    <w:p>
      <w:pPr>
        <w:sectPr>
          <w:pgSz w:w="11900" w:h="16838" w:orient="portrait"/>
          <w:cols w:equalWidth="0" w:num="2">
            <w:col w:w="7340" w:space="720"/>
            <w:col w:w="1999"/>
          </w:cols>
          <w:pgMar w:left="400" w:top="624" w:right="1440" w:bottom="1440" w:gutter="0" w:footer="0" w:header="0"/>
        </w:sectPr>
      </w:pPr>
    </w:p>
    <w:bookmarkStart w:id="56" w:name="page57"/>
    <w:bookmarkEnd w:id="56"/>
    <w:p>
      <w:pPr>
        <w:ind w:left="80" w:right="3239"/>
        <w:spacing w:after="0" w:line="235" w:lineRule="auto"/>
        <w:rPr>
          <w:sz w:val="20"/>
          <w:szCs w:val="20"/>
          <w:color w:val="auto"/>
        </w:rPr>
      </w:pPr>
      <w:r>
        <w:rPr>
          <w:rFonts w:ascii="Courier New" w:cs="Courier New" w:eastAsia="Courier New" w:hAnsi="Courier New"/>
          <w:sz w:val="15"/>
          <w:szCs w:val="15"/>
          <w:color w:val="auto"/>
        </w:rPr>
        <w:t>respectively, was capitalized. Interest paid was $33.4 million in 1995, $39.9 million in 1994 which included $8.0 million of the premium on the 5 1/4% convertible subordinated debentures which were redeemed in April 1994, and $31.4 million in 1993.</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13. SUBSEQUENT EVENTS</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 w:right="3319" w:firstLine="437"/>
        <w:spacing w:after="0" w:line="234" w:lineRule="auto"/>
        <w:rPr>
          <w:sz w:val="20"/>
          <w:szCs w:val="20"/>
          <w:color w:val="auto"/>
        </w:rPr>
      </w:pPr>
      <w:r>
        <w:rPr>
          <w:rFonts w:ascii="Courier New" w:cs="Courier New" w:eastAsia="Courier New" w:hAnsi="Courier New"/>
          <w:sz w:val="15"/>
          <w:szCs w:val="15"/>
          <w:color w:val="auto"/>
        </w:rPr>
        <w:t>On February 16, 1996, 58,681 options at $21.125 were issued to employees of the Trust.</w:t>
      </w:r>
    </w:p>
    <w:p>
      <w:pPr>
        <w:spacing w:after="0" w:line="173" w:lineRule="exact"/>
        <w:rPr>
          <w:sz w:val="20"/>
          <w:szCs w:val="20"/>
          <w:color w:val="auto"/>
        </w:rPr>
      </w:pPr>
    </w:p>
    <w:p>
      <w:pPr>
        <w:ind w:left="80" w:right="3499" w:firstLine="437"/>
        <w:spacing w:after="0" w:line="234" w:lineRule="auto"/>
        <w:rPr>
          <w:sz w:val="20"/>
          <w:szCs w:val="20"/>
          <w:color w:val="auto"/>
        </w:rPr>
      </w:pPr>
      <w:r>
        <w:rPr>
          <w:rFonts w:ascii="Courier New" w:cs="Courier New" w:eastAsia="Courier New" w:hAnsi="Courier New"/>
          <w:sz w:val="15"/>
          <w:szCs w:val="15"/>
          <w:color w:val="auto"/>
        </w:rPr>
        <w:t>On February 28, 1996 the Trust purchased two buildings in Winter Park, Florida for a combined purchase price of $6.7 million.</w:t>
      </w:r>
    </w:p>
    <w:p>
      <w:pPr>
        <w:spacing w:after="0" w:line="16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14. QUARTERLY DATA (UNAUDITED)</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following summary represents the results of operations for each</w:t>
      </w:r>
    </w:p>
    <w:tbl>
      <w:tblPr>
        <w:tblLayout w:type="fixed"/>
        <w:tblInd w:w="0" w:type="dxa"/>
        <w:tblCellMar>
          <w:top w:w="0" w:type="dxa"/>
          <w:left w:w="0" w:type="dxa"/>
          <w:bottom w:w="0" w:type="dxa"/>
          <w:right w:w="0" w:type="dxa"/>
        </w:tblCellMar>
      </w:tblP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quarter in 1995 and 1994:</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w:t>
            </w:r>
          </w:p>
        </w:tc>
        <w:tc>
          <w:tcPr>
            <w:tcW w:w="58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Revenue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c>
          <w:tcPr>
            <w:tcW w:w="58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per share</w:t>
            </w:r>
          </w:p>
        </w:tc>
      </w:tr>
      <w:tr>
        <w:trPr>
          <w:trHeight w:val="168"/>
        </w:trPr>
        <w:tc>
          <w:tcPr>
            <w:tcW w:w="254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March 31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$36,927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$6,623</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36,989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5,203</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September 30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38,973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5,918</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41,500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5,366</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336"/>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March 31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$33,692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$4,083</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32,794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5,206</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September 30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34,796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4,966</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36,482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6,211</w:t>
            </w:r>
          </w:p>
        </w:tc>
        <w:tc>
          <w:tcPr>
            <w:tcW w:w="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341" w:lineRule="exact"/>
        <w:rPr>
          <w:sz w:val="20"/>
          <w:szCs w:val="20"/>
          <w:color w:val="auto"/>
        </w:rPr>
      </w:pPr>
    </w:p>
    <w:p>
      <w:pPr>
        <w:ind w:left="80" w:right="3579" w:firstLine="5"/>
        <w:spacing w:after="0" w:line="234" w:lineRule="auto"/>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loss on sale of real estate was $5.7 million or $.18 per share.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139"/>
          </w:cols>
          <w:pgMar w:left="320" w:top="624" w:right="1440" w:bottom="1440" w:gutter="0" w:footer="0" w:header="0"/>
        </w:sectPr>
      </w:pPr>
    </w:p>
    <w:bookmarkStart w:id="57" w:name="page58"/>
    <w:bookmarkEnd w:id="57"/>
    <w:p>
      <w:pPr>
        <w:jc w:val="center"/>
        <w:ind w:right="4540"/>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1640"/>
        <w:spacing w:after="0" w:line="237" w:lineRule="auto"/>
        <w:tabs>
          <w:tab w:leader="none" w:pos="160" w:val="left"/>
        </w:tabs>
        <w:rPr>
          <w:sz w:val="20"/>
          <w:szCs w:val="20"/>
          <w:color w:val="auto"/>
        </w:rPr>
      </w:pPr>
      <w:r>
        <w:rPr>
          <w:rFonts w:ascii="Courier New" w:cs="Courier New" w:eastAsia="Courier New" w:hAnsi="Courier New"/>
          <w:sz w:val="15"/>
          <w:szCs w:val="15"/>
          <w:color w:val="auto"/>
        </w:rPr>
        <w:t>SCHEDULE</w:t>
        <w:tab/>
        <w:t>III</w:t>
      </w:r>
    </w:p>
    <w:p>
      <w:pPr>
        <w:jc w:val="center"/>
        <w:ind w:right="4540"/>
        <w:spacing w:after="0" w:line="238" w:lineRule="auto"/>
        <w:rPr>
          <w:sz w:val="20"/>
          <w:szCs w:val="20"/>
          <w:color w:val="auto"/>
        </w:rPr>
      </w:pPr>
      <w:r>
        <w:rPr>
          <w:rFonts w:ascii="Courier New" w:cs="Courier New" w:eastAsia="Courier New" w:hAnsi="Courier New"/>
          <w:sz w:val="15"/>
          <w:szCs w:val="15"/>
          <w:color w:val="auto"/>
        </w:rPr>
        <w:t>SUMMARY OF REAL ESTATE AND ACCUMULATED DEPRECIATION</w:t>
      </w:r>
    </w:p>
    <w:p>
      <w:pPr>
        <w:jc w:val="center"/>
        <w:ind w:right="4540"/>
        <w:spacing w:after="0" w:line="237" w:lineRule="auto"/>
        <w:rPr>
          <w:sz w:val="20"/>
          <w:szCs w:val="20"/>
          <w:color w:val="auto"/>
        </w:rPr>
      </w:pPr>
      <w:r>
        <w:rPr>
          <w:rFonts w:ascii="Courier New" w:cs="Courier New" w:eastAsia="Courier New" w:hAnsi="Courier New"/>
          <w:sz w:val="15"/>
          <w:szCs w:val="15"/>
          <w:color w:val="auto"/>
        </w:rPr>
        <w:t>DECEMBER 31, 1995</w:t>
      </w:r>
    </w:p>
    <w:p>
      <w:pPr>
        <w:spacing w:after="0" w:line="200" w:lineRule="exact"/>
        <w:rPr>
          <w:sz w:val="20"/>
          <w:szCs w:val="20"/>
          <w:color w:val="auto"/>
        </w:rPr>
      </w:pPr>
    </w:p>
    <w:p>
      <w:pPr>
        <w:spacing w:after="0" w:line="303" w:lineRule="exact"/>
        <w:rPr>
          <w:sz w:val="20"/>
          <w:szCs w:val="20"/>
          <w:color w:val="auto"/>
        </w:rPr>
      </w:pPr>
    </w:p>
    <w:p>
      <w:pPr>
        <w:ind w:left="980"/>
        <w:spacing w:after="0"/>
        <w:tabs>
          <w:tab w:leader="none" w:pos="3060" w:val="left"/>
          <w:tab w:leader="none" w:pos="4880" w:val="left"/>
          <w:tab w:leader="none" w:pos="7160" w:val="left"/>
          <w:tab w:leader="none" w:pos="934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Initial cost to company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Gross amount</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at which</w:t>
            </w:r>
          </w:p>
        </w:tc>
      </w:tr>
      <w:tr>
        <w:trPr>
          <w:trHeight w:val="168"/>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Capitalized</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carried at close of period</w:t>
            </w:r>
          </w:p>
        </w:tc>
      </w:tr>
      <w:tr>
        <w:trPr>
          <w:trHeight w:val="168"/>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Building and</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Subsequent to</w:t>
            </w:r>
          </w:p>
        </w:tc>
        <w:tc>
          <w:tcPr>
            <w:tcW w:w="12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Building and</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Descriptions</w:t>
            </w:r>
          </w:p>
        </w:tc>
        <w:tc>
          <w:tcPr>
            <w:tcW w:w="1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Encumbrance</w:t>
            </w:r>
          </w:p>
        </w:tc>
        <w:tc>
          <w:tcPr>
            <w:tcW w:w="7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Land</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Improvements</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Land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Improvements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ALLWOOD (New Jersey)</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$3,569,000</w:t>
            </w:r>
          </w:p>
        </w:tc>
        <w:tc>
          <w:tcPr>
            <w:tcW w:w="13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$3,920,000</w:t>
            </w:r>
          </w:p>
        </w:tc>
        <w:tc>
          <w:tcPr>
            <w:tcW w:w="76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$231,000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$4,151,000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ANDORRA (Pennsylvania)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2,432,000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12,346,000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1,529,000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13,875,000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 CYNWYD (Pennsylvania)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3,565,000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14,466,000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1,520,000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3,565,000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15,986,000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BARRACKS ROAD (Virginia)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21,765,000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4,363,000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16,459,000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11,080,000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4,363,000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27,539,000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BETHESDA AVENUE ROW (Maryland)</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12,576,000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20,409,000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1,478,000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459,000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21,887,000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BLUESTAR</w:t>
            </w:r>
          </w:p>
        </w:tc>
        <w:tc>
          <w:tcPr>
            <w:tcW w:w="2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Jersey)</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27,238,000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29,922,000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1,235,000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31,157,000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BRAINERD VILLAGE (Tennessee)</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8,006,000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3,649,000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1,920,000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11,655,000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BRICK PLAZA (New Jersey)</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21,362,000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24,715,000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10,851,000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35,566,000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BRISTOL (Connecticut)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11,221,000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3,856,000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15,959,000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3,856,000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15,959,000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BRUNSWICK</w:t>
            </w:r>
          </w:p>
        </w:tc>
        <w:tc>
          <w:tcPr>
            <w:tcW w:w="2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Jersey)</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11,338,000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12,456,000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890,000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13,346,000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CLIFTON (New Jersey)</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3,319,000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3,646,000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3,763,000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CONGRESSIONAL PLAZA (Maryland)</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2,793,000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7,424,000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23,134,000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2,793,000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30,558,000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CONNECTICUT RETAIL BUILDINGS (11)</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18,377,000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21,557,000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1,087,000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18,377,000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22,644,000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CROSSROADS (Illinois)</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4,635,000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11,611,000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773,000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4,635,000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12,384,000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DEDHAM PLAZA (Massachusetts)</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12,369,000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12,918,000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12,369,000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13,455,000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EASTGATE (North Carolina)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1,608,000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4,283,000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1,608,000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10,058,000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ELLISBURG CIRCLE (New Jersey)</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4,028,000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11,309,000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9,608,000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4,028,000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20,917,000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FALLS PLAZA (Virginia)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4,327,000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1,319,000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2,054,000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FEASTERVILLE (Pennsylvania)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837,000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1,600,000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2,420,000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4,020,000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FEDERAL PLAZA (Maryland)</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28,797,000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10,216,000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17,895,000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31,065,000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10,216,000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48,960,000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FINLEY SQUARE (Illinois)</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9,252,000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9,544,000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568,000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9,252,000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10,112,000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FLOURTOWN (Pennsylvania)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1,345,000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3,943,000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1,539,000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1,345,000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5,482,000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FOREST CITY (Michigan)</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1,601,000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2,069,000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3,670,000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GAITHERSBURG SQUARE (Maryland)</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7,701,000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5,271,000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9,630,000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7,701,000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14,901,000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GARDEN MARKET (Illinois)</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4,829,000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254,000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2,677,000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5,083,000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GOVERNOR PLAZA (Maryland)</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2,068,000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9,818,000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2,068,000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14,723,000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HAMILTON (New Jersey)</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4,920,000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1,776,000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7,181,000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HUNTINGTON (New York)</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14,571,000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16,008,000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4,230,000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20,238,000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IDYLWOOD PLAZA (Virginia)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4,308,000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10,026,000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4,308,000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10,251,000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ILLINOIS RETAIL BUILDINGS (2)</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1,291,000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2,325,000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1,291,000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2,349,000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LANCASTER (Pennsylvania)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1,231,000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2,103,000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2,541,000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4,644,000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LANGHORNE SQUARE (Pennsylvania)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2,974,000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8,243,000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11,217,000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LAUREL (Maryland)</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7,458,000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22,525,000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12,148,000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7,458,000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34,673,000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LAWRENCE PARK (Pennsylvania)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4,144,000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7,160,000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5,390,000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12,550,000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LOEHMANN'S PLAZA (Virginia)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6,499,000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15,096,000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4,484,000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19,569,000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MASSACHUSETTS RETAIL BLDG (1)</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1,873,000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1,884,000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1,873,000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1,916,000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MID PIKE PLAZA (Maryland)</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10,041,000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10,335,000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5,257,000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15,592,000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JERSEY RETAIL BUILDINGS (1)</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1,466,000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737,000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1,577,000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NORTHEAST (Pennsylvania)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1,152,000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10,596,000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8,549,000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19,145,000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NORTHEAST PLAZA (Georgia)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26,236,000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5,073,000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6,933,000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31,306,000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NORTH LAKE COMMONS (Illinois)</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2,529,000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8,604,000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2,529,000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8,879,000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OLD KEENE MILL (Virginia)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7,094,000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998,000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2,483,000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3,481,000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PAN AM SHOPPING CENTER (Virginia)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8,694,000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12,929,000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2,330,000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8,694,000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15,259,000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PARK &amp; SHOP (District of Columbia)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6,319,000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4,840,000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6,392,000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PERRING PLAZA (Maryland)</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6,461,000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14,261,000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20,722,000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QUEEN ANNE PLAZA (Massachusetts)</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3,319,000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8,457,000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2,099,000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3,319,000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10,556,000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QUINCE ORCHARD PLAZA (Maryland)</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7,949,000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3,065,000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2,928,000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11,283,000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ROLLINGWOOD APTS. (Maryland)</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2,246,000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3,433,000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5,659,000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RUTGERS (New Jersey)</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13,135,000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14,429,000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610,000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15,039,000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SHILLINGTON (Pennsylvania)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716,000</w:t>
            </w:r>
          </w:p>
        </w:tc>
        <w:tc>
          <w:tcPr>
            <w:tcW w:w="13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1,387,000</w:t>
            </w:r>
          </w:p>
        </w:tc>
        <w:tc>
          <w:tcPr>
            <w:tcW w:w="1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1,595,000</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2,982,000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SHIRLINGTON (Virginia)</w:t>
            </w:r>
          </w:p>
        </w:tc>
        <w:tc>
          <w:tcPr>
            <w:tcW w:w="112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8,761,000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14,808,000</w:t>
            </w:r>
          </w:p>
        </w:tc>
        <w:tc>
          <w:tcPr>
            <w:tcW w:w="7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8,761,000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14,808,000</w:t>
            </w:r>
          </w:p>
        </w:tc>
      </w:tr>
      <w:tr>
        <w:trPr>
          <w:trHeight w:val="505"/>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COLUMN F</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COLUMN G</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COLUMN H</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COLUMN I</w:t>
            </w:r>
          </w:p>
        </w:tc>
        <w:tc>
          <w:tcPr>
            <w:tcW w:w="920" w:type="dxa"/>
            <w:vAlign w:val="bottom"/>
          </w:tcPr>
          <w:p>
            <w:pPr>
              <w:spacing w:after="0"/>
              <w:rPr>
                <w:sz w:val="24"/>
                <w:szCs w:val="24"/>
                <w:color w:val="auto"/>
              </w:rPr>
            </w:pPr>
          </w:p>
        </w:tc>
      </w:tr>
    </w:tbl>
    <w:p>
      <w:pPr>
        <w:spacing w:after="0" w:line="5"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9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Life on which</w:t>
      </w:r>
    </w:p>
    <w:tbl>
      <w:tblPr>
        <w:tblLayout w:type="fixed"/>
        <w:tblInd w:w="430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172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Accumulated</w:t>
            </w:r>
          </w:p>
        </w:tc>
        <w:tc>
          <w:tcPr>
            <w:tcW w:w="1260" w:type="dxa"/>
            <w:vAlign w:val="bottom"/>
          </w:tcPr>
          <w:p>
            <w:pPr>
              <w:jc w:val="center"/>
              <w:ind w:right="67"/>
              <w:spacing w:after="0" w:line="169" w:lineRule="exact"/>
              <w:rPr>
                <w:sz w:val="20"/>
                <w:szCs w:val="20"/>
                <w:color w:val="auto"/>
              </w:rPr>
            </w:pPr>
            <w:r>
              <w:rPr>
                <w:rFonts w:ascii="Courier New" w:cs="Courier New" w:eastAsia="Courier New" w:hAnsi="Courier New"/>
                <w:sz w:val="15"/>
                <w:szCs w:val="15"/>
                <w:color w:val="auto"/>
                <w:w w:val="99"/>
              </w:rPr>
              <w:t>Date</w:t>
            </w:r>
          </w:p>
        </w:tc>
        <w:tc>
          <w:tcPr>
            <w:tcW w:w="880" w:type="dxa"/>
            <w:vAlign w:val="bottom"/>
          </w:tcPr>
          <w:p>
            <w:pPr>
              <w:spacing w:after="0"/>
              <w:rPr>
                <w:sz w:val="14"/>
                <w:szCs w:val="14"/>
                <w:color w:val="auto"/>
              </w:rPr>
            </w:pPr>
          </w:p>
        </w:tc>
        <w:tc>
          <w:tcPr>
            <w:tcW w:w="200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w w:val="95"/>
              </w:rPr>
              <w:t>depreciation in latest</w:t>
            </w:r>
          </w:p>
        </w:tc>
      </w:tr>
      <w:tr>
        <w:trPr>
          <w:trHeight w:val="168"/>
        </w:trPr>
        <w:tc>
          <w:tcPr>
            <w:tcW w:w="6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w:t>
            </w:r>
          </w:p>
        </w:tc>
        <w:tc>
          <w:tcPr>
            <w:tcW w:w="12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of</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Date</w:t>
            </w:r>
          </w:p>
        </w:tc>
        <w:tc>
          <w:tcPr>
            <w:tcW w:w="2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income statements</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Amortization</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Construction</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Acquired</w:t>
            </w:r>
          </w:p>
        </w:tc>
        <w:tc>
          <w:tcPr>
            <w:tcW w:w="2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is computed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ALLWOOD (New Jersey)</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$4,151,000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$834,000</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1958</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ANDORRA (Pennsylvania)</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16,307,000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3,192,000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1953</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01/12/88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 CYNWYD (Pennsylvania)</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19,551,000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1955</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09/22/93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BARRACKS ROAD (Virginia)</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31,902,000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1958</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12/31/85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BETHESDA AVENUE ROW (Maryland)</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22,346,000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1,136,000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1945-1991</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12/31/93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BLUESTAR</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Jersey)</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31,157,000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6,339,000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12/12/88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BRAINERD VILLAGE (Tennessee)</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13,575,000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2,994,000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12/31/87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BRICK PLAZA (New Jersey)</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35,566,000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1958</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12/28/89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BRISTOL (Connecticut)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19,815,000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9/22/95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BRUNSWICK</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Jersey)</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13,346,000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2,817,000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1957</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12/12/88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CLIFTON (New Jersey)</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3,763,000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751,000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12/12/88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CONGRESSIONAL PLAZA (Maryland)</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33,351,000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8,391,000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1965</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04/01/65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CONNECTICUT RETAIL BUILDINGS (11)</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41,021,000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1900-1991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1994-1995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CROSSROADS (Illinois)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17,019,000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07/19/93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DEDHAM PLAZA (Massachusetts)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25,824,000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12/31/93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EASTGATE (North Carolina)</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11,666,000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3,431,000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1963</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12/18/86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ELLISBURG CIRCLE (New Jersey)</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24,945,000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2,186,000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10/16/92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FALLS PLAZA (Virginia)</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2,584,000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1,517,000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1962</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09/30/67</w:t>
            </w:r>
          </w:p>
        </w:tc>
        <w:tc>
          <w:tcPr>
            <w:tcW w:w="13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4"/>
              </w:rPr>
              <w:t>22 3/4 years</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FEASTERVILLE (Pennsylvania)</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4,020,000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2,705,000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1958</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07/23/80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bl>
    <w:p>
      <w:pPr>
        <w:sectPr>
          <w:pgSz w:w="11900" w:h="16838" w:orient="portrait"/>
          <w:cols w:equalWidth="0" w:num="1">
            <w:col w:w="11460"/>
          </w:cols>
          <w:pgMar w:left="220" w:top="617" w:right="21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FEDERAL PLAZA (Maryland)</w:t>
            </w:r>
          </w:p>
        </w:tc>
        <w:tc>
          <w:tcPr>
            <w:tcW w:w="2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59,176,000</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7,463,000</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1970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06/29/89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FINLEY SQUARE (Illinois)</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19,364,000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1974</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04/27/95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FLOURTOWN (Pennsylvania)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6,827,000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1,301,000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1957</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04/25/80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FOREST CITY (Michigan)</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4,195,000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1,572,000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1964</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03/29/73</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25 3/4 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GAITHERSBURG SQUARE (Maryland)</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22,602,000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04/22/93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GARDEN MARKET (Illinois)</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7,760,000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07/28/94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GOVERNOR PLAZA (Maryland)</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16,791,000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5,114,000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10/01/85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(New Jersey)</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7,181,000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1,642,000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1961</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12/12/88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HUNTINGTON (New York)</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20,238,000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3,806,000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12/12/88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IDYLWOOD PLAZA (Virginia)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14,559,000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1991</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04/15/94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ILLINOIS RETAIL BUILDINGS (2)</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3,640,000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1900-1927</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LANCASTER (Pennsylvania)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4,644,000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2,667,000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04/24/80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LANGHORNE SQUARE (Pennsylvania)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11,937,000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3,330,000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01/31/85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LAUREL (Maryland)</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42,131,000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9,152,000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08/15/86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PARK (Pennsylvania)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12,550,000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8,335,000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07/23/80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LOEHMANN'S PLAZA (Virginia)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20,817,000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7,558,000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1971</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07/21/83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 RETAIL BLDG (1)</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3,789,000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09/07/95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MID PIKE PLAZA (Maryland)</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15,592,000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5,786,000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05/18/82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 RETAIL BUILDINGS (1)</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2,314,000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08/16/95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(Pennsylvania)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20,297,000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5,353,000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1959</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08/30/83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PLAZA (Georgia)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38,239,000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9,336,000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12/31/86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LAKE COMMONS (Illinois)</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11,408,000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1989</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04/27/94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OLD KEENE MILL (Virginia)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4,119,000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1,810,000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06/15/76</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33 1/3 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PAN AM SHOPPING CENTER (Virginia)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23,953,000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1979</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02/05/93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PARK &amp; SHOP (District of Columbia)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11,232,000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12/01/95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PERRING PLAZA (Maryland)</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23,522,000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4,826,000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10/01/85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 ANNE PLAZA (Massachusetts)</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13,875,000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1967</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12/23/94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QUINCE ORCHARD PLAZA (Maryland)</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14,211,000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1975</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04/22/93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APTS. (Maryland)</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6,231,000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4,162,000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01/15/71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RUTGERS (New Jersey)</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15,039,000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2,947,000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12/12/88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SHILLINGTON (Pennsylvania)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2,982,000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1,764,000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07/23/80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SHIRLINGTON (Virginia)</w:t>
            </w:r>
          </w:p>
        </w:tc>
        <w:tc>
          <w:tcPr>
            <w:tcW w:w="2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23,569,000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12/21/95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505"/>
        </w:trPr>
        <w:tc>
          <w:tcPr>
            <w:tcW w:w="3120" w:type="dxa"/>
            <w:vAlign w:val="bottom"/>
          </w:tcPr>
          <w:p>
            <w:pPr>
              <w:spacing w:after="0"/>
              <w:rPr>
                <w:sz w:val="24"/>
                <w:szCs w:val="24"/>
                <w:color w:val="auto"/>
              </w:rPr>
            </w:pPr>
          </w:p>
        </w:tc>
        <w:tc>
          <w:tcPr>
            <w:tcW w:w="2360" w:type="dxa"/>
            <w:vAlign w:val="bottom"/>
          </w:tcPr>
          <w:p>
            <w:pPr>
              <w:jc w:val="right"/>
              <w:ind w:right="1807"/>
              <w:spacing w:after="0"/>
              <w:rPr>
                <w:sz w:val="20"/>
                <w:szCs w:val="20"/>
                <w:color w:val="auto"/>
              </w:rPr>
            </w:pPr>
            <w:r>
              <w:rPr>
                <w:rFonts w:ascii="Courier New" w:cs="Courier New" w:eastAsia="Courier New" w:hAnsi="Courier New"/>
                <w:sz w:val="15"/>
                <w:szCs w:val="15"/>
                <w:color w:val="auto"/>
              </w:rPr>
              <w:t>F-21</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500"/>
          </w:cols>
          <w:pgMar w:left="220" w:top="135" w:right="1179" w:bottom="1440" w:gutter="0" w:footer="0" w:header="0"/>
        </w:sectPr>
      </w:pPr>
    </w:p>
    <w:bookmarkStart w:id="59" w:name="page60"/>
    <w:bookmarkEnd w:id="59"/>
    <w:p>
      <w:pPr>
        <w:ind w:left="980"/>
        <w:spacing w:after="0"/>
        <w:tabs>
          <w:tab w:leader="none" w:pos="3060" w:val="left"/>
          <w:tab w:leader="none" w:pos="4880" w:val="left"/>
          <w:tab w:leader="none" w:pos="7160" w:val="left"/>
          <w:tab w:leader="none" w:pos="934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Initial cost to company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Gross amount</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at which</w:t>
            </w:r>
          </w:p>
        </w:tc>
      </w:tr>
      <w:tr>
        <w:trPr>
          <w:trHeight w:val="168"/>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Capitalized</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carried at close of period</w:t>
            </w:r>
          </w:p>
        </w:tc>
      </w:tr>
      <w:tr>
        <w:trPr>
          <w:trHeight w:val="168"/>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Building and</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Subsequent to</w:t>
            </w:r>
          </w:p>
        </w:tc>
        <w:tc>
          <w:tcPr>
            <w:tcW w:w="12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Building and</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Descriptions</w:t>
            </w:r>
          </w:p>
        </w:tc>
        <w:tc>
          <w:tcPr>
            <w:tcW w:w="1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Encumbrance</w:t>
            </w:r>
          </w:p>
        </w:tc>
        <w:tc>
          <w:tcPr>
            <w:tcW w:w="7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Land</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Improvements</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Land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Improvements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TOWN &amp; COUNTRY (Louisiana)</w:t>
            </w:r>
          </w:p>
        </w:tc>
        <w:tc>
          <w:tcPr>
            <w:tcW w:w="15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1,326,000</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3,440,000</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601,000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1,326,000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4,041,000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TOWN &amp; COUNTRY (Illinois)</w:t>
            </w:r>
          </w:p>
        </w:tc>
        <w:tc>
          <w:tcPr>
            <w:tcW w:w="15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904,000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2,483,000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4,893,000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7,376,000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TROY (New Jersey)</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2,832,000</w:t>
            </w:r>
          </w:p>
        </w:tc>
        <w:tc>
          <w:tcPr>
            <w:tcW w:w="136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5,193,000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5,397,000</w:t>
            </w:r>
          </w:p>
        </w:tc>
        <w:tc>
          <w:tcPr>
            <w:tcW w:w="1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10,590,000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TYSONS STATION (Virginia)</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4,319,000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453,000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2,351,000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2,717,000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WESTFALLS (Virginia)</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4,966,000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538,000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535,000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2,066,000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559,000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2,580,000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WILDWOOD (Maryland)</w:t>
            </w:r>
          </w:p>
        </w:tc>
        <w:tc>
          <w:tcPr>
            <w:tcW w:w="15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9,111,000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1,061,000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5,163,000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9,111,000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6,224,000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WILLIAMSBURG (Virginia)</w:t>
            </w:r>
          </w:p>
        </w:tc>
        <w:tc>
          <w:tcPr>
            <w:tcW w:w="15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2,758,000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7,160,000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2,529,000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2,758,000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9,689,000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GROVE (Pennsylvania)</w:t>
            </w:r>
          </w:p>
        </w:tc>
        <w:tc>
          <w:tcPr>
            <w:tcW w:w="15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1,600,000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6,643,000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16,641,000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23,284,000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LAWN (Virginia)</w:t>
            </w:r>
          </w:p>
        </w:tc>
        <w:tc>
          <w:tcPr>
            <w:tcW w:w="15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3,192,000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7,723,000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38,840,000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46,563,000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jc w:val="right"/>
        <w:ind w:right="420"/>
        <w:spacing w:after="0" w:line="234" w:lineRule="auto"/>
        <w:rPr>
          <w:sz w:val="20"/>
          <w:szCs w:val="20"/>
          <w:color w:val="auto"/>
        </w:rPr>
      </w:pPr>
      <w:r>
        <w:rPr>
          <w:rFonts w:ascii="Courier New" w:cs="Courier New" w:eastAsia="Courier New" w:hAnsi="Courier New"/>
          <w:sz w:val="15"/>
          <w:szCs w:val="15"/>
          <w:color w:val="auto"/>
        </w:rPr>
        <w:t>TOTALS                            $222,317,000    $175,572,000   $536,638,000     $297,472,000    $175,445,000    $834,237,000 ===========     ===========    ===========      ===========     ===========     ===========</w:t>
      </w:r>
    </w:p>
    <w:p>
      <w:pPr>
        <w:spacing w:after="0" w:line="167" w:lineRule="exact"/>
        <w:rPr>
          <w:sz w:val="20"/>
          <w:szCs w:val="20"/>
          <w:color w:val="auto"/>
        </w:rPr>
      </w:pPr>
    </w:p>
    <w:p>
      <w:pPr>
        <w:ind w:left="5600"/>
        <w:spacing w:after="0"/>
        <w:tabs>
          <w:tab w:leader="none" w:pos="6820" w:val="left"/>
          <w:tab w:leader="none" w:pos="7860" w:val="left"/>
          <w:tab w:leader="none" w:pos="9340" w:val="left"/>
        </w:tabs>
        <w:rPr>
          <w:sz w:val="20"/>
          <w:szCs w:val="20"/>
          <w:color w:val="auto"/>
        </w:rPr>
      </w:pPr>
      <w:r>
        <w:rPr>
          <w:rFonts w:ascii="Courier New" w:cs="Courier New" w:eastAsia="Courier New" w:hAnsi="Courier New"/>
          <w:sz w:val="15"/>
          <w:szCs w:val="15"/>
          <w:color w:val="auto"/>
        </w:rPr>
        <w:t>COLUMN F</w:t>
      </w:r>
      <w:r>
        <w:rPr>
          <w:sz w:val="20"/>
          <w:szCs w:val="20"/>
          <w:color w:val="auto"/>
        </w:rPr>
        <w:tab/>
      </w:r>
      <w:r>
        <w:rPr>
          <w:rFonts w:ascii="Courier New" w:cs="Courier New" w:eastAsia="Courier New" w:hAnsi="Courier New"/>
          <w:sz w:val="15"/>
          <w:szCs w:val="15"/>
          <w:color w:val="auto"/>
        </w:rPr>
        <w:t>COLUMN G</w:t>
      </w:r>
      <w:r>
        <w:rPr>
          <w:sz w:val="20"/>
          <w:szCs w:val="20"/>
          <w:color w:val="auto"/>
        </w:rPr>
        <w:tab/>
      </w:r>
      <w:r>
        <w:rPr>
          <w:rFonts w:ascii="Courier New" w:cs="Courier New" w:eastAsia="Courier New" w:hAnsi="Courier New"/>
          <w:sz w:val="15"/>
          <w:szCs w:val="15"/>
          <w:color w:val="auto"/>
        </w:rPr>
        <w:t>COLUMN H</w:t>
      </w:r>
      <w:r>
        <w:rPr>
          <w:sz w:val="20"/>
          <w:szCs w:val="20"/>
          <w:color w:val="auto"/>
        </w:rPr>
        <w:tab/>
      </w:r>
      <w:r>
        <w:rPr>
          <w:rFonts w:ascii="Courier New" w:cs="Courier New" w:eastAsia="Courier New" w:hAnsi="Courier New"/>
          <w:sz w:val="14"/>
          <w:szCs w:val="14"/>
          <w:color w:val="auto"/>
        </w:rPr>
        <w:t>COLUMN I</w:t>
      </w:r>
    </w:p>
    <w:p>
      <w:pPr>
        <w:spacing w:after="0" w:line="5" w:lineRule="exact"/>
        <w:rPr>
          <w:sz w:val="20"/>
          <w:szCs w:val="20"/>
          <w:color w:val="auto"/>
        </w:rPr>
      </w:pPr>
    </w:p>
    <w:p>
      <w:pPr>
        <w:ind w:left="180" w:hanging="170"/>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9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Life on which</w:t>
      </w:r>
    </w:p>
    <w:tbl>
      <w:tblPr>
        <w:tblLayout w:type="fixed"/>
        <w:tblInd w:w="4380" w:type="dxa"/>
        <w:tblCellMar>
          <w:top w:w="0" w:type="dxa"/>
          <w:left w:w="0" w:type="dxa"/>
          <w:bottom w:w="0" w:type="dxa"/>
          <w:right w:w="0" w:type="dxa"/>
        </w:tblCellMar>
      </w:tblPr>
      <w:tr>
        <w:trPr>
          <w:trHeight w:val="169"/>
        </w:trPr>
        <w:tc>
          <w:tcPr>
            <w:tcW w:w="660" w:type="dxa"/>
            <w:vAlign w:val="bottom"/>
          </w:tcPr>
          <w:p>
            <w:pPr>
              <w:spacing w:after="0"/>
              <w:rPr>
                <w:sz w:val="14"/>
                <w:szCs w:val="14"/>
                <w:color w:val="auto"/>
              </w:rPr>
            </w:pPr>
          </w:p>
        </w:tc>
        <w:tc>
          <w:tcPr>
            <w:tcW w:w="1620" w:type="dxa"/>
            <w:vAlign w:val="bottom"/>
          </w:tcPr>
          <w:p>
            <w:pPr>
              <w:ind w:left="400"/>
              <w:spacing w:after="0" w:line="169" w:lineRule="exact"/>
              <w:rPr>
                <w:sz w:val="20"/>
                <w:szCs w:val="20"/>
                <w:color w:val="auto"/>
              </w:rPr>
            </w:pPr>
            <w:r>
              <w:rPr>
                <w:rFonts w:ascii="Courier New" w:cs="Courier New" w:eastAsia="Courier New" w:hAnsi="Courier New"/>
                <w:sz w:val="15"/>
                <w:szCs w:val="15"/>
                <w:color w:val="auto"/>
              </w:rPr>
              <w:t>Accumulated</w:t>
            </w:r>
          </w:p>
        </w:tc>
        <w:tc>
          <w:tcPr>
            <w:tcW w:w="1140" w:type="dxa"/>
            <w:vAlign w:val="bottom"/>
          </w:tcPr>
          <w:p>
            <w:pPr>
              <w:jc w:val="center"/>
              <w:ind w:right="27"/>
              <w:spacing w:after="0" w:line="169" w:lineRule="exact"/>
              <w:rPr>
                <w:sz w:val="20"/>
                <w:szCs w:val="20"/>
                <w:color w:val="auto"/>
              </w:rPr>
            </w:pPr>
            <w:r>
              <w:rPr>
                <w:rFonts w:ascii="Courier New" w:cs="Courier New" w:eastAsia="Courier New" w:hAnsi="Courier New"/>
                <w:sz w:val="15"/>
                <w:szCs w:val="15"/>
                <w:color w:val="auto"/>
                <w:w w:val="99"/>
              </w:rPr>
              <w:t>Date</w:t>
            </w:r>
          </w:p>
        </w:tc>
        <w:tc>
          <w:tcPr>
            <w:tcW w:w="920" w:type="dxa"/>
            <w:vAlign w:val="bottom"/>
          </w:tcPr>
          <w:p>
            <w:pPr>
              <w:spacing w:after="0"/>
              <w:rPr>
                <w:sz w:val="14"/>
                <w:szCs w:val="14"/>
                <w:color w:val="auto"/>
              </w:rPr>
            </w:pPr>
          </w:p>
        </w:tc>
        <w:tc>
          <w:tcPr>
            <w:tcW w:w="2040" w:type="dxa"/>
            <w:vAlign w:val="bottom"/>
          </w:tcPr>
          <w:p>
            <w:pPr>
              <w:ind w:left="120"/>
              <w:spacing w:after="0" w:line="169" w:lineRule="exact"/>
              <w:rPr>
                <w:sz w:val="20"/>
                <w:szCs w:val="20"/>
                <w:color w:val="auto"/>
              </w:rPr>
            </w:pPr>
            <w:r>
              <w:rPr>
                <w:rFonts w:ascii="Courier New" w:cs="Courier New" w:eastAsia="Courier New" w:hAnsi="Courier New"/>
                <w:sz w:val="15"/>
                <w:szCs w:val="15"/>
                <w:color w:val="auto"/>
                <w:w w:val="95"/>
              </w:rPr>
              <w:t>depreciation in latest</w:t>
            </w:r>
          </w:p>
        </w:tc>
      </w:tr>
      <w:tr>
        <w:trPr>
          <w:trHeight w:val="168"/>
        </w:trPr>
        <w:tc>
          <w:tcPr>
            <w:tcW w:w="660" w:type="dxa"/>
            <w:vAlign w:val="bottom"/>
          </w:tcPr>
          <w:p>
            <w:pPr>
              <w:spacing w:after="0"/>
              <w:rPr>
                <w:sz w:val="14"/>
                <w:szCs w:val="14"/>
                <w:color w:val="auto"/>
              </w:rPr>
            </w:pP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Depreciation and</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of</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income statements</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Amortization</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Construction</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is computed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TOWN &amp; COUNTRY (Louisiana)</w:t>
            </w:r>
          </w:p>
        </w:tc>
        <w:tc>
          <w:tcPr>
            <w:tcW w:w="2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5,367,000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647,000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1974</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12/31/90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TOWN &amp; COUNTRY (Illinois)</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8,280,000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5,729,000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1968</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10/15/73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TROY (New Jersey)</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10,590,000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5,552,000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1966</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07/23/80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TYSONS STATION (Virginia)</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3,192,000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2,369,000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1954</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01/17/78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WESTFALLS (Virginia)</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3,139,000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1,771,000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10/05/72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WILDWOOD (Maryland)</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15,335,000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4,505,000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1958</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05/05/69</w:t>
            </w:r>
          </w:p>
        </w:tc>
        <w:tc>
          <w:tcPr>
            <w:tcW w:w="14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4"/>
              </w:rPr>
              <w:t>33 1/3 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WILLIAMSBURG (Virginia)</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12,447,000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3,029,000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1961</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04/30/86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GROVE (Pennsylvania)</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24,884,000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6,832,000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1953</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11/20/84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LAWN (Virginia)</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49,755,000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13,677,000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1957</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12/05/83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TOTALS</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$1,009,682,000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$190,795,000</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3160" w:type="dxa"/>
            <w:vAlign w:val="bottom"/>
          </w:tcPr>
          <w:p>
            <w:pPr>
              <w:spacing w:after="0"/>
              <w:rPr>
                <w:sz w:val="24"/>
                <w:szCs w:val="24"/>
                <w:color w:val="auto"/>
              </w:rPr>
            </w:pPr>
          </w:p>
        </w:tc>
        <w:tc>
          <w:tcPr>
            <w:tcW w:w="218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F-22</w:t>
            </w: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60"/>
          </w:cols>
          <w:pgMar w:left="220" w:top="1122" w:right="219" w:bottom="1440" w:gutter="0" w:footer="0" w:header="0"/>
        </w:sectPr>
      </w:pPr>
    </w:p>
    <w:bookmarkStart w:id="60" w:name="page61"/>
    <w:bookmarkEnd w:id="60"/>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399"/>
        <w:spacing w:after="0" w:line="237" w:lineRule="auto"/>
        <w:rPr>
          <w:sz w:val="20"/>
          <w:szCs w:val="20"/>
          <w:color w:val="auto"/>
        </w:rPr>
      </w:pPr>
      <w:r>
        <w:rPr>
          <w:rFonts w:ascii="Courier New" w:cs="Courier New" w:eastAsia="Courier New" w:hAnsi="Courier New"/>
          <w:sz w:val="15"/>
          <w:szCs w:val="15"/>
          <w:color w:val="auto"/>
        </w:rPr>
        <w:t>SCHEDULE III</w:t>
      </w:r>
    </w:p>
    <w:p>
      <w:pPr>
        <w:jc w:val="center"/>
        <w:ind w:right="3399"/>
        <w:spacing w:after="0" w:line="238" w:lineRule="auto"/>
        <w:rPr>
          <w:sz w:val="20"/>
          <w:szCs w:val="20"/>
          <w:color w:val="auto"/>
        </w:rPr>
      </w:pPr>
      <w:r>
        <w:rPr>
          <w:rFonts w:ascii="Courier New" w:cs="Courier New" w:eastAsia="Courier New" w:hAnsi="Courier New"/>
          <w:sz w:val="15"/>
          <w:szCs w:val="15"/>
          <w:color w:val="auto"/>
        </w:rPr>
        <w:t>SUMMARY OF REAL ESTATE AND ACCUMULATED</w:t>
      </w:r>
    </w:p>
    <w:tbl>
      <w:tblPr>
        <w:tblLayout w:type="fixed"/>
        <w:tblInd w:w="0" w:type="dxa"/>
        <w:tblCellMar>
          <w:top w:w="0" w:type="dxa"/>
          <w:left w:w="0" w:type="dxa"/>
          <w:bottom w:w="0" w:type="dxa"/>
          <w:right w:w="0" w:type="dxa"/>
        </w:tblCellMar>
      </w:tblPr>
      <w:tr>
        <w:trPr>
          <w:trHeight w:val="168"/>
        </w:trPr>
        <w:tc>
          <w:tcPr>
            <w:tcW w:w="49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DEPRECIATION - CONTINUED</w:t>
            </w:r>
          </w:p>
        </w:tc>
        <w:tc>
          <w:tcPr>
            <w:tcW w:w="1580" w:type="dxa"/>
            <w:vAlign w:val="bottom"/>
          </w:tcPr>
          <w:p>
            <w:pPr>
              <w:spacing w:after="0"/>
              <w:rPr>
                <w:sz w:val="14"/>
                <w:szCs w:val="14"/>
                <w:color w:val="auto"/>
              </w:rPr>
            </w:pPr>
          </w:p>
        </w:tc>
      </w:tr>
      <w:tr>
        <w:trPr>
          <w:trHeight w:val="168"/>
        </w:trPr>
        <w:tc>
          <w:tcPr>
            <w:tcW w:w="6480" w:type="dxa"/>
            <w:vAlign w:val="bottom"/>
            <w:gridSpan w:val="2"/>
          </w:tcPr>
          <w:p>
            <w:pPr>
              <w:ind w:left="2280"/>
              <w:spacing w:after="0" w:line="168" w:lineRule="exact"/>
              <w:rPr>
                <w:sz w:val="20"/>
                <w:szCs w:val="20"/>
                <w:color w:val="auto"/>
              </w:rPr>
            </w:pPr>
            <w:r>
              <w:rPr>
                <w:rFonts w:ascii="Courier New" w:cs="Courier New" w:eastAsia="Courier New" w:hAnsi="Courier New"/>
                <w:sz w:val="15"/>
                <w:szCs w:val="15"/>
                <w:color w:val="auto"/>
              </w:rPr>
              <w:t>Three Years Ended December 31, 1995</w:t>
            </w:r>
          </w:p>
        </w:tc>
      </w:tr>
      <w:tr>
        <w:trPr>
          <w:trHeight w:val="505"/>
        </w:trPr>
        <w:tc>
          <w:tcPr>
            <w:tcW w:w="4900" w:type="dxa"/>
            <w:vAlign w:val="bottom"/>
          </w:tcPr>
          <w:p>
            <w:pPr>
              <w:ind w:left="2200"/>
              <w:spacing w:after="0"/>
              <w:rPr>
                <w:sz w:val="20"/>
                <w:szCs w:val="20"/>
                <w:color w:val="auto"/>
              </w:rPr>
            </w:pPr>
            <w:r>
              <w:rPr>
                <w:rFonts w:ascii="Courier New" w:cs="Courier New" w:eastAsia="Courier New" w:hAnsi="Courier New"/>
                <w:sz w:val="15"/>
                <w:szCs w:val="15"/>
                <w:color w:val="auto"/>
              </w:rPr>
              <w:t>Reconciliation of Total Cost</w:t>
            </w:r>
          </w:p>
        </w:tc>
        <w:tc>
          <w:tcPr>
            <w:tcW w:w="1580" w:type="dxa"/>
            <w:vAlign w:val="bottom"/>
          </w:tcPr>
          <w:p>
            <w:pPr>
              <w:spacing w:after="0"/>
              <w:rPr>
                <w:sz w:val="24"/>
                <w:szCs w:val="24"/>
                <w:color w:val="auto"/>
              </w:rPr>
            </w:pPr>
          </w:p>
        </w:tc>
      </w:tr>
      <w:tr>
        <w:trPr>
          <w:trHeight w:val="168"/>
        </w:trPr>
        <w:tc>
          <w:tcPr>
            <w:tcW w:w="6480" w:type="dxa"/>
            <w:vAlign w:val="bottom"/>
            <w:gridSpan w:val="2"/>
          </w:tcPr>
          <w:p>
            <w:pPr>
              <w:ind w:left="202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January 1, 1993</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$598,867,000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58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123,083,000</w:t>
            </w: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Improvements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37,110,000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 during period - disposition</w:t>
            </w:r>
          </w:p>
        </w:tc>
        <w:tc>
          <w:tcPr>
            <w:tcW w:w="158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property and miscellaneous retirements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(972,000)</w:t>
            </w:r>
          </w:p>
        </w:tc>
      </w:tr>
      <w:tr>
        <w:trPr>
          <w:trHeight w:val="168"/>
        </w:trPr>
        <w:tc>
          <w:tcPr>
            <w:tcW w:w="490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758,088,000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580" w:type="dxa"/>
            <w:vAlign w:val="bottom"/>
          </w:tcPr>
          <w:p>
            <w:pPr>
              <w:spacing w:after="0"/>
              <w:rPr>
                <w:sz w:val="14"/>
                <w:szCs w:val="14"/>
                <w:color w:val="auto"/>
              </w:rPr>
            </w:pP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49,438,000</w:t>
            </w: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Improvements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46,916,000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Deductions during period - miscellaneous retirements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(1,720,000)</w:t>
            </w:r>
          </w:p>
        </w:tc>
      </w:tr>
      <w:tr>
        <w:trPr>
          <w:trHeight w:val="168"/>
        </w:trPr>
        <w:tc>
          <w:tcPr>
            <w:tcW w:w="490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852,722,000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580" w:type="dxa"/>
            <w:vAlign w:val="bottom"/>
          </w:tcPr>
          <w:p>
            <w:pPr>
              <w:spacing w:after="0"/>
              <w:rPr>
                <w:sz w:val="14"/>
                <w:szCs w:val="14"/>
                <w:color w:val="auto"/>
              </w:rPr>
            </w:pPr>
          </w:p>
        </w:tc>
      </w:tr>
      <w:tr>
        <w:trPr>
          <w:trHeight w:val="168"/>
        </w:trPr>
        <w:tc>
          <w:tcPr>
            <w:tcW w:w="4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123,722,000</w:t>
            </w: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Improvements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38,001,000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 during period - disposition</w:t>
            </w:r>
          </w:p>
        </w:tc>
        <w:tc>
          <w:tcPr>
            <w:tcW w:w="158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property and miscellaneous retirements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(4,763,000)</w:t>
            </w:r>
          </w:p>
        </w:tc>
      </w:tr>
      <w:tr>
        <w:trPr>
          <w:trHeight w:val="168"/>
        </w:trPr>
        <w:tc>
          <w:tcPr>
            <w:tcW w:w="490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$1,009,682,000</w:t>
            </w:r>
          </w:p>
        </w:tc>
      </w:tr>
      <w:tr>
        <w:trPr>
          <w:trHeight w:val="168"/>
        </w:trPr>
        <w:tc>
          <w:tcPr>
            <w:tcW w:w="490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939" w:hanging="343"/>
        <w:spacing w:after="0" w:line="234"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tax purposes, the aggregate cost basis is approximately $892,762,000 as of December 31, 1995.</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61" w:name="page62"/>
    <w:bookmarkEnd w:id="61"/>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900"/>
        <w:spacing w:after="0" w:line="237" w:lineRule="auto"/>
        <w:rPr>
          <w:sz w:val="20"/>
          <w:szCs w:val="20"/>
          <w:color w:val="auto"/>
        </w:rPr>
      </w:pPr>
      <w:r>
        <w:rPr>
          <w:rFonts w:ascii="Courier New" w:cs="Courier New" w:eastAsia="Courier New" w:hAnsi="Courier New"/>
          <w:sz w:val="15"/>
          <w:szCs w:val="15"/>
          <w:color w:val="auto"/>
        </w:rPr>
        <w:t>SCHEDULE III</w:t>
      </w:r>
    </w:p>
    <w:p>
      <w:pPr>
        <w:ind w:left="1760"/>
        <w:spacing w:after="0" w:line="238" w:lineRule="auto"/>
        <w:rPr>
          <w:sz w:val="20"/>
          <w:szCs w:val="20"/>
          <w:color w:val="auto"/>
        </w:rPr>
      </w:pPr>
      <w:r>
        <w:rPr>
          <w:rFonts w:ascii="Courier New" w:cs="Courier New" w:eastAsia="Courier New" w:hAnsi="Courier New"/>
          <w:sz w:val="15"/>
          <w:szCs w:val="15"/>
          <w:color w:val="auto"/>
        </w:rPr>
        <w:t>SUMMARY OF REAL ESTATE AND ACCUMULATED</w:t>
      </w:r>
    </w:p>
    <w:p>
      <w:pPr>
        <w:ind w:left="2380"/>
        <w:spacing w:after="0" w:line="237" w:lineRule="auto"/>
        <w:rPr>
          <w:sz w:val="20"/>
          <w:szCs w:val="20"/>
          <w:color w:val="auto"/>
        </w:rPr>
      </w:pPr>
      <w:r>
        <w:rPr>
          <w:rFonts w:ascii="Courier New" w:cs="Courier New" w:eastAsia="Courier New" w:hAnsi="Courier New"/>
          <w:sz w:val="15"/>
          <w:szCs w:val="15"/>
          <w:color w:val="auto"/>
        </w:rPr>
        <w:t>DEPRECIATION - CONTINUED</w:t>
      </w:r>
    </w:p>
    <w:p>
      <w:pPr>
        <w:ind w:left="2380"/>
        <w:spacing w:after="0" w:line="238" w:lineRule="auto"/>
        <w:rPr>
          <w:sz w:val="20"/>
          <w:szCs w:val="20"/>
          <w:color w:val="auto"/>
        </w:rPr>
      </w:pPr>
      <w:r>
        <w:rPr>
          <w:rFonts w:ascii="Courier New" w:cs="Courier New" w:eastAsia="Courier New" w:hAnsi="Courier New"/>
          <w:sz w:val="15"/>
          <w:szCs w:val="15"/>
          <w:color w:val="auto"/>
        </w:rPr>
        <w:t>Three Years Ended December 31, 1995</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Reconciliation of Accumulated Depreciation and Amortization</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January 1, 1993</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$113,182,000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780" w:type="dxa"/>
            <w:vAlign w:val="bottom"/>
          </w:tcPr>
          <w:p>
            <w:pPr>
              <w:spacing w:after="0"/>
              <w:rPr>
                <w:sz w:val="14"/>
                <w:szCs w:val="1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22,643,000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Deductions during period - disposition of</w:t>
            </w:r>
          </w:p>
        </w:tc>
        <w:tc>
          <w:tcPr>
            <w:tcW w:w="178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miscellaneous retirements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(780,000)</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135,045,000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780" w:type="dxa"/>
            <w:vAlign w:val="bottom"/>
          </w:tcPr>
          <w:p>
            <w:pPr>
              <w:spacing w:after="0"/>
              <w:rPr>
                <w:sz w:val="14"/>
                <w:szCs w:val="1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26,681,000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Deductions during period - miscellaneous</w:t>
            </w:r>
          </w:p>
        </w:tc>
        <w:tc>
          <w:tcPr>
            <w:tcW w:w="178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retirements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(1,090,000)</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160,636,000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780" w:type="dxa"/>
            <w:vAlign w:val="bottom"/>
          </w:tcPr>
          <w:p>
            <w:pPr>
              <w:spacing w:after="0"/>
              <w:rPr>
                <w:sz w:val="14"/>
                <w:szCs w:val="1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31,550,000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Deductions during period - disposition of</w:t>
            </w:r>
          </w:p>
        </w:tc>
        <w:tc>
          <w:tcPr>
            <w:tcW w:w="178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miscellaneous retirements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(1,391,000)</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$190,795,000</w:t>
            </w:r>
          </w:p>
        </w:tc>
      </w:tr>
      <w:tr>
        <w:trPr>
          <w:trHeight w:val="168"/>
        </w:trPr>
        <w:tc>
          <w:tcPr>
            <w:tcW w:w="4260" w:type="dxa"/>
            <w:vAlign w:val="bottom"/>
          </w:tcPr>
          <w:p>
            <w:pPr>
              <w:spacing w:after="0"/>
              <w:rPr>
                <w:sz w:val="14"/>
                <w:szCs w:val="14"/>
                <w:color w:val="auto"/>
              </w:rPr>
            </w:pP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260" w:type="dxa"/>
            <w:vAlign w:val="bottom"/>
          </w:tcPr>
          <w:p>
            <w:pPr>
              <w:ind w:left="3240"/>
              <w:spacing w:after="0"/>
              <w:rPr>
                <w:sz w:val="20"/>
                <w:szCs w:val="20"/>
                <w:color w:val="auto"/>
              </w:rPr>
            </w:pPr>
            <w:r>
              <w:rPr>
                <w:rFonts w:ascii="Courier New" w:cs="Courier New" w:eastAsia="Courier New" w:hAnsi="Courier New"/>
                <w:sz w:val="15"/>
                <w:szCs w:val="15"/>
                <w:color w:val="auto"/>
              </w:rPr>
              <w:t>F-24</w:t>
            </w:r>
          </w:p>
        </w:tc>
        <w:tc>
          <w:tcPr>
            <w:tcW w:w="1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2" w:name="page63"/>
    <w:bookmarkEnd w:id="62"/>
    <w:p>
      <w:pPr>
        <w:jc w:val="center"/>
        <w:ind w:right="4540"/>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4540"/>
        <w:spacing w:after="0" w:line="237" w:lineRule="auto"/>
        <w:rPr>
          <w:sz w:val="20"/>
          <w:szCs w:val="20"/>
          <w:color w:val="auto"/>
        </w:rPr>
      </w:pPr>
      <w:r>
        <w:rPr>
          <w:rFonts w:ascii="Courier New" w:cs="Courier New" w:eastAsia="Courier New" w:hAnsi="Courier New"/>
          <w:sz w:val="15"/>
          <w:szCs w:val="15"/>
          <w:color w:val="auto"/>
        </w:rPr>
        <w:t>SCHEDULE IV</w:t>
      </w:r>
    </w:p>
    <w:p>
      <w:pPr>
        <w:jc w:val="center"/>
        <w:ind w:right="4540"/>
        <w:spacing w:after="0" w:line="238" w:lineRule="auto"/>
        <w:rPr>
          <w:sz w:val="20"/>
          <w:szCs w:val="20"/>
          <w:color w:val="auto"/>
        </w:rPr>
      </w:pPr>
      <w:r>
        <w:rPr>
          <w:rFonts w:ascii="Courier New" w:cs="Courier New" w:eastAsia="Courier New" w:hAnsi="Courier New"/>
          <w:sz w:val="15"/>
          <w:szCs w:val="15"/>
          <w:color w:val="auto"/>
        </w:rPr>
        <w:t>MORTGAGE LOANS ON REAL ESTATE</w:t>
      </w:r>
    </w:p>
    <w:tbl>
      <w:tblPr>
        <w:tblLayout w:type="fixed"/>
        <w:tblInd w:w="0" w:type="dxa"/>
        <w:tblCellMar>
          <w:top w:w="0" w:type="dxa"/>
          <w:left w:w="0" w:type="dxa"/>
          <w:bottom w:w="0" w:type="dxa"/>
          <w:right w:w="0" w:type="dxa"/>
        </w:tblCellMar>
      </w:tblPr>
      <w:tr>
        <w:trPr>
          <w:trHeight w:val="168"/>
        </w:trPr>
        <w:tc>
          <w:tcPr>
            <w:tcW w:w="2200" w:type="dxa"/>
            <w:vAlign w:val="bottom"/>
          </w:tcPr>
          <w:p>
            <w:pPr>
              <w:spacing w:after="0"/>
              <w:rPr>
                <w:sz w:val="14"/>
                <w:szCs w:val="14"/>
                <w:color w:val="auto"/>
              </w:rPr>
            </w:pPr>
          </w:p>
        </w:tc>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Year Ended December</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31, 1995</w:t>
            </w:r>
          </w:p>
        </w:tc>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41"/>
        </w:trPr>
        <w:tc>
          <w:tcPr>
            <w:tcW w:w="2200" w:type="dxa"/>
            <w:vAlign w:val="bottom"/>
          </w:tcPr>
          <w:p>
            <w:pPr>
              <w:ind w:left="620"/>
              <w:spacing w:after="0"/>
              <w:rPr>
                <w:sz w:val="20"/>
                <w:szCs w:val="20"/>
                <w:color w:val="auto"/>
              </w:rPr>
            </w:pPr>
            <w:r>
              <w:rPr>
                <w:rFonts w:ascii="Courier New" w:cs="Courier New" w:eastAsia="Courier New" w:hAnsi="Courier New"/>
                <w:sz w:val="15"/>
                <w:szCs w:val="15"/>
                <w:color w:val="auto"/>
              </w:rPr>
              <w:t>Column A</w:t>
            </w:r>
          </w:p>
        </w:tc>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Column B</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Column C</w:t>
            </w:r>
          </w:p>
        </w:tc>
        <w:tc>
          <w:tcPr>
            <w:tcW w:w="2000" w:type="dxa"/>
            <w:vAlign w:val="bottom"/>
          </w:tcPr>
          <w:p>
            <w:pPr>
              <w:ind w:left="480"/>
              <w:spacing w:after="0"/>
              <w:rPr>
                <w:sz w:val="20"/>
                <w:szCs w:val="20"/>
                <w:color w:val="auto"/>
              </w:rPr>
            </w:pPr>
            <w:r>
              <w:rPr>
                <w:rFonts w:ascii="Courier New" w:cs="Courier New" w:eastAsia="Courier New" w:hAnsi="Courier New"/>
                <w:sz w:val="15"/>
                <w:szCs w:val="15"/>
                <w:color w:val="auto"/>
              </w:rPr>
              <w:t>Column D</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Column E</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Column F</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Column G</w:t>
            </w:r>
          </w:p>
        </w:tc>
        <w:tc>
          <w:tcPr>
            <w:tcW w:w="260" w:type="dxa"/>
            <w:vAlign w:val="bottom"/>
          </w:tcPr>
          <w:p>
            <w:pPr>
              <w:spacing w:after="0"/>
              <w:rPr>
                <w:sz w:val="24"/>
                <w:szCs w:val="2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Carrying</w:t>
            </w:r>
          </w:p>
        </w:tc>
        <w:tc>
          <w:tcPr>
            <w:tcW w:w="2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Periodic Payment</w:t>
            </w:r>
          </w:p>
        </w:tc>
        <w:tc>
          <w:tcPr>
            <w:tcW w:w="14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Face Amount</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Amount of</w:t>
            </w:r>
          </w:p>
        </w:tc>
        <w:tc>
          <w:tcPr>
            <w:tcW w:w="26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Description of Lien</w:t>
            </w:r>
          </w:p>
        </w:tc>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Interest Rate</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Maturity Date</w:t>
            </w:r>
          </w:p>
        </w:tc>
        <w:tc>
          <w:tcPr>
            <w:tcW w:w="2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Terms</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Prior Liens</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of Mortgage</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Mortgages (1)</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Leasehold mortgage</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December 2003</w:t>
            </w:r>
          </w:p>
        </w:tc>
        <w:tc>
          <w:tcPr>
            <w:tcW w:w="2000" w:type="dxa"/>
            <w:vAlign w:val="bottom"/>
          </w:tcPr>
          <w:p>
            <w:pPr>
              <w:ind w:left="120"/>
              <w:spacing w:after="0"/>
              <w:rPr>
                <w:sz w:val="20"/>
                <w:szCs w:val="20"/>
                <w:color w:val="auto"/>
              </w:rPr>
            </w:pPr>
            <w:r>
              <w:rPr>
                <w:rFonts w:ascii="Courier New" w:cs="Courier New" w:eastAsia="Courier New" w:hAnsi="Courier New"/>
                <w:sz w:val="15"/>
                <w:szCs w:val="15"/>
                <w:color w:val="auto"/>
              </w:rPr>
              <w:t>Interest only</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on shopping</w:t>
            </w: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monthly; $10,000,000</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 in New Jersey</w:t>
            </w: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balloon payment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December 2003</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Mortgage on</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January 1997</w:t>
            </w:r>
          </w:p>
        </w:tc>
        <w:tc>
          <w:tcPr>
            <w:tcW w:w="2000" w:type="dxa"/>
            <w:vAlign w:val="bottom"/>
          </w:tcPr>
          <w:p>
            <w:pPr>
              <w:ind w:left="120"/>
              <w:spacing w:after="0"/>
              <w:rPr>
                <w:sz w:val="20"/>
                <w:szCs w:val="20"/>
                <w:color w:val="auto"/>
              </w:rPr>
            </w:pPr>
            <w:r>
              <w:rPr>
                <w:rFonts w:ascii="Courier New" w:cs="Courier New" w:eastAsia="Courier New" w:hAnsi="Courier New"/>
                <w:sz w:val="15"/>
                <w:szCs w:val="15"/>
                <w:color w:val="auto"/>
              </w:rPr>
              <w:t>Interest only</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4,020,000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3,182,000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shopping center</w:t>
            </w: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monthly; balloon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 New Jersey</w:t>
            </w: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payment January 1997</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Mortgage on retail</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Greater of prime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November 1997</w:t>
            </w:r>
          </w:p>
        </w:tc>
        <w:tc>
          <w:tcPr>
            <w:tcW w:w="2000" w:type="dxa"/>
            <w:vAlign w:val="bottom"/>
          </w:tcPr>
          <w:p>
            <w:pPr>
              <w:ind w:left="120"/>
              <w:spacing w:after="0"/>
              <w:rPr>
                <w:sz w:val="20"/>
                <w:szCs w:val="20"/>
                <w:color w:val="auto"/>
              </w:rPr>
            </w:pPr>
            <w:r>
              <w:rPr>
                <w:rFonts w:ascii="Courier New" w:cs="Courier New" w:eastAsia="Courier New" w:hAnsi="Courier New"/>
                <w:sz w:val="15"/>
                <w:szCs w:val="15"/>
                <w:color w:val="auto"/>
              </w:rPr>
              <w:t>Interest only</w:t>
            </w:r>
          </w:p>
        </w:tc>
        <w:tc>
          <w:tcPr>
            <w:tcW w:w="1400" w:type="dxa"/>
            <w:vAlign w:val="bottom"/>
          </w:tcPr>
          <w:p>
            <w:pPr>
              <w:spacing w:after="0"/>
              <w:rPr>
                <w:sz w:val="24"/>
                <w:szCs w:val="24"/>
                <w:color w:val="auto"/>
              </w:rPr>
            </w:pP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900,000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buildings in Philadelphia</w:t>
            </w:r>
          </w:p>
        </w:tc>
        <w:tc>
          <w:tcPr>
            <w:tcW w:w="1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plus 2% or 10%</w:t>
            </w: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monthly; balloon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payment January 1997</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$14,920,000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$13,561,000</w:t>
            </w:r>
          </w:p>
        </w:tc>
        <w:tc>
          <w:tcPr>
            <w:tcW w:w="2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bl>
    <w:p>
      <w:pPr>
        <w:spacing w:after="0" w:line="335" w:lineRule="exact"/>
        <w:rPr>
          <w:sz w:val="20"/>
          <w:szCs w:val="20"/>
          <w:color w:val="auto"/>
        </w:rPr>
      </w:pPr>
    </w:p>
    <w:p>
      <w:pPr>
        <w:ind w:left="280" w:hanging="270"/>
        <w:spacing w:after="0"/>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tax purposes, the aggregate tax basis is approximately</w:t>
      </w:r>
    </w:p>
    <w:p>
      <w:pPr>
        <w:spacing w:after="0" w:line="4" w:lineRule="exact"/>
        <w:rPr>
          <w:rFonts w:ascii="Courier New" w:cs="Courier New" w:eastAsia="Courier New" w:hAnsi="Courier New"/>
          <w:sz w:val="15"/>
          <w:szCs w:val="15"/>
          <w:color w:val="auto"/>
        </w:rPr>
      </w:pPr>
    </w:p>
    <w:p>
      <w:pPr>
        <w:ind w:left="280" w:right="490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$13,561,000 as of December 31, 1995. No payments are delinquent on these mortgages.</w:t>
      </w:r>
    </w:p>
    <w:p>
      <w:pPr>
        <w:spacing w:after="0" w:line="173" w:lineRule="exact"/>
        <w:rPr>
          <w:rFonts w:ascii="Courier New" w:cs="Courier New" w:eastAsia="Courier New" w:hAnsi="Courier New"/>
          <w:sz w:val="15"/>
          <w:szCs w:val="15"/>
          <w:color w:val="auto"/>
        </w:rPr>
      </w:pPr>
    </w:p>
    <w:p>
      <w:pPr>
        <w:ind w:left="280" w:right="4540" w:hanging="270"/>
        <w:spacing w:after="0" w:line="234" w:lineRule="auto"/>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is extendable for up to 45 years with interest increasing to a maximum of 11%.</w:t>
      </w:r>
    </w:p>
    <w:p>
      <w:pPr>
        <w:spacing w:after="0" w:line="173" w:lineRule="exact"/>
        <w:rPr>
          <w:rFonts w:ascii="Courier New" w:cs="Courier New" w:eastAsia="Courier New" w:hAnsi="Courier New"/>
          <w:sz w:val="15"/>
          <w:szCs w:val="15"/>
          <w:color w:val="auto"/>
        </w:rPr>
      </w:pPr>
    </w:p>
    <w:p>
      <w:pPr>
        <w:ind w:left="280" w:right="5060" w:hanging="270"/>
        <w:spacing w:after="0" w:line="234" w:lineRule="auto"/>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is available for up to $4,020,000. At December 31, 1994, $3,178,000 was outstanding.</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is available for up to $900,000.</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1460"/>
          </w:cols>
          <w:pgMar w:left="220" w:top="617" w:right="219" w:bottom="1440" w:gutter="0" w:footer="0" w:header="0"/>
        </w:sectPr>
      </w:pPr>
    </w:p>
    <w:bookmarkStart w:id="63" w:name="page64"/>
    <w:bookmarkEnd w:id="63"/>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319"/>
        <w:spacing w:after="0" w:line="237" w:lineRule="auto"/>
        <w:rPr>
          <w:sz w:val="20"/>
          <w:szCs w:val="20"/>
          <w:color w:val="auto"/>
        </w:rPr>
      </w:pPr>
      <w:r>
        <w:rPr>
          <w:rFonts w:ascii="Courier New" w:cs="Courier New" w:eastAsia="Courier New" w:hAnsi="Courier New"/>
          <w:sz w:val="15"/>
          <w:szCs w:val="15"/>
          <w:color w:val="auto"/>
        </w:rPr>
        <w:t>SCHEDULE IV</w:t>
      </w:r>
    </w:p>
    <w:p>
      <w:pPr>
        <w:jc w:val="center"/>
        <w:ind w:right="3319"/>
        <w:spacing w:after="0" w:line="238" w:lineRule="auto"/>
        <w:rPr>
          <w:sz w:val="20"/>
          <w:szCs w:val="20"/>
          <w:color w:val="auto"/>
        </w:rPr>
      </w:pPr>
      <w:r>
        <w:rPr>
          <w:rFonts w:ascii="Courier New" w:cs="Courier New" w:eastAsia="Courier New" w:hAnsi="Courier New"/>
          <w:sz w:val="15"/>
          <w:szCs w:val="15"/>
          <w:color w:val="auto"/>
        </w:rPr>
        <w:t>MORTGAGE LOANS ON REAL ESTATE-CONTINUED</w:t>
      </w:r>
    </w:p>
    <w:tbl>
      <w:tblPr>
        <w:tblLayout w:type="fixed"/>
        <w:tblInd w:w="0" w:type="dxa"/>
        <w:tblCellMar>
          <w:top w:w="0" w:type="dxa"/>
          <w:left w:w="0" w:type="dxa"/>
          <w:bottom w:w="0" w:type="dxa"/>
          <w:right w:w="0" w:type="dxa"/>
        </w:tblCellMar>
      </w:tblPr>
      <w:tr>
        <w:trPr>
          <w:trHeight w:val="168"/>
        </w:trPr>
        <w:tc>
          <w:tcPr>
            <w:tcW w:w="478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Year Ended December 31, 1995</w:t>
            </w:r>
          </w:p>
        </w:tc>
        <w:tc>
          <w:tcPr>
            <w:tcW w:w="1620" w:type="dxa"/>
            <w:vAlign w:val="bottom"/>
          </w:tcPr>
          <w:p>
            <w:pPr>
              <w:spacing w:after="0"/>
              <w:rPr>
                <w:sz w:val="14"/>
                <w:szCs w:val="14"/>
                <w:color w:val="auto"/>
              </w:rPr>
            </w:pPr>
          </w:p>
        </w:tc>
      </w:tr>
      <w:tr>
        <w:trPr>
          <w:trHeight w:val="673"/>
        </w:trPr>
        <w:tc>
          <w:tcPr>
            <w:tcW w:w="4780" w:type="dxa"/>
            <w:vAlign w:val="bottom"/>
          </w:tcPr>
          <w:p>
            <w:pPr>
              <w:spacing w:after="0"/>
              <w:rPr>
                <w:sz w:val="24"/>
                <w:szCs w:val="24"/>
                <w:color w:val="auto"/>
              </w:rPr>
            </w:pPr>
          </w:p>
        </w:tc>
        <w:tc>
          <w:tcPr>
            <w:tcW w:w="16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RECONCILIATION OF</w:t>
            </w:r>
          </w:p>
        </w:tc>
      </w:tr>
      <w:tr>
        <w:trPr>
          <w:trHeight w:val="168"/>
        </w:trPr>
        <w:tc>
          <w:tcPr>
            <w:tcW w:w="4780" w:type="dxa"/>
            <w:vAlign w:val="bottom"/>
          </w:tcPr>
          <w:p>
            <w:pPr>
              <w:spacing w:after="0"/>
              <w:rPr>
                <w:sz w:val="14"/>
                <w:szCs w:val="14"/>
                <w:color w:val="auto"/>
              </w:rPr>
            </w:pP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CARRYING AMOUNT</w:t>
            </w:r>
          </w:p>
        </w:tc>
      </w:tr>
      <w:tr>
        <w:trPr>
          <w:trHeight w:val="168"/>
        </w:trPr>
        <w:tc>
          <w:tcPr>
            <w:tcW w:w="4780" w:type="dxa"/>
            <w:vAlign w:val="bottom"/>
          </w:tcPr>
          <w:p>
            <w:pPr>
              <w:spacing w:after="0"/>
              <w:rPr>
                <w:sz w:val="14"/>
                <w:szCs w:val="14"/>
                <w:color w:val="auto"/>
              </w:rPr>
            </w:pP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January 1, 1993</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$16,693,000</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62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existing loan</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47,000</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Deductions during period</w:t>
            </w:r>
          </w:p>
        </w:tc>
        <w:tc>
          <w:tcPr>
            <w:tcW w:w="162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trust on wrap mortgage</w:t>
            </w:r>
          </w:p>
        </w:tc>
        <w:tc>
          <w:tcPr>
            <w:tcW w:w="1620" w:type="dxa"/>
            <w:vAlign w:val="bottom"/>
          </w:tcPr>
          <w:p>
            <w:pPr>
              <w:spacing w:after="0"/>
              <w:rPr>
                <w:sz w:val="14"/>
                <w:szCs w:val="14"/>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transferred to borrower</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(2,801,000)</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Collections of principal</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(68,000)</w:t>
            </w:r>
          </w:p>
        </w:tc>
      </w:tr>
      <w:tr>
        <w:trPr>
          <w:trHeight w:val="168"/>
        </w:trPr>
        <w:tc>
          <w:tcPr>
            <w:tcW w:w="4780" w:type="dxa"/>
            <w:vAlign w:val="bottom"/>
          </w:tcPr>
          <w:p>
            <w:pPr>
              <w:spacing w:after="0"/>
              <w:rPr>
                <w:sz w:val="14"/>
                <w:szCs w:val="14"/>
                <w:color w:val="auto"/>
              </w:rPr>
            </w:pP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1993</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13,871,000</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62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existing loan</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Deductions during period</w:t>
            </w:r>
          </w:p>
        </w:tc>
        <w:tc>
          <w:tcPr>
            <w:tcW w:w="162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Wrap portion of wrap mortgage</w:t>
            </w:r>
          </w:p>
        </w:tc>
        <w:tc>
          <w:tcPr>
            <w:tcW w:w="162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written off as uncollectible</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(700,000)</w:t>
            </w:r>
          </w:p>
        </w:tc>
      </w:tr>
      <w:tr>
        <w:trPr>
          <w:trHeight w:val="168"/>
        </w:trPr>
        <w:tc>
          <w:tcPr>
            <w:tcW w:w="4780" w:type="dxa"/>
            <w:vAlign w:val="bottom"/>
          </w:tcPr>
          <w:p>
            <w:pPr>
              <w:spacing w:after="0"/>
              <w:rPr>
                <w:sz w:val="14"/>
                <w:szCs w:val="14"/>
                <w:color w:val="auto"/>
              </w:rPr>
            </w:pP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1994</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13,178,000</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62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existing loan</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Issuance of loan</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379,000</w:t>
            </w:r>
          </w:p>
        </w:tc>
      </w:tr>
      <w:tr>
        <w:trPr>
          <w:trHeight w:val="168"/>
        </w:trPr>
        <w:tc>
          <w:tcPr>
            <w:tcW w:w="4780" w:type="dxa"/>
            <w:vAlign w:val="bottom"/>
          </w:tcPr>
          <w:p>
            <w:pPr>
              <w:spacing w:after="0"/>
              <w:rPr>
                <w:sz w:val="14"/>
                <w:szCs w:val="14"/>
                <w:color w:val="auto"/>
              </w:rPr>
            </w:pP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$13,561,000</w:t>
            </w:r>
          </w:p>
        </w:tc>
      </w:tr>
      <w:tr>
        <w:trPr>
          <w:trHeight w:val="168"/>
        </w:trPr>
        <w:tc>
          <w:tcPr>
            <w:tcW w:w="4780" w:type="dxa"/>
            <w:vAlign w:val="bottom"/>
          </w:tcPr>
          <w:p>
            <w:pPr>
              <w:spacing w:after="0"/>
              <w:rPr>
                <w:sz w:val="14"/>
                <w:szCs w:val="14"/>
                <w:color w:val="auto"/>
              </w:rPr>
            </w:pP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4780" w:type="dxa"/>
            <w:vAlign w:val="bottom"/>
          </w:tcPr>
          <w:p>
            <w:pPr>
              <w:ind w:left="3240"/>
              <w:spacing w:after="0"/>
              <w:rPr>
                <w:sz w:val="20"/>
                <w:szCs w:val="20"/>
                <w:color w:val="auto"/>
              </w:rPr>
            </w:pPr>
            <w:r>
              <w:rPr>
                <w:rFonts w:ascii="Courier New" w:cs="Courier New" w:eastAsia="Courier New" w:hAnsi="Courier New"/>
                <w:sz w:val="15"/>
                <w:szCs w:val="15"/>
                <w:color w:val="auto"/>
              </w:rPr>
              <w:t>F-26</w:t>
            </w:r>
          </w:p>
        </w:tc>
        <w:tc>
          <w:tcPr>
            <w:tcW w:w="16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on Supplemental Information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line="237" w:lineRule="auto"/>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connection with our audit of the consolidated financial statements of Federal Realty Investment Trust referred to in our report dated February 9, 1996 which is included in this Form 10-K, we have also audited Schedules III and IV as of December 31, 1995 and for each of the three years then ended. In our opinion, these schedules present fairly, in all material respects, the information required to be set forth therein.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237" w:lineRule="auto"/>
        <w:rPr>
          <w:sz w:val="20"/>
          <w:szCs w:val="20"/>
          <w:color w:val="auto"/>
        </w:rPr>
      </w:pPr>
      <w:r>
        <w:rPr>
          <w:rFonts w:ascii="Courier New" w:cs="Courier New" w:eastAsia="Courier New" w:hAnsi="Courier New"/>
          <w:sz w:val="15"/>
          <w:szCs w:val="15"/>
          <w:color w:val="auto"/>
        </w:rPr>
        <w:t>Washington, D.C.</w:t>
      </w:r>
    </w:p>
    <w:p>
      <w:pPr>
        <w:spacing w:after="0" w:line="238" w:lineRule="auto"/>
        <w:tabs>
          <w:tab w:leader="none" w:pos="1120" w:val="left"/>
        </w:tabs>
        <w:rPr>
          <w:sz w:val="20"/>
          <w:szCs w:val="20"/>
          <w:color w:val="auto"/>
        </w:rPr>
      </w:pPr>
      <w:r>
        <w:rPr>
          <w:rFonts w:ascii="Courier New" w:cs="Courier New" w:eastAsia="Courier New" w:hAnsi="Courier New"/>
          <w:sz w:val="15"/>
          <w:szCs w:val="15"/>
          <w:color w:val="auto"/>
        </w:rPr>
        <w:t>February 9,</w:t>
        <w:tab/>
        <w:t>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059"/>
          </w:cols>
          <w:pgMar w:left="400" w:top="78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issued our reports dated February 9, 1996 accompanying the consolidated financial statements and schedules included in the Annual Report of Federal Realty Investment Trust on Form 10K for the year ended December 31, 1995. We hereby consent to the incorporation by reference of said reports in the Registration Statement of Federal Realty Investment Trust on Form S-3 (File No. 33-63687, effective December 4, 1995, which pursuant to Rule 429 of the Securities and Exchange Act of 1934 constitues a post-effective amendment to Registration Statement No. 33-51029 effective December 13, 1993).</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237" w:lineRule="auto"/>
        <w:rPr>
          <w:sz w:val="20"/>
          <w:szCs w:val="20"/>
          <w:color w:val="auto"/>
        </w:rPr>
      </w:pPr>
      <w:r>
        <w:rPr>
          <w:rFonts w:ascii="Courier New" w:cs="Courier New" w:eastAsia="Courier New" w:hAnsi="Courier New"/>
          <w:sz w:val="15"/>
          <w:szCs w:val="15"/>
          <w:color w:val="auto"/>
        </w:rPr>
        <w:t>Washington, D.C.</w:t>
      </w:r>
    </w:p>
    <w:p>
      <w:pPr>
        <w:spacing w:after="0" w:line="238" w:lineRule="auto"/>
        <w:rPr>
          <w:sz w:val="20"/>
          <w:szCs w:val="20"/>
          <w:color w:val="auto"/>
        </w:rPr>
      </w:pPr>
      <w:r>
        <w:rPr>
          <w:rFonts w:ascii="Courier New" w:cs="Courier New" w:eastAsia="Courier New" w:hAnsi="Courier New"/>
          <w:sz w:val="15"/>
          <w:szCs w:val="15"/>
          <w:color w:val="auto"/>
        </w:rPr>
        <w:t>March 15, 1996</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059"/>
          </w:cols>
          <w:pgMar w:left="400" w:top="471"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219"/>
        <w:spacing w:after="0" w:line="236"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OF FEDERAL REALTY INVESTMENT TRUST AS OF DECEMBER 31, 1995 AND THE RELATED CONSOLIDATED STATEMENT OF OPERATIONS FOR THE TWELVE MONTHS ENDED DECEMBER 31, 1995 AND IS QUALIFIED IN ITS ENTIRETY BY REFERENCE TO SUCH FINANCIAL STATEMENTS.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12-MOS</w:t>
      </w:r>
    </w:p>
    <w:p>
      <w:pPr>
        <w:ind w:left="2280"/>
        <w:spacing w:after="0" w:line="237" w:lineRule="auto"/>
        <w:rPr>
          <w:sz w:val="20"/>
          <w:szCs w:val="20"/>
          <w:color w:val="auto"/>
        </w:rPr>
      </w:pPr>
      <w:r>
        <w:rPr>
          <w:rFonts w:ascii="Courier New" w:cs="Courier New" w:eastAsia="Courier New" w:hAnsi="Courier New"/>
          <w:sz w:val="15"/>
          <w:szCs w:val="15"/>
          <w:color w:val="auto"/>
        </w:rPr>
        <w:t>DEC-31-1995</w:t>
      </w:r>
    </w:p>
    <w:p>
      <w:pPr>
        <w:ind w:left="2720"/>
        <w:spacing w:after="0" w:line="238" w:lineRule="auto"/>
        <w:rPr>
          <w:sz w:val="20"/>
          <w:szCs w:val="20"/>
          <w:color w:val="auto"/>
        </w:rPr>
      </w:pPr>
      <w:r>
        <w:rPr>
          <w:rFonts w:ascii="Courier New" w:cs="Courier New" w:eastAsia="Courier New" w:hAnsi="Courier New"/>
          <w:sz w:val="15"/>
          <w:szCs w:val="15"/>
          <w:color w:val="auto"/>
        </w:rPr>
        <w:t>DEC-31-1995</w:t>
      </w:r>
    </w:p>
    <w:p>
      <w:pPr>
        <w:ind w:left="3680"/>
        <w:spacing w:after="0" w:line="237" w:lineRule="auto"/>
        <w:rPr>
          <w:sz w:val="20"/>
          <w:szCs w:val="20"/>
          <w:color w:val="auto"/>
        </w:rPr>
      </w:pPr>
      <w:r>
        <w:rPr>
          <w:rFonts w:ascii="Courier New" w:cs="Courier New" w:eastAsia="Courier New" w:hAnsi="Courier New"/>
          <w:sz w:val="15"/>
          <w:szCs w:val="15"/>
          <w:color w:val="auto"/>
        </w:rPr>
        <w:t>10,521</w:t>
      </w:r>
    </w:p>
    <w:p>
      <w:pPr>
        <w:ind w:left="3420"/>
        <w:spacing w:after="0" w:line="238" w:lineRule="auto"/>
        <w:rPr>
          <w:sz w:val="20"/>
          <w:szCs w:val="20"/>
          <w:color w:val="auto"/>
        </w:rPr>
      </w:pPr>
      <w:r>
        <w:rPr>
          <w:rFonts w:ascii="Courier New" w:cs="Courier New" w:eastAsia="Courier New" w:hAnsi="Courier New"/>
          <w:sz w:val="15"/>
          <w:szCs w:val="15"/>
          <w:color w:val="auto"/>
        </w:rPr>
        <w:t>261</w:t>
      </w:r>
    </w:p>
    <w:p>
      <w:pPr>
        <w:ind w:left="3080"/>
        <w:spacing w:after="0" w:line="237" w:lineRule="auto"/>
        <w:rPr>
          <w:sz w:val="20"/>
          <w:szCs w:val="20"/>
          <w:color w:val="auto"/>
        </w:rPr>
      </w:pPr>
      <w:r>
        <w:rPr>
          <w:rFonts w:ascii="Courier New" w:cs="Courier New" w:eastAsia="Courier New" w:hAnsi="Courier New"/>
          <w:sz w:val="15"/>
          <w:szCs w:val="15"/>
          <w:color w:val="auto"/>
        </w:rPr>
        <w:t>16,102</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1,009,682</w:t>
      </w:r>
    </w:p>
    <w:p>
      <w:pPr>
        <w:ind w:left="2720"/>
        <w:spacing w:after="0" w:line="237" w:lineRule="auto"/>
        <w:rPr>
          <w:sz w:val="20"/>
          <w:szCs w:val="20"/>
          <w:color w:val="auto"/>
        </w:rPr>
      </w:pPr>
      <w:r>
        <w:rPr>
          <w:rFonts w:ascii="Courier New" w:cs="Courier New" w:eastAsia="Courier New" w:hAnsi="Courier New"/>
          <w:sz w:val="15"/>
          <w:szCs w:val="15"/>
          <w:color w:val="auto"/>
        </w:rPr>
        <w:t>(190,795)</w:t>
      </w:r>
    </w:p>
    <w:p>
      <w:pPr>
        <w:ind w:left="2900"/>
        <w:spacing w:after="0" w:line="238" w:lineRule="auto"/>
        <w:rPr>
          <w:sz w:val="20"/>
          <w:szCs w:val="20"/>
          <w:color w:val="auto"/>
        </w:rPr>
      </w:pPr>
      <w:r>
        <w:rPr>
          <w:rFonts w:ascii="Courier New" w:cs="Courier New" w:eastAsia="Courier New" w:hAnsi="Courier New"/>
          <w:sz w:val="15"/>
          <w:szCs w:val="15"/>
          <w:color w:val="auto"/>
        </w:rPr>
        <w:t>886,154</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500"/>
        <w:spacing w:after="0" w:line="238" w:lineRule="auto"/>
        <w:rPr>
          <w:sz w:val="20"/>
          <w:szCs w:val="20"/>
          <w:color w:val="auto"/>
        </w:rPr>
      </w:pPr>
      <w:r>
        <w:rPr>
          <w:rFonts w:ascii="Courier New" w:cs="Courier New" w:eastAsia="Courier New" w:hAnsi="Courier New"/>
          <w:sz w:val="15"/>
          <w:szCs w:val="15"/>
          <w:color w:val="auto"/>
        </w:rPr>
        <w:t>512,586</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508,870</w:t>
      </w:r>
    </w:p>
    <w:p>
      <w:pPr>
        <w:ind w:left="3080"/>
        <w:spacing w:after="0" w:line="237" w:lineRule="auto"/>
        <w:rPr>
          <w:sz w:val="20"/>
          <w:szCs w:val="20"/>
          <w:color w:val="auto"/>
        </w:rPr>
      </w:pPr>
      <w:r>
        <w:rPr>
          <w:rFonts w:ascii="Courier New" w:cs="Courier New" w:eastAsia="Courier New" w:hAnsi="Courier New"/>
          <w:sz w:val="15"/>
          <w:szCs w:val="15"/>
          <w:color w:val="auto"/>
        </w:rPr>
        <w:t>(181,402)</w:t>
      </w:r>
    </w:p>
    <w:p>
      <w:pPr>
        <w:ind w:left="1680"/>
        <w:spacing w:after="0" w:line="238" w:lineRule="auto"/>
        <w:rPr>
          <w:sz w:val="20"/>
          <w:szCs w:val="20"/>
          <w:color w:val="auto"/>
        </w:rPr>
      </w:pPr>
      <w:r>
        <w:rPr>
          <w:rFonts w:ascii="Courier New" w:cs="Courier New" w:eastAsia="Courier New" w:hAnsi="Courier New"/>
          <w:sz w:val="15"/>
          <w:szCs w:val="15"/>
          <w:color w:val="auto"/>
        </w:rPr>
        <w:t>886,154</w:t>
      </w:r>
    </w:p>
    <w:p>
      <w:pPr>
        <w:ind w:left="4040"/>
        <w:spacing w:after="0" w:line="237" w:lineRule="auto"/>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150,276</w:t>
      </w:r>
    </w:p>
    <w:p>
      <w:pPr>
        <w:ind w:left="4200"/>
        <w:spacing w:after="0" w:line="237" w:lineRule="auto"/>
        <w:rPr>
          <w:sz w:val="20"/>
          <w:szCs w:val="20"/>
          <w:color w:val="auto"/>
        </w:rPr>
      </w:pPr>
      <w:r>
        <w:rPr>
          <w:rFonts w:ascii="Courier New" w:cs="Courier New" w:eastAsia="Courier New" w:hAnsi="Courier New"/>
          <w:sz w:val="15"/>
          <w:szCs w:val="15"/>
          <w:color w:val="auto"/>
        </w:rPr>
        <w:t>0</w:t>
      </w:r>
    </w:p>
    <w:p>
      <w:pPr>
        <w:ind w:left="3080"/>
        <w:spacing w:after="0" w:line="238" w:lineRule="auto"/>
        <w:rPr>
          <w:sz w:val="20"/>
          <w:szCs w:val="20"/>
          <w:color w:val="auto"/>
        </w:rPr>
      </w:pPr>
      <w:r>
        <w:rPr>
          <w:rFonts w:ascii="Courier New" w:cs="Courier New" w:eastAsia="Courier New" w:hAnsi="Courier New"/>
          <w:sz w:val="15"/>
          <w:szCs w:val="15"/>
          <w:color w:val="auto"/>
        </w:rPr>
        <w:t>49,564</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640"/>
        <w:spacing w:after="0" w:line="238" w:lineRule="auto"/>
        <w:rPr>
          <w:sz w:val="20"/>
          <w:szCs w:val="20"/>
          <w:color w:val="auto"/>
        </w:rPr>
      </w:pPr>
      <w:r>
        <w:rPr>
          <w:rFonts w:ascii="Courier New" w:cs="Courier New" w:eastAsia="Courier New" w:hAnsi="Courier New"/>
          <w:sz w:val="15"/>
          <w:szCs w:val="15"/>
          <w:color w:val="auto"/>
        </w:rPr>
        <w:t>39,268</w:t>
      </w:r>
    </w:p>
    <w:p>
      <w:pPr>
        <w:ind w:left="2900"/>
        <w:spacing w:after="0" w:line="237" w:lineRule="auto"/>
        <w:rPr>
          <w:sz w:val="20"/>
          <w:szCs w:val="20"/>
          <w:color w:val="auto"/>
        </w:rPr>
      </w:pPr>
      <w:r>
        <w:rPr>
          <w:rFonts w:ascii="Courier New" w:cs="Courier New" w:eastAsia="Courier New" w:hAnsi="Courier New"/>
          <w:sz w:val="15"/>
          <w:szCs w:val="15"/>
          <w:color w:val="auto"/>
        </w:rPr>
        <w:t>23,110</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23,110</w:t>
      </w:r>
    </w:p>
    <w:p>
      <w:pPr>
        <w:ind w:left="3340"/>
        <w:spacing w:after="0" w:line="237" w:lineRule="auto"/>
        <w:rPr>
          <w:sz w:val="20"/>
          <w:szCs w:val="20"/>
          <w:color w:val="auto"/>
        </w:rPr>
      </w:pPr>
      <w:r>
        <w:rPr>
          <w:rFonts w:ascii="Courier New" w:cs="Courier New" w:eastAsia="Courier New" w:hAnsi="Courier New"/>
          <w:sz w:val="15"/>
          <w:szCs w:val="15"/>
          <w:color w:val="auto"/>
        </w:rPr>
        <w:t>.72</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spacing w:after="0" w:line="200" w:lineRule="exact"/>
        <w:rPr>
          <w:sz w:val="20"/>
          <w:szCs w:val="20"/>
          <w:color w:val="auto"/>
        </w:rPr>
      </w:pPr>
    </w:p>
    <w:p>
      <w:pPr>
        <w:spacing w:after="0" w:line="310" w:lineRule="exact"/>
        <w:rPr>
          <w:sz w:val="20"/>
          <w:szCs w:val="20"/>
          <w:color w:val="auto"/>
        </w:rPr>
      </w:pPr>
    </w:p>
    <w:p>
      <w:pPr>
        <w:ind w:right="3679" w:firstLine="87"/>
        <w:spacing w:after="0" w:line="234" w:lineRule="auto"/>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lvl w:ilvl="1">
      <w:lvlJc w:val="left"/>
      <w:lvlText w:val="(%2)"/>
      <w:numFmt w:val="decimal"/>
      <w:start w:val="3"/>
    </w:lvl>
    <w:lvl w:ilvl="2">
      <w:lvlJc w:val="left"/>
      <w:lvlText w:val="(%3)"/>
      <w:numFmt w:val="lowerRoman"/>
      <w:start w:val="2"/>
    </w:lvl>
  </w:abstractNum>
  <w:abstractNum w:abstractNumId="4">
    <w:nsid w:val="431BD7B7"/>
    <w:multiLevelType w:val="hybridMultilevel"/>
    <w:lvl w:ilvl="0">
      <w:lvlJc w:val="left"/>
      <w:lvlText w:val="(%1)"/>
      <w:numFmt w:val="decimal"/>
      <w:start w:val="4"/>
    </w:lvl>
    <w:lvl w:ilvl="1">
      <w:lvlJc w:val="left"/>
      <w:lvlText w:val="%2"/>
      <w:numFmt w:val="decimal"/>
      <w:start w:val="1"/>
    </w:lvl>
    <w:lvl w:ilvl="2">
      <w:lvlJc w:val="left"/>
      <w:lvlText w:val="(%3)"/>
      <w:numFmt w:val="lowerRoman"/>
      <w:start w:val="2"/>
    </w:lvl>
  </w:abstractNum>
  <w:abstractNum w:abstractNumId="5">
    <w:nsid w:val="3F2DBA31"/>
    <w:multiLevelType w:val="hybridMultilevel"/>
    <w:lvl w:ilvl="0">
      <w:lvlJc w:val="left"/>
      <w:lvlText w:val="(%1)"/>
      <w:numFmt w:val="lowerRoman"/>
      <w:start w:val="3"/>
    </w:lvl>
  </w:abstractNum>
  <w:abstractNum w:abstractNumId="6">
    <w:nsid w:val="7C83E458"/>
    <w:multiLevelType w:val="hybridMultilevel"/>
    <w:lvl w:ilvl="0">
      <w:lvlJc w:val="left"/>
      <w:lvlText w:val="(%1)"/>
      <w:numFmt w:val="lowerRoman"/>
      <w:start w:val="4"/>
    </w:lvl>
  </w:abstractNum>
  <w:abstractNum w:abstractNumId="7">
    <w:nsid w:val="257130A3"/>
    <w:multiLevelType w:val="hybridMultilevel"/>
    <w:lvl w:ilvl="0">
      <w:lvlJc w:val="left"/>
      <w:lvlText w:val="(%1)"/>
      <w:numFmt w:val="decimal"/>
      <w:start w:val="10"/>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1)"/>
      <w:numFmt w:val="lowerRoman"/>
      <w:start w:val="4"/>
    </w:lvl>
  </w:abstractNum>
  <w:abstractNum w:abstractNumId="10">
    <w:nsid w:val="628C895D"/>
    <w:multiLevelType w:val="hybridMultilevel"/>
    <w:lvl w:ilvl="0">
      <w:lvlJc w:val="left"/>
      <w:lvlText w:val="(%1)"/>
      <w:numFmt w:val="lowerRoman"/>
      <w:start w:val="5"/>
    </w:lvl>
  </w:abstractNum>
  <w:abstractNum w:abstractNumId="11">
    <w:nsid w:val="333AB105"/>
    <w:multiLevelType w:val="hybridMultilevel"/>
    <w:lvl w:ilvl="0">
      <w:lvlJc w:val="left"/>
      <w:lvlText w:val="(%1)"/>
      <w:numFmt w:val="lowerRoman"/>
      <w:start w:val="6"/>
    </w:lvl>
  </w:abstractNum>
  <w:abstractNum w:abstractNumId="12">
    <w:nsid w:val="721DA317"/>
    <w:multiLevelType w:val="hybridMultilevel"/>
    <w:lvl w:ilvl="0">
      <w:lvlJc w:val="left"/>
      <w:lvlText w:val="(%1)"/>
      <w:numFmt w:val="lowerRoman"/>
      <w:start w:val="8"/>
    </w:lvl>
  </w:abstractNum>
  <w:abstractNum w:abstractNumId="13">
    <w:nsid w:val="2443A858"/>
    <w:multiLevelType w:val="hybridMultilevel"/>
    <w:lvl w:ilvl="0">
      <w:lvlJc w:val="left"/>
      <w:lvlText w:val="(%1)"/>
      <w:numFmt w:val="lowerRoman"/>
      <w:start w:val="12"/>
    </w:lvl>
  </w:abstractNum>
  <w:abstractNum w:abstractNumId="14">
    <w:nsid w:val="2D1D5AE9"/>
    <w:multiLevelType w:val="hybridMultilevel"/>
    <w:lvl w:ilvl="0">
      <w:lvlJc w:val="left"/>
      <w:lvlText w:val="(%1)"/>
      <w:numFmt w:val="lowerRoman"/>
      <w:start w:val="15"/>
    </w:lvl>
  </w:abstractNum>
  <w:abstractNum w:abstractNumId="15">
    <w:nsid w:val="6763845E"/>
    <w:multiLevelType w:val="hybridMultilevel"/>
    <w:lvl w:ilvl="0">
      <w:lvlJc w:val="left"/>
      <w:lvlText w:val="(%1)"/>
      <w:numFmt w:val="lowerRoman"/>
      <w:start w:val="21"/>
    </w:lvl>
  </w:abstractNum>
  <w:abstractNum w:abstractNumId="16">
    <w:nsid w:val="75A2A8D4"/>
    <w:multiLevelType w:val="hybridMultilevel"/>
    <w:lvl w:ilvl="0">
      <w:lvlJc w:val="left"/>
      <w:lvlText w:val="(%1)"/>
      <w:numFmt w:val="lowerRoman"/>
      <w:start w:val="22"/>
    </w:lvl>
  </w:abstractNum>
  <w:abstractNum w:abstractNumId="17">
    <w:nsid w:val="8EDBDAB"/>
    <w:multiLevelType w:val="hybridMultilevel"/>
    <w:lvl w:ilvl="0">
      <w:lvlJc w:val="left"/>
      <w:lvlText w:val="(%1)"/>
      <w:numFmt w:val="lowerRoman"/>
      <w:start w:val="24"/>
    </w:lvl>
  </w:abstractNum>
  <w:abstractNum w:abstractNumId="18">
    <w:nsid w:val="79838CB2"/>
    <w:multiLevelType w:val="hybridMultilevel"/>
    <w:lvl w:ilvl="0">
      <w:lvlJc w:val="left"/>
      <w:lvlText w:val="(%1)"/>
      <w:numFmt w:val="lowerRoman"/>
      <w:start w:val="29"/>
    </w:lvl>
  </w:abstractNum>
  <w:abstractNum w:abstractNumId="19">
    <w:nsid w:val="4353D0CD"/>
    <w:multiLevelType w:val="hybridMultilevel"/>
    <w:lvl w:ilvl="0">
      <w:lvlJc w:val="left"/>
      <w:lvlText w:val="(%1)"/>
      <w:numFmt w:val="lowerRoman"/>
      <w:start w:val="33"/>
    </w:lvl>
  </w:abstractNum>
  <w:abstractNum w:abstractNumId="20">
    <w:nsid w:val="B03E0C6"/>
    <w:multiLevelType w:val="hybridMultilevel"/>
    <w:lvl w:ilvl="0">
      <w:lvlJc w:val="left"/>
      <w:lvlText w:val="(%1)"/>
      <w:numFmt w:val="lowerRoman"/>
      <w:start w:val="35"/>
    </w:lvl>
  </w:abstractNum>
  <w:abstractNum w:abstractNumId="21">
    <w:nsid w:val="189A769B"/>
    <w:multiLevelType w:val="hybridMultilevel"/>
    <w:lvl w:ilvl="0">
      <w:lvlJc w:val="left"/>
      <w:lvlText w:val="(%1)"/>
      <w:numFmt w:val="decimal"/>
      <w:start w:val="21"/>
    </w:lvl>
    <w:lvl w:ilvl="1">
      <w:lvlJc w:val="left"/>
      <w:lvlText w:val="(%2)"/>
      <w:numFmt w:val="lowerRoman"/>
      <w:start w:val="37"/>
    </w:lvl>
  </w:abstractNum>
  <w:abstractNum w:abstractNumId="22">
    <w:nsid w:val="54E49EB4"/>
    <w:multiLevelType w:val="hybridMultilevel"/>
    <w:lvl w:ilvl="0">
      <w:lvlJc w:val="left"/>
      <w:lvlText w:val="(%1)"/>
      <w:numFmt w:val="lowerLetter"/>
      <w:start w:val="2"/>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upp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2019-12-13T01:02:54Z</dcterms:created>
  <dcterms:modified xsi:type="dcterms:W3CDTF">2019-12-13T01:02:54Z</dcterms:modified>
</cp:coreProperties>
</file>