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 of Report (Date of earliest event reported) June 30, 2002</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760" w:space="600"/>
            <w:col w:w="1220" w:space="600"/>
            <w:col w:w="5059"/>
          </w:cols>
          <w:pgMar w:left="220" w:top="727" w:right="1440" w:bottom="1440" w:gutter="0" w:footer="0" w:header="0"/>
          <w:type w:val="continuous"/>
        </w:sectPr>
      </w:pPr>
    </w:p>
    <w:p>
      <w:pPr>
        <w:spacing w:after="0" w:line="138" w:lineRule="exact"/>
        <w:rPr>
          <w:sz w:val="24"/>
          <w:szCs w:val="24"/>
          <w:color w:val="auto"/>
        </w:rPr>
      </w:pPr>
    </w:p>
    <w:p>
      <w:pPr>
        <w:ind w:left="360"/>
        <w:spacing w:after="0"/>
        <w:tabs>
          <w:tab w:leader="none" w:pos="550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ectPr>
          <w:pgSz w:w="11900" w:h="16838" w:orient="portrait"/>
          <w:cols w:equalWidth="0" w:num="1">
            <w:col w:w="10239"/>
          </w:cols>
          <w:pgMar w:left="220" w:top="727" w:right="1440" w:bottom="1440" w:gutter="0" w:footer="0" w:header="0"/>
          <w:type w:val="continuous"/>
        </w:sectPr>
      </w:pP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727" w:right="1440" w:bottom="1440" w:gutter="0" w:footer="0" w:header="0"/>
          <w:type w:val="continuous"/>
        </w:sectPr>
      </w:pPr>
    </w:p>
    <w:bookmarkStart w:id="1" w:name="page2"/>
    <w:bookmarkEnd w:id="1"/>
    <w:p>
      <w:pPr>
        <w:spacing w:after="0"/>
        <w:tabs>
          <w:tab w:leader="none" w:pos="120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1206"/>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June 30, 2002.</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220" w:hanging="781"/>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June 30, 2002</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Larry E. Finger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2002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sectPr>
          <w:pgSz w:w="11900" w:h="16838" w:orient="portrait"/>
          <w:cols w:equalWidth="0" w:num="3">
            <w:col w:w="440" w:space="180"/>
            <w:col w:w="1940" w:space="720"/>
            <w:col w:w="695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260"/>
            <w:col w:w="4460" w:space="720"/>
            <w:col w:w="401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information at June 30,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3">
            <w:col w:w="360" w:space="680"/>
            <w:col w:w="4460" w:space="720"/>
            <w:col w:w="401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5399"/>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20"/>
                <w:szCs w:val="20"/>
                <w:color w:val="auto"/>
              </w:rPr>
            </w:pPr>
            <w:r>
              <w:rPr>
                <w:rFonts w:ascii="Courier New" w:cs="Courier New" w:eastAsia="Courier New" w:hAnsi="Courier New"/>
                <w:sz w:val="14"/>
                <w:szCs w:val="14"/>
                <w:color w:val="auto"/>
              </w:rPr>
              <w:t>1.   Second Quarter Earnings Press Release, August 12, 2002 ..............................</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E-2</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Summarized</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Operating Results..................................................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E-6</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Summarized</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Balance Sheet......................................................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E-7</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Operations / Funds Available for</w:t>
            </w:r>
          </w:p>
        </w:tc>
        <w:tc>
          <w:tcPr>
            <w:tcW w:w="360" w:type="dxa"/>
            <w:vAlign w:val="bottom"/>
          </w:tcPr>
          <w:p>
            <w:pPr>
              <w:spacing w:after="0"/>
              <w:rPr>
                <w:sz w:val="14"/>
                <w:szCs w:val="14"/>
                <w:color w:val="auto"/>
              </w:rPr>
            </w:pPr>
          </w:p>
        </w:tc>
      </w:tr>
      <w:tr>
        <w:trPr>
          <w:trHeight w:val="166"/>
        </w:trPr>
        <w:tc>
          <w:tcPr>
            <w:tcW w:w="6800" w:type="dxa"/>
            <w:vAlign w:val="bottom"/>
            <w:gridSpan w:val="2"/>
          </w:tcPr>
          <w:p>
            <w:pPr>
              <w:spacing w:after="0"/>
              <w:rPr>
                <w:sz w:val="20"/>
                <w:szCs w:val="20"/>
                <w:color w:val="auto"/>
              </w:rPr>
            </w:pPr>
            <w:r>
              <w:rPr>
                <w:rFonts w:ascii="Courier New" w:cs="Courier New" w:eastAsia="Courier New" w:hAnsi="Courier New"/>
                <w:sz w:val="14"/>
                <w:szCs w:val="14"/>
                <w:color w:val="auto"/>
              </w:rPr>
              <w:t>Distribution / Summary of Capital Expenditures................................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E-8</w:t>
            </w:r>
          </w:p>
        </w:tc>
      </w:tr>
      <w:tr>
        <w:trPr>
          <w:trHeight w:val="166"/>
        </w:trPr>
        <w:tc>
          <w:tcPr>
            <w:tcW w:w="6800" w:type="dxa"/>
            <w:vAlign w:val="bottom"/>
            <w:gridSpan w:val="2"/>
          </w:tcPr>
          <w:p>
            <w:pPr>
              <w:spacing w:after="0"/>
              <w:rPr>
                <w:sz w:val="20"/>
                <w:szCs w:val="20"/>
                <w:color w:val="auto"/>
              </w:rPr>
            </w:pPr>
            <w:r>
              <w:rPr>
                <w:rFonts w:ascii="Courier New" w:cs="Courier New" w:eastAsia="Courier New" w:hAnsi="Courier New"/>
                <w:sz w:val="14"/>
                <w:szCs w:val="14"/>
                <w:color w:val="auto"/>
              </w:rPr>
              <w:t>Selected Financial Data.......................................................</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E-9</w:t>
            </w:r>
          </w:p>
        </w:tc>
      </w:tr>
    </w:tbl>
    <w:p>
      <w:pPr>
        <w:spacing w:after="0" w:line="170"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Debt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Summary of</w:t>
            </w:r>
          </w:p>
        </w:tc>
        <w:tc>
          <w:tcPr>
            <w:tcW w:w="5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Debt...................................................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E-10</w:t>
            </w:r>
          </w:p>
        </w:tc>
      </w:tr>
      <w:tr>
        <w:trPr>
          <w:trHeight w:val="166"/>
        </w:trPr>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Summary of</w:t>
            </w:r>
          </w:p>
        </w:tc>
        <w:tc>
          <w:tcPr>
            <w:tcW w:w="5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 Maturities....................................................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E-11</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7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Santana Row Development Summary......................................................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7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Acquisitions and Dispositions - Year to Date.........................................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E-13</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7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Real Estate Status Report............................................................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E-14</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Shopping Center /</w:t>
            </w:r>
          </w:p>
        </w:tc>
        <w:tc>
          <w:tcPr>
            <w:tcW w:w="5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Street Retail Summary..............................................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E-16</w:t>
            </w:r>
          </w:p>
        </w:tc>
      </w:tr>
    </w:tbl>
    <w:p>
      <w:pPr>
        <w:spacing w:after="0" w:line="170"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Summary</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Leasing</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Summary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Comparable...........................................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E-17</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Leasing</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Summary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Non-comparable.......................................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E-18</w:t>
            </w:r>
          </w:p>
        </w:tc>
      </w:tr>
    </w:tbl>
    <w:p>
      <w:pPr>
        <w:spacing w:after="0" w:line="170"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Summary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Occupancy Summary -</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E-19</w:t>
            </w:r>
          </w:p>
        </w:tc>
      </w:tr>
      <w:tr>
        <w:trPr>
          <w:trHeight w:val="166"/>
        </w:trPr>
        <w:tc>
          <w:tcPr>
            <w:tcW w:w="36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Occupancy Summary -</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Same Center...............................................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E-20</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Summary of Top Twenty-five</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Tenants - Prospective.....................................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E-21</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11.</w:t>
            </w:r>
          </w:p>
        </w:tc>
        <w:tc>
          <w:tcPr>
            <w:tcW w:w="7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Glossary of Terms....................................................................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E-22</w:t>
            </w:r>
          </w:p>
        </w:tc>
      </w:tr>
      <w:tr>
        <w:trPr>
          <w:trHeight w:val="497"/>
        </w:trPr>
        <w:tc>
          <w:tcPr>
            <w:tcW w:w="360" w:type="dxa"/>
            <w:vAlign w:val="bottom"/>
          </w:tcPr>
          <w:p>
            <w:pPr>
              <w:spacing w:after="0"/>
              <w:rPr>
                <w:sz w:val="24"/>
                <w:szCs w:val="2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1626</w:t>
            </w:r>
          </w:p>
        </w:tc>
        <w:tc>
          <w:tcPr>
            <w:tcW w:w="5080" w:type="dxa"/>
            <w:vAlign w:val="bottom"/>
          </w:tcPr>
          <w:p>
            <w:pPr>
              <w:jc w:val="right"/>
              <w:ind w:right="3188"/>
              <w:spacing w:after="0"/>
              <w:rPr>
                <w:sz w:val="20"/>
                <w:szCs w:val="20"/>
                <w:color w:val="auto"/>
              </w:rPr>
            </w:pPr>
            <w:r>
              <w:rPr>
                <w:rFonts w:ascii="Courier New" w:cs="Courier New" w:eastAsia="Courier New" w:hAnsi="Courier New"/>
                <w:sz w:val="14"/>
                <w:szCs w:val="14"/>
                <w:color w:val="auto"/>
              </w:rPr>
              <w:t>East Jefferson Street</w:t>
            </w:r>
          </w:p>
        </w:tc>
        <w:tc>
          <w:tcPr>
            <w:tcW w:w="440" w:type="dxa"/>
            <w:vAlign w:val="bottom"/>
          </w:tcPr>
          <w:p>
            <w:pPr>
              <w:spacing w:after="0"/>
              <w:rPr>
                <w:sz w:val="24"/>
                <w:szCs w:val="24"/>
                <w:color w:val="auto"/>
              </w:rPr>
            </w:pPr>
          </w:p>
        </w:tc>
      </w:tr>
    </w:tbl>
    <w:p>
      <w:pPr>
        <w:spacing w:after="0" w:line="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39"/>
          </w:cols>
          <w:pgMar w:left="220" w:top="1279"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Relations &amp; Capital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Kristine Warner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Corporate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 998-8212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kwarner@federalrealty.com</w:t>
      </w:r>
    </w:p>
    <w:p>
      <w:pPr>
        <w:spacing w:after="0" w:line="200" w:lineRule="exact"/>
        <w:rPr>
          <w:sz w:val="20"/>
          <w:szCs w:val="20"/>
          <w:color w:val="auto"/>
        </w:rPr>
      </w:pPr>
    </w:p>
    <w:p>
      <w:pPr>
        <w:sectPr>
          <w:pgSz w:w="11900" w:h="16838" w:orient="portrait"/>
          <w:cols w:equalWidth="0" w:num="2">
            <w:col w:w="3940" w:space="720"/>
            <w:col w:w="5579"/>
          </w:cols>
          <w:pgMar w:left="220" w:top="1279" w:right="1440" w:bottom="1440" w:gutter="0" w:footer="0" w:header="0"/>
          <w:type w:val="continuous"/>
        </w:sectPr>
      </w:pPr>
    </w:p>
    <w:p>
      <w:pPr>
        <w:spacing w:after="0" w:line="1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SECOND QUARTER 2002 OPERATING RESULTS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-Significant progress made on implementation of new business strategy-</w:t>
      </w:r>
    </w:p>
    <w:p>
      <w:pPr>
        <w:spacing w:after="0" w:line="173"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ROCKVILLE, MD (August 12, 2002) - Federal Realty Investment Trust (NYSE:FRT) today reported operating results for its second quarter ended June 30, 2002.</w:t>
      </w:r>
    </w:p>
    <w:p>
      <w:pPr>
        <w:spacing w:after="0" w:line="160" w:lineRule="exact"/>
        <w:rPr>
          <w:sz w:val="20"/>
          <w:szCs w:val="20"/>
          <w:color w:val="auto"/>
        </w:rPr>
      </w:pPr>
    </w:p>
    <w:p>
      <w:pPr>
        <w:ind w:left="780" w:right="3519" w:hanging="341"/>
        <w:spacing w:after="0" w:line="250"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of $0.66 per diluted share, beating First Call consensus estimates</w:t>
      </w:r>
    </w:p>
    <w:p>
      <w:pPr>
        <w:spacing w:after="0" w:line="1" w:lineRule="exact"/>
        <w:rPr>
          <w:sz w:val="20"/>
          <w:szCs w:val="20"/>
          <w:color w:val="auto"/>
        </w:rPr>
      </w:pPr>
    </w:p>
    <w:p>
      <w:pPr>
        <w:ind w:left="780" w:hanging="341"/>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5.4% on a same-center basis</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improved to 95.9%</w:t>
      </w:r>
    </w:p>
    <w:p>
      <w:pPr>
        <w:spacing w:after="0" w:line="7" w:lineRule="exact"/>
        <w:rPr>
          <w:rFonts w:ascii="Courier New" w:cs="Courier New" w:eastAsia="Courier New" w:hAnsi="Courier New"/>
          <w:sz w:val="14"/>
          <w:szCs w:val="14"/>
          <w:color w:val="auto"/>
        </w:rPr>
      </w:pPr>
    </w:p>
    <w:p>
      <w:pPr>
        <w:ind w:left="780" w:right="3779" w:hanging="341"/>
        <w:spacing w:after="0" w:line="250"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million common shares issued resulting in $56.6 million of net proceeds</w:t>
      </w:r>
    </w:p>
    <w:p>
      <w:pPr>
        <w:ind w:left="780" w:hanging="341"/>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Santana Row to open September 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Trust reported FFO of $27.7 million for the second quarter, or $0.66 per diluted share, beating First Call consensus estimates by $0.01. This compares to second quarter 2001 FFO of $27.3 million, or $0.68 per diluted share. Rental income increased 6.4% from $67.2 million in the second quarter of 2001 to $71.5 million in the second quarter of 2002. On a same-center basis, which excludes the impact of properties acquired, developed or sold during the analyzed periods, rental income increased 2.8% from $66.5 million in the second quarter of 2001 to $68.4 million in the second quarter of 2002.</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Net operating income increased 3.2% from $50.3 million to $51.9 million. On a same center basis, increases to net operating income were:</w:t>
      </w:r>
    </w:p>
    <w:p>
      <w:pPr>
        <w:spacing w:after="0" w:line="160" w:lineRule="exact"/>
        <w:rPr>
          <w:sz w:val="20"/>
          <w:szCs w:val="20"/>
          <w:color w:val="auto"/>
        </w:rPr>
      </w:pPr>
    </w:p>
    <w:p>
      <w:pPr>
        <w:ind w:left="780" w:hanging="341"/>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 including redevelopment properties, and</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 excluding redevelopment properties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1279"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Historical Same-Center NOI Growth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2Q02</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1Q02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4Q01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3Q01</w:t>
            </w:r>
          </w:p>
        </w:tc>
      </w:tr>
      <w:tr>
        <w:trPr>
          <w:trHeight w:val="166"/>
        </w:trPr>
        <w:tc>
          <w:tcPr>
            <w:tcW w:w="362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3620" w:type="dxa"/>
            <w:vAlign w:val="bottom"/>
          </w:tcPr>
          <w:p>
            <w:pPr>
              <w:spacing w:after="0"/>
              <w:rPr>
                <w:sz w:val="20"/>
                <w:szCs w:val="20"/>
                <w:color w:val="auto"/>
              </w:rPr>
            </w:pPr>
            <w:r>
              <w:rPr>
                <w:rFonts w:ascii="Courier New" w:cs="Courier New" w:eastAsia="Courier New" w:hAnsi="Courier New"/>
                <w:sz w:val="14"/>
                <w:szCs w:val="14"/>
                <w:color w:val="auto"/>
              </w:rPr>
              <w:t>FRT - including redeveloped properties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5.4%</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7.3%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FRT - excluding redeveloped properties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4.7%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6.5%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Peer Group Average (1)</w:t>
            </w:r>
          </w:p>
        </w:tc>
        <w:tc>
          <w:tcPr>
            <w:tcW w:w="9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2.4%</w:t>
            </w:r>
          </w:p>
        </w:tc>
      </w:tr>
    </w:tbl>
    <w:p>
      <w:pPr>
        <w:spacing w:after="0" w:line="200" w:lineRule="exact"/>
        <w:rPr>
          <w:sz w:val="20"/>
          <w:szCs w:val="20"/>
          <w:color w:val="auto"/>
        </w:rPr>
      </w:pPr>
    </w:p>
    <w:p>
      <w:pPr>
        <w:spacing w:after="0" w:line="301" w:lineRule="exact"/>
        <w:rPr>
          <w:sz w:val="20"/>
          <w:szCs w:val="20"/>
          <w:color w:val="auto"/>
        </w:rPr>
      </w:pPr>
    </w:p>
    <w:p>
      <w:pPr>
        <w:ind w:right="2420" w:firstLine="8"/>
        <w:spacing w:after="0" w:line="501"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Peer Group includes KIM, REG, NXL, WRI and PNP Source: Morgan Stanley Research and company filings Portfolio Results</w:t>
      </w:r>
    </w:p>
    <w:p>
      <w:pPr>
        <w:spacing w:after="0" w:line="1"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At June 30, 2002, overall occupancy improved to 95.9%, compared to 95.6% on June 30, 2001, and 95.5% on March 31, 2002. During the second quarter, the Trust signed leases for more than 440,000 square feet of retail space. On a comparable retail space basis, the Trust leased over 416,000 square feet, a record for any 90-day period, at an average increase in rent per square foot of 12%. The weighted-average new rent on these same space leases was $18.52 per square foot compared to the previous average rent of $16.51 per square foot. Year-to-date rent increases on same space leases averaged 10%.</w:t>
      </w:r>
    </w:p>
    <w:p>
      <w:pPr>
        <w:spacing w:after="0" w:line="164"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"This was a very important quarter for us," stated Donald C. Wood, president and chief operating officer for Federal Realty. "Not only were we successful in posting strong leasing and occupancy results during a time of economic uncertainty, but we made significant progress implementing strategic initiatives mandated by the business plan changes announced in March."</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2Q01</w:t>
      </w:r>
      <w:r>
        <w:rPr>
          <w:sz w:val="20"/>
          <w:szCs w:val="20"/>
          <w:color w:val="auto"/>
        </w:rPr>
        <w:tab/>
      </w:r>
      <w:r>
        <w:rPr>
          <w:rFonts w:ascii="Courier New" w:cs="Courier New" w:eastAsia="Courier New" w:hAnsi="Courier New"/>
          <w:sz w:val="14"/>
          <w:szCs w:val="14"/>
          <w:color w:val="auto"/>
        </w:rPr>
        <w:t>1Q01</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3.3%</w:t>
      </w:r>
    </w:p>
    <w:p>
      <w:pPr>
        <w:sectPr>
          <w:pgSz w:w="11900" w:h="16838" w:orient="portrait"/>
          <w:cols w:equalWidth="0" w:num="2">
            <w:col w:w="6900" w:space="420"/>
            <w:col w:w="291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Mr. Wood continued by commenting, "The appointment of two highly seasoned professionals to the Trust's board and the strengthening of our balance sheet through the issuance of 2.2 million common shares were the first fundamental building blocks for executing our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Quarterly Activities</w:t>
      </w:r>
    </w:p>
    <w:p>
      <w:pPr>
        <w:spacing w:after="0" w:line="173" w:lineRule="exact"/>
        <w:rPr>
          <w:sz w:val="20"/>
          <w:szCs w:val="20"/>
          <w:color w:val="auto"/>
        </w:rPr>
      </w:pPr>
    </w:p>
    <w:p>
      <w:pPr>
        <w:ind w:left="440" w:right="3259" w:hanging="432"/>
        <w:spacing w:after="0" w:line="251" w:lineRule="auto"/>
        <w:tabs>
          <w:tab w:leader="none" w:pos="18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connection with the business plan changes announced March 11, 2002, the Trust completed the sale of six properties during the second quarter, generating $57.3 million of proceeds and realizing a gain of $19.1 million. The weighted average capitalization rate for the sales was 7.6% based on forward 12-month net operating income</w:t>
      </w:r>
    </w:p>
    <w:p>
      <w:pPr>
        <w:spacing w:after="0" w:line="16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its first offering of common equity since 1996, the Trust completed</w:t>
      </w:r>
    </w:p>
    <w:p>
      <w:pPr>
        <w:spacing w:after="0" w:line="7"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the sale of 2.2 million common shares of beneficial interest, generating $56.6 million of net proceeds</w:t>
      </w:r>
    </w:p>
    <w:p>
      <w:pPr>
        <w:spacing w:after="0" w:line="160" w:lineRule="exact"/>
        <w:rPr>
          <w:sz w:val="20"/>
          <w:szCs w:val="20"/>
          <w:color w:val="auto"/>
        </w:rPr>
      </w:pPr>
    </w:p>
    <w:p>
      <w:pPr>
        <w:ind w:left="440" w:right="3419" w:hanging="432"/>
        <w:spacing w:after="0" w:line="252" w:lineRule="auto"/>
        <w:tabs>
          <w:tab w:leader="none" w:pos="18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Subsequent to the end of the second quarter, the Trust appointed two new members to serve on the Board of Trustees, Amy Lane, former retail investment banking chief at Merrill Lynch and Joseph Vassalluzzo, current vice chairman of Staples,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At Santana Row, Federal Realty's mixed-use community in San Jose, California, approximately 50 retailers and restaurants are scheduled to open on September</w:t>
      </w:r>
    </w:p>
    <w:p>
      <w:pPr>
        <w:spacing w:after="0" w:line="1" w:lineRule="exact"/>
        <w:rPr>
          <w:sz w:val="20"/>
          <w:szCs w:val="20"/>
          <w:color w:val="auto"/>
        </w:rPr>
      </w:pPr>
    </w:p>
    <w:p>
      <w:pPr>
        <w:ind w:right="3339" w:firstLine="8"/>
        <w:spacing w:after="0" w:line="251"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executed more than 65 leases, totaling more than 300,000 square feet, of which approximately 182,000 is first floor space directly facing the main street. Additionally, the Trust has executed more than 100,000 square feet of signed letters of intent. More than 60% of the first floor space is expected to open September 19. The Trust has recently opened the residential models and has begun to actively market the residential units. To date, a total of 36 deposits have been received on the residential units, 21 of which are non-refundable and currently have specific units assigned for delivery beginning in October, 15 of which are refundable because rents have not yet been set.</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"With the opening date fast approaching, we are encouraged by the progress we continue to make at Santana Row," stated Steven J. Guttman, chairman and chief executive officer for Federal Realty. "The residential models are now open and we're seeing strong interest in this portion of the development in addition to continued interest in the retail segment."</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Guidance and Conference Call Information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Federal Realty's management team will present a more in depth discussion of the Trust's operating performance and provide earnings guidance on its second quarter earnings conference call, which is scheduled for Tuesday, August 13, 2002 at 11:00 A.M. Eastern Time. To participate, please call (888) 425-</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9978 five to ten minutes prior to the start time and use the Passcode EARNINGS (required). The conference leader is Andrew Blocher. Federal Realty will also provide an online Web Simulcast on the company's web site, www.federalrealty.com, available for seven days following the conference call. A telephone recording of the call will be available for 14 days by dialing (888) 568-0810.</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shopping centers and street retail properties. Federal Realty's portfolio contains 15 million square feet located in major metropolitan markets across the United States. The operating portfolio is currently 95.9% leased to over 2,100 national, regional and local retailers with no single tenant accounting for more than 3% of rental revenue. Federal Realty has paid quarterly dividends to its shareholders continuously since its founding in 1962, and has increased its dividend rate for 34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460" w:type="dxa"/>
            <w:vAlign w:val="bottom"/>
          </w:tcPr>
          <w:p>
            <w:pPr>
              <w:spacing w:after="0"/>
              <w:rPr>
                <w:sz w:val="14"/>
                <w:szCs w:val="14"/>
                <w:color w:val="auto"/>
              </w:rPr>
            </w:pPr>
          </w:p>
        </w:tc>
        <w:tc>
          <w:tcPr>
            <w:tcW w:w="20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June 30,</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June 30,</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$ 71,466</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$ 67,160</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$ 141,965</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$ 132,998</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Other property income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3,404</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3,193</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6,981</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5,897</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Interest and other income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958</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2,118</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3,597</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75,828</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72,093</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151,064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142,492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Rental</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16,445</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15,002</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31,817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29,860</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Real estate taxes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7,448</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6,750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15,187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13,257</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15,133</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17,530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31,773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34,680</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3,497</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3,322</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6,496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6,455</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Restructuring expenses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8,489</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15,927</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14,629</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31,752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28,595</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58,450</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57,233</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125,514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112,847</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 before investors' share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of operations and discontinued operations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17,378</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14,860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25,550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29,645</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Investors' share of operations</w:t>
            </w:r>
          </w:p>
        </w:tc>
        <w:tc>
          <w:tcPr>
            <w:tcW w:w="4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(1,579)</w:t>
            </w:r>
          </w:p>
        </w:tc>
        <w:tc>
          <w:tcPr>
            <w:tcW w:w="26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(1,428)</w:t>
            </w:r>
          </w:p>
        </w:tc>
        <w:tc>
          <w:tcPr>
            <w:tcW w:w="4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(2,276)</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(2,806)</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abandoned developments held for sale and discontinued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15,799</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13,432</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23,274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26,839</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Income from operations of discontinued assets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837</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16,234</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14,269</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24,550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28,502</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developments held for sale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19,101</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7,898</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9,454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7,898</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38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35,335</w:t>
            </w:r>
          </w:p>
        </w:tc>
        <w:tc>
          <w:tcPr>
            <w:tcW w:w="26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22,167</w:t>
            </w:r>
          </w:p>
        </w:tc>
        <w:tc>
          <w:tcPr>
            <w:tcW w:w="46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34,004</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36,400</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Dividends on preferred stock</w:t>
            </w:r>
          </w:p>
        </w:tc>
        <w:tc>
          <w:tcPr>
            <w:tcW w:w="4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(4,856)</w:t>
            </w:r>
          </w:p>
        </w:tc>
        <w:tc>
          <w:tcPr>
            <w:tcW w:w="26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(1,987)</w:t>
            </w:r>
          </w:p>
        </w:tc>
        <w:tc>
          <w:tcPr>
            <w:tcW w:w="4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(9,712)</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(3,975)</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3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$ 30,479</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$ 20,180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24,292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32,425</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Earnings per common share, basic</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gain on sale of real estate net of loss 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abandoned developments held for sale and discontinued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0.59</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0.01</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0.04</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 net of loss on abandoned developments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held for sale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0.47</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0.83</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48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40,798</w:t>
            </w:r>
          </w:p>
        </w:tc>
        <w:tc>
          <w:tcPr>
            <w:tcW w:w="26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38,984</w:t>
            </w:r>
          </w:p>
        </w:tc>
        <w:tc>
          <w:tcPr>
            <w:tcW w:w="46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40,286</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38,908</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Earnings per common share, diluted</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gain on sale of real estate net of loss 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abandoned developments held for sale and discontinued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0.59</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0.01</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0.04</w:t>
            </w:r>
          </w:p>
        </w:tc>
      </w:tr>
      <w:tr>
        <w:trPr>
          <w:trHeight w:val="166"/>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 net of loss on abandoned developments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held for sale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0.20</w:t>
            </w:r>
          </w:p>
        </w:tc>
        <w:tc>
          <w:tcPr>
            <w:tcW w:w="4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0.83</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48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42,136</w:t>
            </w:r>
          </w:p>
        </w:tc>
        <w:tc>
          <w:tcPr>
            <w:tcW w:w="260" w:type="dxa"/>
            <w:vAlign w:val="bottom"/>
          </w:tcPr>
          <w:p>
            <w:pPr>
              <w:spacing w:after="0"/>
              <w:rPr>
                <w:sz w:val="24"/>
                <w:szCs w:val="2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40,027</w:t>
            </w:r>
          </w:p>
        </w:tc>
        <w:tc>
          <w:tcPr>
            <w:tcW w:w="46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41,568</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39,946</w:t>
            </w:r>
          </w:p>
        </w:tc>
      </w:tr>
      <w:tr>
        <w:trPr>
          <w:trHeight w:val="166"/>
        </w:trPr>
        <w:tc>
          <w:tcPr>
            <w:tcW w:w="61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00"/>
          </w:cols>
          <w:pgMar w:left="220" w:top="616" w:right="37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63"/>
        </w:trPr>
        <w:tc>
          <w:tcPr>
            <w:tcW w:w="66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tcPr>
          <w:p>
            <w:pPr>
              <w:spacing w:after="0"/>
              <w:rPr>
                <w:sz w:val="24"/>
                <w:szCs w:val="24"/>
                <w:color w:val="auto"/>
              </w:rPr>
            </w:pP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Operating</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$ 1,843,170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$ 1,782,318</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337,490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321,986</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2,180,660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2,104,304</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(421,250)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(395,767)</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1,759,410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1,708,537</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48,629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35,607</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15,483</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Tax deferred exchange escrows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55,128</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50,404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51,685</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$ 1,946,905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$ 1,834,881</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mortgages and construction loans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524,147</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450,336</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171,374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174,843</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385,000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138,325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135,122</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653,059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589,291</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$ 1,946,905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$ 1,834,881</w:t>
            </w:r>
          </w:p>
        </w:tc>
      </w:tr>
      <w:tr>
        <w:trPr>
          <w:trHeight w:val="166"/>
        </w:trPr>
        <w:tc>
          <w:tcPr>
            <w:tcW w:w="66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 / Funds Available for Distribution / Summary of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6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 2002</w:t>
            </w:r>
          </w:p>
        </w:tc>
        <w:tc>
          <w:tcPr>
            <w:tcW w:w="6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June 30, 2001</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From Operations (FFO)</w:t>
            </w:r>
          </w:p>
        </w:tc>
        <w:tc>
          <w:tcPr>
            <w:tcW w:w="920" w:type="dxa"/>
            <w:vAlign w:val="bottom"/>
          </w:tcPr>
          <w:p>
            <w:pPr>
              <w:spacing w:after="0"/>
              <w:rPr>
                <w:sz w:val="14"/>
                <w:szCs w:val="14"/>
                <w:color w:val="auto"/>
              </w:rPr>
            </w:pPr>
          </w:p>
        </w:tc>
        <w:tc>
          <w:tcPr>
            <w:tcW w:w="33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30,479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20,180</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Gain on sale of real estate</w:t>
            </w:r>
          </w:p>
        </w:tc>
        <w:tc>
          <w:tcPr>
            <w:tcW w:w="9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(19,101)</w:t>
            </w:r>
          </w:p>
        </w:tc>
        <w:tc>
          <w:tcPr>
            <w:tcW w:w="6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(7,898)</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14,521</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13,509</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1,007</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650</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From Operations (FFO)</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27,749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27,259</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Weighted average shares outstanding</w:t>
            </w:r>
          </w:p>
        </w:tc>
        <w:tc>
          <w:tcPr>
            <w:tcW w:w="92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42,136</w:t>
            </w:r>
          </w:p>
        </w:tc>
        <w:tc>
          <w:tcPr>
            <w:tcW w:w="6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40,027</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FFO per share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27,749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27,259</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Recurring capital expenditures</w:t>
            </w:r>
          </w:p>
        </w:tc>
        <w:tc>
          <w:tcPr>
            <w:tcW w:w="9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(1,970)</w:t>
            </w:r>
          </w:p>
        </w:tc>
        <w:tc>
          <w:tcPr>
            <w:tcW w:w="6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25,779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25,251</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Weighted average shares outstanding</w:t>
            </w:r>
          </w:p>
        </w:tc>
        <w:tc>
          <w:tcPr>
            <w:tcW w:w="92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42,136</w:t>
            </w:r>
          </w:p>
        </w:tc>
        <w:tc>
          <w:tcPr>
            <w:tcW w:w="6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40,027</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FAD per share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0.63</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16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0.47</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Dividend payout ratio % - FFO</w:t>
            </w:r>
          </w:p>
        </w:tc>
        <w:tc>
          <w:tcPr>
            <w:tcW w:w="9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Dividend payout ratio % - FAD</w:t>
            </w:r>
          </w:p>
        </w:tc>
        <w:tc>
          <w:tcPr>
            <w:tcW w:w="9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Summary of Capital Expenditures</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Accretive Capital Expenditures</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Development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60,387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56,541</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Acquisition Related (1)</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Redevelopments and Expansions</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4,566</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4,028</w:t>
            </w:r>
          </w:p>
        </w:tc>
      </w:tr>
      <w:tr>
        <w:trPr>
          <w:trHeight w:val="166"/>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Tenant Improvements</w:t>
            </w:r>
          </w:p>
        </w:tc>
        <w:tc>
          <w:tcPr>
            <w:tcW w:w="9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3,143</w:t>
            </w:r>
          </w:p>
        </w:tc>
        <w:tc>
          <w:tcPr>
            <w:tcW w:w="6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3,139</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Accretive Capital Expenditures</w:t>
            </w:r>
          </w:p>
        </w:tc>
        <w:tc>
          <w:tcPr>
            <w:tcW w:w="92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68,132</w:t>
            </w:r>
          </w:p>
        </w:tc>
        <w:tc>
          <w:tcPr>
            <w:tcW w:w="6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63,847</w:t>
            </w:r>
          </w:p>
        </w:tc>
      </w:tr>
      <w:tr>
        <w:trPr>
          <w:trHeight w:val="331"/>
        </w:trPr>
        <w:tc>
          <w:tcPr>
            <w:tcW w:w="6160" w:type="dxa"/>
            <w:vAlign w:val="bottom"/>
          </w:tcPr>
          <w:p>
            <w:pPr>
              <w:ind w:left="1120"/>
              <w:spacing w:after="0"/>
              <w:rPr>
                <w:sz w:val="20"/>
                <w:szCs w:val="20"/>
                <w:color w:val="auto"/>
              </w:rPr>
            </w:pPr>
            <w:r>
              <w:rPr>
                <w:rFonts w:ascii="Courier New" w:cs="Courier New" w:eastAsia="Courier New" w:hAnsi="Courier New"/>
                <w:sz w:val="14"/>
                <w:szCs w:val="14"/>
                <w:color w:val="auto"/>
              </w:rPr>
              <w:t>Recurring Capital Expenditures</w:t>
            </w:r>
          </w:p>
        </w:tc>
        <w:tc>
          <w:tcPr>
            <w:tcW w:w="92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1,970</w:t>
            </w:r>
          </w:p>
        </w:tc>
        <w:tc>
          <w:tcPr>
            <w:tcW w:w="6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70,102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65,855</w:t>
            </w:r>
          </w:p>
        </w:tc>
      </w:tr>
      <w:tr>
        <w:trPr>
          <w:trHeight w:val="166"/>
        </w:trPr>
        <w:tc>
          <w:tcPr>
            <w:tcW w:w="6160" w:type="dxa"/>
            <w:vAlign w:val="bottom"/>
          </w:tcPr>
          <w:p>
            <w:pPr>
              <w:spacing w:after="0"/>
              <w:rPr>
                <w:sz w:val="14"/>
                <w:szCs w:val="14"/>
                <w:color w:val="auto"/>
              </w:rPr>
            </w:pPr>
          </w:p>
        </w:tc>
        <w:tc>
          <w:tcPr>
            <w:tcW w:w="2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880" w:hanging="352"/>
        <w:spacing w:after="0" w:line="255"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related to acquisitions in the last two years which were projected in the acquisition underwriting.</w:t>
      </w:r>
    </w:p>
    <w:p>
      <w:pPr>
        <w:sectPr>
          <w:pgSz w:w="11900" w:h="16838" w:orient="portrait"/>
          <w:cols w:equalWidth="0" w:num="1">
            <w:col w:w="10440"/>
          </w:cols>
          <w:pgMar w:left="220" w:top="616" w:right="12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June 30, 2002</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2001</w:t>
            </w:r>
          </w:p>
        </w:tc>
        <w:tc>
          <w:tcPr>
            <w:tcW w:w="26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0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(in thousands, except per share data)</w:t>
            </w:r>
          </w:p>
        </w:tc>
        <w:tc>
          <w:tcPr>
            <w:tcW w:w="260" w:type="dxa"/>
            <w:vAlign w:val="bottom"/>
          </w:tcPr>
          <w:p>
            <w:pPr>
              <w:spacing w:after="0"/>
              <w:rPr>
                <w:sz w:val="14"/>
                <w:szCs w:val="14"/>
                <w:color w:val="auto"/>
              </w:rPr>
            </w:pP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Market data</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w:t>
            </w:r>
          </w:p>
        </w:tc>
        <w:tc>
          <w:tcPr>
            <w:tcW w:w="9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43,188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40,071</w:t>
            </w:r>
          </w:p>
        </w:tc>
        <w:tc>
          <w:tcPr>
            <w:tcW w:w="260" w:type="dxa"/>
            <w:vAlign w:val="bottom"/>
          </w:tcPr>
          <w:p>
            <w:pPr>
              <w:spacing w:after="0"/>
              <w:rPr>
                <w:sz w:val="24"/>
                <w:szCs w:val="24"/>
                <w:color w:val="auto"/>
              </w:rPr>
            </w:pP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Market price per share (end of period)</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w:t>
            </w:r>
          </w:p>
        </w:tc>
        <w:tc>
          <w:tcPr>
            <w:tcW w:w="260" w:type="dxa"/>
            <w:vAlign w:val="bottom"/>
          </w:tcPr>
          <w:p>
            <w:pPr>
              <w:spacing w:after="0"/>
              <w:rPr>
                <w:sz w:val="24"/>
                <w:szCs w:val="24"/>
                <w:color w:val="auto"/>
              </w:rPr>
            </w:pP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Equity market capitalization (end of period)</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1,431,739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1,156,633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debt</w:t>
            </w:r>
          </w:p>
        </w:tc>
        <w:tc>
          <w:tcPr>
            <w:tcW w:w="9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1,051,008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1,010,175</w:t>
            </w:r>
          </w:p>
        </w:tc>
        <w:tc>
          <w:tcPr>
            <w:tcW w:w="260" w:type="dxa"/>
            <w:vAlign w:val="bottom"/>
          </w:tcPr>
          <w:p>
            <w:pPr>
              <w:spacing w:after="0"/>
              <w:rPr>
                <w:sz w:val="24"/>
                <w:szCs w:val="2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market capitalization</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2,482,747</w:t>
            </w: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2,166,808</w:t>
            </w:r>
          </w:p>
        </w:tc>
        <w:tc>
          <w:tcPr>
            <w:tcW w:w="26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debt to market capitalization</w:t>
            </w:r>
          </w:p>
        </w:tc>
        <w:tc>
          <w:tcPr>
            <w:tcW w:w="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w:t>
            </w:r>
          </w:p>
        </w:tc>
        <w:tc>
          <w:tcPr>
            <w:tcW w:w="26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Capital availability:</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Cash on hand</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18,723</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17,563</w:t>
            </w:r>
          </w:p>
        </w:tc>
        <w:tc>
          <w:tcPr>
            <w:tcW w:w="26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Tax deferred exchange escrows</w:t>
            </w:r>
          </w:p>
        </w:tc>
        <w:tc>
          <w:tcPr>
            <w:tcW w:w="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55,128</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6,006</w:t>
            </w:r>
          </w:p>
        </w:tc>
        <w:tc>
          <w:tcPr>
            <w:tcW w:w="2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Available under line of credit</w:t>
            </w:r>
          </w:p>
        </w:tc>
        <w:tc>
          <w:tcPr>
            <w:tcW w:w="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256,000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256,000</w:t>
            </w:r>
          </w:p>
        </w:tc>
        <w:tc>
          <w:tcPr>
            <w:tcW w:w="2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Available under Santana Row construction loan</w:t>
            </w:r>
          </w:p>
        </w:tc>
        <w:tc>
          <w:tcPr>
            <w:tcW w:w="9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164,300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233,000</w:t>
            </w:r>
          </w:p>
        </w:tc>
        <w:tc>
          <w:tcPr>
            <w:tcW w:w="2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Shelf registration</w:t>
            </w:r>
          </w:p>
        </w:tc>
        <w:tc>
          <w:tcPr>
            <w:tcW w:w="9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130,240(2)</w:t>
            </w:r>
          </w:p>
        </w:tc>
        <w:tc>
          <w:tcPr>
            <w:tcW w:w="40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190,000</w:t>
            </w:r>
          </w:p>
        </w:tc>
        <w:tc>
          <w:tcPr>
            <w:tcW w:w="26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8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624,391</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702,569</w:t>
            </w:r>
          </w:p>
        </w:tc>
        <w:tc>
          <w:tcPr>
            <w:tcW w:w="260" w:type="dxa"/>
            <w:vAlign w:val="bottom"/>
          </w:tcPr>
          <w:p>
            <w:pPr>
              <w:spacing w:after="0"/>
              <w:rPr>
                <w:sz w:val="24"/>
                <w:szCs w:val="24"/>
                <w:color w:val="auto"/>
              </w:rPr>
            </w:pPr>
          </w:p>
        </w:tc>
      </w:tr>
      <w:tr>
        <w:trPr>
          <w:trHeight w:val="166"/>
        </w:trPr>
        <w:tc>
          <w:tcPr>
            <w:tcW w:w="48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bl>
    <w:p>
      <w:pPr>
        <w:spacing w:after="0" w:line="335"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$235 million of preferred stock issued and outstanding</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462(b) availability can be increased to $156.3 million.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Six months ended</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June 30, 2002 (2)</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 2001</w:t>
            </w:r>
          </w:p>
        </w:tc>
      </w:tr>
      <w:tr>
        <w:trPr>
          <w:trHeight w:val="166"/>
        </w:trPr>
        <w:tc>
          <w:tcPr>
            <w:tcW w:w="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Operational statistics</w:t>
            </w: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 earnings to combined fixed charges</w:t>
            </w: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preferred dividends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1.18x</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1.35x</w:t>
            </w: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 earnings to fixed charges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1.39x</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1.47x</w:t>
            </w: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 EBITDA to combined fixed charges</w:t>
            </w: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preferred dividends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1.49x</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1.94x</w:t>
            </w:r>
          </w:p>
        </w:tc>
      </w:tr>
      <w:tr>
        <w:trPr>
          <w:trHeight w:val="331"/>
        </w:trPr>
        <w:tc>
          <w:tcPr>
            <w:tcW w:w="4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Administrative expense/total revenues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4.30%</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w:t>
            </w:r>
          </w:p>
        </w:tc>
      </w:tr>
    </w:tbl>
    <w:p>
      <w:pPr>
        <w:spacing w:after="0" w:line="335" w:lineRule="exact"/>
        <w:rPr>
          <w:sz w:val="20"/>
          <w:szCs w:val="20"/>
          <w:color w:val="auto"/>
        </w:rPr>
      </w:pPr>
    </w:p>
    <w:p>
      <w:pPr>
        <w:ind w:left="360" w:right="3339"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one-time restructuring charge of $8.5 million incurred in the first quarter of 2002.</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Outstanding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Maturity</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Mortgages and Construction Loans</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 thousands)</w:t>
            </w:r>
          </w:p>
        </w:tc>
        <w:tc>
          <w:tcPr>
            <w:tcW w:w="134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Construction loan on Woodmont East</w:t>
            </w: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(may be extended to 8/29/04)</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08/29/02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libor + 1.20%</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24,291</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Friendship Center</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09/22/03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libor + 1.35%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17,000</w:t>
            </w:r>
          </w:p>
        </w:tc>
        <w:tc>
          <w:tcPr>
            <w:tcW w:w="1340" w:type="dxa"/>
            <w:vAlign w:val="bottom"/>
          </w:tcPr>
          <w:p>
            <w:pPr>
              <w:spacing w:after="0"/>
              <w:rPr>
                <w:sz w:val="14"/>
                <w:szCs w:val="1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Construction loan on Santana Row</w:t>
            </w: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(may be extended to 4/16/06)</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04/16/04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libor + 2.125%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130,727</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Leesburg Plaza</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10/01/08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6.510%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164 E Houston Street</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10/06/08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Federal Plaza</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06/01/11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6.750%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36,113</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Barracks Road</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Hauppauge</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Lawrence Park</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Wildwood</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Wynnewood</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Brick Plaza</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11/01/15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7.415%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Tysons Station</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09/01/11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6,916</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Escondido (Municipal bonds)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10/01/16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9,400</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419,634</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Revolving credit facilities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12/19/03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libor + .80%</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Term note with banks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12/19/03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1340" w:type="dxa"/>
            <w:vAlign w:val="bottom"/>
          </w:tcPr>
          <w:p>
            <w:pPr>
              <w:spacing w:after="0"/>
              <w:rPr>
                <w:sz w:val="14"/>
                <w:szCs w:val="1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Note issued in Connection with</w:t>
            </w: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renovation of Perring Plaza</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01/31/13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2,329</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various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various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171,374</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1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10/28/03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331"/>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6.74% Medium Term Notes</w:t>
            </w:r>
          </w:p>
        </w:tc>
        <w:tc>
          <w:tcPr>
            <w:tcW w:w="120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5"/>
              </w:rPr>
              <w:t>(c)</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03/10/04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6.370%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39,500</w:t>
            </w:r>
          </w:p>
        </w:tc>
        <w:tc>
          <w:tcPr>
            <w:tcW w:w="134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6.625% Notes (fixed)</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12/01/05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6.625%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6.99% Medium Term Notes</w:t>
            </w:r>
          </w:p>
        </w:tc>
        <w:tc>
          <w:tcPr>
            <w:tcW w:w="120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5"/>
              </w:rPr>
              <w:t>(c)</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03/10/06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6.894%</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8.75% Notes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12/01/09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8.750%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7.48% Debentures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08/15/26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7.480%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3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6.82% Medium Term Notes</w:t>
            </w: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08/01/27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6.820%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385,000</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331"/>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Total fixed rate debt</w:t>
            </w: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825,590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78.55%</w:t>
            </w: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Total variable rate debt</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225,418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Total debt</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1,051,008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Weighted average interest rate:</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ind w:left="600"/>
              <w:spacing w:after="0"/>
              <w:rPr>
                <w:sz w:val="20"/>
                <w:szCs w:val="20"/>
                <w:color w:val="auto"/>
              </w:rPr>
            </w:pPr>
            <w:r>
              <w:rPr>
                <w:rFonts w:ascii="Courier New" w:cs="Courier New" w:eastAsia="Courier New" w:hAnsi="Courier New"/>
                <w:sz w:val="14"/>
                <w:szCs w:val="14"/>
                <w:color w:val="auto"/>
              </w:rPr>
              <w:t>Fixed rate debt</w:t>
            </w: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w:t>
            </w:r>
          </w:p>
        </w:tc>
        <w:tc>
          <w:tcPr>
            <w:tcW w:w="134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Variable on revolving credit facilities</w:t>
            </w:r>
          </w:p>
        </w:tc>
        <w:tc>
          <w:tcPr>
            <w:tcW w:w="380" w:type="dxa"/>
            <w:vAlign w:val="bottom"/>
          </w:tcPr>
          <w:p>
            <w:pPr>
              <w:spacing w:after="0"/>
              <w:rPr>
                <w:sz w:val="14"/>
                <w:szCs w:val="14"/>
                <w:color w:val="auto"/>
              </w:rPr>
            </w:pPr>
          </w:p>
        </w:tc>
        <w:tc>
          <w:tcPr>
            <w:tcW w:w="272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2.67% (d)</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Various through 2077</w:t>
            </w:r>
          </w:p>
        </w:tc>
        <w:tc>
          <w:tcPr>
            <w:tcW w:w="126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104,513</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Total debt and capital lease</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obligations</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1,155,521</w:t>
            </w:r>
          </w:p>
        </w:tc>
        <w:tc>
          <w:tcPr>
            <w:tcW w:w="13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bl>
    <w:p>
      <w:pPr>
        <w:spacing w:after="0" w:line="335" w:lineRule="exact"/>
        <w:rPr>
          <w:sz w:val="20"/>
          <w:szCs w:val="20"/>
          <w:color w:val="auto"/>
        </w:rPr>
      </w:pPr>
    </w:p>
    <w:p>
      <w:pPr>
        <w:ind w:left="360" w:right="4480" w:hanging="352"/>
        <w:spacing w:after="0" w:line="250"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 The weighted average interest rate for the six months ended June 30, 2002, was 3.19%.</w:t>
      </w:r>
    </w:p>
    <w:p>
      <w:pPr>
        <w:spacing w:after="0" w:line="1" w:lineRule="exact"/>
        <w:rPr>
          <w:rFonts w:ascii="Courier New" w:cs="Courier New" w:eastAsia="Courier New" w:hAnsi="Courier New"/>
          <w:sz w:val="14"/>
          <w:szCs w:val="14"/>
          <w:color w:val="auto"/>
        </w:rPr>
      </w:pPr>
    </w:p>
    <w:p>
      <w:pPr>
        <w:ind w:left="360" w:right="4740" w:hanging="352"/>
        <w:spacing w:after="0" w:line="250"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plus 95 basis points. The Trust purchased interest rate swaps or hedges on this note, thereby locking in the LIBOR interest rate of 5.27%.</w:t>
      </w:r>
    </w:p>
    <w:p>
      <w:pPr>
        <w:ind w:left="360" w:right="4740" w:hanging="352"/>
        <w:spacing w:after="0" w:line="250"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on these notes.</w:t>
      </w:r>
    </w:p>
    <w:p>
      <w:pPr>
        <w:ind w:left="360" w:right="4480" w:hanging="352"/>
        <w:spacing w:after="0" w:line="250"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six months ended June 30, 2002.</w:t>
      </w:r>
    </w:p>
    <w:p>
      <w:pPr>
        <w:ind w:left="360" w:right="4660" w:hanging="352"/>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capital lease obligations is 9.77% on a stated basis and 13.96% including performance based participation interest paid by the Trust.</w:t>
      </w:r>
    </w:p>
    <w:p>
      <w:pPr>
        <w:sectPr>
          <w:pgSz w:w="11900" w:h="16838" w:orient="portrait"/>
          <w:cols w:equalWidth="0" w:num="1">
            <w:col w:w="11380"/>
          </w:cols>
          <w:pgMar w:left="220" w:top="616" w:right="299" w:bottom="416"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Debt Maturities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MATURITIES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(Assumes the option to extend the Woodmont East construction loan is exercised)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3"/>
        </w:trPr>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w:t>
            </w:r>
          </w:p>
        </w:tc>
      </w:tr>
      <w:tr>
        <w:trPr>
          <w:trHeight w:val="166"/>
        </w:trPr>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Scheduled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Percent of</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Amortization</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Maturities</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Debt Expiring</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Debt Expiring</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4"/>
                <w:szCs w:val="4"/>
                <w:color w:val="auto"/>
                <w:w w:val="80"/>
              </w:rPr>
              <w:t>- -------------------------------------------------------------------------------------------</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261,000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261,846</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2,810</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194,517</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197,327</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3,063</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43,063</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2006</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3,412</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40,500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43,912</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3,686</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3,686</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3,918</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9,541</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13,459</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4,095</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175,046</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179,141</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2010</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4,427</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4,427</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2011</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4,287</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37,235</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41,522</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w:t>
            </w:r>
          </w:p>
        </w:tc>
      </w:tr>
      <w:tr>
        <w:trPr>
          <w:trHeight w:val="166"/>
        </w:trPr>
        <w:tc>
          <w:tcPr>
            <w:tcW w:w="6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Thereafter</w:t>
            </w:r>
          </w:p>
        </w:tc>
        <w:tc>
          <w:tcPr>
            <w:tcW w:w="9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17,116</w:t>
            </w:r>
          </w:p>
        </w:tc>
        <w:tc>
          <w:tcPr>
            <w:tcW w:w="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245,207</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262,323</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320" w:type="dxa"/>
            <w:vAlign w:val="bottom"/>
            <w:gridSpan w:val="7"/>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$ 47,962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1,003,046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1,051,008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194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320" w:type="dxa"/>
            <w:vAlign w:val="bottom"/>
            <w:gridSpan w:val="7"/>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173" w:lineRule="exact"/>
        <w:rPr>
          <w:sz w:val="20"/>
          <w:szCs w:val="20"/>
          <w:color w:val="auto"/>
        </w:rPr>
      </w:pPr>
    </w:p>
    <w:p>
      <w:pPr>
        <w:ind w:left="360" w:right="3519" w:hanging="352"/>
        <w:spacing w:after="0" w:line="255"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 million balance on revolving credit facility and $125 million balance on term loan.</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 Development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Development Description:</w:t>
            </w:r>
          </w:p>
        </w:tc>
        <w:tc>
          <w:tcPr>
            <w:tcW w:w="5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 multi-phased, mixed-use development built on 42</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acres in San Jose, California,</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the heart</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of the Silicon Valley.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Phase I of</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development will consist of a</w:t>
            </w:r>
          </w:p>
        </w:tc>
      </w:tr>
      <w:tr>
        <w:trPr>
          <w:trHeight w:val="166"/>
        </w:trPr>
        <w:tc>
          <w:tcPr>
            <w:tcW w:w="3020" w:type="dxa"/>
            <w:vAlign w:val="bottom"/>
          </w:tcPr>
          <w:p>
            <w:pPr>
              <w:spacing w:after="0"/>
              <w:rPr>
                <w:sz w:val="14"/>
                <w:szCs w:val="14"/>
                <w:color w:val="auto"/>
              </w:rPr>
            </w:pP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1,500  foot</w:t>
            </w:r>
          </w:p>
        </w:tc>
        <w:tc>
          <w:tcPr>
            <w:tcW w:w="3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long "main street" and nine buildings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comprising</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approximately 538,000</w:t>
            </w:r>
          </w:p>
        </w:tc>
      </w:tr>
      <w:tr>
        <w:trPr>
          <w:trHeight w:val="166"/>
        </w:trPr>
        <w:tc>
          <w:tcPr>
            <w:tcW w:w="3020" w:type="dxa"/>
            <w:vAlign w:val="bottom"/>
          </w:tcPr>
          <w:p>
            <w:pPr>
              <w:spacing w:after="0"/>
              <w:rPr>
                <w:sz w:val="14"/>
                <w:szCs w:val="14"/>
                <w:color w:val="auto"/>
              </w:rPr>
            </w:pP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square feet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retail, 501 residential</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units, and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 214-room</w:t>
            </w:r>
          </w:p>
        </w:tc>
        <w:tc>
          <w:tcPr>
            <w:tcW w:w="1940" w:type="dxa"/>
            <w:vAlign w:val="bottom"/>
          </w:tcPr>
          <w:p>
            <w:pPr>
              <w:ind w:left="60"/>
              <w:spacing w:after="0"/>
              <w:rPr>
                <w:sz w:val="20"/>
                <w:szCs w:val="20"/>
                <w:color w:val="auto"/>
              </w:rPr>
            </w:pPr>
            <w:r>
              <w:rPr>
                <w:rFonts w:ascii="Courier New" w:cs="Courier New" w:eastAsia="Courier New" w:hAnsi="Courier New"/>
                <w:sz w:val="14"/>
                <w:szCs w:val="14"/>
                <w:color w:val="auto"/>
              </w:rPr>
              <w:t>boutique hotel.</w:t>
            </w:r>
          </w:p>
        </w:tc>
      </w:tr>
    </w:tbl>
    <w:p>
      <w:pPr>
        <w:spacing w:after="0" w:line="170" w:lineRule="exact"/>
        <w:rPr>
          <w:sz w:val="20"/>
          <w:szCs w:val="20"/>
          <w:color w:val="auto"/>
        </w:rPr>
      </w:pPr>
    </w:p>
    <w:p>
      <w:pPr>
        <w:sectPr>
          <w:pgSz w:w="11900" w:h="16838" w:orient="portrait"/>
          <w:cols w:equalWidth="0" w:num="1">
            <w:col w:w="11300"/>
          </w:cols>
          <w:pgMar w:left="220" w:top="616" w:right="379" w:bottom="0" w:gutter="0" w:footer="0" w:header="0"/>
        </w:sectPr>
      </w:pPr>
    </w:p>
    <w:p>
      <w:pPr>
        <w:ind w:left="360"/>
        <w:spacing w:after="0"/>
        <w:rPr>
          <w:sz w:val="20"/>
          <w:szCs w:val="20"/>
          <w:color w:val="auto"/>
        </w:rPr>
      </w:pPr>
      <w:r>
        <w:rPr>
          <w:rFonts w:ascii="Courier New" w:cs="Courier New" w:eastAsia="Courier New" w:hAnsi="Courier New"/>
          <w:sz w:val="14"/>
          <w:szCs w:val="14"/>
          <w:color w:val="auto"/>
        </w:rPr>
        <w:t>Phase I Retail Description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Phase I Residential Description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Phase I Hotel Description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Summary:</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1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Total Projected Cost (1) Cost to Date</w:t>
      </w:r>
    </w:p>
    <w:p>
      <w:pPr>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Anticipated Cost to Complete Remaining Construction Loan Capacity Anticipated Stabilized Yield - 2004 (2)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First-floor Facing Santana Row Total Santana Row Phase I</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Leasing Summary:</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13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 Deposits (3) Refundable Deposits (4)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62"/>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Building</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Crate &amp; Barrel (sole tenant) opened</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June 27, 2002</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42,439</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Primarily luxury tenants including Gucci,</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Bottega Veneta, Burberry, a French bakery</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and a Singaporean restaurant</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33,609</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Primarily luxury tenants including St.</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John Knit, Tods, Escada and Anne Fontaine</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57,354</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Lifestyle tenants including Tommy Bahama,</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Mullholland Brothers, New Balance Shoes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and Blowfish Sushi</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49,415</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Lifestyle tenants including Anthropologie,</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Borders, Oilily and Lather</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87,267</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Lifestyle tenants including Ann Taylor Loft,</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Cole Haan, Theory and five restaurants</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37,027</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Lifestyle tenants including Diesel,</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Sur La Table, Z-Gallerie and three</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restaurants</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95,897</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Located on Olin Avenue, primarily home</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furnishing tenants and restaurants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including Maggiano's and Starbucks</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Kiosk and Carts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w:t>
            </w:r>
          </w:p>
        </w:tc>
        <w:tc>
          <w:tcPr>
            <w:tcW w:w="41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140" w:type="dxa"/>
            <w:vAlign w:val="bottom"/>
          </w:tcPr>
          <w:p>
            <w:pPr>
              <w:spacing w:after="0"/>
              <w:rPr>
                <w:sz w:val="14"/>
                <w:szCs w:val="14"/>
                <w:color w:val="auto"/>
              </w:rPr>
            </w:pP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Retail Opening</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444,578</w:t>
            </w:r>
          </w:p>
        </w:tc>
        <w:tc>
          <w:tcPr>
            <w:tcW w:w="4140" w:type="dxa"/>
            <w:vAlign w:val="bottom"/>
          </w:tcPr>
          <w:p>
            <w:pPr>
              <w:spacing w:after="0"/>
              <w:rPr>
                <w:sz w:val="14"/>
                <w:szCs w:val="14"/>
                <w:color w:val="auto"/>
              </w:rPr>
            </w:pP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September 19, 2002</w:t>
            </w:r>
          </w:p>
        </w:tc>
        <w:tc>
          <w:tcPr>
            <w:tcW w:w="146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31"/>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 or 11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93,000</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Estimated square footage.  Principal tenant is</w:t>
            </w:r>
          </w:p>
        </w:tc>
      </w:tr>
      <w:tr>
        <w:trPr>
          <w:trHeight w:val="166"/>
        </w:trPr>
        <w:tc>
          <w:tcPr>
            <w:tcW w:w="216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Century Theater.  Scheduled to open</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following the balance of Phase I.</w:t>
            </w:r>
          </w:p>
        </w:tc>
      </w:tr>
      <w:tr>
        <w:trPr>
          <w:trHeight w:val="497"/>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Retail Total</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537,578</w:t>
            </w:r>
          </w:p>
        </w:tc>
        <w:tc>
          <w:tcPr>
            <w:tcW w:w="414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140" w:type="dxa"/>
            <w:vAlign w:val="bottom"/>
          </w:tcPr>
          <w:p>
            <w:pPr>
              <w:spacing w:after="0"/>
              <w:rPr>
                <w:sz w:val="14"/>
                <w:szCs w:val="14"/>
                <w:color w:val="auto"/>
              </w:rPr>
            </w:pPr>
          </w:p>
        </w:tc>
      </w:tr>
      <w:tr>
        <w:trPr>
          <w:trHeight w:val="331"/>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Building</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Units</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One-, two- and three-bedroom loft units.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Deliveries beginning in October 2002.</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One-, two- and three-bedroom loft units.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Deliveries beginning in November 2002.</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Luxury three- and four-bedroom townhouses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and villas.  Deliveries beginning in</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January 2003.</w:t>
            </w:r>
          </w:p>
        </w:tc>
      </w:tr>
      <w:tr>
        <w:trPr>
          <w:trHeight w:val="166"/>
        </w:trPr>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w:t>
            </w:r>
          </w:p>
        </w:tc>
        <w:tc>
          <w:tcPr>
            <w:tcW w:w="4140" w:type="dxa"/>
            <w:vAlign w:val="bottom"/>
          </w:tcPr>
          <w:p>
            <w:pPr>
              <w:ind w:left="160"/>
              <w:spacing w:after="0"/>
              <w:rPr>
                <w:sz w:val="20"/>
                <w:szCs w:val="20"/>
                <w:color w:val="auto"/>
              </w:rPr>
            </w:pPr>
            <w:r>
              <w:rPr>
                <w:rFonts w:ascii="Courier New" w:cs="Courier New" w:eastAsia="Courier New" w:hAnsi="Courier New"/>
                <w:sz w:val="14"/>
                <w:szCs w:val="14"/>
                <w:color w:val="auto"/>
              </w:rPr>
              <w:t>108 two- and four-bedroom townhouses and</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138 one-, two- and three-bedroom flats.</w:t>
            </w:r>
          </w:p>
        </w:tc>
      </w:tr>
      <w:tr>
        <w:trPr>
          <w:trHeight w:val="166"/>
        </w:trPr>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ind w:left="420"/>
              <w:spacing w:after="0"/>
              <w:rPr>
                <w:sz w:val="20"/>
                <w:szCs w:val="20"/>
                <w:color w:val="auto"/>
              </w:rPr>
            </w:pPr>
            <w:r>
              <w:rPr>
                <w:rFonts w:ascii="Courier New" w:cs="Courier New" w:eastAsia="Courier New" w:hAnsi="Courier New"/>
                <w:sz w:val="14"/>
                <w:szCs w:val="14"/>
                <w:color w:val="auto"/>
              </w:rPr>
              <w:t>Deliveries beginning in January 2003.</w:t>
            </w:r>
          </w:p>
        </w:tc>
      </w:tr>
    </w:tbl>
    <w:p>
      <w:pPr>
        <w:spacing w:after="0" w:line="4" w:lineRule="exact"/>
        <w:rPr>
          <w:sz w:val="20"/>
          <w:szCs w:val="20"/>
          <w:color w:val="auto"/>
        </w:rPr>
      </w:pPr>
    </w:p>
    <w:p>
      <w:pPr>
        <w:ind w:left="3260" w:hanging="1458"/>
        <w:spacing w:after="0"/>
        <w:tabs>
          <w:tab w:leader="none" w:pos="3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36Two-bedroom townhouses.  Deliveries beginning</w:t>
      </w:r>
    </w:p>
    <w:p>
      <w:pPr>
        <w:spacing w:after="0" w:line="7" w:lineRule="exact"/>
        <w:rPr>
          <w:sz w:val="20"/>
          <w:szCs w:val="20"/>
          <w:color w:val="auto"/>
        </w:rPr>
      </w:pPr>
    </w:p>
    <w:p>
      <w:pPr>
        <w:ind w:left="2840"/>
        <w:spacing w:after="0"/>
        <w:tabs>
          <w:tab w:leader="none" w:pos="4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in December 2002.</w:t>
      </w:r>
    </w:p>
    <w:p>
      <w:pPr>
        <w:spacing w:after="0" w:line="173" w:lineRule="exact"/>
        <w:rPr>
          <w:sz w:val="20"/>
          <w:szCs w:val="20"/>
          <w:color w:val="auto"/>
        </w:rPr>
      </w:pPr>
    </w:p>
    <w:p>
      <w:pPr>
        <w:ind w:left="420"/>
        <w:spacing w:after="0"/>
        <w:tabs>
          <w:tab w:leader="none" w:pos="3160" w:val="left"/>
        </w:tabs>
        <w:rPr>
          <w:sz w:val="20"/>
          <w:szCs w:val="20"/>
          <w:color w:val="auto"/>
        </w:rPr>
      </w:pPr>
      <w:r>
        <w:rPr>
          <w:rFonts w:ascii="Courier New" w:cs="Courier New" w:eastAsia="Courier New" w:hAnsi="Courier New"/>
          <w:sz w:val="14"/>
          <w:szCs w:val="14"/>
          <w:color w:val="auto"/>
        </w:rPr>
        <w:t>Residential Total</w:t>
      </w:r>
      <w:r>
        <w:rPr>
          <w:sz w:val="20"/>
          <w:szCs w:val="20"/>
          <w:color w:val="auto"/>
        </w:rPr>
        <w:tab/>
      </w:r>
      <w:r>
        <w:rPr>
          <w:rFonts w:ascii="Courier New" w:cs="Courier New" w:eastAsia="Courier New" w:hAnsi="Courier New"/>
          <w:sz w:val="14"/>
          <w:szCs w:val="14"/>
          <w:color w:val="auto"/>
        </w:rPr>
        <w:t>501</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00"/>
        <w:spacing w:after="0"/>
        <w:tabs>
          <w:tab w:leader="none" w:pos="3080" w:val="left"/>
          <w:tab w:leader="none" w:pos="3840" w:val="left"/>
        </w:tabs>
        <w:rPr>
          <w:sz w:val="20"/>
          <w:szCs w:val="20"/>
          <w:color w:val="auto"/>
        </w:rPr>
      </w:pPr>
      <w:r>
        <w:rPr>
          <w:rFonts w:ascii="Courier New" w:cs="Courier New" w:eastAsia="Courier New" w:hAnsi="Courier New"/>
          <w:sz w:val="14"/>
          <w:szCs w:val="14"/>
          <w:color w:val="auto"/>
        </w:rPr>
        <w:t>Building</w:t>
      </w:r>
      <w:r>
        <w:rPr>
          <w:sz w:val="20"/>
          <w:szCs w:val="20"/>
          <w:color w:val="auto"/>
        </w:rPr>
        <w:tab/>
      </w:r>
      <w:r>
        <w:rPr>
          <w:rFonts w:ascii="Courier New" w:cs="Courier New" w:eastAsia="Courier New" w:hAnsi="Courier New"/>
          <w:sz w:val="14"/>
          <w:szCs w:val="14"/>
          <w:color w:val="auto"/>
        </w:rPr>
        <w:t>Rooms</w:t>
      </w:r>
      <w:r>
        <w:rPr>
          <w:sz w:val="20"/>
          <w:szCs w:val="20"/>
          <w:color w:val="auto"/>
        </w:rPr>
        <w:tab/>
      </w:r>
      <w:r>
        <w:rPr>
          <w:rFonts w:ascii="Courier New" w:cs="Courier New" w:eastAsia="Courier New" w:hAnsi="Courier New"/>
          <w:sz w:val="14"/>
          <w:szCs w:val="14"/>
          <w:color w:val="auto"/>
        </w:rPr>
        <w:t>Notes:</w:t>
      </w:r>
    </w:p>
    <w:p>
      <w:pPr>
        <w:spacing w:after="0" w:line="7" w:lineRule="exact"/>
        <w:rPr>
          <w:sz w:val="20"/>
          <w:szCs w:val="20"/>
          <w:color w:val="auto"/>
        </w:rPr>
      </w:pPr>
    </w:p>
    <w:p>
      <w:pPr>
        <w:ind w:left="1200"/>
        <w:spacing w:after="0"/>
        <w:tabs>
          <w:tab w:leader="none" w:pos="3080" w:val="left"/>
          <w:tab w:leader="none" w:pos="3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tabs>
          <w:tab w:leader="none" w:pos="3240" w:val="left"/>
          <w:tab w:leader="none" w:pos="384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Hotel Valencia Santana Row, a boutique hotel</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scheduled for delivery in first</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quarter 2003.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4"/>
          <w:szCs w:val="14"/>
          <w:color w:val="auto"/>
        </w:rPr>
        <w:t>$500 million</w:t>
      </w:r>
    </w:p>
    <w:p>
      <w:pPr>
        <w:spacing w:after="0" w:line="7"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4"/>
          <w:szCs w:val="14"/>
          <w:color w:val="auto"/>
        </w:rPr>
        <w:t>$329 million</w:t>
      </w:r>
    </w:p>
    <w:p>
      <w:pPr>
        <w:spacing w:after="0" w:line="7"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4"/>
          <w:szCs w:val="14"/>
          <w:color w:val="auto"/>
        </w:rPr>
        <w:t>$171 million</w:t>
      </w:r>
    </w:p>
    <w:p>
      <w:pPr>
        <w:spacing w:after="0" w:line="7"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4"/>
          <w:szCs w:val="14"/>
          <w:color w:val="auto"/>
        </w:rPr>
        <w:t>$164 million</w:t>
      </w:r>
    </w:p>
    <w:p>
      <w:pPr>
        <w:spacing w:after="0" w:line="7" w:lineRule="exact"/>
        <w:rPr>
          <w:sz w:val="20"/>
          <w:szCs w:val="20"/>
          <w:color w:val="auto"/>
        </w:rPr>
      </w:pPr>
    </w:p>
    <w:p>
      <w:pPr>
        <w:jc w:val="right"/>
        <w:ind w:right="4320"/>
        <w:spacing w:after="0"/>
        <w:rPr>
          <w:sz w:val="20"/>
          <w:szCs w:val="20"/>
          <w:color w:val="auto"/>
        </w:rPr>
      </w:pPr>
      <w:r>
        <w:rPr>
          <w:rFonts w:ascii="Courier New" w:cs="Courier New" w:eastAsia="Courier New" w:hAnsi="Courier New"/>
          <w:sz w:val="14"/>
          <w:szCs w:val="14"/>
          <w:color w:val="auto"/>
        </w:rPr>
        <w:t>6.25% to 7.00%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Executed Leases and</w:t>
      </w:r>
    </w:p>
    <w:p>
      <w:pPr>
        <w:spacing w:after="0" w:line="7" w:lineRule="exact"/>
        <w:rPr>
          <w:sz w:val="20"/>
          <w:szCs w:val="20"/>
          <w:color w:val="auto"/>
        </w:rPr>
      </w:pPr>
    </w:p>
    <w:p>
      <w:pPr>
        <w:ind w:left="80"/>
        <w:spacing w:after="0"/>
        <w:tabs>
          <w:tab w:leader="none" w:pos="2120" w:val="left"/>
          <w:tab w:leader="none" w:pos="3340" w:val="left"/>
          <w:tab w:leader="none" w:pos="5580" w:val="left"/>
        </w:tabs>
        <w:rPr>
          <w:sz w:val="20"/>
          <w:szCs w:val="20"/>
          <w:color w:val="auto"/>
        </w:rPr>
      </w:pPr>
      <w:r>
        <w:rPr>
          <w:rFonts w:ascii="Courier New" w:cs="Courier New" w:eastAsia="Courier New" w:hAnsi="Courier New"/>
          <w:sz w:val="14"/>
          <w:szCs w:val="14"/>
          <w:color w:val="auto"/>
        </w:rPr>
        <w:t>Executed (sf)</w:t>
      </w:r>
      <w:r>
        <w:rPr>
          <w:sz w:val="20"/>
          <w:szCs w:val="20"/>
          <w:color w:val="auto"/>
        </w:rPr>
        <w:tab/>
      </w:r>
      <w:r>
        <w:rPr>
          <w:rFonts w:ascii="Courier New" w:cs="Courier New" w:eastAsia="Courier New" w:hAnsi="Courier New"/>
          <w:sz w:val="14"/>
          <w:szCs w:val="14"/>
          <w:color w:val="auto"/>
        </w:rPr>
        <w:t>LOI (sf)</w:t>
      </w:r>
      <w:r>
        <w:rPr>
          <w:sz w:val="20"/>
          <w:szCs w:val="20"/>
          <w:color w:val="auto"/>
        </w:rPr>
        <w:tab/>
      </w:r>
      <w:r>
        <w:rPr>
          <w:rFonts w:ascii="Courier New" w:cs="Courier New" w:eastAsia="Courier New" w:hAnsi="Courier New"/>
          <w:sz w:val="14"/>
          <w:szCs w:val="14"/>
          <w:color w:val="auto"/>
        </w:rPr>
        <w:t>LOIs as a % of Total</w:t>
      </w:r>
      <w:r>
        <w:rPr>
          <w:sz w:val="20"/>
          <w:szCs w:val="20"/>
          <w:color w:val="auto"/>
        </w:rPr>
        <w:tab/>
      </w:r>
      <w:r>
        <w:rPr>
          <w:rFonts w:ascii="Courier New" w:cs="Courier New" w:eastAsia="Courier New" w:hAnsi="Courier New"/>
          <w:sz w:val="14"/>
          <w:szCs w:val="14"/>
          <w:color w:val="auto"/>
        </w:rPr>
        <w:t>Opening September 2002</w:t>
      </w:r>
    </w:p>
    <w:p>
      <w:pPr>
        <w:spacing w:after="0" w:line="7" w:lineRule="exact"/>
        <w:rPr>
          <w:sz w:val="20"/>
          <w:szCs w:val="20"/>
          <w:color w:val="auto"/>
        </w:rPr>
      </w:pPr>
    </w:p>
    <w:p>
      <w:pPr>
        <w:ind w:left="260"/>
        <w:spacing w:after="0"/>
        <w:tabs>
          <w:tab w:leader="none" w:pos="2300" w:val="left"/>
          <w:tab w:leader="none" w:pos="3500" w:val="left"/>
          <w:tab w:leader="none" w:pos="5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220" w:val="left"/>
          <w:tab w:leader="none" w:pos="4020" w:val="left"/>
          <w:tab w:leader="none" w:pos="6000" w:val="left"/>
        </w:tabs>
        <w:rPr>
          <w:sz w:val="20"/>
          <w:szCs w:val="20"/>
          <w:color w:val="auto"/>
        </w:rPr>
      </w:pPr>
      <w:r>
        <w:rPr>
          <w:rFonts w:ascii="Courier New" w:cs="Courier New" w:eastAsia="Courier New" w:hAnsi="Courier New"/>
          <w:sz w:val="14"/>
          <w:szCs w:val="14"/>
          <w:color w:val="auto"/>
        </w:rPr>
        <w:t>181,952</w:t>
      </w:r>
      <w:r>
        <w:rPr>
          <w:sz w:val="20"/>
          <w:szCs w:val="20"/>
          <w:color w:val="auto"/>
        </w:rPr>
        <w:tab/>
      </w:r>
      <w:r>
        <w:rPr>
          <w:rFonts w:ascii="Courier New" w:cs="Courier New" w:eastAsia="Courier New" w:hAnsi="Courier New"/>
          <w:sz w:val="14"/>
          <w:szCs w:val="14"/>
          <w:color w:val="auto"/>
        </w:rPr>
        <w:t>14,063</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36 tenants</w:t>
      </w:r>
    </w:p>
    <w:p>
      <w:pPr>
        <w:spacing w:after="0" w:line="7" w:lineRule="exact"/>
        <w:rPr>
          <w:sz w:val="20"/>
          <w:szCs w:val="20"/>
          <w:color w:val="auto"/>
        </w:rPr>
      </w:pPr>
    </w:p>
    <w:p>
      <w:pPr>
        <w:ind w:left="520"/>
        <w:spacing w:after="0"/>
        <w:tabs>
          <w:tab w:leader="none" w:pos="2120" w:val="left"/>
          <w:tab w:leader="none" w:pos="4020" w:val="left"/>
          <w:tab w:leader="none" w:pos="6000" w:val="left"/>
        </w:tabs>
        <w:rPr>
          <w:sz w:val="20"/>
          <w:szCs w:val="20"/>
          <w:color w:val="auto"/>
        </w:rPr>
      </w:pPr>
      <w:r>
        <w:rPr>
          <w:rFonts w:ascii="Courier New" w:cs="Courier New" w:eastAsia="Courier New" w:hAnsi="Courier New"/>
          <w:sz w:val="14"/>
          <w:szCs w:val="14"/>
          <w:color w:val="auto"/>
        </w:rPr>
        <w:t>300,856</w:t>
      </w:r>
      <w:r>
        <w:rPr>
          <w:sz w:val="20"/>
          <w:szCs w:val="20"/>
          <w:color w:val="auto"/>
        </w:rPr>
        <w:tab/>
      </w:r>
      <w:r>
        <w:rPr>
          <w:rFonts w:ascii="Courier New" w:cs="Courier New" w:eastAsia="Courier New" w:hAnsi="Courier New"/>
          <w:sz w:val="14"/>
          <w:szCs w:val="14"/>
          <w:color w:val="auto"/>
        </w:rPr>
        <w:t>100,782</w:t>
      </w:r>
      <w:r>
        <w:rPr>
          <w:sz w:val="20"/>
          <w:szCs w:val="20"/>
          <w:color w:val="auto"/>
        </w:rPr>
        <w:tab/>
      </w: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48 tenants</w:t>
      </w:r>
    </w:p>
    <w:p>
      <w:pPr>
        <w:spacing w:after="0" w:line="33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Average Rent per Square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Number of Deposits</w:t>
      </w:r>
      <w:r>
        <w:rPr>
          <w:sz w:val="20"/>
          <w:szCs w:val="20"/>
          <w:color w:val="auto"/>
        </w:rPr>
        <w:tab/>
      </w:r>
      <w:r>
        <w:rPr>
          <w:rFonts w:ascii="Courier New" w:cs="Courier New" w:eastAsia="Courier New" w:hAnsi="Courier New"/>
          <w:sz w:val="14"/>
          <w:szCs w:val="14"/>
          <w:color w:val="auto"/>
        </w:rPr>
        <w:t>Foot per Month</w:t>
      </w:r>
    </w:p>
    <w:p>
      <w:pPr>
        <w:spacing w:after="0" w:line="7" w:lineRule="exact"/>
        <w:rPr>
          <w:sz w:val="20"/>
          <w:szCs w:val="20"/>
          <w:color w:val="auto"/>
        </w:rPr>
      </w:pPr>
    </w:p>
    <w:p>
      <w:pPr>
        <w:ind w:left="160"/>
        <w:spacing w:after="0"/>
        <w:tabs>
          <w:tab w:leader="none" w:pos="2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60"/>
        <w:spacing w:after="0"/>
        <w:tabs>
          <w:tab w:leader="none" w:pos="25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$ 1.93</w:t>
      </w:r>
    </w:p>
    <w:p>
      <w:pPr>
        <w:spacing w:after="0" w:line="7" w:lineRule="exact"/>
        <w:rPr>
          <w:sz w:val="20"/>
          <w:szCs w:val="20"/>
          <w:color w:val="auto"/>
        </w:rPr>
      </w:pPr>
    </w:p>
    <w:p>
      <w:pPr>
        <w:ind w:left="760"/>
        <w:spacing w:after="0"/>
        <w:tabs>
          <w:tab w:leader="none" w:pos="290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(4)</w:t>
      </w:r>
    </w:p>
    <w:p>
      <w:pPr>
        <w:sectPr>
          <w:pgSz w:w="11900" w:h="16838" w:orient="portrait"/>
          <w:cols w:equalWidth="0" w:num="2">
            <w:col w:w="3360" w:space="100"/>
            <w:col w:w="7840"/>
          </w:cols>
          <w:pgMar w:left="220" w:top="616" w:right="379" w:bottom="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cost of land and infrastructure for future phases.</w:t>
      </w:r>
    </w:p>
    <w:p>
      <w:pPr>
        <w:spacing w:after="0" w:line="7" w:lineRule="exact"/>
        <w:rPr>
          <w:rFonts w:ascii="Courier New" w:cs="Courier New" w:eastAsia="Courier New" w:hAnsi="Courier New"/>
          <w:sz w:val="14"/>
          <w:szCs w:val="14"/>
          <w:color w:val="auto"/>
        </w:rPr>
      </w:pPr>
    </w:p>
    <w:p>
      <w:pPr>
        <w:ind w:left="440" w:right="3519"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residential rents of $2.25 per square foot per month. Every $0.10 increase/(decrease) to residential rents results in a 15 bps increase/(decrease) in the anticipated stabilized yield.</w:t>
      </w:r>
    </w:p>
    <w:p>
      <w:pPr>
        <w:spacing w:after="0" w:line="1" w:lineRule="exact"/>
        <w:rPr>
          <w:rFonts w:ascii="Courier New" w:cs="Courier New" w:eastAsia="Courier New" w:hAnsi="Courier New"/>
          <w:sz w:val="14"/>
          <w:szCs w:val="14"/>
          <w:color w:val="auto"/>
        </w:rPr>
      </w:pPr>
    </w:p>
    <w:p>
      <w:pPr>
        <w:ind w:left="440" w:right="3519"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on units for which rents have been set, specific units have been assigned and delivery is expected to begin in October.</w:t>
      </w:r>
    </w:p>
    <w:p>
      <w:pPr>
        <w:ind w:left="440" w:right="3339" w:hanging="432"/>
        <w:spacing w:after="0" w:line="255"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on units for which market rents have not been set, and as a result specific units cannot be assigned.</w:t>
      </w:r>
    </w:p>
    <w:p>
      <w:pPr>
        <w:sectPr>
          <w:pgSz w:w="11900" w:h="16838" w:orient="portrait"/>
          <w:cols w:equalWidth="0" w:num="1">
            <w:col w:w="10239"/>
          </w:cols>
          <w:pgMar w:left="220" w:top="30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 - Year to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1460" w:val="left"/>
          <w:tab w:leader="none" w:pos="3700" w:val="left"/>
          <w:tab w:leader="none" w:pos="5500" w:val="left"/>
          <w:tab w:leader="none" w:pos="6020" w:val="left"/>
          <w:tab w:leader="none" w:pos="7400" w:val="left"/>
          <w:tab w:leader="none" w:pos="8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City / State</w:t>
      </w:r>
      <w:r>
        <w:rPr>
          <w:sz w:val="20"/>
          <w:szCs w:val="20"/>
          <w:color w:val="auto"/>
        </w:rPr>
        <w:tab/>
      </w:r>
      <w:r>
        <w:rPr>
          <w:rFonts w:ascii="Courier New" w:cs="Courier New" w:eastAsia="Courier New" w:hAnsi="Courier New"/>
          <w:sz w:val="14"/>
          <w:szCs w:val="14"/>
          <w:color w:val="auto"/>
        </w:rPr>
        <w:t>GLA</w:t>
      </w:r>
      <w:r>
        <w:rPr>
          <w:sz w:val="20"/>
          <w:szCs w:val="20"/>
          <w:color w:val="auto"/>
        </w:rPr>
        <w:tab/>
      </w:r>
      <w:r>
        <w:rPr>
          <w:rFonts w:ascii="Courier New" w:cs="Courier New" w:eastAsia="Courier New" w:hAnsi="Courier New"/>
          <w:sz w:val="14"/>
          <w:szCs w:val="14"/>
          <w:color w:val="auto"/>
        </w:rPr>
        <w:t>Sale proceeds</w:t>
      </w:r>
      <w:r>
        <w:rPr>
          <w:sz w:val="20"/>
          <w:szCs w:val="20"/>
          <w:color w:val="auto"/>
        </w:rPr>
        <w:tab/>
      </w:r>
      <w:r>
        <w:rPr>
          <w:rFonts w:ascii="Courier New" w:cs="Courier New" w:eastAsia="Courier New" w:hAnsi="Courier New"/>
          <w:sz w:val="14"/>
          <w:szCs w:val="14"/>
          <w:color w:val="auto"/>
        </w:rPr>
        <w:t>Cap rate (1)</w:t>
      </w:r>
      <w:r>
        <w:rPr>
          <w:sz w:val="20"/>
          <w:szCs w:val="20"/>
          <w:color w:val="auto"/>
        </w:rPr>
        <w:tab/>
      </w:r>
      <w:r>
        <w:rPr>
          <w:rFonts w:ascii="Courier New" w:cs="Courier New" w:eastAsia="Courier New" w:hAnsi="Courier New"/>
          <w:sz w:val="14"/>
          <w:szCs w:val="14"/>
          <w:color w:val="auto"/>
        </w:rPr>
        <w:t>Anchor tenant</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11, 2002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252</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- 264 Greenwich Ave</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Greenwich,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$ 16,100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Banana Republic, Gap Kids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138</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Central Ave</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Westfield, NJ</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Legg Mason, Toys R Us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Ships Building</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Eddie Bauer</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27 Main Street</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Pottery Barn</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June 6, 2002</w:t>
            </w: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Uptown Shopping Center</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Portland, OR</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Zupan's Market, Elephant's Deli</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June 18, 2002</w:t>
            </w: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6410 Hollywood Blvd</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Hollywood, CA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w:t>
            </w: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Hollywood Suit Outlet</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Total dispositions</w:t>
            </w:r>
          </w:p>
        </w:tc>
        <w:tc>
          <w:tcPr>
            <w:tcW w:w="138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$ 57,300</w:t>
            </w: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335" w:lineRule="exact"/>
        <w:rPr>
          <w:sz w:val="20"/>
          <w:szCs w:val="20"/>
          <w:color w:val="auto"/>
        </w:rPr>
      </w:pPr>
    </w:p>
    <w:p>
      <w:pPr>
        <w:ind w:left="360" w:right="4820" w:hanging="352"/>
        <w:spacing w:after="0" w:line="255"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 rate based on twelve month forward net operating income (NOI). Blended cap rate for properties sold is 7.64%.</w:t>
      </w:r>
    </w:p>
    <w:p>
      <w:pPr>
        <w:sectPr>
          <w:pgSz w:w="11900" w:h="16838" w:orient="portrait"/>
          <w:cols w:equalWidth="0" w:num="1">
            <w:col w:w="11540"/>
          </w:cols>
          <w:pgMar w:left="220" w:top="616" w:right="139" w:bottom="1440" w:gutter="0" w:footer="0" w:header="0"/>
        </w:sectPr>
      </w:pPr>
    </w:p>
    <w:bookmarkStart w:id="17" w:name="page18"/>
    <w:bookmarkEnd w:id="17"/>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8360"/>
        <w:spacing w:after="0"/>
        <w:tabs>
          <w:tab w:leader="none" w:pos="9640" w:val="left"/>
          <w:tab w:leader="none" w:pos="105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jc w:val="right"/>
        <w:ind w:right="240"/>
        <w:spacing w:after="0"/>
        <w:tabs>
          <w:tab w:leader="none" w:pos="8580" w:val="left"/>
          <w:tab w:leader="none" w:pos="7900" w:val="left"/>
          <w:tab w:leader="none" w:pos="3500" w:val="left"/>
          <w:tab w:leader="none" w:pos="2300" w:val="left"/>
          <w:tab w:leader="none" w:pos="108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Washington Metropolitan Area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1993-98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$ 77,061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53,406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8,154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3,351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61,667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33,552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14,820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25,079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16,864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5,043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24,749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82,282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33,370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6,682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11,754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31,768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Washington, DC-MD-VA-WV</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Philadelphia Metropolitan Area</w:t>
            </w:r>
          </w:p>
        </w:tc>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18,582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23,662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25,826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11,556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8,641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17,467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23,535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25,761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Philadelphia, PA-NJ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34,987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Bergen-Passaic,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Bergen-Passaic,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Middlesex-Somerset-Hunterdon,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38,755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Middlesex-Somerset-Hunterdon,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Middlesex-Somerset-Hunterdon,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Monmouth-Ocean,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53,695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Nassau-Suffolk, NY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10,562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Nassau-Suffolk, NY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26,133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Nassau-Suffolk, NY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22,499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New York, NY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New York, NY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64,502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Newark,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20,441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Trenton, NJ</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New England</w:t>
            </w:r>
          </w:p>
        </w:tc>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28,489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14,556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13,069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Hartford, CT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21,652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Hartford, CT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New Haven-Bridgeport-Stamford-Waterbury</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Mortage or</w:t>
            </w:r>
          </w:p>
        </w:tc>
        <w:tc>
          <w:tcPr>
            <w:tcW w:w="1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Lease</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Grocery</w:t>
            </w: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2760" w:type="dxa"/>
            <w:vAlign w:val="bottom"/>
          </w:tcPr>
          <w:p>
            <w:pPr>
              <w:ind w:left="940"/>
              <w:spacing w:after="0"/>
              <w:rPr>
                <w:sz w:val="20"/>
                <w:szCs w:val="20"/>
                <w:color w:val="auto"/>
              </w:rPr>
            </w:pPr>
            <w:r>
              <w:rPr>
                <w:rFonts w:ascii="Courier New" w:cs="Courier New" w:eastAsia="Courier New" w:hAnsi="Courier New"/>
                <w:sz w:val="14"/>
                <w:szCs w:val="14"/>
                <w:color w:val="auto"/>
              </w:rPr>
              <w:t>GLA (1)   % Leased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Obligation</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Anchor GLA</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Grocery Anchor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Washington Metropolitan Area</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97.7%</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36,867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93.4%</w:t>
            </w:r>
          </w:p>
        </w:tc>
        <w:tc>
          <w:tcPr>
            <w:tcW w:w="15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28,258</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71.6%</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51,385</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98.4%</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36,113</w:t>
            </w: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119,000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17,000</w:t>
            </w: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80" w:orient="portrait"/>
          <w:cols w:equalWidth="0" w:num="1">
            <w:col w:w="11540"/>
          </w:cols>
          <w:pgMar w:left="220" w:top="616" w:right="139" w:bottom="0" w:gutter="0" w:footer="0" w:header="0"/>
        </w:sectPr>
      </w:pPr>
    </w:p>
    <w:bookmarkStart w:id="18" w:name="page19"/>
    <w:bookmarkEnd w:id="18"/>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29,556</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9,900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55,330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30,750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Magruders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98.7%</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10,041</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24,060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32,725</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Safeway</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44,623</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Harris Teeter</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23,640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Magruders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6,916</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Sutton Place Gourmet</w:t>
            </w:r>
          </w:p>
        </w:tc>
        <w:tc>
          <w:tcPr>
            <w:tcW w:w="260" w:type="dxa"/>
            <w:vAlign w:val="bottom"/>
          </w:tcPr>
          <w:p>
            <w:pPr>
              <w:spacing w:after="0"/>
              <w:rPr>
                <w:sz w:val="14"/>
                <w:szCs w:val="14"/>
                <w:color w:val="auto"/>
              </w:rPr>
            </w:pP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Philadelphia Metropolitan Area</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23,542</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98.7%</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52,694</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41,511</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Redner's Warehouse Markets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31,400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38,481</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260" w:type="dxa"/>
            <w:vAlign w:val="bottom"/>
          </w:tcPr>
          <w:p>
            <w:pPr>
              <w:spacing w:after="0"/>
              <w:rPr>
                <w:sz w:val="14"/>
                <w:szCs w:val="14"/>
                <w:color w:val="auto"/>
              </w:rPr>
            </w:pP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3,518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25,025</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Stop &amp; Shop</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3,272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26,500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26,854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43,365</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11,179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55,345</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A&amp;P</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12,950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44,456</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Edwards Super Food</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66,110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A&amp;P</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45,958</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Waldbaum's</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16,700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60,791</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14,366</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98.1%</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64,209</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Pathmark</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4,850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53,220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260" w:type="dxa"/>
            <w:vAlign w:val="bottom"/>
          </w:tcPr>
          <w:p>
            <w:pPr>
              <w:spacing w:after="0"/>
              <w:rPr>
                <w:sz w:val="14"/>
                <w:szCs w:val="14"/>
                <w:color w:val="auto"/>
              </w:rPr>
            </w:pP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New England</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95.9%</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50,284</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Victory Supermarket</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54,530</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Super Stop &amp; Shop</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w:t>
            </w:r>
          </w:p>
        </w:tc>
        <w:tc>
          <w:tcPr>
            <w:tcW w:w="2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56,634</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Super Stop &amp; Shop</w:t>
            </w: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28"/>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Other Anchor or Major</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78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Washington Metropolitan Area</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Barnes &amp;</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Noble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Buy Buy Baby / Container Store</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CVS/Staples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TJ Maxx/</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CompUSA</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Borders/Eddie Bauer/Linens'n Things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Bed, Bath &amp; Beyond/Borders/Ross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Chanyka Theater/Marshalls/Toys R Us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Kmart/Peebles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Bally's/Linens'n Things/Scan</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Linens'n</w:t>
            </w:r>
          </w:p>
        </w:tc>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Things/ Toys R Us/G Street Fabrics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Micro Center/Michaels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Bally's/Bed, Bath &amp; Beyond</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Gold's Gym/Staples/TJ Maxx</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Circuit City/Staples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Petco</w:t>
            </w: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Virginia</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Fine Wine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Trader Joes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Cineplex</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Odeon</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Philadelphia Metropolitan Area</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Kohl's /</w:t>
            </w:r>
          </w:p>
        </w:tc>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Andorra Theatre / Family Toy</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Lord &amp; Taylor / Bare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Feet Shoes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Bed, Bath &amp; Beyond /</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Erlton Bowl / Ross</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w w:val="97"/>
              </w:rPr>
              <w:t>OfficeMax</w:t>
            </w: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Kmart</w:t>
            </w:r>
          </w:p>
        </w:tc>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40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Marshalls/Cottage Crafters/Drug Emporium</w:t>
            </w: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ectPr>
          <w:pgSz w:w="11900" w:h="16902" w:orient="portrait"/>
          <w:cols w:equalWidth="0" w:num="1">
            <w:col w:w="10440"/>
          </w:cols>
          <w:pgMar w:left="220" w:top="141" w:right="1239"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Lawrence Park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Willow Grove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Wynnewood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 / Jefferson Health Care / TJ Maxx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Burlington Coat / Marshalls / Tower Records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Barnes &amp; Noble / Modell's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Bed, Bath &amp; Beyond / Old Navy</w:t>
      </w:r>
    </w:p>
    <w:p>
      <w:pPr>
        <w:spacing w:after="0" w:line="173" w:lineRule="exact"/>
        <w:rPr>
          <w:sz w:val="20"/>
          <w:szCs w:val="20"/>
          <w:color w:val="auto"/>
        </w:rPr>
      </w:pPr>
    </w:p>
    <w:p>
      <w:pPr>
        <w:sectPr>
          <w:pgSz w:w="11900" w:h="16838" w:orient="portrait"/>
          <w:cols w:equalWidth="0" w:num="2">
            <w:col w:w="2140" w:space="720"/>
            <w:col w:w="7379"/>
          </w:cols>
          <w:pgMar w:left="220" w:top="141" w:right="1440" w:bottom="1440" w:gutter="0" w:footer="0" w:header="0"/>
        </w:sectPr>
      </w:pPr>
    </w:p>
    <w:p>
      <w:pPr>
        <w:ind w:left="180"/>
        <w:spacing w:after="0"/>
        <w:rPr>
          <w:sz w:val="20"/>
          <w:szCs w:val="20"/>
          <w:color w:val="auto"/>
        </w:rPr>
      </w:pPr>
      <w:r>
        <w:rPr>
          <w:rFonts w:ascii="Courier New" w:cs="Courier New" w:eastAsia="Courier New" w:hAnsi="Courier New"/>
          <w:sz w:val="14"/>
          <w:szCs w:val="14"/>
          <w:color w:val="auto"/>
        </w:rPr>
        <w:t>New York / New Jersey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Allwood</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Clifton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Star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Brunswick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Rutgers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Brick Plaza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Drug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Michaels/Toys R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Ames/Just Living Rooms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Kmart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Bon-ton/Loews Theatres/Barnes &amp; Noble</w:t>
      </w:r>
    </w:p>
    <w:p>
      <w:pPr>
        <w:spacing w:after="0" w:line="7" w:lineRule="exact"/>
        <w:rPr>
          <w:sz w:val="20"/>
          <w:szCs w:val="20"/>
          <w:color w:val="auto"/>
        </w:rPr>
      </w:pPr>
    </w:p>
    <w:p>
      <w:pPr>
        <w:sectPr>
          <w:pgSz w:w="11900" w:h="16838" w:orient="portrait"/>
          <w:cols w:equalWidth="0" w:num="2">
            <w:col w:w="2140" w:space="720"/>
            <w:col w:w="73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Greenlawn Plaza</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Hauppauge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OfficeMax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BuyBuyBaby/Toys R Us/Bed, Bath &amp; Beyond</w:t>
      </w:r>
    </w:p>
    <w:p>
      <w:pPr>
        <w:spacing w:after="0" w:line="7" w:lineRule="exact"/>
        <w:rPr>
          <w:sz w:val="20"/>
          <w:szCs w:val="20"/>
          <w:color w:val="auto"/>
        </w:rPr>
      </w:pPr>
    </w:p>
    <w:p>
      <w:pPr>
        <w:sectPr>
          <w:pgSz w:w="11900" w:h="16838" w:orient="portrait"/>
          <w:cols w:equalWidth="0" w:num="2">
            <w:col w:w="2140" w:space="720"/>
            <w:col w:w="73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Forest Hills</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Fresh Meadows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Troy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Hamilton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Value City/Kmart/Cineplex Odeon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A.C.Moore/Toys R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A.C.Moore/Stevens Furniture</w:t>
      </w:r>
    </w:p>
    <w:p>
      <w:pPr>
        <w:spacing w:after="0" w:line="173" w:lineRule="exact"/>
        <w:rPr>
          <w:sz w:val="20"/>
          <w:szCs w:val="20"/>
          <w:color w:val="auto"/>
        </w:rPr>
      </w:pPr>
    </w:p>
    <w:p>
      <w:pPr>
        <w:sectPr>
          <w:pgSz w:w="11900" w:h="16838" w:orient="portrait"/>
          <w:cols w:equalWidth="0" w:num="2">
            <w:col w:w="2140" w:space="720"/>
            <w:col w:w="7379"/>
          </w:cols>
          <w:pgMar w:left="220" w:top="14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New England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Coolidge Corner</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Dedham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Queen Anne Plaza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w:t>
      </w:r>
    </w:p>
    <w:p>
      <w:pPr>
        <w:spacing w:after="0" w:line="7" w:lineRule="exact"/>
        <w:rPr>
          <w:sz w:val="20"/>
          <w:szCs w:val="20"/>
          <w:color w:val="auto"/>
        </w:rPr>
      </w:pPr>
    </w:p>
    <w:p>
      <w:pPr>
        <w:sectPr>
          <w:pgSz w:w="11900" w:h="16838" w:orient="portrait"/>
          <w:cols w:equalWidth="0" w:num="2">
            <w:col w:w="2140" w:space="720"/>
            <w:col w:w="73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Saugus Plaza</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Bristol Plaza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TJ Maxx/Bradlees</w:t>
      </w:r>
    </w:p>
    <w:p>
      <w:pPr>
        <w:spacing w:after="0" w:line="7" w:lineRule="exact"/>
        <w:rPr>
          <w:sz w:val="20"/>
          <w:szCs w:val="20"/>
          <w:color w:val="auto"/>
        </w:rPr>
      </w:pPr>
    </w:p>
    <w:p>
      <w:pPr>
        <w:sectPr>
          <w:pgSz w:w="11900" w:h="16838" w:orient="portrait"/>
          <w:cols w:equalWidth="0" w:num="2">
            <w:col w:w="2140" w:space="720"/>
            <w:col w:w="73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West Hartford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Greenwich Avenue</w:t>
      </w:r>
    </w:p>
    <w:p>
      <w:pPr>
        <w:sectPr>
          <w:pgSz w:w="11900" w:h="16838" w:orient="portrait"/>
          <w:cols w:equalWidth="0" w:num="1">
            <w:col w:w="10239"/>
          </w:cols>
          <w:pgMar w:left="220" w:top="141" w:right="1440" w:bottom="1440" w:gutter="0" w:footer="0" w:header="0"/>
          <w:type w:val="continuous"/>
        </w:sectPr>
      </w:pPr>
    </w:p>
    <w:bookmarkStart w:id="20" w:name="page21"/>
    <w:bookmarkEnd w:id="20"/>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40"/>
        <w:spacing w:after="0"/>
        <w:tabs>
          <w:tab w:leader="none" w:pos="8520" w:val="left"/>
          <w:tab w:leader="none" w:pos="93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spacing w:after="0"/>
        <w:tabs>
          <w:tab w:leader="none" w:pos="2400" w:val="left"/>
          <w:tab w:leader="none" w:pos="2920" w:val="left"/>
          <w:tab w:leader="none" w:pos="6880" w:val="left"/>
          <w:tab w:leader="none" w:pos="8080" w:val="left"/>
          <w:tab w:leader="none" w:pos="9300" w:val="left"/>
          <w:tab w:leader="none" w:pos="1066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w:t>
        <w:tab/>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GLA (1)</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Colorado Blvd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1996-1998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14,711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Hermosa Ave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4,675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Hollywood Blvd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25,805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Third St Promenade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1996-2000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71,267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Diego,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222,000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Diego,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1996-1997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12,097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Francisco,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27,806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10,896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32,587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Santana Row</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329,061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Crossroads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21,690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25,774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313,000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10,536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12,949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129,000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4,261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19,000</w:t>
            </w:r>
          </w:p>
        </w:tc>
      </w:tr>
      <w:tr>
        <w:trPr>
          <w:trHeight w:val="331"/>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Baltimore, MD</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17,442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Baltimore, MD</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23,931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412,000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Charlottesville, VA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39,416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484,000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Detroit, MI</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16,646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218,000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Lancaster, PA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9,744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Orlando, FL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6,880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Mill Avenue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Phoenix-Mesa, AZ</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11,036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Raleigh-Durham-Chapel Hill, NC</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13,153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159,000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The Shops at Willow Lawn</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Richmond-Petersburg, VA</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62,236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505,000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Houston St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San Antonio, TX</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52,139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Tanasbourne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7,472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spacing w:after="0"/>
              <w:rPr>
                <w:sz w:val="14"/>
                <w:szCs w:val="14"/>
                <w:color w:val="auto"/>
              </w:rPr>
            </w:pPr>
          </w:p>
        </w:tc>
        <w:tc>
          <w:tcPr>
            <w:tcW w:w="3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$ 2,180,660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14,687,000</w:t>
            </w:r>
          </w:p>
        </w:tc>
      </w:tr>
      <w:tr>
        <w:trPr>
          <w:trHeight w:val="331"/>
        </w:trPr>
        <w:tc>
          <w:tcPr>
            <w:tcW w:w="656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Total Grocery Anchored Properties:</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42</w:t>
            </w:r>
          </w:p>
        </w:tc>
        <w:tc>
          <w:tcPr>
            <w:tcW w:w="1600" w:type="dxa"/>
            <w:vAlign w:val="bottom"/>
          </w:tcPr>
          <w:p>
            <w:pPr>
              <w:spacing w:after="0"/>
              <w:rPr>
                <w:sz w:val="24"/>
                <w:szCs w:val="24"/>
                <w:color w:val="auto"/>
              </w:rPr>
            </w:pPr>
          </w:p>
        </w:tc>
      </w:tr>
      <w:tr>
        <w:trPr>
          <w:trHeight w:val="166"/>
        </w:trPr>
        <w:tc>
          <w:tcPr>
            <w:tcW w:w="4100" w:type="dxa"/>
            <w:vAlign w:val="bottom"/>
          </w:tcPr>
          <w:p>
            <w:pPr>
              <w:ind w:left="2940"/>
              <w:spacing w:after="0"/>
              <w:rPr>
                <w:sz w:val="20"/>
                <w:szCs w:val="20"/>
                <w:color w:val="auto"/>
              </w:rPr>
            </w:pPr>
            <w:r>
              <w:rPr>
                <w:rFonts w:ascii="Courier New" w:cs="Courier New" w:eastAsia="Courier New" w:hAnsi="Courier New"/>
                <w:sz w:val="14"/>
                <w:szCs w:val="14"/>
                <w:color w:val="auto"/>
              </w:rPr>
              <w:t>SC - Shopping</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40</w:t>
            </w:r>
          </w:p>
        </w:tc>
        <w:tc>
          <w:tcPr>
            <w:tcW w:w="1600" w:type="dxa"/>
            <w:vAlign w:val="bottom"/>
          </w:tcPr>
          <w:p>
            <w:pPr>
              <w:spacing w:after="0"/>
              <w:rPr>
                <w:sz w:val="14"/>
                <w:szCs w:val="14"/>
                <w:color w:val="auto"/>
              </w:rPr>
            </w:pPr>
          </w:p>
        </w:tc>
      </w:tr>
      <w:tr>
        <w:trPr>
          <w:trHeight w:val="166"/>
        </w:trPr>
        <w:tc>
          <w:tcPr>
            <w:tcW w:w="656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SR - Street Retail</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2</w:t>
            </w:r>
          </w:p>
        </w:tc>
        <w:tc>
          <w:tcPr>
            <w:tcW w:w="1600" w:type="dxa"/>
            <w:vAlign w:val="bottom"/>
          </w:tcPr>
          <w:p>
            <w:pPr>
              <w:spacing w:after="0"/>
              <w:rPr>
                <w:sz w:val="14"/>
                <w:szCs w:val="14"/>
                <w:color w:val="auto"/>
              </w:rPr>
            </w:pPr>
          </w:p>
        </w:tc>
      </w:tr>
      <w:tr>
        <w:trPr>
          <w:trHeight w:val="331"/>
        </w:trPr>
        <w:tc>
          <w:tcPr>
            <w:tcW w:w="4100" w:type="dxa"/>
            <w:vAlign w:val="bottom"/>
          </w:tcPr>
          <w:p>
            <w:pPr>
              <w:ind w:left="2420"/>
              <w:spacing w:after="0"/>
              <w:rPr>
                <w:sz w:val="20"/>
                <w:szCs w:val="20"/>
                <w:color w:val="auto"/>
              </w:rPr>
            </w:pPr>
            <w:r>
              <w:rPr>
                <w:rFonts w:ascii="Courier New" w:cs="Courier New" w:eastAsia="Courier New" w:hAnsi="Courier New"/>
                <w:sz w:val="14"/>
                <w:szCs w:val="14"/>
                <w:color w:val="auto"/>
              </w:rPr>
              <w:t>Total Square Feet -</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Grocery Anchored Centers:</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9,425,000</w:t>
            </w:r>
          </w:p>
        </w:tc>
        <w:tc>
          <w:tcPr>
            <w:tcW w:w="1600" w:type="dxa"/>
            <w:vAlign w:val="bottom"/>
          </w:tcPr>
          <w:p>
            <w:pPr>
              <w:spacing w:after="0"/>
              <w:rPr>
                <w:sz w:val="24"/>
                <w:szCs w:val="24"/>
                <w:color w:val="auto"/>
              </w:rPr>
            </w:pPr>
          </w:p>
        </w:tc>
      </w:tr>
      <w:tr>
        <w:trPr>
          <w:trHeight w:val="166"/>
        </w:trPr>
        <w:tc>
          <w:tcPr>
            <w:tcW w:w="4100" w:type="dxa"/>
            <w:vAlign w:val="bottom"/>
          </w:tcPr>
          <w:p>
            <w:pPr>
              <w:ind w:left="2940"/>
              <w:spacing w:after="0"/>
              <w:rPr>
                <w:sz w:val="20"/>
                <w:szCs w:val="20"/>
                <w:color w:val="auto"/>
              </w:rPr>
            </w:pPr>
            <w:r>
              <w:rPr>
                <w:rFonts w:ascii="Courier New" w:cs="Courier New" w:eastAsia="Courier New" w:hAnsi="Courier New"/>
                <w:sz w:val="14"/>
                <w:szCs w:val="14"/>
                <w:color w:val="auto"/>
              </w:rPr>
              <w:t>SC - Shopping</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Center</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8,712,000</w:t>
            </w:r>
          </w:p>
        </w:tc>
        <w:tc>
          <w:tcPr>
            <w:tcW w:w="1600" w:type="dxa"/>
            <w:vAlign w:val="bottom"/>
          </w:tcPr>
          <w:p>
            <w:pPr>
              <w:spacing w:after="0"/>
              <w:rPr>
                <w:sz w:val="14"/>
                <w:szCs w:val="14"/>
                <w:color w:val="auto"/>
              </w:rPr>
            </w:pPr>
          </w:p>
        </w:tc>
      </w:tr>
      <w:tr>
        <w:trPr>
          <w:trHeight w:val="166"/>
        </w:trPr>
        <w:tc>
          <w:tcPr>
            <w:tcW w:w="6560" w:type="dxa"/>
            <w:vAlign w:val="bottom"/>
            <w:gridSpan w:val="2"/>
          </w:tcPr>
          <w:p>
            <w:pPr>
              <w:ind w:left="2940"/>
              <w:spacing w:after="0"/>
              <w:rPr>
                <w:sz w:val="20"/>
                <w:szCs w:val="20"/>
                <w:color w:val="auto"/>
              </w:rPr>
            </w:pPr>
            <w:r>
              <w:rPr>
                <w:rFonts w:ascii="Courier New" w:cs="Courier New" w:eastAsia="Courier New" w:hAnsi="Courier New"/>
                <w:sz w:val="14"/>
                <w:szCs w:val="14"/>
                <w:color w:val="auto"/>
              </w:rPr>
              <w:t>SR - Street Retail</w:t>
            </w:r>
          </w:p>
        </w:tc>
        <w:tc>
          <w:tcPr>
            <w:tcW w:w="314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713,000</w:t>
            </w:r>
          </w:p>
        </w:tc>
        <w:tc>
          <w:tcPr>
            <w:tcW w:w="1600" w:type="dxa"/>
            <w:vAlign w:val="bottom"/>
          </w:tcPr>
          <w:p>
            <w:pPr>
              <w:spacing w:after="0"/>
              <w:rPr>
                <w:sz w:val="14"/>
                <w:szCs w:val="14"/>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Mortage or</w:t>
            </w:r>
          </w:p>
        </w:tc>
        <w:tc>
          <w:tcPr>
            <w:tcW w:w="1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Lease</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Grocery</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 Leased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Obligation</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Anchor GLA</w:t>
            </w:r>
          </w:p>
        </w:tc>
        <w:tc>
          <w:tcPr>
            <w:tcW w:w="1860" w:type="dxa"/>
            <w:vAlign w:val="bottom"/>
          </w:tcPr>
          <w:p>
            <w:pPr>
              <w:ind w:left="120"/>
              <w:spacing w:after="0"/>
              <w:rPr>
                <w:sz w:val="20"/>
                <w:szCs w:val="20"/>
                <w:color w:val="auto"/>
              </w:rPr>
            </w:pPr>
            <w:r>
              <w:rPr>
                <w:rFonts w:ascii="Courier New" w:cs="Courier New" w:eastAsia="Courier New" w:hAnsi="Courier New"/>
                <w:sz w:val="14"/>
                <w:szCs w:val="14"/>
                <w:color w:val="auto"/>
              </w:rPr>
              <w:t>Grocery Anchor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Colorado Blvd</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97.9%</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Hermosa Ave</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Hollywood Blvd</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73.1%</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Third St Promenade</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93.9%</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9,400</w:t>
            </w: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98.3%</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24,460</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Lunardi's Super Market</w:t>
            </w: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Santana Row</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130,727</w:t>
            </w: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Crossroads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91.2%</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94.1%</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62,937</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Dominick's</w:t>
            </w: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88.3%</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77,303</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Dominick's</w:t>
            </w: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97.2%</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57,706</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Metro Foods</w:t>
            </w: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44,300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91,032</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Harris Teeter / Kroger</w:t>
            </w: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68,802</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Farmer Jack's</w:t>
            </w: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94.8%</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4,907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39,404</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90.3%</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Mill Avenue</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3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98.6%</w:t>
            </w:r>
          </w:p>
        </w:tc>
        <w:tc>
          <w:tcPr>
            <w:tcW w:w="16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22,938</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Southern Season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80" w:orient="portrait"/>
          <w:cols w:equalWidth="0" w:num="1">
            <w:col w:w="11540"/>
          </w:cols>
          <w:pgMar w:left="220" w:top="616" w:right="139" w:bottom="0" w:gutter="0" w:footer="0" w:header="0"/>
        </w:sectPr>
      </w:pPr>
    </w:p>
    <w:bookmarkStart w:id="21" w:name="page22"/>
    <w:bookmarkEnd w:id="21"/>
    <w:p>
      <w:pPr>
        <w:spacing w:after="0"/>
        <w:tabs>
          <w:tab w:leader="none" w:pos="2660" w:val="left"/>
          <w:tab w:leader="none" w:pos="5680" w:val="left"/>
          <w:tab w:leader="none" w:pos="6440" w:val="left"/>
        </w:tabs>
        <w:rPr>
          <w:sz w:val="20"/>
          <w:szCs w:val="20"/>
          <w:color w:val="auto"/>
        </w:rPr>
      </w:pPr>
      <w:r>
        <w:rPr>
          <w:rFonts w:ascii="Courier New" w:cs="Courier New" w:eastAsia="Courier New" w:hAnsi="Courier New"/>
          <w:sz w:val="14"/>
          <w:szCs w:val="14"/>
          <w:color w:val="auto"/>
        </w:rPr>
        <w:t>The Shops at Willow Lawn</w:t>
      </w:r>
      <w:r>
        <w:rPr>
          <w:sz w:val="20"/>
          <w:szCs w:val="20"/>
          <w:color w:val="auto"/>
        </w:rPr>
        <w:tab/>
      </w:r>
      <w:r>
        <w:rPr>
          <w:rFonts w:ascii="Courier New" w:cs="Courier New" w:eastAsia="Courier New" w:hAnsi="Courier New"/>
          <w:sz w:val="14"/>
          <w:szCs w:val="14"/>
          <w:color w:val="auto"/>
        </w:rPr>
        <w:t>81.7%</w:t>
      </w:r>
      <w:r>
        <w:rPr>
          <w:sz w:val="20"/>
          <w:szCs w:val="20"/>
          <w:color w:val="auto"/>
        </w:rPr>
        <w:tab/>
      </w:r>
      <w:r>
        <w:rPr>
          <w:rFonts w:ascii="Courier New" w:cs="Courier New" w:eastAsia="Courier New" w:hAnsi="Courier New"/>
          <w:sz w:val="14"/>
          <w:szCs w:val="14"/>
          <w:color w:val="auto"/>
        </w:rPr>
        <w:t>44,607</w:t>
        <w:tab/>
        <w:t>Kroger</w:t>
      </w:r>
    </w:p>
    <w:p>
      <w:pPr>
        <w:spacing w:after="0" w:line="7" w:lineRule="exact"/>
        <w:rPr>
          <w:sz w:val="20"/>
          <w:szCs w:val="20"/>
          <w:color w:val="auto"/>
        </w:rPr>
      </w:pPr>
    </w:p>
    <w:p>
      <w:pPr>
        <w:spacing w:after="0"/>
        <w:tabs>
          <w:tab w:leader="none" w:pos="2840" w:val="left"/>
          <w:tab w:leader="none" w:pos="4460" w:val="left"/>
        </w:tabs>
        <w:rPr>
          <w:sz w:val="20"/>
          <w:szCs w:val="20"/>
          <w:color w:val="auto"/>
        </w:rPr>
      </w:pPr>
      <w:r>
        <w:rPr>
          <w:rFonts w:ascii="Courier New" w:cs="Courier New" w:eastAsia="Courier New" w:hAnsi="Courier New"/>
          <w:sz w:val="14"/>
          <w:szCs w:val="14"/>
          <w:color w:val="auto"/>
        </w:rPr>
        <w:t>Houston St</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287</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Tanasbourne</w:t>
      </w:r>
      <w:r>
        <w:rPr>
          <w:sz w:val="20"/>
          <w:szCs w:val="20"/>
          <w:color w:val="auto"/>
        </w:rPr>
        <w:tab/>
      </w:r>
      <w:r>
        <w:rPr>
          <w:rFonts w:ascii="Courier New" w:cs="Courier New" w:eastAsia="Courier New" w:hAnsi="Courier New"/>
          <w:sz w:val="14"/>
          <w:szCs w:val="14"/>
          <w:color w:val="auto"/>
        </w:rPr>
        <w:t>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95.9%</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524,147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1,957,271</w:t>
            </w:r>
          </w:p>
        </w:tc>
      </w:tr>
      <w:tr>
        <w:trPr>
          <w:trHeight w:val="6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3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Other Anchor or Major</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3060" w:type="dxa"/>
            <w:vAlign w:val="bottom"/>
          </w:tcPr>
          <w:p>
            <w:pPr>
              <w:spacing w:after="0"/>
              <w:rPr>
                <w:sz w:val="14"/>
                <w:szCs w:val="14"/>
                <w:color w:val="auto"/>
              </w:rPr>
            </w:pPr>
          </w:p>
        </w:tc>
      </w:tr>
      <w:tr>
        <w:trPr>
          <w:trHeight w:val="166"/>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Colorado Blvd</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Hermosa Ave</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Hollywood Blvd</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Third St Promenade</w:t>
            </w:r>
          </w:p>
        </w:tc>
        <w:tc>
          <w:tcPr>
            <w:tcW w:w="30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4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Cost Plus/TJ Maxx/Toys R Us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Brooks Brothers/Williams Sonoma</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Longs Drug Store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Santana Row</w:t>
            </w:r>
          </w:p>
        </w:tc>
        <w:tc>
          <w:tcPr>
            <w:tcW w:w="306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14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Crossroads</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Comp USA/Golfsmith/Binny's</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Walgreens</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30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331"/>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Bally's/Comp USA/Syms/Office Depot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Home Depot/Burlington Coat Factory</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Barnes &amp; Noble/Old Navy/Michaels</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Bed, Bath &amp; Beyond / Best Buy</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4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A.C.Moore/Provident Book Store</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Mill Avenue</w:t>
            </w:r>
          </w:p>
        </w:tc>
        <w:tc>
          <w:tcPr>
            <w:tcW w:w="30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The Shops at Willow Lawn</w:t>
            </w: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Dillard's/Old Navy/Tower Records</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Houston St</w:t>
            </w:r>
          </w:p>
        </w:tc>
        <w:tc>
          <w:tcPr>
            <w:tcW w:w="30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Tanasbourne</w:t>
            </w:r>
          </w:p>
        </w:tc>
        <w:tc>
          <w:tcPr>
            <w:tcW w:w="30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440" w:right="3419" w:hanging="432"/>
        <w:spacing w:after="0" w:line="25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is defined as a tenant with 15,000 sf or more.</w:t>
      </w:r>
    </w:p>
    <w:p>
      <w:pPr>
        <w:spacing w:after="0" w:line="7" w:lineRule="exact"/>
        <w:rPr>
          <w:rFonts w:ascii="Courier New" w:cs="Courier New" w:eastAsia="Courier New" w:hAnsi="Courier New"/>
          <w:sz w:val="14"/>
          <w:szCs w:val="14"/>
          <w:color w:val="auto"/>
        </w:rPr>
      </w:pPr>
    </w:p>
    <w:p>
      <w:pPr>
        <w:ind w:left="440" w:right="3599" w:hanging="432"/>
        <w:spacing w:after="0" w:line="25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 of property subject to capital lease obligation. Mortgage column shows construction loan on Woodmont East of $24,291 and capital lease obligation of $12,576.</w:t>
      </w:r>
    </w:p>
    <w:p>
      <w:pPr>
        <w:spacing w:after="0" w:line="1" w:lineRule="exact"/>
        <w:rPr>
          <w:rFonts w:ascii="Courier New" w:cs="Courier New" w:eastAsia="Courier New" w:hAnsi="Courier New"/>
          <w:sz w:val="14"/>
          <w:szCs w:val="14"/>
          <w:color w:val="auto"/>
        </w:rPr>
      </w:pPr>
    </w:p>
    <w:p>
      <w:pPr>
        <w:ind w:left="440" w:right="3859" w:hanging="432"/>
        <w:spacing w:after="0" w:line="25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Giant building of 40,000 sf has an approximate completion date of December 2002.</w:t>
      </w:r>
    </w:p>
    <w:p>
      <w:pPr>
        <w:ind w:left="440" w:right="3779" w:hanging="432"/>
        <w:spacing w:after="0" w:line="250"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purchased in "downreit" in exchange for operating partnership units.</w:t>
      </w: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subject to capital lease obligation.</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Genuardi's space has been delivered, they are not yet open.</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nine properties, seven at 100% and two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four properties, three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85%.</w:t>
      </w:r>
    </w:p>
    <w:p>
      <w:pPr>
        <w:spacing w:after="0" w:line="7"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second grocery space in the center; Food Lion has vacated, but is paying rent.</w:t>
      </w:r>
    </w:p>
    <w:p>
      <w:pPr>
        <w:sectPr>
          <w:pgSz w:w="11900" w:h="16838" w:orient="portrait"/>
          <w:cols w:equalWidth="0" w:num="1">
            <w:col w:w="10239"/>
          </w:cols>
          <w:pgMar w:left="220" w:top="14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 Street Retail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sf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322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(1)For the year ended December 31,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4"/>
          </w:tcPr>
          <w:p>
            <w:pPr>
              <w:jc w:val="right"/>
              <w:ind w:right="348"/>
              <w:spacing w:after="0"/>
              <w:rPr>
                <w:sz w:val="20"/>
                <w:szCs w:val="20"/>
                <w:color w:val="auto"/>
              </w:rPr>
            </w:pPr>
            <w:r>
              <w:rPr>
                <w:rFonts w:ascii="Courier New" w:cs="Courier New" w:eastAsia="Courier New" w:hAnsi="Courier New"/>
                <w:sz w:val="14"/>
                <w:szCs w:val="14"/>
                <w:color w:val="auto"/>
              </w:rPr>
              <w:t>For the six months ended June 30,</w:t>
            </w:r>
          </w:p>
        </w:tc>
      </w:tr>
      <w:tr>
        <w:trPr>
          <w:trHeight w:val="166"/>
        </w:trPr>
        <w:tc>
          <w:tcPr>
            <w:tcW w:w="290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Courier New" w:cs="Courier New" w:eastAsia="Courier New" w:hAnsi="Courier New"/>
                <w:sz w:val="10"/>
                <w:szCs w:val="10"/>
                <w:color w:val="auto"/>
                <w:w w:val="70"/>
              </w:rPr>
              <w:t>----------------------------------</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4"/>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2001</w:t>
            </w:r>
          </w:p>
        </w:tc>
        <w:tc>
          <w:tcPr>
            <w:tcW w:w="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900" w:type="dxa"/>
            <w:vAlign w:val="bottom"/>
          </w:tcPr>
          <w:p>
            <w:pPr>
              <w:spacing w:after="0"/>
              <w:rPr>
                <w:sz w:val="14"/>
                <w:szCs w:val="14"/>
                <w:color w:val="auto"/>
              </w:rPr>
            </w:pPr>
          </w:p>
        </w:tc>
        <w:tc>
          <w:tcPr>
            <w:tcW w:w="7700" w:type="dxa"/>
            <w:vAlign w:val="bottom"/>
            <w:gridSpan w:val="10"/>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497"/>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7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$ 1,256,778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1,248,770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1,249,269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1,274,285</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$ 1,248,096</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7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223,828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208,794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109,715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108,454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Operating Income (2)</w:t>
            </w:r>
          </w:p>
        </w:tc>
        <w:tc>
          <w:tcPr>
            <w:tcW w:w="7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160,710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153,892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147,819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79,071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77,225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17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$12,547,000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12,700,000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12,860,000</w:t>
            </w: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$12,543,000</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$12,522,000</w:t>
            </w:r>
          </w:p>
        </w:tc>
      </w:tr>
      <w:tr>
        <w:trPr>
          <w:trHeight w:val="828"/>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Street Retail Summary</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gridSpan w:val="5"/>
          </w:tcPr>
          <w:p>
            <w:pPr>
              <w:jc w:val="right"/>
              <w:ind w:right="568"/>
              <w:spacing w:after="0"/>
              <w:rPr>
                <w:sz w:val="20"/>
                <w:szCs w:val="20"/>
                <w:color w:val="auto"/>
              </w:rPr>
            </w:pPr>
            <w:r>
              <w:rPr>
                <w:rFonts w:ascii="Courier New" w:cs="Courier New" w:eastAsia="Courier New" w:hAnsi="Courier New"/>
                <w:sz w:val="14"/>
                <w:szCs w:val="14"/>
                <w:color w:val="auto"/>
              </w:rPr>
              <w:t>(1)For the year ended December 31,</w:t>
            </w:r>
          </w:p>
        </w:tc>
        <w:tc>
          <w:tcPr>
            <w:tcW w:w="3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six months ended June 30,</w:t>
            </w:r>
          </w:p>
        </w:tc>
      </w:tr>
      <w:tr>
        <w:trPr>
          <w:trHeight w:val="166"/>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2001</w:t>
            </w:r>
          </w:p>
        </w:tc>
        <w:tc>
          <w:tcPr>
            <w:tcW w:w="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9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 (4)</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847,526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606,143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472,190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906,375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732,906</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71,282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58,183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51,414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41,349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34,038</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Operating Income (2) (5)</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43,337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38,455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24,989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22,150</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17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$2,232,000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1,876,000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1,792,000</w:t>
            </w: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$ 2,144,000</w:t>
            </w: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$1,931,000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440" w:right="388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periods ended December 31, 2001, 2000 and 1999 have been restated for 2002 discontinued asset sales.</w:t>
      </w: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includes all interest income.</w:t>
      </w:r>
    </w:p>
    <w:p>
      <w:pPr>
        <w:spacing w:after="0" w:line="7" w:lineRule="exact"/>
        <w:rPr>
          <w:rFonts w:ascii="Courier New" w:cs="Courier New" w:eastAsia="Courier New" w:hAnsi="Courier New"/>
          <w:sz w:val="14"/>
          <w:szCs w:val="14"/>
          <w:color w:val="auto"/>
        </w:rPr>
      </w:pPr>
    </w:p>
    <w:p>
      <w:pPr>
        <w:ind w:left="440" w:right="378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ind w:left="440" w:right="3960" w:hanging="432"/>
        <w:spacing w:after="0" w:line="250"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includes stabilized assets and assets which are in various stages of development and redevelopment. At June 30, 2002, real estate assets includes $329 million related to the Santana Row development.</w:t>
      </w:r>
    </w:p>
    <w:p>
      <w:pPr>
        <w:spacing w:after="0" w:line="1" w:lineRule="exact"/>
        <w:rPr>
          <w:rFonts w:ascii="Courier New" w:cs="Courier New" w:eastAsia="Courier New" w:hAnsi="Courier New"/>
          <w:sz w:val="14"/>
          <w:szCs w:val="14"/>
          <w:color w:val="auto"/>
        </w:rPr>
      </w:pPr>
    </w:p>
    <w:p>
      <w:pPr>
        <w:ind w:left="440" w:right="3960" w:hanging="432"/>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is reduced by start-up expenses for Street Retail's development projects.</w:t>
      </w:r>
    </w:p>
    <w:p>
      <w:pPr>
        <w:sectPr>
          <w:pgSz w:w="11900" w:h="16838" w:orient="portrait"/>
          <w:cols w:equalWidth="0" w:num="1">
            <w:col w:w="10600"/>
          </w:cols>
          <w:pgMar w:left="220" w:top="616" w:right="1079" w:bottom="1440" w:gutter="0" w:footer="0" w:header="0"/>
        </w:sectPr>
      </w:pPr>
    </w:p>
    <w:bookmarkStart w:id="23" w:name="page24"/>
    <w:bookmarkEnd w:id="23"/>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 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Lease Summary - Comparable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 Total</w:t>
            </w: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Rent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Old</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w:t>
            </w:r>
          </w:p>
        </w:tc>
      </w:tr>
      <w:tr>
        <w:trPr>
          <w:trHeight w:val="166"/>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Quarter</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Per Sq. Ft.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2nd Quarter 2002</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207,888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1st Quarter 2002</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80,162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4th Quarter 2001</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17.87</w:t>
            </w:r>
          </w:p>
        </w:tc>
      </w:tr>
      <w:tr>
        <w:trPr>
          <w:trHeight w:val="166"/>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3rd Quarter 2001</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73,186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23.01</w:t>
            </w:r>
          </w:p>
        </w:tc>
      </w:tr>
      <w:tr>
        <w:trPr>
          <w:trHeight w:val="166"/>
        </w:trPr>
        <w:tc>
          <w:tcPr>
            <w:tcW w:w="192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Total - 12 months</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453,929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18.25</w:t>
            </w:r>
          </w:p>
        </w:tc>
      </w:tr>
      <w:tr>
        <w:trPr>
          <w:trHeight w:val="166"/>
        </w:trPr>
        <w:tc>
          <w:tcPr>
            <w:tcW w:w="192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Annualized</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Increase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in Rent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Over Old Rent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 Term</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664,412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$ 2,703,314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$ 13.00</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175,129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858,373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$ 10.71</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219,954</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$ 15.77</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189,824</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$ 11.90</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$ 1,249,319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$ 5,894,687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$ 12.99</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Renewal Lease Summary - Comparable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New Rent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Old Rent</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Renewals Signed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 Sq. Ft.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207,779</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$ 17.34</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146,518</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$ 22.25</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2001</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160,473</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$ 23.64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$ 20.80</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2001</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127,202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$ 25.55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$ 23.04</w:t>
            </w:r>
          </w:p>
        </w:tc>
      </w:tr>
      <w:tr>
        <w:trPr>
          <w:trHeight w:val="166"/>
        </w:trPr>
        <w:tc>
          <w:tcPr>
            <w:tcW w:w="184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 - 12 months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641,972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$ 20.46</w:t>
            </w:r>
          </w:p>
        </w:tc>
      </w:tr>
      <w:tr>
        <w:trPr>
          <w:trHeight w:val="166"/>
        </w:trPr>
        <w:tc>
          <w:tcPr>
            <w:tcW w:w="184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Annualized</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Increase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in Rent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Over Old Rent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 Term</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170,240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150,620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$ 0.72</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172,531</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144,008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$ 0.98</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454,752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$ 6.38</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318,296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$ 0.50</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$ 1,115,819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$1,382,628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$ 2.15</w:t>
            </w:r>
          </w:p>
        </w:tc>
      </w:tr>
      <w:tr>
        <w:trPr>
          <w:trHeight w:val="166"/>
        </w:trPr>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Lease Summary - Comparable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260" w:type="dxa"/>
            <w:vAlign w:val="bottom"/>
          </w:tcPr>
          <w:p>
            <w:pPr>
              <w:spacing w:after="0"/>
              <w:rPr>
                <w:sz w:val="14"/>
                <w:szCs w:val="14"/>
                <w:color w:val="auto"/>
              </w:rPr>
            </w:pPr>
          </w:p>
        </w:tc>
        <w:tc>
          <w:tcPr>
            <w:tcW w:w="680" w:type="dxa"/>
            <w:vAlign w:val="bottom"/>
          </w:tcPr>
          <w:p>
            <w:pPr>
              <w:ind w:left="380"/>
              <w:spacing w:after="0"/>
              <w:rPr>
                <w:sz w:val="20"/>
                <w:szCs w:val="20"/>
                <w:color w:val="auto"/>
              </w:rPr>
            </w:pPr>
            <w:r>
              <w:rPr>
                <w:rFonts w:ascii="Courier New" w:cs="Courier New" w:eastAsia="Courier New" w:hAnsi="Courier New"/>
                <w:sz w:val="14"/>
                <w:szCs w:val="14"/>
                <w:color w:val="auto"/>
              </w:rPr>
              <w:t>New</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Rent</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Old</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Renewals Signed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Per Sq. Ft.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2002</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415,667</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$ 18.52</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$ 16.51</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2002</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226,680</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$ 23.34</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$ 21.81</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2001</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253,166</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$ 22.40</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$ 19.73</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2001</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200,388</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$ 25.57</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$ 23.03</w:t>
            </w:r>
          </w:p>
        </w:tc>
      </w:tr>
    </w:tbl>
    <w:p>
      <w:pPr>
        <w:sectPr>
          <w:pgSz w:w="11900" w:h="16880" w:orient="portrait"/>
          <w:cols w:equalWidth="0" w:num="1">
            <w:col w:w="10440"/>
          </w:cols>
          <w:pgMar w:left="220" w:top="616" w:right="1239" w:bottom="0" w:gutter="0" w:footer="0" w:header="0"/>
        </w:sectPr>
      </w:pPr>
    </w:p>
    <w:bookmarkStart w:id="24" w:name="page25"/>
    <w:bookmarkEnd w:id="24"/>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Total - 12 months</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1,095,901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$ 21.70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$ 19.54</w:t>
            </w:r>
          </w:p>
        </w:tc>
      </w:tr>
      <w:tr>
        <w:trPr>
          <w:trHeight w:val="166"/>
        </w:trPr>
        <w:tc>
          <w:tcPr>
            <w:tcW w:w="232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Annualized</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Increase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Tenant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 in Rent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Over Old Rent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 Term</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Improvements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$ 834,651</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$ 2,853,934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$ 6.87</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347,660</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1,002,381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$ 4.42</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674,706</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2,486,000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$ 9.82</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508,120</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$ 4.67</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$ 2,365,137</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$ 7,277,315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$ 6.64</w:t>
            </w:r>
          </w:p>
        </w:tc>
      </w:tr>
      <w:tr>
        <w:trPr>
          <w:trHeight w:val="166"/>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3599"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include expiring leases renewed with the same tenant. All other leases are categorized as new.</w:t>
      </w:r>
    </w:p>
    <w:p>
      <w:pPr>
        <w:ind w:left="440" w:right="3599" w:hanging="432"/>
        <w:spacing w:after="0" w:line="255"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leases represent only those leases signed on spaces for which there was a former tenant.</w:t>
      </w:r>
    </w:p>
    <w:p>
      <w:pPr>
        <w:sectPr>
          <w:pgSz w:w="11900" w:h="16838" w:orient="portrait"/>
          <w:cols w:equalWidth="0" w:num="1">
            <w:col w:w="10239"/>
          </w:cols>
          <w:pgMar w:left="220" w:top="141" w:right="1440" w:bottom="1440" w:gutter="0" w:footer="0" w:header="0"/>
        </w:sectPr>
      </w:pPr>
    </w:p>
    <w:bookmarkStart w:id="25" w:name="page26"/>
    <w:bookmarkEnd w:id="25"/>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 Non-Comparable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5"/>
          </w:tcPr>
          <w:p>
            <w:pPr>
              <w:jc w:val="right"/>
              <w:ind w:right="1428"/>
              <w:spacing w:after="0"/>
              <w:rPr>
                <w:sz w:val="20"/>
                <w:szCs w:val="20"/>
                <w:color w:val="auto"/>
              </w:rPr>
            </w:pPr>
            <w:r>
              <w:rPr>
                <w:rFonts w:ascii="Courier New" w:cs="Courier New" w:eastAsia="Courier New" w:hAnsi="Courier New"/>
                <w:sz w:val="14"/>
                <w:szCs w:val="14"/>
                <w:color w:val="auto"/>
              </w:rPr>
              <w:t>New Lease Summary - Non-Comparable</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14"/>
                <w:szCs w:val="14"/>
                <w:color w:val="auto"/>
              </w:rPr>
            </w:pPr>
          </w:p>
        </w:tc>
        <w:tc>
          <w:tcPr>
            <w:tcW w:w="14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New Rent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GLA Signed</w:t>
            </w:r>
          </w:p>
        </w:tc>
        <w:tc>
          <w:tcPr>
            <w:tcW w:w="142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Per Sq. Ft.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Lease Term</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260" w:type="dxa"/>
            <w:vAlign w:val="bottom"/>
          </w:tcPr>
          <w:p>
            <w:pPr>
              <w:spacing w:after="0"/>
              <w:rPr>
                <w:sz w:val="24"/>
                <w:szCs w:val="2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27,236</w:t>
            </w:r>
          </w:p>
        </w:tc>
        <w:tc>
          <w:tcPr>
            <w:tcW w:w="56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28,819</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4th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64,468</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3rd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82,944</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203,467</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ind w:right="1508"/>
              <w:spacing w:after="0"/>
              <w:rPr>
                <w:sz w:val="20"/>
                <w:szCs w:val="20"/>
                <w:color w:val="auto"/>
              </w:rPr>
            </w:pPr>
            <w:r>
              <w:rPr>
                <w:rFonts w:ascii="Courier New" w:cs="Courier New" w:eastAsia="Courier New" w:hAnsi="Courier New"/>
                <w:sz w:val="14"/>
                <w:szCs w:val="14"/>
                <w:color w:val="auto"/>
                <w:w w:val="99"/>
              </w:rPr>
              <w:t>Tenant</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Tenant</w:t>
            </w:r>
          </w:p>
        </w:tc>
        <w:tc>
          <w:tcPr>
            <w:tcW w:w="3220" w:type="dxa"/>
            <w:vAlign w:val="bottom"/>
            <w:gridSpan w:val="3"/>
          </w:tcPr>
          <w:p>
            <w:pPr>
              <w:jc w:val="right"/>
              <w:ind w:right="150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Improvements</w:t>
            </w:r>
          </w:p>
        </w:tc>
        <w:tc>
          <w:tcPr>
            <w:tcW w:w="3220" w:type="dxa"/>
            <w:vAlign w:val="bottom"/>
            <w:gridSpan w:val="3"/>
          </w:tcPr>
          <w:p>
            <w:pPr>
              <w:jc w:val="right"/>
              <w:ind w:right="1508"/>
              <w:spacing w:after="0"/>
              <w:rPr>
                <w:sz w:val="20"/>
                <w:szCs w:val="20"/>
                <w:color w:val="auto"/>
              </w:rPr>
            </w:pPr>
            <w:r>
              <w:rPr>
                <w:rFonts w:ascii="Courier New" w:cs="Courier New" w:eastAsia="Courier New" w:hAnsi="Courier New"/>
                <w:sz w:val="14"/>
                <w:szCs w:val="14"/>
                <w:color w:val="auto"/>
              </w:rPr>
              <w:t>Per Sq. Ft.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3"/>
          </w:tcPr>
          <w:p>
            <w:pPr>
              <w:jc w:val="right"/>
              <w:ind w:right="15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21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67,235</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$ 2.33</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56,260</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$ 0.87</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21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$ 123,495</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$ 0.61</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4440" w:type="dxa"/>
            <w:vAlign w:val="bottom"/>
            <w:gridSpan w:val="5"/>
          </w:tcPr>
          <w:p>
            <w:pPr>
              <w:spacing w:after="0"/>
              <w:rPr>
                <w:sz w:val="20"/>
                <w:szCs w:val="20"/>
                <w:color w:val="auto"/>
              </w:rPr>
            </w:pPr>
            <w:r>
              <w:rPr>
                <w:rFonts w:ascii="Courier New" w:cs="Courier New" w:eastAsia="Courier New" w:hAnsi="Courier New"/>
                <w:sz w:val="14"/>
                <w:szCs w:val="14"/>
                <w:color w:val="auto"/>
              </w:rPr>
              <w:t>Renewal Lease Summary - Non-Comparable</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4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14"/>
                <w:szCs w:val="14"/>
                <w:color w:val="auto"/>
              </w:rPr>
            </w:pPr>
          </w:p>
        </w:tc>
        <w:tc>
          <w:tcPr>
            <w:tcW w:w="14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New Rent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GLA Signed</w:t>
            </w:r>
          </w:p>
        </w:tc>
        <w:tc>
          <w:tcPr>
            <w:tcW w:w="142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Per Sq. Ft.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Lease Term</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260" w:type="dxa"/>
            <w:vAlign w:val="bottom"/>
          </w:tcPr>
          <w:p>
            <w:pPr>
              <w:spacing w:after="0"/>
              <w:rPr>
                <w:sz w:val="24"/>
                <w:szCs w:val="2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4th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3,252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3rd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5,912</w:t>
            </w:r>
          </w:p>
        </w:tc>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22.56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Tenant</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c>
          <w:tcPr>
            <w:tcW w:w="3220" w:type="dxa"/>
            <w:vAlign w:val="bottom"/>
            <w:gridSpan w:val="3"/>
          </w:tcPr>
          <w:p>
            <w:pPr>
              <w:jc w:val="right"/>
              <w:ind w:right="142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c>
          <w:tcPr>
            <w:tcW w:w="3220" w:type="dxa"/>
            <w:vAlign w:val="bottom"/>
            <w:gridSpan w:val="3"/>
          </w:tcPr>
          <w:p>
            <w:pPr>
              <w:jc w:val="right"/>
              <w:ind w:right="1428"/>
              <w:spacing w:after="0"/>
              <w:rPr>
                <w:sz w:val="20"/>
                <w:szCs w:val="20"/>
                <w:color w:val="auto"/>
              </w:rPr>
            </w:pPr>
            <w:r>
              <w:rPr>
                <w:rFonts w:ascii="Courier New" w:cs="Courier New" w:eastAsia="Courier New" w:hAnsi="Courier New"/>
                <w:sz w:val="14"/>
                <w:szCs w:val="14"/>
                <w:color w:val="auto"/>
              </w:rPr>
              <w:t>Per Sq. Ft.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36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21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84,259</w:t>
            </w: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$ 31.68</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355</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21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0.11</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21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w w:val="98"/>
              </w:rPr>
              <w:t>$ 84,614</w:t>
            </w: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$ 14.31</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w w:val="98"/>
              </w:rPr>
              <w:t>========</w:t>
            </w:r>
          </w:p>
        </w:tc>
        <w:tc>
          <w:tcPr>
            <w:tcW w:w="2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994"/>
        </w:trPr>
        <w:tc>
          <w:tcPr>
            <w:tcW w:w="4440" w:type="dxa"/>
            <w:vAlign w:val="bottom"/>
            <w:gridSpan w:val="5"/>
          </w:tcPr>
          <w:p>
            <w:pPr>
              <w:spacing w:after="0"/>
              <w:rPr>
                <w:sz w:val="20"/>
                <w:szCs w:val="20"/>
                <w:color w:val="auto"/>
              </w:rPr>
            </w:pPr>
            <w:r>
              <w:rPr>
                <w:rFonts w:ascii="Courier New" w:cs="Courier New" w:eastAsia="Courier New" w:hAnsi="Courier New"/>
                <w:sz w:val="14"/>
                <w:szCs w:val="14"/>
                <w:color w:val="auto"/>
              </w:rPr>
              <w:t>Total Lease Summary - Non-Comparable</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4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14"/>
                <w:szCs w:val="14"/>
                <w:color w:val="auto"/>
              </w:rPr>
            </w:pPr>
          </w:p>
        </w:tc>
        <w:tc>
          <w:tcPr>
            <w:tcW w:w="14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New Rent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GLA Signed</w:t>
            </w:r>
          </w:p>
        </w:tc>
        <w:tc>
          <w:tcPr>
            <w:tcW w:w="142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Per Sq. Ft.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Lease Term</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260" w:type="dxa"/>
            <w:vAlign w:val="bottom"/>
          </w:tcPr>
          <w:p>
            <w:pPr>
              <w:spacing w:after="0"/>
              <w:rPr>
                <w:sz w:val="24"/>
                <w:szCs w:val="2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27,236</w:t>
            </w:r>
          </w:p>
        </w:tc>
        <w:tc>
          <w:tcPr>
            <w:tcW w:w="56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31,479</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4th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67,720</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3rd Quarter 2001</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82,944</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209,379</w:t>
            </w:r>
          </w:p>
        </w:tc>
        <w:tc>
          <w:tcPr>
            <w:tcW w:w="56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Tenant</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c>
          <w:tcPr>
            <w:tcW w:w="3220" w:type="dxa"/>
            <w:vAlign w:val="bottom"/>
            <w:gridSpan w:val="3"/>
          </w:tcPr>
          <w:p>
            <w:pPr>
              <w:jc w:val="right"/>
              <w:ind w:right="1428"/>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80" w:orient="portrait"/>
          <w:cols w:equalWidth="0" w:num="1">
            <w:col w:w="10239"/>
          </w:cols>
          <w:pgMar w:left="220" w:top="616" w:right="1440" w:bottom="0" w:gutter="0" w:footer="0" w:header="0"/>
        </w:sectPr>
      </w:pPr>
    </w:p>
    <w:bookmarkStart w:id="26" w:name="page27"/>
    <w:bookmarkEnd w:id="26"/>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Improvements</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151,764</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$ 4.82</w:t>
            </w:r>
          </w:p>
        </w:tc>
      </w:tr>
      <w:tr>
        <w:trPr>
          <w:trHeight w:val="166"/>
        </w:trPr>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56,615</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$ 0.84</w:t>
            </w:r>
          </w:p>
        </w:tc>
      </w:tr>
      <w:tr>
        <w:trPr>
          <w:trHeight w:val="166"/>
        </w:trPr>
        <w:tc>
          <w:tcPr>
            <w:tcW w:w="48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$ 208,379</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$ 1.00</w:t>
            </w:r>
          </w:p>
        </w:tc>
      </w:tr>
      <w:tr>
        <w:trPr>
          <w:trHeight w:val="166"/>
        </w:trPr>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3599"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include expiring leases renewed with the same tenant. All other leases are categorized as new.</w:t>
      </w:r>
    </w:p>
    <w:p>
      <w:pPr>
        <w:ind w:left="440" w:right="3779" w:hanging="432"/>
        <w:spacing w:after="0" w:line="255"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Non-comparable leases represent only those leases signed on spaces for which there was no former tenant.</w:t>
      </w:r>
    </w:p>
    <w:p>
      <w:pPr>
        <w:sectPr>
          <w:pgSz w:w="11900" w:h="16838" w:orient="portrait"/>
          <w:cols w:equalWidth="0" w:num="1">
            <w:col w:w="10239"/>
          </w:cols>
          <w:pgMar w:left="220" w:top="14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Overall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138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At June 30, 2002</w:t>
            </w:r>
          </w:p>
        </w:tc>
        <w:tc>
          <w:tcPr>
            <w:tcW w:w="1460" w:type="dxa"/>
            <w:vAlign w:val="bottom"/>
          </w:tcPr>
          <w:p>
            <w:pPr>
              <w:spacing w:after="0"/>
              <w:rPr>
                <w:sz w:val="14"/>
                <w:szCs w:val="14"/>
                <w:color w:val="auto"/>
              </w:rPr>
            </w:pPr>
          </w:p>
        </w:tc>
        <w:tc>
          <w:tcPr>
            <w:tcW w:w="24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At June 30, 2001</w:t>
            </w:r>
          </w:p>
        </w:tc>
      </w:tr>
      <w:tr>
        <w:trPr>
          <w:trHeight w:val="166"/>
        </w:trPr>
        <w:tc>
          <w:tcPr>
            <w:tcW w:w="36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600" w:type="dxa"/>
            <w:vAlign w:val="bottom"/>
          </w:tcPr>
          <w:p>
            <w:pPr>
              <w:spacing w:after="0"/>
              <w:rPr>
                <w:sz w:val="14"/>
                <w:szCs w:val="14"/>
                <w:color w:val="auto"/>
              </w:rPr>
            </w:pPr>
          </w:p>
        </w:tc>
        <w:tc>
          <w:tcPr>
            <w:tcW w:w="3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Leased</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Occupancy</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14,687,000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14,093,000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95.9%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14,402,000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13,763,000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99.3%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380" w:type="dxa"/>
            <w:vAlign w:val="bottom"/>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At June 30, 2002</w:t>
            </w: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At March 31, 2002</w:t>
            </w: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1060" w:type="dxa"/>
            <w:vAlign w:val="bottom"/>
          </w:tcPr>
          <w:p>
            <w:pPr>
              <w:spacing w:after="0"/>
              <w:rPr>
                <w:sz w:val="14"/>
                <w:szCs w:val="14"/>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14,687,000</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14,093,000</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95.9%</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14,863,000</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14,201,000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280</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99.3%</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331"/>
        </w:trPr>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At December 31, 2001</w:t>
            </w:r>
          </w:p>
        </w:tc>
        <w:tc>
          <w:tcPr>
            <w:tcW w:w="1480" w:type="dxa"/>
            <w:vAlign w:val="bottom"/>
          </w:tcPr>
          <w:p>
            <w:pPr>
              <w:spacing w:after="0"/>
              <w:rPr>
                <w:sz w:val="24"/>
                <w:szCs w:val="24"/>
                <w:color w:val="auto"/>
              </w:rPr>
            </w:pPr>
          </w:p>
        </w:tc>
        <w:tc>
          <w:tcPr>
            <w:tcW w:w="23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September 30, 2001</w:t>
            </w:r>
          </w:p>
        </w:tc>
      </w:tr>
      <w:tr>
        <w:trPr>
          <w:trHeight w:val="166"/>
        </w:trPr>
        <w:tc>
          <w:tcPr>
            <w:tcW w:w="36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1060" w:type="dxa"/>
            <w:vAlign w:val="bottom"/>
          </w:tcPr>
          <w:p>
            <w:pPr>
              <w:spacing w:after="0"/>
              <w:rPr>
                <w:sz w:val="14"/>
                <w:szCs w:val="14"/>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14,761,000</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14,116,000</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95.6%</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14,587,000</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13,970,000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98.6%</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4980" w:hanging="352"/>
        <w:spacing w:after="0" w:line="250" w:lineRule="auto"/>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occupancy for the entire portfolio and includes all operating properties owned in the reporting period.</w:t>
      </w:r>
    </w:p>
    <w:p>
      <w:pPr>
        <w:ind w:left="360" w:hanging="352"/>
        <w:spacing w:after="0"/>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and redevelopment square footage.</w:t>
      </w:r>
    </w:p>
    <w:p>
      <w:pPr>
        <w:sectPr>
          <w:pgSz w:w="11900" w:h="16838" w:orient="portrait"/>
          <w:cols w:equalWidth="0" w:num="1">
            <w:col w:w="11540"/>
          </w:cols>
          <w:pgMar w:left="220" w:top="616" w:right="13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Same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(Quarter to</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Quarter Comparison)</w:t>
            </w: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June 30, 2002</w:t>
            </w:r>
          </w:p>
        </w:tc>
        <w:tc>
          <w:tcPr>
            <w:tcW w:w="1020" w:type="dxa"/>
            <w:vAlign w:val="bottom"/>
          </w:tcPr>
          <w:p>
            <w:pPr>
              <w:spacing w:after="0"/>
              <w:rPr>
                <w:sz w:val="14"/>
                <w:szCs w:val="14"/>
                <w:color w:val="auto"/>
              </w:rPr>
            </w:pPr>
          </w:p>
        </w:tc>
        <w:tc>
          <w:tcPr>
            <w:tcW w:w="2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At June 30, 2001</w:t>
            </w:r>
          </w:p>
        </w:tc>
        <w:tc>
          <w:tcPr>
            <w:tcW w:w="12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w:t>
            </w:r>
          </w:p>
        </w:tc>
        <w:tc>
          <w:tcPr>
            <w:tcW w:w="1020" w:type="dxa"/>
            <w:vAlign w:val="bottom"/>
          </w:tcPr>
          <w:p>
            <w:pPr>
              <w:spacing w:after="0"/>
              <w:rPr>
                <w:sz w:val="14"/>
                <w:szCs w:val="14"/>
                <w:color w:val="auto"/>
              </w:rPr>
            </w:pPr>
          </w:p>
        </w:tc>
        <w:tc>
          <w:tcPr>
            <w:tcW w:w="4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2500" w:type="dxa"/>
            <w:vAlign w:val="bottom"/>
          </w:tcPr>
          <w:p>
            <w:pPr>
              <w:spacing w:after="0"/>
              <w:rPr>
                <w:sz w:val="24"/>
                <w:szCs w:val="2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14,251,000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13,670,000</w:t>
            </w:r>
          </w:p>
        </w:tc>
        <w:tc>
          <w:tcPr>
            <w:tcW w:w="1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95.9%</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14,182,000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13,548,000</w:t>
            </w:r>
          </w:p>
        </w:tc>
        <w:tc>
          <w:tcPr>
            <w:tcW w:w="120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w:t>
            </w:r>
          </w:p>
        </w:tc>
        <w:tc>
          <w:tcPr>
            <w:tcW w:w="10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99.3%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w:t>
            </w:r>
          </w:p>
        </w:tc>
        <w:tc>
          <w:tcPr>
            <w:tcW w:w="120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99.0%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34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At June 30, 2002</w:t>
            </w: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At March 31, 2002</w:t>
            </w:r>
          </w:p>
        </w:tc>
        <w:tc>
          <w:tcPr>
            <w:tcW w:w="9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4"/>
              </w:rPr>
              <w:t>-----------------------------------------</w:t>
            </w:r>
          </w:p>
        </w:tc>
        <w:tc>
          <w:tcPr>
            <w:tcW w:w="78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14,251,000</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13,670,000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14,402,000</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13,759,000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w:t>
            </w:r>
          </w:p>
        </w:tc>
      </w:tr>
      <w:tr>
        <w:trPr>
          <w:trHeight w:val="331"/>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At December 31, 2001</w:t>
            </w:r>
          </w:p>
        </w:tc>
        <w:tc>
          <w:tcPr>
            <w:tcW w:w="7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September 30, 2001</w:t>
            </w:r>
          </w:p>
        </w:tc>
        <w:tc>
          <w:tcPr>
            <w:tcW w:w="94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13,871,000</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13,240,000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13,730,000</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13,146,000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440" w:right="508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is occupancy for only those properties owned and operating in the reporting periods being compared.</w:t>
      </w:r>
    </w:p>
    <w:p>
      <w:pPr>
        <w:ind w:left="440" w:right="4720" w:hanging="432"/>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centers purchased or sold as well as properties under development and redevelopment.</w:t>
      </w:r>
    </w:p>
    <w:p>
      <w:pPr>
        <w:sectPr>
          <w:pgSz w:w="11900" w:h="16838" w:orient="portrait"/>
          <w:cols w:equalWidth="0" w:num="1">
            <w:col w:w="11540"/>
          </w:cols>
          <w:pgMar w:left="220" w:top="616" w:right="13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Top Twenty-five Tenants - Prospective (July 2002 through June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Percentage of</w:t>
      </w:r>
    </w:p>
    <w:p>
      <w:pPr>
        <w:spacing w:after="0" w:line="7" w:lineRule="exact"/>
        <w:rPr>
          <w:sz w:val="20"/>
          <w:szCs w:val="20"/>
          <w:color w:val="auto"/>
        </w:rPr>
      </w:pPr>
    </w:p>
    <w:p>
      <w:pPr>
        <w:ind w:left="4220"/>
        <w:spacing w:after="0"/>
        <w:tabs>
          <w:tab w:leader="none" w:pos="5420" w:val="left"/>
          <w:tab w:leader="none" w:pos="8680" w:val="left"/>
          <w:tab w:leader="none" w:pos="10420" w:val="left"/>
        </w:tabs>
        <w:rPr>
          <w:sz w:val="20"/>
          <w:szCs w:val="20"/>
          <w:color w:val="auto"/>
        </w:rPr>
      </w:pPr>
      <w:r>
        <w:rPr>
          <w:rFonts w:ascii="Courier New" w:cs="Courier New" w:eastAsia="Courier New" w:hAnsi="Courier New"/>
          <w:sz w:val="14"/>
          <w:szCs w:val="14"/>
          <w:color w:val="auto"/>
        </w:rPr>
        <w:t>Annualized</w:t>
      </w:r>
      <w:r>
        <w:rPr>
          <w:sz w:val="20"/>
          <w:szCs w:val="20"/>
          <w:color w:val="auto"/>
        </w:rPr>
        <w:tab/>
      </w:r>
      <w:r>
        <w:rPr>
          <w:rFonts w:ascii="Courier New" w:cs="Courier New" w:eastAsia="Courier New" w:hAnsi="Courier New"/>
          <w:sz w:val="14"/>
          <w:szCs w:val="14"/>
          <w:color w:val="auto"/>
        </w:rPr>
        <w:t>Total Annualized</w:t>
      </w:r>
      <w:r>
        <w:rPr>
          <w:sz w:val="20"/>
          <w:szCs w:val="20"/>
          <w:color w:val="auto"/>
        </w:rPr>
        <w:tab/>
      </w: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Number of</w:t>
      </w:r>
    </w:p>
    <w:p>
      <w:pPr>
        <w:spacing w:after="0" w:line="7" w:lineRule="exact"/>
        <w:rPr>
          <w:sz w:val="20"/>
          <w:szCs w:val="20"/>
          <w:color w:val="auto"/>
        </w:rPr>
      </w:pPr>
    </w:p>
    <w:p>
      <w:pPr>
        <w:ind w:left="360"/>
        <w:spacing w:after="0"/>
        <w:tabs>
          <w:tab w:leader="none" w:pos="4300" w:val="left"/>
          <w:tab w:leader="none" w:pos="6020" w:val="left"/>
          <w:tab w:leader="none" w:pos="7400" w:val="left"/>
          <w:tab w:leader="none" w:pos="9040" w:val="left"/>
          <w:tab w:leader="none" w:pos="10060" w:val="left"/>
        </w:tabs>
        <w:rPr>
          <w:sz w:val="20"/>
          <w:szCs w:val="20"/>
          <w:color w:val="auto"/>
        </w:rPr>
      </w:pPr>
      <w:r>
        <w:rPr>
          <w:rFonts w:ascii="Courier New" w:cs="Courier New" w:eastAsia="Courier New" w:hAnsi="Courier New"/>
          <w:sz w:val="14"/>
          <w:szCs w:val="14"/>
          <w:color w:val="auto"/>
        </w:rPr>
        <w:t>Rank Tenant Name</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Tenant GLA</w:t>
      </w:r>
      <w:r>
        <w:rPr>
          <w:sz w:val="20"/>
          <w:szCs w:val="20"/>
          <w:color w:val="auto"/>
        </w:rPr>
        <w:tab/>
      </w:r>
      <w:r>
        <w:rPr>
          <w:rFonts w:ascii="Courier New" w:cs="Courier New" w:eastAsia="Courier New" w:hAnsi="Courier New"/>
          <w:sz w:val="14"/>
          <w:szCs w:val="14"/>
          <w:color w:val="auto"/>
        </w:rPr>
        <w:t>Total GLA</w:t>
      </w:r>
      <w:r>
        <w:rPr>
          <w:sz w:val="20"/>
          <w:szCs w:val="20"/>
          <w:color w:val="auto"/>
        </w:rPr>
        <w:tab/>
      </w:r>
      <w:r>
        <w:rPr>
          <w:rFonts w:ascii="Courier New" w:cs="Courier New" w:eastAsia="Courier New" w:hAnsi="Courier New"/>
          <w:sz w:val="14"/>
          <w:szCs w:val="14"/>
          <w:color w:val="auto"/>
        </w:rPr>
        <w:t>Stores 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The Gap,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5,931,498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210,000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Safeway,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5,299,241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407,000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Bed, Bath &amp; Beyond,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4,940,047</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353,000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Ahold USA,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4,857,288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429,000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Barnes &amp; Noble,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3,758,031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The TJX Companies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3,280,392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333,000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Toys R Us,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2,975,616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326,000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CVS Corporation</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2,925,322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131,000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MTS,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2,410,795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Great Atlantic &amp; Pacific Tea Co.</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2,380,178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Kmart Corporation</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2,310,612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509,000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OPNET Technologies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2,267,475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0.98%</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Dollar Tree Stores,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2,082,320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172,000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Dress Barn,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2,048,411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0.88%</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Borders Group,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1,971,661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0.85%</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Wakefern Food Corporation</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1,844,135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CompUSA,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1,752,489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Michaels Stores,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1,721,236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138,000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Bally's Health &amp; Fitness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1,702,155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Linens'n Things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1,635,566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Saks &amp; Company</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1,635,300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Ross Stores,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1,631,560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Whole Foods Market,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1,557,765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0.67%</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Home Depot,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1,487,180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Viacom International, Inc.</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1,450,364</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Totals - Top 25 Tenants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$ 65,856,638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4,670,000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2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Total Annualized Base Rent:</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$231,863,104</w:t>
            </w: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22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Total Portfolio Square Footage:</w:t>
            </w: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14,687,000 (1)</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620" w:right="4740" w:hanging="353"/>
        <w:spacing w:after="0" w:line="255"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sectPr>
          <w:pgSz w:w="11900" w:h="16838" w:orient="portrait"/>
          <w:cols w:equalWidth="0" w:num="1">
            <w:col w:w="11380"/>
          </w:cols>
          <w:pgMar w:left="220" w:top="616" w:right="299" w:bottom="1440" w:gutter="0" w:footer="0" w:header="0"/>
        </w:sectPr>
      </w:pPr>
    </w:p>
    <w:bookmarkStart w:id="30" w:name="page31"/>
    <w:bookmarkEnd w:id="30"/>
    <w:p>
      <w:pPr>
        <w:ind w:left="2760"/>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cash (not straight lined) rent paid by the previous tenant; includes minimum and percentage rent.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current rent: Total cash (not straight lined) rent paid by the current (new) tenant; includes minimum rent only.</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Net Operating Income: Gross revenues, including mortgage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Letter"/>
      <w:start w:val="3"/>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8"/>
    </w:lvl>
  </w:abstractNum>
  <w:abstractNum w:abstractNumId="4">
    <w:nsid w:val="628C895D"/>
    <w:multiLevelType w:val="hybridMultilevel"/>
    <w:lvl w:ilvl="0">
      <w:lvlJc w:val="left"/>
      <w:lvlText w:val="%1."/>
      <w:numFmt w:val="decimal"/>
      <w:start w:val="9"/>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9"/>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8"/>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2019-12-13T00:49:36Z</dcterms:created>
  <dcterms:modified xsi:type="dcterms:W3CDTF">2019-12-13T00:49:36Z</dcterms:modified>
</cp:coreProperties>
</file>