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313745101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313745101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5,956,420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5,956,420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5,956,420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Federal Realty Investment Trust</w:t>
      </w:r>
    </w:p>
    <w:p>
      <w:pPr>
        <w:spacing w:after="0" w:line="97" w:lineRule="exact"/>
        <w:rPr>
          <w:rFonts w:ascii="Times New Roman" w:cs="Times New Roman" w:eastAsia="Times New Roman" w:hAnsi="Times New Roman"/>
          <w:sz w:val="22"/>
          <w:szCs w:val="22"/>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909 Rose Avenue, Suite 200, North Bethesda, MD 20852-4041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 Research Global Investors</w:t>
      </w:r>
    </w:p>
    <w:p>
      <w:pPr>
        <w:spacing w:after="0" w:line="97" w:lineRule="exact"/>
        <w:rPr>
          <w:rFonts w:ascii="Times New Roman" w:cs="Times New Roman" w:eastAsia="Times New Roman" w:hAnsi="Times New Roman"/>
          <w:sz w:val="22"/>
          <w:szCs w:val="22"/>
          <w:b w:val="1"/>
          <w:bCs w:val="1"/>
          <w:color w:val="auto"/>
        </w:rPr>
      </w:pPr>
    </w:p>
    <w:p>
      <w:pPr>
        <w:ind w:left="1620" w:right="402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8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2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313745101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6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28"/>
          </w:cols>
          <w:pgMar w:left="400" w:top="419" w:right="459" w:bottom="0" w:gutter="0" w:footer="0" w:header="0"/>
          <w:type w:val="continuous"/>
        </w:sect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5,956,420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5,956,420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5,956,420</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80"/>
          </w:cols>
          <w:pgMar w:left="400" w:top="419" w:right="45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140"/>
        <w:spacing w:after="0" w:line="259" w:lineRule="auto"/>
        <w:rPr>
          <w:sz w:val="20"/>
          <w:szCs w:val="20"/>
          <w:color w:val="auto"/>
        </w:rPr>
      </w:pPr>
      <w:r>
        <w:rPr>
          <w:rFonts w:ascii="Times New Roman" w:cs="Times New Roman" w:eastAsia="Times New Roman" w:hAnsi="Times New Roman"/>
          <w:sz w:val="22"/>
          <w:szCs w:val="22"/>
          <w:color w:val="auto"/>
        </w:rPr>
        <w:t>the name "Capital Research Global Investors." CRGI is deemed to be the beneficial owner of 5,956,420 shares or 7.3% of the 81,209,479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Donald H. Rolfe</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2023-02-13T14:41:02Z</dcterms:created>
  <dcterms:modified xsi:type="dcterms:W3CDTF">2023-02-13T14:41:02Z</dcterms:modified>
</cp:coreProperties>
</file>