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02</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of Beneficial Interest, $.01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2804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80416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5080" w:hanging="529"/>
        <w:spacing w:after="0" w:line="183"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1"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4,498,016</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9,706</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4,699,673</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4,702,861</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6.2 %</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FEDERAL REALTY INVESTMENT TRUST</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1626 East Jefferson Street</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Rockville, Maryland 20852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Common Shares of Beneficial Interest, $.01 par value per share</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313747206</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38" w:orient="portrait"/>
          <w:cols w:equalWidth="0" w:num="1">
            <w:col w:w="11200"/>
          </w:cols>
          <w:pgMar w:left="240" w:top="513" w:right="45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544"/>
          </w:cols>
          <w:pgMar w:left="896" w:top="611"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9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4,702,861</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6.2 %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4,498,016</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9,706</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4,699,673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2,074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3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Trust Company of Delaware</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China International Fund Management Co. Ltd.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340"/>
          </w:cols>
          <w:pgMar w:left="240" w:top="756" w:right="31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January 15,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340"/>
          </w:cols>
          <w:pgMar w:left="240" w:top="756" w:right="31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2020-01-15T10:03:40Z</dcterms:created>
  <dcterms:modified xsi:type="dcterms:W3CDTF">2020-01-15T10:03:40Z</dcterms:modified>
</cp:coreProperties>
</file>