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45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8"/>
              </w:rPr>
              <w:t>Maryland</w:t>
            </w:r>
          </w:p>
        </w:tc>
        <w:tc>
          <w:tcPr>
            <w:tcW w:w="2820" w:type="dxa"/>
            <w:vAlign w:val="bottom"/>
          </w:tcPr>
          <w:p>
            <w:pPr>
              <w:jc w:val="center"/>
              <w:ind w:right="700"/>
              <w:spacing w:after="0"/>
              <w:rPr>
                <w:sz w:val="20"/>
                <w:szCs w:val="20"/>
                <w:color w:val="auto"/>
              </w:rPr>
            </w:pPr>
            <w:r>
              <w:rPr>
                <w:rFonts w:ascii="Arial" w:cs="Arial" w:eastAsia="Arial" w:hAnsi="Arial"/>
                <w:sz w:val="18"/>
                <w:szCs w:val="18"/>
                <w:b w:val="1"/>
                <w:bCs w:val="1"/>
                <w:color w:val="auto"/>
                <w:w w:val="90"/>
              </w:rPr>
              <w:t>1-07533</w:t>
            </w:r>
          </w:p>
        </w:tc>
        <w:tc>
          <w:tcPr>
            <w:tcW w:w="36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52-0782497</w:t>
            </w:r>
          </w:p>
        </w:tc>
        <w:tc>
          <w:tcPr>
            <w:tcW w:w="0" w:type="dxa"/>
            <w:vAlign w:val="bottom"/>
          </w:tcPr>
          <w:p>
            <w:pPr>
              <w:spacing w:after="0"/>
              <w:rPr>
                <w:sz w:val="1"/>
                <w:szCs w:val="1"/>
                <w:color w:val="auto"/>
              </w:rPr>
            </w:pPr>
          </w:p>
        </w:tc>
      </w:tr>
      <w:tr>
        <w:trPr>
          <w:trHeight w:val="148"/>
        </w:trPr>
        <w:tc>
          <w:tcPr>
            <w:tcW w:w="45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20" w:type="dxa"/>
            <w:vAlign w:val="bottom"/>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00" w:type="dxa"/>
            <w:vAlign w:val="bottom"/>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45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4"/>
              </w:rPr>
              <w:t>of incorporation)</w:t>
            </w:r>
          </w:p>
        </w:tc>
        <w:tc>
          <w:tcPr>
            <w:tcW w:w="2820" w:type="dxa"/>
            <w:vAlign w:val="bottom"/>
          </w:tcPr>
          <w:p>
            <w:pPr>
              <w:jc w:val="center"/>
              <w:ind w:right="720"/>
              <w:spacing w:after="0"/>
              <w:rPr>
                <w:sz w:val="20"/>
                <w:szCs w:val="20"/>
                <w:color w:val="auto"/>
              </w:rPr>
            </w:pPr>
            <w:r>
              <w:rPr>
                <w:rFonts w:ascii="Arial" w:cs="Arial" w:eastAsia="Arial" w:hAnsi="Arial"/>
                <w:sz w:val="14"/>
                <w:szCs w:val="14"/>
                <w:b w:val="1"/>
                <w:bCs w:val="1"/>
                <w:color w:val="auto"/>
                <w:w w:val="95"/>
              </w:rPr>
              <w:t>File Number)</w:t>
            </w: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99"/>
        </w:trPr>
        <w:tc>
          <w:tcPr>
            <w:tcW w:w="4560" w:type="dxa"/>
            <w:vAlign w:val="bottom"/>
            <w:gridSpan w:val="3"/>
          </w:tcPr>
          <w:p>
            <w:pPr>
              <w:jc w:val="center"/>
              <w:ind w:left="915"/>
              <w:spacing w:after="0"/>
              <w:rPr>
                <w:sz w:val="20"/>
                <w:szCs w:val="20"/>
                <w:color w:val="auto"/>
              </w:rPr>
            </w:pPr>
            <w:r>
              <w:rPr>
                <w:rFonts w:ascii="Arial" w:cs="Arial" w:eastAsia="Arial" w:hAnsi="Arial"/>
                <w:sz w:val="18"/>
                <w:szCs w:val="18"/>
                <w:b w:val="1"/>
                <w:bCs w:val="1"/>
                <w:color w:val="auto"/>
                <w:w w:val="88"/>
              </w:rPr>
              <w:t>1626 East Jefferson Street,</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60" w:type="dxa"/>
            <w:vAlign w:val="bottom"/>
            <w:gridSpan w:val="3"/>
          </w:tcPr>
          <w:p>
            <w:pPr>
              <w:jc w:val="center"/>
              <w:ind w:left="895"/>
              <w:spacing w:after="0"/>
              <w:rPr>
                <w:sz w:val="20"/>
                <w:szCs w:val="20"/>
                <w:color w:val="auto"/>
              </w:rPr>
            </w:pPr>
            <w:r>
              <w:rPr>
                <w:rFonts w:ascii="Arial" w:cs="Arial" w:eastAsia="Arial" w:hAnsi="Arial"/>
                <w:sz w:val="18"/>
                <w:szCs w:val="18"/>
                <w:b w:val="1"/>
                <w:bCs w:val="1"/>
                <w:color w:val="auto"/>
                <w:w w:val="93"/>
              </w:rPr>
              <w:t>Rockville, Maryland</w:t>
            </w:r>
          </w:p>
        </w:tc>
        <w:tc>
          <w:tcPr>
            <w:tcW w:w="2820" w:type="dxa"/>
            <w:vAlign w:val="bottom"/>
          </w:tcPr>
          <w:p>
            <w:pPr>
              <w:spacing w:after="0"/>
              <w:rPr>
                <w:sz w:val="18"/>
                <w:szCs w:val="18"/>
                <w:color w:val="auto"/>
              </w:rPr>
            </w:pPr>
          </w:p>
        </w:tc>
        <w:tc>
          <w:tcPr>
            <w:tcW w:w="3640" w:type="dxa"/>
            <w:vAlign w:val="bottom"/>
            <w:gridSpan w:val="2"/>
          </w:tcPr>
          <w:p>
            <w:pPr>
              <w:jc w:val="right"/>
              <w:ind w:right="2163"/>
              <w:spacing w:after="0"/>
              <w:rPr>
                <w:sz w:val="20"/>
                <w:szCs w:val="20"/>
                <w:color w:val="auto"/>
              </w:rPr>
            </w:pPr>
            <w:r>
              <w:rPr>
                <w:rFonts w:ascii="Arial" w:cs="Arial" w:eastAsia="Arial" w:hAnsi="Arial"/>
                <w:sz w:val="18"/>
                <w:szCs w:val="18"/>
                <w:b w:val="1"/>
                <w:bCs w:val="1"/>
                <w:color w:val="auto"/>
              </w:rPr>
              <w:t>20852-4041</w:t>
            </w:r>
          </w:p>
        </w:tc>
        <w:tc>
          <w:tcPr>
            <w:tcW w:w="0" w:type="dxa"/>
            <w:vAlign w:val="bottom"/>
          </w:tcPr>
          <w:p>
            <w:pPr>
              <w:spacing w:after="0"/>
              <w:rPr>
                <w:sz w:val="1"/>
                <w:szCs w:val="1"/>
                <w:color w:val="auto"/>
              </w:rPr>
            </w:pPr>
          </w:p>
        </w:tc>
      </w:tr>
      <w:tr>
        <w:trPr>
          <w:trHeight w:val="186"/>
        </w:trPr>
        <w:tc>
          <w:tcPr>
            <w:tcW w:w="4560" w:type="dxa"/>
            <w:vAlign w:val="bottom"/>
            <w:gridSpan w:val="3"/>
          </w:tcPr>
          <w:p>
            <w:pPr>
              <w:jc w:val="center"/>
              <w:ind w:left="89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17"/>
        </w:trPr>
        <w:tc>
          <w:tcPr>
            <w:tcW w:w="11020" w:type="dxa"/>
            <w:vAlign w:val="bottom"/>
            <w:gridSpan w:val="6"/>
          </w:tcPr>
          <w:p>
            <w:pPr>
              <w:ind w:left="3000"/>
              <w:spacing w:after="0"/>
              <w:rPr>
                <w:sz w:val="20"/>
                <w:szCs w:val="20"/>
                <w:color w:val="auto"/>
              </w:rPr>
            </w:pPr>
            <w:r>
              <w:rPr>
                <w:rFonts w:ascii="Arial" w:cs="Arial" w:eastAsia="Arial" w:hAnsi="Arial"/>
                <w:sz w:val="18"/>
                <w:szCs w:val="18"/>
                <w:b w:val="1"/>
                <w:bCs w:val="1"/>
                <w:color w:val="auto"/>
              </w:rPr>
              <w:t>Registrant’s telephone number including area code: 301/998-8100</w:t>
            </w:r>
          </w:p>
        </w:tc>
        <w:tc>
          <w:tcPr>
            <w:tcW w:w="0" w:type="dxa"/>
            <w:vAlign w:val="bottom"/>
          </w:tcPr>
          <w:p>
            <w:pPr>
              <w:spacing w:after="0"/>
              <w:rPr>
                <w:sz w:val="1"/>
                <w:szCs w:val="1"/>
                <w:color w:val="auto"/>
              </w:rPr>
            </w:pPr>
          </w:p>
        </w:tc>
      </w:tr>
      <w:tr>
        <w:trPr>
          <w:trHeight w:val="342"/>
        </w:trPr>
        <w:tc>
          <w:tcPr>
            <w:tcW w:w="456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tcPr>
          <w:p>
            <w:pPr>
              <w:jc w:val="center"/>
              <w:ind w:right="720"/>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2820" w:type="dxa"/>
            <w:vAlign w:val="bottom"/>
          </w:tcPr>
          <w:p>
            <w:pPr>
              <w:jc w:val="center"/>
              <w:ind w:right="720"/>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720"/>
              <w:spacing w:after="0" w:line="191" w:lineRule="exact"/>
              <w:rPr>
                <w:sz w:val="20"/>
                <w:szCs w:val="20"/>
                <w:color w:val="auto"/>
              </w:rPr>
            </w:pPr>
            <w:r>
              <w:rPr>
                <w:rFonts w:ascii="Arial" w:cs="Arial" w:eastAsia="Arial" w:hAnsi="Arial"/>
                <w:sz w:val="18"/>
                <w:szCs w:val="18"/>
                <w:b w:val="1"/>
                <w:bCs w:val="1"/>
                <w:color w:val="auto"/>
                <w:w w:val="97"/>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45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8"/>
              </w:rPr>
              <w:t>Purchase Rights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8"/>
              </w:rPr>
              <w:t>Depositary Shares, each representing 1/1000 of</w:t>
            </w:r>
          </w:p>
        </w:tc>
        <w:tc>
          <w:tcPr>
            <w:tcW w:w="2820" w:type="dxa"/>
            <w:vAlign w:val="bottom"/>
          </w:tcPr>
          <w:p>
            <w:pPr>
              <w:jc w:val="center"/>
              <w:ind w:right="720"/>
              <w:spacing w:after="0"/>
              <w:rPr>
                <w:sz w:val="20"/>
                <w:szCs w:val="20"/>
                <w:color w:val="auto"/>
              </w:rPr>
            </w:pPr>
            <w:r>
              <w:rPr>
                <w:rFonts w:ascii="Arial" w:cs="Arial" w:eastAsia="Arial" w:hAnsi="Arial"/>
                <w:sz w:val="18"/>
                <w:szCs w:val="18"/>
                <w:b w:val="1"/>
                <w:bCs w:val="1"/>
                <w:color w:val="auto"/>
                <w:w w:val="99"/>
              </w:rPr>
              <w:t>FRT-C</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45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a share of 5.00% Series C Cumulative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7"/>
              </w:rPr>
              <w:t>share</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205740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17" w:lineRule="exact"/>
        <w:rPr>
          <w:rFonts w:ascii="MS PGothic" w:cs="MS PGothic" w:eastAsia="MS PGothic" w:hAnsi="MS PGothic"/>
          <w:sz w:val="18"/>
          <w:szCs w:val="18"/>
          <w:color w:val="auto"/>
        </w:rPr>
      </w:pPr>
    </w:p>
    <w:p>
      <w:pPr>
        <w:ind w:left="424" w:right="100" w:hanging="424"/>
        <w:spacing w:after="0" w:line="277"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Term Loan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May 6, 2020, Federal Realty Investment Trust (the “Company”) entered into a Term Loan Agreement (the “Term Loan Agreement”), by and among the Company, as Borrower, the financial institutions party thereto and their permitted assignees, as Lenders, PNC Bank, National Association, as Administrative Agent (the “Administrative Agent”), and the other parties thereto.</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Term Loan Agreement, the Company borrowed $400 million in the form of an unsecured term loan (the “New Term Loan”). The New Term Loan has a stated maturity date of May 6, 2021, subject to one 12-month extension at our option. The New Term Loan initially bears interest at a rate of LIBOR plus 135 basis points, and the spread over LIBOR is subject to adjustment based on our credit rating. The Term Loan Agreement does not have an accordion feature.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 Loan Agreement contains a number of restrictions on the Company’s business, including, but not limited to, restrictions on the Company’s ability to incur indebtedness, make investments, incur liens, engage in certain affiliate transactions, and engage in major transactions such as mergers. In addition, the Company is subject to various financial maintenance covenants, including, but not limited to, a minimum fixed charge coverage ratio, a maximum secured indebtedness ratio, and a minimum unencumbered leverage ratio. The Term Loan Agreement also contains affirmative covenants and events of default, including, but not limited to, a cross default to the Company’s other indebtedness and the occurrence of a change of control. The Company’s failure to comply with these covenants, or the occurrence of an event of default, could result in acceleration of the Company’s debt and other financial obligations under the Term Loan Agreement.</w:t>
      </w:r>
    </w:p>
    <w:p>
      <w:pPr>
        <w:spacing w:after="0" w:line="17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Affiliates of certain lenders under the Term Loan Agreement have served, and may serve in the future, as underwriters in connection with public offerings of equity and debt securities by the Company. In addition, affiliates of certain lenders under the Term Loan Agreement have provided from time to time, and may provide in the future, investment and commercial banking and financial advisory services to the Company or its affiliates in the ordinary course of business for which they have received and may continue to receive customary fees and commissions.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summary of the Term Loan Agreement does not constitute a complete description of, and is qualified in its entirety by reference to, the terms and conditions of the Term Loan Agreement, which is attached hereto as Exhibit 10.1.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Revolving Credit Facility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on May 6, 2020, the Company entered into an amendment (the “Amendment”) to its Amended and Restated Credit Agreement, dated as of July 25, 2019, by and among the Company, as Borrower, each of the lenders party thereto, and Wells Fargo Bank, National Association, as Administrative Agent (the “Credit Agreement”). Among other things, the Amendment modifies the measurement period for certain financial covenants (and relevant associated definitions) from the most recent quarter, annualized, to a trailing four-quarter period, includes cash on hand (above a specified level) in the unencumbered asset value calculation, and allows for construction-in-process to be a higher percentage of certain asset value calculations, all as more specifically provided in the Amendment.</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summary of the Amendment does not constitute a complete description of, and is qualified in its entirety by reference to, the terms and conditions of the Amendment, which is attached hereto as Exhibit 10.2.</w:t>
      </w:r>
    </w:p>
    <w:p>
      <w:pPr>
        <w:sectPr>
          <w:pgSz w:w="11900" w:h="16838" w:orient="portrait"/>
          <w:cols w:equalWidth="0" w:num="1">
            <w:col w:w="11000"/>
          </w:cols>
          <w:pgMar w:left="440" w:top="297" w:right="45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2.03 is included in Item 1.01 and incorporated herein by reference.</w:t>
      </w:r>
    </w:p>
    <w:p>
      <w:pPr>
        <w:spacing w:after="0" w:line="329" w:lineRule="exact"/>
        <w:rPr>
          <w:sz w:val="20"/>
          <w:szCs w:val="20"/>
          <w:color w:val="auto"/>
        </w:rPr>
      </w:pPr>
    </w:p>
    <w:p>
      <w:pPr>
        <w:ind w:left="1080" w:right="11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May 6, 2020, the shareholders of the Company approved the Federal Realty Investment Trust 2020 Performance Incentive Plan (“2020 Plan”). The 2020 Plan provides for the issuance of up to 1,750,000 shares to be issued to the Company’s officers, employees, trustees and others who provide consulting services to the Company. The 2020 Plan expires May 6, 2030. A summary of the 2020 Plan is included as part of Proposal 3 of the Company’s Definitive Proxy Statement filed with the Securities and Exchange Commission on March 20, 2020. The summary of the 2020 Plan is qualified in its entirety by the text of the 2020 Plan, which was filed as Appendix B to the Company’s Definitive Proxy Statement and is incorporated herein by reference.</w:t>
      </w:r>
    </w:p>
    <w:p>
      <w:pPr>
        <w:spacing w:after="0" w:line="2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annual meeting of shareholders of the Company was held on May 6, 2020 by remote means. The following table sets forth the matters presented for a vote by the shareholders and the voting results with respect to such matters: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Matter</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Votes For</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Votes</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Abstentions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70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Against</w:t>
            </w:r>
          </w:p>
        </w:tc>
        <w:tc>
          <w:tcPr>
            <w:tcW w:w="960" w:type="dxa"/>
            <w:vAlign w:val="bottom"/>
            <w:gridSpan w:val="2"/>
            <w:vMerge w:val="continue"/>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Proposal 1: Election of Trustees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Jon E. Bortz</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62,549,690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4,576,819</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53,564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W. Faeder</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61,918,310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5,207,927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53,835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216"/>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Elizabeth I. Holland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64,699,350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2,427,876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52,846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 S. Ordan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63,915,659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3,210,139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54,275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216"/>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Gail P. Steinel</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62,756,173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4,371,046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52,854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Joseph S. Vassalluzzo</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55,333,256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11,792,588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54,229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230"/>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Donald C. Wood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64,316,681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2,809,792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53,600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Proposal 2: Advisory vote on the compensation of our named executive officers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25,684,543</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36,022,419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5,473,110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32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Proposal 3: Approval of 2020 Performance Incentive Plan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63,482,814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3,594,951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102,308</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2,839,554</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Proposal 4: Ratification of the appointment of Grant Thornton LLP as the Company’s</w:t>
            </w:r>
          </w:p>
        </w:tc>
        <w:tc>
          <w:tcPr>
            <w:tcW w:w="1060" w:type="dxa"/>
            <w:vAlign w:val="bottom"/>
            <w:gridSpan w:val="2"/>
            <w:shd w:val="clear" w:color="auto" w:fill="CCEEFF"/>
          </w:tcPr>
          <w:p>
            <w:pPr>
              <w:jc w:val="right"/>
              <w:ind w:right="200"/>
              <w:spacing w:after="0" w:line="198" w:lineRule="exact"/>
              <w:rPr>
                <w:sz w:val="20"/>
                <w:szCs w:val="20"/>
                <w:color w:val="auto"/>
              </w:rPr>
            </w:pPr>
            <w:r>
              <w:rPr>
                <w:rFonts w:ascii="Arial" w:cs="Arial" w:eastAsia="Arial" w:hAnsi="Arial"/>
                <w:sz w:val="18"/>
                <w:szCs w:val="18"/>
                <w:color w:val="auto"/>
                <w:w w:val="93"/>
              </w:rPr>
              <w:t>68,922,707</w:t>
            </w:r>
          </w:p>
        </w:tc>
        <w:tc>
          <w:tcPr>
            <w:tcW w:w="1040" w:type="dxa"/>
            <w:vAlign w:val="bottom"/>
            <w:gridSpan w:val="2"/>
            <w:shd w:val="clear" w:color="auto" w:fill="CCEEFF"/>
          </w:tcPr>
          <w:p>
            <w:pPr>
              <w:jc w:val="right"/>
              <w:ind w:right="180"/>
              <w:spacing w:after="0" w:line="198" w:lineRule="exact"/>
              <w:rPr>
                <w:sz w:val="20"/>
                <w:szCs w:val="20"/>
                <w:color w:val="auto"/>
              </w:rPr>
            </w:pPr>
            <w:r>
              <w:rPr>
                <w:rFonts w:ascii="Arial" w:cs="Arial" w:eastAsia="Arial" w:hAnsi="Arial"/>
                <w:sz w:val="18"/>
                <w:szCs w:val="18"/>
                <w:color w:val="auto"/>
              </w:rPr>
              <w:t>1,044,633</w:t>
            </w:r>
          </w:p>
        </w:tc>
        <w:tc>
          <w:tcPr>
            <w:tcW w:w="960" w:type="dxa"/>
            <w:vAlign w:val="bottom"/>
            <w:gridSpan w:val="2"/>
            <w:shd w:val="clear" w:color="auto" w:fill="CCEEFF"/>
          </w:tcPr>
          <w:p>
            <w:pPr>
              <w:jc w:val="right"/>
              <w:ind w:right="180"/>
              <w:spacing w:after="0" w:line="198" w:lineRule="exact"/>
              <w:rPr>
                <w:sz w:val="20"/>
                <w:szCs w:val="20"/>
                <w:color w:val="auto"/>
              </w:rPr>
            </w:pPr>
            <w:r>
              <w:rPr>
                <w:rFonts w:ascii="Arial" w:cs="Arial" w:eastAsia="Arial" w:hAnsi="Arial"/>
                <w:sz w:val="18"/>
                <w:szCs w:val="18"/>
                <w:color w:val="auto"/>
              </w:rPr>
              <w:t>52,286</w:t>
            </w:r>
          </w:p>
        </w:tc>
        <w:tc>
          <w:tcPr>
            <w:tcW w:w="88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independent registered public accounting firm for the year ending December 31, 2020</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1080" w:hanging="43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included in the Form 8-K:</w:t>
      </w:r>
    </w:p>
    <w:p>
      <w:pPr>
        <w:spacing w:after="0" w:line="225" w:lineRule="exact"/>
        <w:rPr>
          <w:sz w:val="20"/>
          <w:szCs w:val="20"/>
          <w:color w:val="auto"/>
        </w:rPr>
      </w:pPr>
    </w:p>
    <w:p>
      <w:pPr>
        <w:ind w:left="760" w:hanging="714"/>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6">
        <w:r>
          <w:rPr>
            <w:rFonts w:ascii="Arial" w:cs="Arial" w:eastAsia="Arial" w:hAnsi="Arial"/>
            <w:sz w:val="18"/>
            <w:szCs w:val="18"/>
            <w:u w:val="single" w:color="auto"/>
            <w:color w:val="0000EE"/>
          </w:rPr>
          <w:t>Term Loan Agreement dated as of May 6, 2020, by and among Federal Realty Investment Trust, the financial institutions party thereto, PNC</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Bank, National Association, as Administrative Agent, and the other parties thereto.</w:t>
        </w:r>
      </w:hyperlink>
    </w:p>
    <w:p>
      <w:pPr>
        <w:spacing w:after="0" w:line="62" w:lineRule="exact"/>
        <w:rPr>
          <w:sz w:val="20"/>
          <w:szCs w:val="20"/>
          <w:color w:val="auto"/>
        </w:rPr>
      </w:pPr>
    </w:p>
    <w:p>
      <w:pPr>
        <w:ind w:left="760" w:right="40" w:hanging="714"/>
        <w:spacing w:after="0" w:line="263"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115">
        <w:r>
          <w:rPr>
            <w:rFonts w:ascii="Arial" w:cs="Arial" w:eastAsia="Arial" w:hAnsi="Arial"/>
            <w:sz w:val="18"/>
            <w:szCs w:val="18"/>
            <w:u w:val="single" w:color="auto"/>
            <w:color w:val="0000EE"/>
          </w:rPr>
          <w:t>First Amendment to Amended and Restated Credit Agreement dated as of May 6, 2020, by and among Federal Realty Investment Trust, the</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financial institutions party thereto as Lenders, Wells Fargo Bank, National Association, as Administrative Agent thereunder, and the other</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parties thereto.</w:t>
        </w:r>
      </w:hyperlink>
    </w:p>
    <w:p>
      <w:pPr>
        <w:spacing w:after="0" w:line="76" w:lineRule="exact"/>
        <w:rPr>
          <w:rFonts w:ascii="Arial" w:cs="Arial" w:eastAsia="Arial" w:hAnsi="Arial"/>
          <w:sz w:val="18"/>
          <w:szCs w:val="18"/>
          <w:u w:val="single" w:color="auto"/>
          <w:color w:val="0000EE"/>
        </w:rPr>
      </w:pPr>
    </w:p>
    <w:p>
      <w:pPr>
        <w:ind w:left="760" w:right="440" w:hanging="714"/>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9">
        <w:r>
          <w:rPr>
            <w:rFonts w:ascii="Arial" w:cs="Arial" w:eastAsia="Arial" w:hAnsi="Arial"/>
            <w:sz w:val="18"/>
            <w:szCs w:val="18"/>
            <w:u w:val="single" w:color="auto"/>
            <w:color w:val="0000EE"/>
          </w:rPr>
          <w:t>Federal Realty Investment Trust 2020 Performance Incentive Plan (previously filed as Appendix B to the Company’s Definitive Proxy</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Statement for the 2020 Annual Meeting of Shareholders and incorporated herein by reference)</w:t>
        </w:r>
      </w:hyperlink>
    </w:p>
    <w:p>
      <w:pPr>
        <w:spacing w:after="0" w:line="62"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Interactive Data File is embedded within the Inline XBRL document)</w:t>
      </w:r>
    </w:p>
    <w:p>
      <w:pPr>
        <w:sectPr>
          <w:pgSz w:w="11900" w:h="16838" w:orient="portrait"/>
          <w:cols w:equalWidth="0" w:num="1">
            <w:col w:w="10880"/>
          </w:cols>
          <w:pgMar w:left="440" w:top="297" w:right="57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940"/>
          </w:cols>
          <w:pgMar w:left="440" w:top="297" w:right="5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3137LEAH6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734695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777875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168910</wp:posOffset>
            </wp:positionV>
            <wp:extent cx="1285875" cy="402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587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TERM LOAN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May 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AND THEIR PERMITTED ASSIGNEES UNDER SECTION 12.6.,</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TRUIST BANK,</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 Co-Syndication Agents,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REGIONS CAPITAL MARKETS,</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7040" w:type="dxa"/>
            <w:vAlign w:val="bottom"/>
          </w:tcPr>
          <w:p>
            <w:pPr>
              <w:ind w:left="3040"/>
              <w:spacing w:after="0"/>
              <w:rPr>
                <w:sz w:val="20"/>
                <w:szCs w:val="20"/>
                <w:color w:val="auto"/>
              </w:rPr>
            </w:pPr>
            <w:r>
              <w:rPr>
                <w:rFonts w:ascii="Arial" w:cs="Arial" w:eastAsia="Arial" w:hAnsi="Arial"/>
                <w:sz w:val="18"/>
                <w:szCs w:val="18"/>
                <w:color w:val="auto"/>
              </w:rPr>
              <w:t>TABLE OF CONTENTS</w:t>
            </w:r>
          </w:p>
        </w:tc>
        <w:tc>
          <w:tcPr>
            <w:tcW w:w="2360" w:type="dxa"/>
            <w:vAlign w:val="bottom"/>
          </w:tcPr>
          <w:p>
            <w:pPr>
              <w:spacing w:after="0"/>
              <w:rPr>
                <w:sz w:val="20"/>
                <w:szCs w:val="20"/>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w w:val="99"/>
              </w:rPr>
              <w:t>Article I. Definitions</w:t>
            </w:r>
          </w:p>
        </w:tc>
        <w:tc>
          <w:tcPr>
            <w:tcW w:w="70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704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7040" w:type="dxa"/>
            <w:vAlign w:val="bottom"/>
          </w:tcPr>
          <w:p>
            <w:pPr>
              <w:ind w:left="60"/>
              <w:spacing w:after="0"/>
              <w:rPr>
                <w:sz w:val="20"/>
                <w:szCs w:val="20"/>
                <w:color w:val="auto"/>
              </w:rPr>
            </w:pPr>
            <w:r>
              <w:rPr>
                <w:rFonts w:ascii="Arial" w:cs="Arial" w:eastAsia="Arial" w:hAnsi="Arial"/>
                <w:sz w:val="18"/>
                <w:szCs w:val="18"/>
                <w:color w:val="auto"/>
              </w:rPr>
              <w:t>General; References to Eastern Time</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7040" w:type="dxa"/>
            <w:vAlign w:val="bottom"/>
          </w:tcPr>
          <w:p>
            <w:pPr>
              <w:ind w:left="60"/>
              <w:spacing w:after="0"/>
              <w:rPr>
                <w:sz w:val="20"/>
                <w:szCs w:val="20"/>
                <w:color w:val="auto"/>
              </w:rPr>
            </w:pPr>
            <w:r>
              <w:rPr>
                <w:rFonts w:ascii="Arial" w:cs="Arial" w:eastAsia="Arial" w:hAnsi="Arial"/>
                <w:sz w:val="18"/>
                <w:szCs w:val="18"/>
                <w:color w:val="auto"/>
              </w:rPr>
              <w:t>Financial Attributes of Non-Wholly Owned Subsidiaries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7040" w:type="dxa"/>
            <w:vAlign w:val="bottom"/>
          </w:tcPr>
          <w:p>
            <w:pPr>
              <w:ind w:left="60"/>
              <w:spacing w:after="0"/>
              <w:rPr>
                <w:sz w:val="20"/>
                <w:szCs w:val="20"/>
                <w:color w:val="auto"/>
              </w:rPr>
            </w:pPr>
            <w:r>
              <w:rPr>
                <w:rFonts w:ascii="Arial" w:cs="Arial" w:eastAsia="Arial" w:hAnsi="Arial"/>
                <w:sz w:val="18"/>
                <w:szCs w:val="18"/>
                <w:color w:val="auto"/>
              </w:rPr>
              <w:t>Rates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II. Credit Facility</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7040" w:type="dxa"/>
            <w:vAlign w:val="bottom"/>
          </w:tcPr>
          <w:p>
            <w:pPr>
              <w:ind w:left="60"/>
              <w:spacing w:after="0"/>
              <w:rPr>
                <w:sz w:val="20"/>
                <w:szCs w:val="20"/>
                <w:color w:val="auto"/>
              </w:rPr>
            </w:pPr>
            <w:r>
              <w:rPr>
                <w:rFonts w:ascii="Arial" w:cs="Arial" w:eastAsia="Arial" w:hAnsi="Arial"/>
                <w:sz w:val="18"/>
                <w:szCs w:val="18"/>
                <w:color w:val="auto"/>
              </w:rPr>
              <w:t>Loans</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7040" w:type="dxa"/>
            <w:vAlign w:val="bottom"/>
          </w:tcPr>
          <w:p>
            <w:pPr>
              <w:ind w:left="60"/>
              <w:spacing w:after="0"/>
              <w:rPr>
                <w:sz w:val="20"/>
                <w:szCs w:val="20"/>
                <w:color w:val="auto"/>
              </w:rPr>
            </w:pPr>
            <w:r>
              <w:rPr>
                <w:rFonts w:ascii="Arial" w:cs="Arial" w:eastAsia="Arial" w:hAnsi="Arial"/>
                <w:sz w:val="18"/>
                <w:szCs w:val="18"/>
                <w:color w:val="auto"/>
              </w:rPr>
              <w:t>Rates and Payment of Interest on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7040" w:type="dxa"/>
            <w:vAlign w:val="bottom"/>
          </w:tcPr>
          <w:p>
            <w:pPr>
              <w:ind w:left="60"/>
              <w:spacing w:after="0"/>
              <w:rPr>
                <w:sz w:val="20"/>
                <w:szCs w:val="20"/>
                <w:color w:val="auto"/>
              </w:rPr>
            </w:pPr>
            <w:r>
              <w:rPr>
                <w:rFonts w:ascii="Arial" w:cs="Arial" w:eastAsia="Arial" w:hAnsi="Arial"/>
                <w:sz w:val="18"/>
                <w:szCs w:val="18"/>
                <w:color w:val="auto"/>
              </w:rPr>
              <w:t>Number of Interest Periods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7040" w:type="dxa"/>
            <w:vAlign w:val="bottom"/>
          </w:tcPr>
          <w:p>
            <w:pPr>
              <w:ind w:left="60"/>
              <w:spacing w:after="0"/>
              <w:rPr>
                <w:sz w:val="20"/>
                <w:szCs w:val="20"/>
                <w:color w:val="auto"/>
              </w:rPr>
            </w:pPr>
            <w:r>
              <w:rPr>
                <w:rFonts w:ascii="Arial" w:cs="Arial" w:eastAsia="Arial" w:hAnsi="Arial"/>
                <w:sz w:val="18"/>
                <w:szCs w:val="18"/>
                <w:color w:val="auto"/>
              </w:rPr>
              <w:t>Repayment of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704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7040" w:type="dxa"/>
            <w:vAlign w:val="bottom"/>
          </w:tcPr>
          <w:p>
            <w:pPr>
              <w:ind w:left="60"/>
              <w:spacing w:after="0"/>
              <w:rPr>
                <w:sz w:val="20"/>
                <w:szCs w:val="20"/>
                <w:color w:val="auto"/>
              </w:rPr>
            </w:pPr>
            <w:r>
              <w:rPr>
                <w:rFonts w:ascii="Arial" w:cs="Arial" w:eastAsia="Arial" w:hAnsi="Arial"/>
                <w:sz w:val="18"/>
                <w:szCs w:val="18"/>
                <w:color w:val="auto"/>
              </w:rPr>
              <w:t>Continuation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2.10.</w:t>
            </w:r>
          </w:p>
        </w:tc>
        <w:tc>
          <w:tcPr>
            <w:tcW w:w="7040" w:type="dxa"/>
            <w:vAlign w:val="bottom"/>
          </w:tcPr>
          <w:p>
            <w:pPr>
              <w:ind w:left="60"/>
              <w:spacing w:after="0"/>
              <w:rPr>
                <w:sz w:val="20"/>
                <w:szCs w:val="20"/>
                <w:color w:val="auto"/>
              </w:rPr>
            </w:pPr>
            <w:r>
              <w:rPr>
                <w:rFonts w:ascii="Arial" w:cs="Arial" w:eastAsia="Arial" w:hAnsi="Arial"/>
                <w:sz w:val="18"/>
                <w:szCs w:val="18"/>
                <w:color w:val="auto"/>
              </w:rPr>
              <w:t>Conversion</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2.11.</w:t>
            </w:r>
          </w:p>
        </w:tc>
        <w:tc>
          <w:tcPr>
            <w:tcW w:w="7040" w:type="dxa"/>
            <w:vAlign w:val="bottom"/>
          </w:tcPr>
          <w:p>
            <w:pPr>
              <w:ind w:left="60"/>
              <w:spacing w:after="0"/>
              <w:rPr>
                <w:sz w:val="20"/>
                <w:szCs w:val="20"/>
                <w:color w:val="auto"/>
              </w:rPr>
            </w:pPr>
            <w:r>
              <w:rPr>
                <w:rFonts w:ascii="Arial" w:cs="Arial" w:eastAsia="Arial" w:hAnsi="Arial"/>
                <w:sz w:val="18"/>
                <w:szCs w:val="18"/>
                <w:color w:val="auto"/>
              </w:rPr>
              <w:t>Notes</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2.12.</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2.13.</w:t>
            </w:r>
          </w:p>
        </w:tc>
        <w:tc>
          <w:tcPr>
            <w:tcW w:w="7040" w:type="dxa"/>
            <w:vAlign w:val="bottom"/>
          </w:tcPr>
          <w:p>
            <w:pPr>
              <w:ind w:left="60"/>
              <w:spacing w:after="0"/>
              <w:rPr>
                <w:sz w:val="20"/>
                <w:szCs w:val="20"/>
                <w:color w:val="auto"/>
              </w:rPr>
            </w:pPr>
            <w:r>
              <w:rPr>
                <w:rFonts w:ascii="Arial" w:cs="Arial" w:eastAsia="Arial" w:hAnsi="Arial"/>
                <w:sz w:val="18"/>
                <w:szCs w:val="18"/>
                <w:color w:val="auto"/>
              </w:rPr>
              <w:t>Extension of Maturity Date</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2.14.</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2.15.</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2.16.</w:t>
            </w:r>
          </w:p>
        </w:tc>
        <w:tc>
          <w:tcPr>
            <w:tcW w:w="704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2.17.</w:t>
            </w:r>
          </w:p>
        </w:tc>
        <w:tc>
          <w:tcPr>
            <w:tcW w:w="7040" w:type="dxa"/>
            <w:vAlign w:val="bottom"/>
          </w:tcPr>
          <w:p>
            <w:pPr>
              <w:ind w:left="60"/>
              <w:spacing w:after="0"/>
              <w:rPr>
                <w:sz w:val="20"/>
                <w:szCs w:val="20"/>
                <w:color w:val="auto"/>
              </w:rPr>
            </w:pPr>
            <w:r>
              <w:rPr>
                <w:rFonts w:ascii="Arial" w:cs="Arial" w:eastAsia="Arial" w:hAnsi="Arial"/>
                <w:sz w:val="18"/>
                <w:szCs w:val="18"/>
                <w:color w:val="auto"/>
              </w:rPr>
              <w:t>Funds Transfer Disbursements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7040" w:type="dxa"/>
            <w:vAlign w:val="bottom"/>
          </w:tcPr>
          <w:p>
            <w:pPr>
              <w:ind w:left="60"/>
              <w:spacing w:after="0"/>
              <w:rPr>
                <w:sz w:val="20"/>
                <w:szCs w:val="20"/>
                <w:color w:val="auto"/>
              </w:rPr>
            </w:pPr>
            <w:r>
              <w:rPr>
                <w:rFonts w:ascii="Arial" w:cs="Arial" w:eastAsia="Arial" w:hAnsi="Arial"/>
                <w:sz w:val="18"/>
                <w:szCs w:val="18"/>
                <w:color w:val="auto"/>
              </w:rPr>
              <w:t>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040" w:type="dxa"/>
            <w:vAlign w:val="bottom"/>
          </w:tcPr>
          <w:p>
            <w:pPr>
              <w:ind w:left="60"/>
              <w:spacing w:after="0"/>
              <w:rPr>
                <w:sz w:val="20"/>
                <w:szCs w:val="20"/>
                <w:color w:val="auto"/>
              </w:rPr>
            </w:pPr>
            <w:r>
              <w:rPr>
                <w:rFonts w:ascii="Arial" w:cs="Arial" w:eastAsia="Arial" w:hAnsi="Arial"/>
                <w:sz w:val="18"/>
                <w:szCs w:val="18"/>
                <w:color w:val="auto"/>
              </w:rPr>
              <w:t>Pro Rata Treatment</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7040" w:type="dxa"/>
            <w:vAlign w:val="bottom"/>
          </w:tcPr>
          <w:p>
            <w:pPr>
              <w:ind w:left="60"/>
              <w:spacing w:after="0"/>
              <w:rPr>
                <w:sz w:val="20"/>
                <w:szCs w:val="20"/>
                <w:color w:val="auto"/>
              </w:rPr>
            </w:pPr>
            <w:r>
              <w:rPr>
                <w:rFonts w:ascii="Arial" w:cs="Arial" w:eastAsia="Arial" w:hAnsi="Arial"/>
                <w:sz w:val="18"/>
                <w:szCs w:val="18"/>
                <w:color w:val="auto"/>
              </w:rPr>
              <w:t>Sharing of Payments, Etc.</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7040" w:type="dxa"/>
            <w:vAlign w:val="bottom"/>
          </w:tcPr>
          <w:p>
            <w:pPr>
              <w:ind w:left="60"/>
              <w:spacing w:after="0"/>
              <w:rPr>
                <w:sz w:val="20"/>
                <w:szCs w:val="20"/>
                <w:color w:val="auto"/>
              </w:rPr>
            </w:pPr>
            <w:r>
              <w:rPr>
                <w:rFonts w:ascii="Arial" w:cs="Arial" w:eastAsia="Arial" w:hAnsi="Arial"/>
                <w:sz w:val="18"/>
                <w:szCs w:val="18"/>
                <w:color w:val="auto"/>
              </w:rPr>
              <w:t>Several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7040" w:type="dxa"/>
            <w:vAlign w:val="bottom"/>
          </w:tcPr>
          <w:p>
            <w:pPr>
              <w:ind w:left="60"/>
              <w:spacing w:after="0"/>
              <w:rPr>
                <w:sz w:val="20"/>
                <w:szCs w:val="20"/>
                <w:color w:val="auto"/>
              </w:rPr>
            </w:pPr>
            <w:r>
              <w:rPr>
                <w:rFonts w:ascii="Arial" w:cs="Arial" w:eastAsia="Arial" w:hAnsi="Arial"/>
                <w:sz w:val="18"/>
                <w:szCs w:val="18"/>
                <w:color w:val="auto"/>
              </w:rPr>
              <w:t>Fees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7040" w:type="dxa"/>
            <w:vAlign w:val="bottom"/>
          </w:tcPr>
          <w:p>
            <w:pPr>
              <w:ind w:left="60"/>
              <w:spacing w:after="0"/>
              <w:rPr>
                <w:sz w:val="20"/>
                <w:szCs w:val="20"/>
                <w:color w:val="auto"/>
              </w:rPr>
            </w:pPr>
            <w:r>
              <w:rPr>
                <w:rFonts w:ascii="Arial" w:cs="Arial" w:eastAsia="Arial" w:hAnsi="Arial"/>
                <w:sz w:val="18"/>
                <w:szCs w:val="18"/>
                <w:color w:val="auto"/>
              </w:rPr>
              <w:t>Computations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7040" w:type="dxa"/>
            <w:vAlign w:val="bottom"/>
          </w:tcPr>
          <w:p>
            <w:pPr>
              <w:ind w:left="60"/>
              <w:spacing w:after="0"/>
              <w:rPr>
                <w:sz w:val="20"/>
                <w:szCs w:val="20"/>
                <w:color w:val="auto"/>
              </w:rPr>
            </w:pPr>
            <w:r>
              <w:rPr>
                <w:rFonts w:ascii="Arial" w:cs="Arial" w:eastAsia="Arial" w:hAnsi="Arial"/>
                <w:sz w:val="18"/>
                <w:szCs w:val="18"/>
                <w:color w:val="auto"/>
              </w:rPr>
              <w:t>Usury</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7040" w:type="dxa"/>
            <w:vAlign w:val="bottom"/>
          </w:tcPr>
          <w:p>
            <w:pPr>
              <w:ind w:left="60"/>
              <w:spacing w:after="0"/>
              <w:rPr>
                <w:sz w:val="20"/>
                <w:szCs w:val="20"/>
                <w:color w:val="auto"/>
              </w:rPr>
            </w:pPr>
            <w:r>
              <w:rPr>
                <w:rFonts w:ascii="Arial" w:cs="Arial" w:eastAsia="Arial" w:hAnsi="Arial"/>
                <w:sz w:val="18"/>
                <w:szCs w:val="18"/>
                <w:color w:val="auto"/>
              </w:rPr>
              <w:t>Statements of Account</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704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3.10.</w:t>
            </w:r>
          </w:p>
        </w:tc>
        <w:tc>
          <w:tcPr>
            <w:tcW w:w="7040" w:type="dxa"/>
            <w:vAlign w:val="bottom"/>
          </w:tcPr>
          <w:p>
            <w:pPr>
              <w:ind w:left="60"/>
              <w:spacing w:after="0"/>
              <w:rPr>
                <w:sz w:val="20"/>
                <w:szCs w:val="20"/>
                <w:color w:val="auto"/>
              </w:rPr>
            </w:pPr>
            <w:r>
              <w:rPr>
                <w:rFonts w:ascii="Arial" w:cs="Arial" w:eastAsia="Arial" w:hAnsi="Arial"/>
                <w:sz w:val="18"/>
                <w:szCs w:val="18"/>
                <w:color w:val="auto"/>
              </w:rPr>
              <w:t>Taxes; Foreign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IV. Yield Protection, Etc.</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040" w:type="dxa"/>
            <w:vAlign w:val="bottom"/>
          </w:tcPr>
          <w:p>
            <w:pPr>
              <w:ind w:left="60"/>
              <w:spacing w:after="0"/>
              <w:rPr>
                <w:sz w:val="20"/>
                <w:szCs w:val="20"/>
                <w:color w:val="auto"/>
              </w:rPr>
            </w:pPr>
            <w:r>
              <w:rPr>
                <w:rFonts w:ascii="Arial" w:cs="Arial" w:eastAsia="Arial" w:hAnsi="Arial"/>
                <w:sz w:val="18"/>
                <w:szCs w:val="18"/>
                <w:color w:val="auto"/>
              </w:rPr>
              <w:t>Additional Costs; Capital Adequacy</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040" w:type="dxa"/>
            <w:vAlign w:val="bottom"/>
          </w:tcPr>
          <w:p>
            <w:pPr>
              <w:ind w:left="60"/>
              <w:spacing w:after="0"/>
              <w:rPr>
                <w:sz w:val="20"/>
                <w:szCs w:val="20"/>
                <w:color w:val="auto"/>
              </w:rPr>
            </w:pPr>
            <w:r>
              <w:rPr>
                <w:rFonts w:ascii="Arial" w:cs="Arial" w:eastAsia="Arial" w:hAnsi="Arial"/>
                <w:sz w:val="18"/>
                <w:szCs w:val="18"/>
                <w:color w:val="auto"/>
              </w:rPr>
              <w:t>Inability to Determine Interest Rates; Alternative Rate of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04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704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7040" w:type="dxa"/>
            <w:vAlign w:val="bottom"/>
          </w:tcPr>
          <w:p>
            <w:pPr>
              <w:ind w:left="60"/>
              <w:spacing w:after="0"/>
              <w:rPr>
                <w:sz w:val="20"/>
                <w:szCs w:val="20"/>
                <w:color w:val="auto"/>
              </w:rPr>
            </w:pPr>
            <w:r>
              <w:rPr>
                <w:rFonts w:ascii="Arial" w:cs="Arial" w:eastAsia="Arial" w:hAnsi="Arial"/>
                <w:sz w:val="18"/>
                <w:szCs w:val="18"/>
                <w:color w:val="auto"/>
              </w:rPr>
              <w:t>Treatment of Affected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7040" w:type="dxa"/>
            <w:vAlign w:val="bottom"/>
          </w:tcPr>
          <w:p>
            <w:pPr>
              <w:ind w:left="60"/>
              <w:spacing w:after="0"/>
              <w:rPr>
                <w:sz w:val="20"/>
                <w:szCs w:val="20"/>
                <w:color w:val="auto"/>
              </w:rPr>
            </w:pPr>
            <w:r>
              <w:rPr>
                <w:rFonts w:ascii="Arial" w:cs="Arial" w:eastAsia="Arial" w:hAnsi="Arial"/>
                <w:sz w:val="18"/>
                <w:szCs w:val="18"/>
                <w:color w:val="auto"/>
              </w:rPr>
              <w:t>Affected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7040" w:type="dxa"/>
            <w:vAlign w:val="bottom"/>
          </w:tcPr>
          <w:p>
            <w:pPr>
              <w:ind w:left="60"/>
              <w:spacing w:after="0"/>
              <w:rPr>
                <w:sz w:val="20"/>
                <w:szCs w:val="20"/>
                <w:color w:val="auto"/>
              </w:rPr>
            </w:pPr>
            <w:r>
              <w:rPr>
                <w:rFonts w:ascii="Arial" w:cs="Arial" w:eastAsia="Arial" w:hAnsi="Arial"/>
                <w:sz w:val="18"/>
                <w:szCs w:val="18"/>
                <w:color w:val="auto"/>
              </w:rPr>
              <w:t>Change of Lending Office</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7040" w:type="dxa"/>
            <w:vAlign w:val="bottom"/>
          </w:tcPr>
          <w:p>
            <w:pPr>
              <w:ind w:left="60"/>
              <w:spacing w:after="0"/>
              <w:rPr>
                <w:sz w:val="20"/>
                <w:szCs w:val="20"/>
                <w:color w:val="auto"/>
              </w:rPr>
            </w:pPr>
            <w:r>
              <w:rPr>
                <w:rFonts w:ascii="Arial" w:cs="Arial" w:eastAsia="Arial" w:hAnsi="Arial"/>
                <w:sz w:val="18"/>
                <w:szCs w:val="18"/>
                <w:color w:val="auto"/>
              </w:rPr>
              <w:t>Assumptions Concerning Funding of LIBOR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V. Conditions Precedent</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7040" w:type="dxa"/>
            <w:vAlign w:val="bottom"/>
          </w:tcPr>
          <w:p>
            <w:pPr>
              <w:ind w:left="60"/>
              <w:spacing w:after="0"/>
              <w:rPr>
                <w:sz w:val="20"/>
                <w:szCs w:val="20"/>
                <w:color w:val="auto"/>
              </w:rPr>
            </w:pPr>
            <w:r>
              <w:rPr>
                <w:rFonts w:ascii="Arial" w:cs="Arial" w:eastAsia="Arial" w:hAnsi="Arial"/>
                <w:sz w:val="18"/>
                <w:szCs w:val="18"/>
                <w:color w:val="auto"/>
              </w:rPr>
              <w:t>Initial Conditions Precedent</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7040" w:type="dxa"/>
            <w:vAlign w:val="bottom"/>
          </w:tcPr>
          <w:p>
            <w:pPr>
              <w:ind w:left="60"/>
              <w:spacing w:after="0"/>
              <w:rPr>
                <w:sz w:val="20"/>
                <w:szCs w:val="20"/>
                <w:color w:val="auto"/>
              </w:rPr>
            </w:pPr>
            <w:r>
              <w:rPr>
                <w:rFonts w:ascii="Arial" w:cs="Arial" w:eastAsia="Arial" w:hAnsi="Arial"/>
                <w:sz w:val="18"/>
                <w:szCs w:val="18"/>
                <w:color w:val="auto"/>
              </w:rPr>
              <w:t>Conditions Precedent to All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900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9000" w:type="dxa"/>
            <w:vAlign w:val="bottom"/>
          </w:tcPr>
          <w:p>
            <w:pPr>
              <w:ind w:left="60"/>
              <w:spacing w:after="0"/>
              <w:rPr>
                <w:sz w:val="20"/>
                <w:szCs w:val="20"/>
                <w:color w:val="auto"/>
              </w:rPr>
            </w:pPr>
            <w:r>
              <w:rPr>
                <w:rFonts w:ascii="Arial" w:cs="Arial" w:eastAsia="Arial" w:hAnsi="Arial"/>
                <w:sz w:val="18"/>
                <w:szCs w:val="18"/>
                <w:color w:val="auto"/>
              </w:rPr>
              <w:t>Survival of Representations and Warranties, Etc.</w:t>
            </w: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9000" w:type="dxa"/>
            <w:vAlign w:val="bottom"/>
          </w:tcPr>
          <w:p>
            <w:pPr>
              <w:ind w:left="60"/>
              <w:spacing w:after="0"/>
              <w:rPr>
                <w:sz w:val="20"/>
                <w:szCs w:val="20"/>
                <w:color w:val="auto"/>
              </w:rPr>
            </w:pPr>
            <w:r>
              <w:rPr>
                <w:rFonts w:ascii="Arial" w:cs="Arial" w:eastAsia="Arial" w:hAnsi="Arial"/>
                <w:sz w:val="18"/>
                <w:szCs w:val="18"/>
                <w:color w:val="auto"/>
              </w:rPr>
              <w:t>Preservation of Existence and Similar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9000" w:type="dxa"/>
            <w:vAlign w:val="bottom"/>
          </w:tcPr>
          <w:p>
            <w:pPr>
              <w:ind w:left="60"/>
              <w:spacing w:after="0"/>
              <w:rPr>
                <w:sz w:val="20"/>
                <w:szCs w:val="20"/>
                <w:color w:val="auto"/>
              </w:rPr>
            </w:pPr>
            <w:r>
              <w:rPr>
                <w:rFonts w:ascii="Arial" w:cs="Arial" w:eastAsia="Arial" w:hAnsi="Arial"/>
                <w:sz w:val="18"/>
                <w:szCs w:val="18"/>
                <w:color w:val="auto"/>
              </w:rPr>
              <w:t>Compliance with Applicable Law and Material Contracts</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9000" w:type="dxa"/>
            <w:vAlign w:val="bottom"/>
          </w:tcPr>
          <w:p>
            <w:pPr>
              <w:ind w:left="60"/>
              <w:spacing w:after="0"/>
              <w:rPr>
                <w:sz w:val="20"/>
                <w:szCs w:val="20"/>
                <w:color w:val="auto"/>
              </w:rPr>
            </w:pPr>
            <w:r>
              <w:rPr>
                <w:rFonts w:ascii="Arial" w:cs="Arial" w:eastAsia="Arial" w:hAnsi="Arial"/>
                <w:sz w:val="18"/>
                <w:szCs w:val="18"/>
                <w:color w:val="auto"/>
              </w:rPr>
              <w:t>Maintenance of Property</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9000" w:type="dxa"/>
            <w:vAlign w:val="bottom"/>
          </w:tcPr>
          <w:p>
            <w:pPr>
              <w:ind w:left="60"/>
              <w:spacing w:after="0"/>
              <w:rPr>
                <w:sz w:val="20"/>
                <w:szCs w:val="20"/>
                <w:color w:val="auto"/>
              </w:rPr>
            </w:pPr>
            <w:r>
              <w:rPr>
                <w:rFonts w:ascii="Arial" w:cs="Arial" w:eastAsia="Arial" w:hAnsi="Arial"/>
                <w:sz w:val="18"/>
                <w:szCs w:val="18"/>
                <w:color w:val="auto"/>
              </w:rPr>
              <w:t>Conduct of Business</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90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9000" w:type="dxa"/>
            <w:vAlign w:val="bottom"/>
          </w:tcPr>
          <w:p>
            <w:pPr>
              <w:ind w:left="60"/>
              <w:spacing w:after="0"/>
              <w:rPr>
                <w:sz w:val="20"/>
                <w:szCs w:val="20"/>
                <w:color w:val="auto"/>
              </w:rPr>
            </w:pPr>
            <w:r>
              <w:rPr>
                <w:rFonts w:ascii="Arial" w:cs="Arial" w:eastAsia="Arial" w:hAnsi="Arial"/>
                <w:sz w:val="18"/>
                <w:szCs w:val="18"/>
                <w:color w:val="auto"/>
              </w:rPr>
              <w:t>Payment of Taxes and Claims</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7.7.</w:t>
            </w:r>
          </w:p>
        </w:tc>
        <w:tc>
          <w:tcPr>
            <w:tcW w:w="9000" w:type="dxa"/>
            <w:vAlign w:val="bottom"/>
          </w:tcPr>
          <w:p>
            <w:pPr>
              <w:ind w:left="60"/>
              <w:spacing w:after="0"/>
              <w:rPr>
                <w:sz w:val="20"/>
                <w:szCs w:val="20"/>
                <w:color w:val="auto"/>
              </w:rPr>
            </w:pPr>
            <w:r>
              <w:rPr>
                <w:rFonts w:ascii="Arial" w:cs="Arial" w:eastAsia="Arial" w:hAnsi="Arial"/>
                <w:sz w:val="18"/>
                <w:szCs w:val="18"/>
                <w:color w:val="auto"/>
              </w:rPr>
              <w:t>Books and Records; Inspections</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7.8.</w:t>
            </w:r>
          </w:p>
        </w:tc>
        <w:tc>
          <w:tcPr>
            <w:tcW w:w="900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7.9.</w:t>
            </w:r>
          </w:p>
        </w:tc>
        <w:tc>
          <w:tcPr>
            <w:tcW w:w="900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7.10.</w:t>
            </w:r>
          </w:p>
        </w:tc>
        <w:tc>
          <w:tcPr>
            <w:tcW w:w="90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7.11.</w:t>
            </w:r>
          </w:p>
        </w:tc>
        <w:tc>
          <w:tcPr>
            <w:tcW w:w="9000" w:type="dxa"/>
            <w:vAlign w:val="bottom"/>
          </w:tcPr>
          <w:p>
            <w:pPr>
              <w:ind w:left="60"/>
              <w:spacing w:after="0"/>
              <w:rPr>
                <w:sz w:val="20"/>
                <w:szCs w:val="20"/>
                <w:color w:val="auto"/>
              </w:rPr>
            </w:pPr>
            <w:r>
              <w:rPr>
                <w:rFonts w:ascii="Arial" w:cs="Arial" w:eastAsia="Arial" w:hAnsi="Arial"/>
                <w:sz w:val="18"/>
                <w:szCs w:val="18"/>
                <w:color w:val="auto"/>
                <w:w w:val="95"/>
              </w:rPr>
              <w:t>Compliance with Anti-Corruption Laws; Beneficial Ownership Regulation, Anti-Money Laundering Laws and Sanctions</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7.12.</w:t>
            </w:r>
          </w:p>
        </w:tc>
        <w:tc>
          <w:tcPr>
            <w:tcW w:w="9000" w:type="dxa"/>
            <w:vAlign w:val="bottom"/>
          </w:tcPr>
          <w:p>
            <w:pPr>
              <w:ind w:left="60"/>
              <w:spacing w:after="0"/>
              <w:rPr>
                <w:sz w:val="20"/>
                <w:szCs w:val="20"/>
                <w:color w:val="auto"/>
              </w:rPr>
            </w:pPr>
            <w:r>
              <w:rPr>
                <w:rFonts w:ascii="Arial" w:cs="Arial" w:eastAsia="Arial" w:hAnsi="Arial"/>
                <w:sz w:val="18"/>
                <w:szCs w:val="18"/>
                <w:color w:val="auto"/>
              </w:rPr>
              <w:t>REIT Status</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7.13.</w:t>
            </w:r>
          </w:p>
        </w:tc>
        <w:tc>
          <w:tcPr>
            <w:tcW w:w="9000" w:type="dxa"/>
            <w:vAlign w:val="bottom"/>
          </w:tcPr>
          <w:p>
            <w:pPr>
              <w:ind w:left="60"/>
              <w:spacing w:after="0"/>
              <w:rPr>
                <w:sz w:val="20"/>
                <w:szCs w:val="20"/>
                <w:color w:val="auto"/>
              </w:rPr>
            </w:pPr>
            <w:r>
              <w:rPr>
                <w:rFonts w:ascii="Arial" w:cs="Arial" w:eastAsia="Arial" w:hAnsi="Arial"/>
                <w:sz w:val="18"/>
                <w:szCs w:val="18"/>
                <w:color w:val="auto"/>
              </w:rPr>
              <w:t>Exchange Listing</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7.14.</w:t>
            </w:r>
          </w:p>
        </w:tc>
        <w:tc>
          <w:tcPr>
            <w:tcW w:w="9000" w:type="dxa"/>
            <w:vAlign w:val="bottom"/>
          </w:tcPr>
          <w:p>
            <w:pPr>
              <w:ind w:left="60"/>
              <w:spacing w:after="0"/>
              <w:rPr>
                <w:sz w:val="20"/>
                <w:szCs w:val="20"/>
                <w:color w:val="auto"/>
              </w:rPr>
            </w:pPr>
            <w:r>
              <w:rPr>
                <w:rFonts w:ascii="Arial" w:cs="Arial" w:eastAsia="Arial" w:hAnsi="Arial"/>
                <w:sz w:val="18"/>
                <w:szCs w:val="18"/>
                <w:color w:val="auto"/>
              </w:rPr>
              <w:t>Guarantors</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VIII.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9000" w:type="dxa"/>
            <w:vAlign w:val="bottom"/>
          </w:tcPr>
          <w:p>
            <w:pPr>
              <w:ind w:left="60"/>
              <w:spacing w:after="0"/>
              <w:rPr>
                <w:sz w:val="20"/>
                <w:szCs w:val="20"/>
                <w:color w:val="auto"/>
              </w:rPr>
            </w:pPr>
            <w:r>
              <w:rPr>
                <w:rFonts w:ascii="Arial" w:cs="Arial" w:eastAsia="Arial" w:hAnsi="Arial"/>
                <w:sz w:val="18"/>
                <w:szCs w:val="18"/>
                <w:color w:val="auto"/>
              </w:rPr>
              <w:t>Quarterly Financial Statements</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9000" w:type="dxa"/>
            <w:vAlign w:val="bottom"/>
          </w:tcPr>
          <w:p>
            <w:pPr>
              <w:ind w:left="60"/>
              <w:spacing w:after="0"/>
              <w:rPr>
                <w:sz w:val="20"/>
                <w:szCs w:val="20"/>
                <w:color w:val="auto"/>
              </w:rPr>
            </w:pPr>
            <w:r>
              <w:rPr>
                <w:rFonts w:ascii="Arial" w:cs="Arial" w:eastAsia="Arial" w:hAnsi="Arial"/>
                <w:sz w:val="18"/>
                <w:szCs w:val="18"/>
                <w:color w:val="auto"/>
              </w:rPr>
              <w:t>Year-End Statements</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9000" w:type="dxa"/>
            <w:vAlign w:val="bottom"/>
          </w:tcPr>
          <w:p>
            <w:pPr>
              <w:ind w:left="60"/>
              <w:spacing w:after="0"/>
              <w:rPr>
                <w:sz w:val="20"/>
                <w:szCs w:val="20"/>
                <w:color w:val="auto"/>
              </w:rPr>
            </w:pPr>
            <w:r>
              <w:rPr>
                <w:rFonts w:ascii="Arial" w:cs="Arial" w:eastAsia="Arial" w:hAnsi="Arial"/>
                <w:sz w:val="18"/>
                <w:szCs w:val="18"/>
                <w:color w:val="auto"/>
              </w:rPr>
              <w:t>Compliance Certificate</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9000" w:type="dxa"/>
            <w:vAlign w:val="bottom"/>
          </w:tcPr>
          <w:p>
            <w:pPr>
              <w:ind w:left="60"/>
              <w:spacing w:after="0"/>
              <w:rPr>
                <w:sz w:val="20"/>
                <w:szCs w:val="20"/>
                <w:color w:val="auto"/>
              </w:rPr>
            </w:pPr>
            <w:r>
              <w:rPr>
                <w:rFonts w:ascii="Arial" w:cs="Arial" w:eastAsia="Arial" w:hAnsi="Arial"/>
                <w:sz w:val="18"/>
                <w:szCs w:val="18"/>
                <w:color w:val="auto"/>
              </w:rPr>
              <w:t>Other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9000" w:type="dxa"/>
            <w:vAlign w:val="bottom"/>
          </w:tcPr>
          <w:p>
            <w:pPr>
              <w:ind w:left="60"/>
              <w:spacing w:after="0"/>
              <w:rPr>
                <w:sz w:val="20"/>
                <w:szCs w:val="20"/>
                <w:color w:val="auto"/>
              </w:rPr>
            </w:pPr>
            <w:r>
              <w:rPr>
                <w:rFonts w:ascii="Arial" w:cs="Arial" w:eastAsia="Arial" w:hAnsi="Arial"/>
                <w:sz w:val="18"/>
                <w:szCs w:val="18"/>
                <w:color w:val="auto"/>
              </w:rPr>
              <w:t>Electronic Delivery of Certain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9000" w:type="dxa"/>
            <w:vAlign w:val="bottom"/>
          </w:tcPr>
          <w:p>
            <w:pPr>
              <w:ind w:left="60"/>
              <w:spacing w:after="0"/>
              <w:rPr>
                <w:sz w:val="20"/>
                <w:szCs w:val="20"/>
                <w:color w:val="auto"/>
              </w:rPr>
            </w:pPr>
            <w:r>
              <w:rPr>
                <w:rFonts w:ascii="Arial" w:cs="Arial" w:eastAsia="Arial" w:hAnsi="Arial"/>
                <w:sz w:val="18"/>
                <w:szCs w:val="18"/>
                <w:color w:val="auto"/>
              </w:rPr>
              <w:t>Public/Private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rPr>
              <w:t>Section 8.7.</w:t>
            </w:r>
          </w:p>
        </w:tc>
        <w:tc>
          <w:tcPr>
            <w:tcW w:w="9000" w:type="dxa"/>
            <w:vAlign w:val="bottom"/>
          </w:tcPr>
          <w:p>
            <w:pPr>
              <w:ind w:left="60"/>
              <w:spacing w:after="0"/>
              <w:rPr>
                <w:sz w:val="20"/>
                <w:szCs w:val="20"/>
                <w:color w:val="auto"/>
              </w:rPr>
            </w:pPr>
            <w:r>
              <w:rPr>
                <w:rFonts w:ascii="Arial" w:cs="Arial" w:eastAsia="Arial" w:hAnsi="Arial"/>
                <w:sz w:val="18"/>
                <w:szCs w:val="18"/>
                <w:color w:val="auto"/>
              </w:rPr>
              <w:t>USA Patriot Act Notice; Compliance</w:t>
            </w: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9000" w:type="dxa"/>
            <w:vAlign w:val="bottom"/>
          </w:tcPr>
          <w:p>
            <w:pPr>
              <w:ind w:left="60"/>
              <w:spacing w:after="0"/>
              <w:rPr>
                <w:sz w:val="20"/>
                <w:szCs w:val="20"/>
                <w:color w:val="auto"/>
              </w:rPr>
            </w:pPr>
            <w:r>
              <w:rPr>
                <w:rFonts w:ascii="Arial" w:cs="Arial" w:eastAsia="Arial" w:hAnsi="Arial"/>
                <w:sz w:val="18"/>
                <w:szCs w:val="18"/>
                <w:color w:val="auto"/>
              </w:rPr>
              <w:t>Financial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900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9000" w:type="dxa"/>
            <w:vAlign w:val="bottom"/>
          </w:tcPr>
          <w:p>
            <w:pPr>
              <w:ind w:left="60"/>
              <w:spacing w:after="0"/>
              <w:rPr>
                <w:sz w:val="20"/>
                <w:szCs w:val="20"/>
                <w:color w:val="auto"/>
              </w:rPr>
            </w:pPr>
            <w:r>
              <w:rPr>
                <w:rFonts w:ascii="Arial" w:cs="Arial" w:eastAsia="Arial" w:hAnsi="Arial"/>
                <w:sz w:val="18"/>
                <w:szCs w:val="18"/>
                <w:color w:val="auto"/>
              </w:rPr>
              <w:t>Liens; Negative Pledges</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9000" w:type="dxa"/>
            <w:vAlign w:val="bottom"/>
          </w:tcPr>
          <w:p>
            <w:pPr>
              <w:ind w:left="60"/>
              <w:spacing w:after="0"/>
              <w:rPr>
                <w:sz w:val="20"/>
                <w:szCs w:val="20"/>
                <w:color w:val="auto"/>
              </w:rPr>
            </w:pPr>
            <w:r>
              <w:rPr>
                <w:rFonts w:ascii="Arial" w:cs="Arial" w:eastAsia="Arial" w:hAnsi="Arial"/>
                <w:sz w:val="18"/>
                <w:szCs w:val="18"/>
                <w:color w:val="auto"/>
              </w:rPr>
              <w:t>Restrictions on Intercompany Transfers</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9000" w:type="dxa"/>
            <w:vAlign w:val="bottom"/>
          </w:tcPr>
          <w:p>
            <w:pPr>
              <w:ind w:left="60"/>
              <w:spacing w:after="0"/>
              <w:rPr>
                <w:sz w:val="20"/>
                <w:szCs w:val="20"/>
                <w:color w:val="auto"/>
              </w:rPr>
            </w:pPr>
            <w:r>
              <w:rPr>
                <w:rFonts w:ascii="Arial" w:cs="Arial" w:eastAsia="Arial" w:hAnsi="Arial"/>
                <w:sz w:val="18"/>
                <w:szCs w:val="18"/>
                <w:color w:val="auto"/>
              </w:rPr>
              <w:t>Merger, Consolidation, Sales of Assets and Other Arrangements</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9000" w:type="dxa"/>
            <w:vAlign w:val="bottom"/>
          </w:tcPr>
          <w:p>
            <w:pPr>
              <w:ind w:left="60"/>
              <w:spacing w:after="0"/>
              <w:rPr>
                <w:sz w:val="20"/>
                <w:szCs w:val="20"/>
                <w:color w:val="auto"/>
              </w:rPr>
            </w:pPr>
            <w:r>
              <w:rPr>
                <w:rFonts w:ascii="Arial" w:cs="Arial" w:eastAsia="Arial" w:hAnsi="Arial"/>
                <w:sz w:val="18"/>
                <w:szCs w:val="18"/>
                <w:color w:val="auto"/>
              </w:rPr>
              <w:t>Plans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900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9.8.</w:t>
            </w:r>
          </w:p>
        </w:tc>
        <w:tc>
          <w:tcPr>
            <w:tcW w:w="9000" w:type="dxa"/>
            <w:vAlign w:val="bottom"/>
          </w:tcPr>
          <w:p>
            <w:pPr>
              <w:ind w:left="60"/>
              <w:spacing w:after="0"/>
              <w:rPr>
                <w:sz w:val="20"/>
                <w:szCs w:val="20"/>
                <w:color w:val="auto"/>
              </w:rPr>
            </w:pPr>
            <w:r>
              <w:rPr>
                <w:rFonts w:ascii="Arial" w:cs="Arial" w:eastAsia="Arial" w:hAnsi="Arial"/>
                <w:sz w:val="18"/>
                <w:szCs w:val="18"/>
                <w:color w:val="auto"/>
              </w:rPr>
              <w:t>Modifications of Organizational Documents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rPr>
              <w:t>Section 9.9.</w:t>
            </w:r>
          </w:p>
        </w:tc>
        <w:tc>
          <w:tcPr>
            <w:tcW w:w="900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9.10.</w:t>
            </w:r>
          </w:p>
        </w:tc>
        <w:tc>
          <w:tcPr>
            <w:tcW w:w="900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9.11.</w:t>
            </w:r>
          </w:p>
        </w:tc>
        <w:tc>
          <w:tcPr>
            <w:tcW w:w="9000" w:type="dxa"/>
            <w:vAlign w:val="bottom"/>
          </w:tcPr>
          <w:p>
            <w:pPr>
              <w:ind w:left="60"/>
              <w:spacing w:after="0"/>
              <w:rPr>
                <w:sz w:val="20"/>
                <w:szCs w:val="20"/>
                <w:color w:val="auto"/>
              </w:rPr>
            </w:pPr>
            <w:r>
              <w:rPr>
                <w:rFonts w:ascii="Arial" w:cs="Arial" w:eastAsia="Arial" w:hAnsi="Arial"/>
                <w:sz w:val="18"/>
                <w:szCs w:val="18"/>
                <w:color w:val="auto"/>
              </w:rPr>
              <w:t>Non-Controlled Properties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9.12.</w:t>
            </w:r>
          </w:p>
        </w:tc>
        <w:tc>
          <w:tcPr>
            <w:tcW w:w="9000" w:type="dxa"/>
            <w:vAlign w:val="bottom"/>
          </w:tcPr>
          <w:p>
            <w:pPr>
              <w:ind w:left="60"/>
              <w:spacing w:after="0"/>
              <w:rPr>
                <w:sz w:val="20"/>
                <w:szCs w:val="20"/>
                <w:color w:val="auto"/>
              </w:rPr>
            </w:pPr>
            <w:r>
              <w:rPr>
                <w:rFonts w:ascii="Arial" w:cs="Arial" w:eastAsia="Arial" w:hAnsi="Arial"/>
                <w:sz w:val="18"/>
                <w:szCs w:val="18"/>
                <w:color w:val="auto"/>
              </w:rPr>
              <w:t>Derivatives Contracts</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9.13.</w:t>
            </w:r>
          </w:p>
        </w:tc>
        <w:tc>
          <w:tcPr>
            <w:tcW w:w="900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Article X. Default</w:t>
            </w:r>
          </w:p>
        </w:tc>
        <w:tc>
          <w:tcPr>
            <w:tcW w:w="90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10.1.</w:t>
            </w:r>
          </w:p>
        </w:tc>
        <w:tc>
          <w:tcPr>
            <w:tcW w:w="900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10.2.</w:t>
            </w:r>
          </w:p>
        </w:tc>
        <w:tc>
          <w:tcPr>
            <w:tcW w:w="900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560" w:type="dxa"/>
            <w:vAlign w:val="bottom"/>
          </w:tcPr>
          <w:p>
            <w:pPr>
              <w:ind w:left="540"/>
              <w:spacing w:after="0"/>
              <w:rPr>
                <w:sz w:val="20"/>
                <w:szCs w:val="20"/>
                <w:color w:val="auto"/>
              </w:rPr>
            </w:pPr>
            <w:r>
              <w:rPr>
                <w:rFonts w:ascii="Arial" w:cs="Arial" w:eastAsia="Arial" w:hAnsi="Arial"/>
                <w:sz w:val="18"/>
                <w:szCs w:val="18"/>
                <w:color w:val="auto"/>
                <w:w w:val="95"/>
              </w:rPr>
              <w:t>Section 10.3.</w:t>
            </w:r>
          </w:p>
        </w:tc>
        <w:tc>
          <w:tcPr>
            <w:tcW w:w="900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7200" w:type="dxa"/>
            <w:vAlign w:val="bottom"/>
          </w:tcPr>
          <w:p>
            <w:pPr>
              <w:ind w:left="60"/>
              <w:spacing w:after="0"/>
              <w:rPr>
                <w:sz w:val="20"/>
                <w:szCs w:val="20"/>
                <w:color w:val="auto"/>
              </w:rPr>
            </w:pPr>
            <w:r>
              <w:rPr>
                <w:rFonts w:ascii="Arial" w:cs="Arial" w:eastAsia="Arial" w:hAnsi="Arial"/>
                <w:sz w:val="18"/>
                <w:szCs w:val="18"/>
                <w:color w:val="auto"/>
              </w:rPr>
              <w:t>Marshaling; Payments Set Aside</w:t>
            </w:r>
          </w:p>
        </w:tc>
        <w:tc>
          <w:tcPr>
            <w:tcW w:w="2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10.5.</w:t>
            </w:r>
          </w:p>
        </w:tc>
        <w:tc>
          <w:tcPr>
            <w:tcW w:w="7200" w:type="dxa"/>
            <w:vAlign w:val="bottom"/>
          </w:tcPr>
          <w:p>
            <w:pPr>
              <w:ind w:left="60"/>
              <w:spacing w:after="0"/>
              <w:rPr>
                <w:sz w:val="20"/>
                <w:szCs w:val="20"/>
                <w:color w:val="auto"/>
              </w:rPr>
            </w:pPr>
            <w:r>
              <w:rPr>
                <w:rFonts w:ascii="Arial" w:cs="Arial" w:eastAsia="Arial" w:hAnsi="Arial"/>
                <w:sz w:val="18"/>
                <w:szCs w:val="18"/>
                <w:color w:val="auto"/>
              </w:rPr>
              <w:t>Allocation of Proceeds</w:t>
            </w:r>
          </w:p>
        </w:tc>
        <w:tc>
          <w:tcPr>
            <w:tcW w:w="2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10.6.</w:t>
            </w:r>
          </w:p>
        </w:tc>
        <w:tc>
          <w:tcPr>
            <w:tcW w:w="720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10.7.</w:t>
            </w:r>
          </w:p>
        </w:tc>
        <w:tc>
          <w:tcPr>
            <w:tcW w:w="7200" w:type="dxa"/>
            <w:vAlign w:val="bottom"/>
          </w:tcPr>
          <w:p>
            <w:pPr>
              <w:ind w:left="60"/>
              <w:spacing w:after="0"/>
              <w:rPr>
                <w:sz w:val="20"/>
                <w:szCs w:val="20"/>
                <w:color w:val="auto"/>
              </w:rPr>
            </w:pPr>
            <w:r>
              <w:rPr>
                <w:rFonts w:ascii="Arial" w:cs="Arial" w:eastAsia="Arial" w:hAnsi="Arial"/>
                <w:sz w:val="18"/>
                <w:szCs w:val="18"/>
                <w:color w:val="auto"/>
              </w:rPr>
              <w:t>Rescission of Acceleration by Requisite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10.8.</w:t>
            </w:r>
          </w:p>
        </w:tc>
        <w:tc>
          <w:tcPr>
            <w:tcW w:w="7200" w:type="dxa"/>
            <w:vAlign w:val="bottom"/>
          </w:tcPr>
          <w:p>
            <w:pPr>
              <w:ind w:left="60"/>
              <w:spacing w:after="0"/>
              <w:rPr>
                <w:sz w:val="20"/>
                <w:szCs w:val="20"/>
                <w:color w:val="auto"/>
              </w:rPr>
            </w:pPr>
            <w:r>
              <w:rPr>
                <w:rFonts w:ascii="Arial" w:cs="Arial" w:eastAsia="Arial" w:hAnsi="Arial"/>
                <w:sz w:val="18"/>
                <w:szCs w:val="18"/>
                <w:color w:val="auto"/>
              </w:rPr>
              <w:t>Performance by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620" w:type="dxa"/>
            <w:vAlign w:val="bottom"/>
          </w:tcPr>
          <w:p>
            <w:pPr>
              <w:ind w:left="540"/>
              <w:spacing w:after="0"/>
              <w:rPr>
                <w:sz w:val="20"/>
                <w:szCs w:val="20"/>
                <w:color w:val="auto"/>
              </w:rPr>
            </w:pPr>
            <w:r>
              <w:rPr>
                <w:rFonts w:ascii="Arial" w:cs="Arial" w:eastAsia="Arial" w:hAnsi="Arial"/>
                <w:sz w:val="18"/>
                <w:szCs w:val="18"/>
                <w:color w:val="auto"/>
              </w:rPr>
              <w:t>Section 10.9.</w:t>
            </w:r>
          </w:p>
        </w:tc>
        <w:tc>
          <w:tcPr>
            <w:tcW w:w="7200" w:type="dxa"/>
            <w:vAlign w:val="bottom"/>
          </w:tcPr>
          <w:p>
            <w:pPr>
              <w:ind w:left="60"/>
              <w:spacing w:after="0"/>
              <w:rPr>
                <w:sz w:val="20"/>
                <w:szCs w:val="20"/>
                <w:color w:val="auto"/>
              </w:rPr>
            </w:pPr>
            <w:r>
              <w:rPr>
                <w:rFonts w:ascii="Arial" w:cs="Arial" w:eastAsia="Arial" w:hAnsi="Arial"/>
                <w:sz w:val="18"/>
                <w:szCs w:val="18"/>
                <w:color w:val="auto"/>
              </w:rPr>
              <w:t>Rights Cumulative</w:t>
            </w:r>
          </w:p>
        </w:tc>
        <w:tc>
          <w:tcPr>
            <w:tcW w:w="2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162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7200" w:type="dxa"/>
            <w:vAlign w:val="bottom"/>
          </w:tcPr>
          <w:p>
            <w:pPr>
              <w:ind w:left="60"/>
              <w:spacing w:after="0"/>
              <w:rPr>
                <w:sz w:val="20"/>
                <w:szCs w:val="20"/>
                <w:color w:val="auto"/>
              </w:rPr>
            </w:pPr>
            <w:r>
              <w:rPr>
                <w:rFonts w:ascii="Arial" w:cs="Arial" w:eastAsia="Arial" w:hAnsi="Arial"/>
                <w:sz w:val="18"/>
                <w:szCs w:val="18"/>
                <w:color w:val="auto"/>
              </w:rPr>
              <w:t>Appointment and Authorization</w:t>
            </w:r>
          </w:p>
        </w:tc>
        <w:tc>
          <w:tcPr>
            <w:tcW w:w="2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7200" w:type="dxa"/>
            <w:vAlign w:val="bottom"/>
          </w:tcPr>
          <w:p>
            <w:pPr>
              <w:ind w:left="60"/>
              <w:spacing w:after="0"/>
              <w:rPr>
                <w:sz w:val="20"/>
                <w:szCs w:val="20"/>
                <w:color w:val="auto"/>
              </w:rPr>
            </w:pPr>
            <w:r>
              <w:rPr>
                <w:rFonts w:ascii="Arial" w:cs="Arial" w:eastAsia="Arial" w:hAnsi="Arial"/>
                <w:sz w:val="18"/>
                <w:szCs w:val="18"/>
                <w:color w:val="auto"/>
              </w:rPr>
              <w:t>PNC Bank as Lender</w:t>
            </w:r>
          </w:p>
        </w:tc>
        <w:tc>
          <w:tcPr>
            <w:tcW w:w="2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7200" w:type="dxa"/>
            <w:vAlign w:val="bottom"/>
          </w:tcPr>
          <w:p>
            <w:pPr>
              <w:ind w:left="60"/>
              <w:spacing w:after="0"/>
              <w:rPr>
                <w:sz w:val="20"/>
                <w:szCs w:val="20"/>
                <w:color w:val="auto"/>
              </w:rPr>
            </w:pPr>
            <w:r>
              <w:rPr>
                <w:rFonts w:ascii="Arial" w:cs="Arial" w:eastAsia="Arial" w:hAnsi="Arial"/>
                <w:sz w:val="18"/>
                <w:szCs w:val="18"/>
                <w:color w:val="auto"/>
              </w:rPr>
              <w:t>Approvals of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7200" w:type="dxa"/>
            <w:vAlign w:val="bottom"/>
          </w:tcPr>
          <w:p>
            <w:pPr>
              <w:ind w:left="60"/>
              <w:spacing w:after="0"/>
              <w:rPr>
                <w:sz w:val="20"/>
                <w:szCs w:val="20"/>
                <w:color w:val="auto"/>
              </w:rPr>
            </w:pPr>
            <w:r>
              <w:rPr>
                <w:rFonts w:ascii="Arial" w:cs="Arial" w:eastAsia="Arial" w:hAnsi="Arial"/>
                <w:sz w:val="18"/>
                <w:szCs w:val="18"/>
                <w:color w:val="auto"/>
              </w:rPr>
              <w:t>Notice of Events of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7200" w:type="dxa"/>
            <w:vAlign w:val="bottom"/>
          </w:tcPr>
          <w:p>
            <w:pPr>
              <w:ind w:left="60"/>
              <w:spacing w:after="0"/>
              <w:rPr>
                <w:sz w:val="20"/>
                <w:szCs w:val="20"/>
                <w:color w:val="auto"/>
              </w:rPr>
            </w:pPr>
            <w:r>
              <w:rPr>
                <w:rFonts w:ascii="Arial" w:cs="Arial" w:eastAsia="Arial" w:hAnsi="Arial"/>
                <w:sz w:val="18"/>
                <w:szCs w:val="18"/>
                <w:color w:val="auto"/>
              </w:rPr>
              <w:t>Administrative Agent’s Reliance</w:t>
            </w: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7200" w:type="dxa"/>
            <w:vAlign w:val="bottom"/>
          </w:tcPr>
          <w:p>
            <w:pPr>
              <w:ind w:left="60"/>
              <w:spacing w:after="0"/>
              <w:rPr>
                <w:sz w:val="20"/>
                <w:szCs w:val="20"/>
                <w:color w:val="auto"/>
              </w:rPr>
            </w:pPr>
            <w:r>
              <w:rPr>
                <w:rFonts w:ascii="Arial" w:cs="Arial" w:eastAsia="Arial" w:hAnsi="Arial"/>
                <w:sz w:val="18"/>
                <w:szCs w:val="18"/>
                <w:color w:val="auto"/>
              </w:rPr>
              <w:t>Indemnification of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7200" w:type="dxa"/>
            <w:vAlign w:val="bottom"/>
          </w:tcPr>
          <w:p>
            <w:pPr>
              <w:ind w:left="60"/>
              <w:spacing w:after="0"/>
              <w:rPr>
                <w:sz w:val="20"/>
                <w:szCs w:val="20"/>
                <w:color w:val="auto"/>
              </w:rPr>
            </w:pPr>
            <w:r>
              <w:rPr>
                <w:rFonts w:ascii="Arial" w:cs="Arial" w:eastAsia="Arial" w:hAnsi="Arial"/>
                <w:sz w:val="18"/>
                <w:szCs w:val="18"/>
                <w:color w:val="auto"/>
              </w:rPr>
              <w:t>Lender Credit Decision, Etc.</w:t>
            </w:r>
          </w:p>
        </w:tc>
        <w:tc>
          <w:tcPr>
            <w:tcW w:w="2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11.8.</w:t>
            </w:r>
          </w:p>
        </w:tc>
        <w:tc>
          <w:tcPr>
            <w:tcW w:w="7200" w:type="dxa"/>
            <w:vAlign w:val="bottom"/>
          </w:tcPr>
          <w:p>
            <w:pPr>
              <w:ind w:left="60"/>
              <w:spacing w:after="0"/>
              <w:rPr>
                <w:sz w:val="20"/>
                <w:szCs w:val="20"/>
                <w:color w:val="auto"/>
              </w:rPr>
            </w:pPr>
            <w:r>
              <w:rPr>
                <w:rFonts w:ascii="Arial" w:cs="Arial" w:eastAsia="Arial" w:hAnsi="Arial"/>
                <w:sz w:val="18"/>
                <w:szCs w:val="18"/>
                <w:color w:val="auto"/>
              </w:rPr>
              <w:t>Successor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620" w:type="dxa"/>
            <w:vAlign w:val="bottom"/>
          </w:tcPr>
          <w:p>
            <w:pPr>
              <w:ind w:left="540"/>
              <w:spacing w:after="0"/>
              <w:rPr>
                <w:sz w:val="20"/>
                <w:szCs w:val="20"/>
                <w:color w:val="auto"/>
              </w:rPr>
            </w:pPr>
            <w:r>
              <w:rPr>
                <w:rFonts w:ascii="Arial" w:cs="Arial" w:eastAsia="Arial" w:hAnsi="Arial"/>
                <w:sz w:val="18"/>
                <w:szCs w:val="18"/>
                <w:color w:val="auto"/>
              </w:rPr>
              <w:t>Section 11.9.</w:t>
            </w:r>
          </w:p>
        </w:tc>
        <w:tc>
          <w:tcPr>
            <w:tcW w:w="7200" w:type="dxa"/>
            <w:vAlign w:val="bottom"/>
          </w:tcPr>
          <w:p>
            <w:pPr>
              <w:ind w:left="60"/>
              <w:spacing w:after="0"/>
              <w:rPr>
                <w:sz w:val="20"/>
                <w:szCs w:val="20"/>
                <w:color w:val="auto"/>
              </w:rPr>
            </w:pPr>
            <w:r>
              <w:rPr>
                <w:rFonts w:ascii="Arial" w:cs="Arial" w:eastAsia="Arial" w:hAnsi="Arial"/>
                <w:sz w:val="18"/>
                <w:szCs w:val="18"/>
                <w:color w:val="auto"/>
              </w:rPr>
              <w:t>Titled Agents</w:t>
            </w:r>
          </w:p>
        </w:tc>
        <w:tc>
          <w:tcPr>
            <w:tcW w:w="2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1620" w:type="dxa"/>
            <w:vAlign w:val="bottom"/>
          </w:tcPr>
          <w:p>
            <w:pPr>
              <w:ind w:left="540"/>
              <w:spacing w:after="0"/>
              <w:rPr>
                <w:sz w:val="20"/>
                <w:szCs w:val="20"/>
                <w:color w:val="auto"/>
              </w:rPr>
            </w:pPr>
            <w:r>
              <w:rPr>
                <w:rFonts w:ascii="Arial" w:cs="Arial" w:eastAsia="Arial" w:hAnsi="Arial"/>
                <w:sz w:val="18"/>
                <w:szCs w:val="18"/>
                <w:color w:val="auto"/>
              </w:rPr>
              <w:t>Section 12.1.</w:t>
            </w:r>
          </w:p>
        </w:tc>
        <w:tc>
          <w:tcPr>
            <w:tcW w:w="7200" w:type="dxa"/>
            <w:vAlign w:val="bottom"/>
          </w:tcPr>
          <w:p>
            <w:pPr>
              <w:ind w:left="60"/>
              <w:spacing w:after="0"/>
              <w:rPr>
                <w:sz w:val="20"/>
                <w:szCs w:val="20"/>
                <w:color w:val="auto"/>
              </w:rPr>
            </w:pPr>
            <w:r>
              <w:rPr>
                <w:rFonts w:ascii="Arial" w:cs="Arial" w:eastAsia="Arial" w:hAnsi="Arial"/>
                <w:sz w:val="18"/>
                <w:szCs w:val="18"/>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12.2.</w:t>
            </w:r>
          </w:p>
        </w:tc>
        <w:tc>
          <w:tcPr>
            <w:tcW w:w="7200" w:type="dxa"/>
            <w:vAlign w:val="bottom"/>
          </w:tcPr>
          <w:p>
            <w:pPr>
              <w:ind w:left="60"/>
              <w:spacing w:after="0"/>
              <w:rPr>
                <w:sz w:val="20"/>
                <w:szCs w:val="20"/>
                <w:color w:val="auto"/>
              </w:rPr>
            </w:pPr>
            <w:r>
              <w:rPr>
                <w:rFonts w:ascii="Arial" w:cs="Arial" w:eastAsia="Arial" w:hAnsi="Arial"/>
                <w:sz w:val="18"/>
                <w:szCs w:val="18"/>
                <w:color w:val="auto"/>
              </w:rPr>
              <w:t>Expenses</w:t>
            </w:r>
          </w:p>
        </w:tc>
        <w:tc>
          <w:tcPr>
            <w:tcW w:w="2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12.3.</w:t>
            </w:r>
          </w:p>
        </w:tc>
        <w:tc>
          <w:tcPr>
            <w:tcW w:w="7200" w:type="dxa"/>
            <w:vAlign w:val="bottom"/>
          </w:tcPr>
          <w:p>
            <w:pPr>
              <w:ind w:left="60"/>
              <w:spacing w:after="0"/>
              <w:rPr>
                <w:sz w:val="20"/>
                <w:szCs w:val="20"/>
                <w:color w:val="auto"/>
              </w:rPr>
            </w:pPr>
            <w:r>
              <w:rPr>
                <w:rFonts w:ascii="Arial" w:cs="Arial" w:eastAsia="Arial" w:hAnsi="Arial"/>
                <w:sz w:val="18"/>
                <w:szCs w:val="18"/>
                <w:color w:val="auto"/>
              </w:rPr>
              <w:t>Stamp, Intangible and Recording Taxes</w:t>
            </w:r>
          </w:p>
        </w:tc>
        <w:tc>
          <w:tcPr>
            <w:tcW w:w="2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12.4.</w:t>
            </w:r>
          </w:p>
        </w:tc>
        <w:tc>
          <w:tcPr>
            <w:tcW w:w="7200" w:type="dxa"/>
            <w:vAlign w:val="bottom"/>
          </w:tcPr>
          <w:p>
            <w:pPr>
              <w:ind w:left="60"/>
              <w:spacing w:after="0"/>
              <w:rPr>
                <w:sz w:val="20"/>
                <w:szCs w:val="20"/>
                <w:color w:val="auto"/>
              </w:rPr>
            </w:pPr>
            <w:r>
              <w:rPr>
                <w:rFonts w:ascii="Arial" w:cs="Arial" w:eastAsia="Arial" w:hAnsi="Arial"/>
                <w:sz w:val="18"/>
                <w:szCs w:val="18"/>
                <w:color w:val="auto"/>
              </w:rPr>
              <w:t>Setoff</w:t>
            </w:r>
          </w:p>
        </w:tc>
        <w:tc>
          <w:tcPr>
            <w:tcW w:w="2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12.5.</w:t>
            </w:r>
          </w:p>
        </w:tc>
        <w:tc>
          <w:tcPr>
            <w:tcW w:w="7200" w:type="dxa"/>
            <w:vAlign w:val="bottom"/>
          </w:tcPr>
          <w:p>
            <w:pPr>
              <w:ind w:left="60"/>
              <w:spacing w:after="0"/>
              <w:rPr>
                <w:sz w:val="20"/>
                <w:szCs w:val="20"/>
                <w:color w:val="auto"/>
              </w:rPr>
            </w:pPr>
            <w:r>
              <w:rPr>
                <w:rFonts w:ascii="Arial" w:cs="Arial" w:eastAsia="Arial" w:hAnsi="Arial"/>
                <w:sz w:val="18"/>
                <w:szCs w:val="18"/>
                <w:color w:val="auto"/>
              </w:rPr>
              <w:t>Litigation; Jurisdiction; Other Matters; Waivers</w:t>
            </w:r>
          </w:p>
        </w:tc>
        <w:tc>
          <w:tcPr>
            <w:tcW w:w="2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12.6.</w:t>
            </w:r>
          </w:p>
        </w:tc>
        <w:tc>
          <w:tcPr>
            <w:tcW w:w="720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12.7.</w:t>
            </w:r>
          </w:p>
        </w:tc>
        <w:tc>
          <w:tcPr>
            <w:tcW w:w="72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2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12.8.</w:t>
            </w:r>
          </w:p>
        </w:tc>
        <w:tc>
          <w:tcPr>
            <w:tcW w:w="7200" w:type="dxa"/>
            <w:vAlign w:val="bottom"/>
          </w:tcPr>
          <w:p>
            <w:pPr>
              <w:ind w:left="60"/>
              <w:spacing w:after="0"/>
              <w:rPr>
                <w:sz w:val="20"/>
                <w:szCs w:val="20"/>
                <w:color w:val="auto"/>
              </w:rPr>
            </w:pPr>
            <w:r>
              <w:rPr>
                <w:rFonts w:ascii="Arial" w:cs="Arial" w:eastAsia="Arial" w:hAnsi="Arial"/>
                <w:sz w:val="18"/>
                <w:szCs w:val="18"/>
                <w:color w:val="auto"/>
              </w:rPr>
              <w:t>Nonliability of Administrative Agent and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rPr>
              <w:t>Section 12.9.</w:t>
            </w:r>
          </w:p>
        </w:tc>
        <w:tc>
          <w:tcPr>
            <w:tcW w:w="72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12.10.</w:t>
            </w:r>
          </w:p>
        </w:tc>
        <w:tc>
          <w:tcPr>
            <w:tcW w:w="72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12.11.</w:t>
            </w:r>
          </w:p>
        </w:tc>
        <w:tc>
          <w:tcPr>
            <w:tcW w:w="7200" w:type="dxa"/>
            <w:vAlign w:val="bottom"/>
          </w:tcPr>
          <w:p>
            <w:pPr>
              <w:ind w:left="60"/>
              <w:spacing w:after="0"/>
              <w:rPr>
                <w:sz w:val="20"/>
                <w:szCs w:val="20"/>
                <w:color w:val="auto"/>
              </w:rPr>
            </w:pPr>
            <w:r>
              <w:rPr>
                <w:rFonts w:ascii="Arial" w:cs="Arial" w:eastAsia="Arial" w:hAnsi="Arial"/>
                <w:sz w:val="18"/>
                <w:szCs w:val="18"/>
                <w:color w:val="auto"/>
              </w:rPr>
              <w:t>Termination; Survival</w:t>
            </w:r>
          </w:p>
        </w:tc>
        <w:tc>
          <w:tcPr>
            <w:tcW w:w="2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12.12.</w:t>
            </w:r>
          </w:p>
        </w:tc>
        <w:tc>
          <w:tcPr>
            <w:tcW w:w="720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12.13.</w:t>
            </w:r>
          </w:p>
        </w:tc>
        <w:tc>
          <w:tcPr>
            <w:tcW w:w="72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12.14.</w:t>
            </w:r>
          </w:p>
        </w:tc>
        <w:tc>
          <w:tcPr>
            <w:tcW w:w="72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12.15.</w:t>
            </w:r>
          </w:p>
        </w:tc>
        <w:tc>
          <w:tcPr>
            <w:tcW w:w="7200" w:type="dxa"/>
            <w:vAlign w:val="bottom"/>
          </w:tcPr>
          <w:p>
            <w:pPr>
              <w:ind w:left="60"/>
              <w:spacing w:after="0"/>
              <w:rPr>
                <w:sz w:val="20"/>
                <w:szCs w:val="20"/>
                <w:color w:val="auto"/>
              </w:rPr>
            </w:pPr>
            <w:r>
              <w:rPr>
                <w:rFonts w:ascii="Arial" w:cs="Arial" w:eastAsia="Arial" w:hAnsi="Arial"/>
                <w:sz w:val="18"/>
                <w:szCs w:val="18"/>
                <w:color w:val="auto"/>
              </w:rPr>
              <w:t>Obligations with Respect to Loan Parties</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12.16.</w:t>
            </w:r>
          </w:p>
        </w:tc>
        <w:tc>
          <w:tcPr>
            <w:tcW w:w="7200" w:type="dxa"/>
            <w:vAlign w:val="bottom"/>
          </w:tcPr>
          <w:p>
            <w:pPr>
              <w:ind w:left="60"/>
              <w:spacing w:after="0"/>
              <w:rPr>
                <w:sz w:val="20"/>
                <w:szCs w:val="20"/>
                <w:color w:val="auto"/>
              </w:rPr>
            </w:pPr>
            <w:r>
              <w:rPr>
                <w:rFonts w:ascii="Arial" w:cs="Arial" w:eastAsia="Arial" w:hAnsi="Arial"/>
                <w:sz w:val="18"/>
                <w:szCs w:val="18"/>
                <w:color w:val="auto"/>
              </w:rPr>
              <w:t>Independence of 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12.17.</w:t>
            </w:r>
          </w:p>
        </w:tc>
        <w:tc>
          <w:tcPr>
            <w:tcW w:w="7200" w:type="dxa"/>
            <w:vAlign w:val="bottom"/>
          </w:tcPr>
          <w:p>
            <w:pPr>
              <w:ind w:left="60"/>
              <w:spacing w:after="0"/>
              <w:rPr>
                <w:sz w:val="20"/>
                <w:szCs w:val="20"/>
                <w:color w:val="auto"/>
              </w:rPr>
            </w:pPr>
            <w:r>
              <w:rPr>
                <w:rFonts w:ascii="Arial" w:cs="Arial" w:eastAsia="Arial" w:hAnsi="Arial"/>
                <w:sz w:val="18"/>
                <w:szCs w:val="18"/>
                <w:color w:val="auto"/>
              </w:rPr>
              <w:t>Limitation of Liability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12.18.</w:t>
            </w:r>
          </w:p>
        </w:tc>
        <w:tc>
          <w:tcPr>
            <w:tcW w:w="72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12.19.</w:t>
            </w:r>
          </w:p>
        </w:tc>
        <w:tc>
          <w:tcPr>
            <w:tcW w:w="720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2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12.20.</w:t>
            </w:r>
          </w:p>
        </w:tc>
        <w:tc>
          <w:tcPr>
            <w:tcW w:w="7200" w:type="dxa"/>
            <w:vAlign w:val="bottom"/>
          </w:tcPr>
          <w:p>
            <w:pPr>
              <w:ind w:left="60"/>
              <w:spacing w:after="0"/>
              <w:rPr>
                <w:sz w:val="20"/>
                <w:szCs w:val="20"/>
                <w:color w:val="auto"/>
              </w:rPr>
            </w:pPr>
            <w:r>
              <w:rPr>
                <w:rFonts w:ascii="Arial" w:cs="Arial" w:eastAsia="Arial" w:hAnsi="Arial"/>
                <w:sz w:val="18"/>
                <w:szCs w:val="18"/>
                <w:color w:val="auto"/>
              </w:rPr>
              <w:t>Headings</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12.21.</w:t>
            </w:r>
          </w:p>
        </w:tc>
        <w:tc>
          <w:tcPr>
            <w:tcW w:w="7200" w:type="dxa"/>
            <w:vAlign w:val="bottom"/>
          </w:tcPr>
          <w:p>
            <w:pPr>
              <w:ind w:left="60"/>
              <w:spacing w:after="0"/>
              <w:rPr>
                <w:sz w:val="20"/>
                <w:szCs w:val="20"/>
                <w:color w:val="auto"/>
              </w:rPr>
            </w:pPr>
            <w:r>
              <w:rPr>
                <w:rFonts w:ascii="Arial" w:cs="Arial" w:eastAsia="Arial" w:hAnsi="Arial"/>
                <w:sz w:val="18"/>
                <w:szCs w:val="18"/>
                <w:color w:val="auto"/>
              </w:rPr>
              <w:t>Limitation of Liability of Trustees, Etc.</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12.22.</w:t>
            </w:r>
          </w:p>
        </w:tc>
        <w:tc>
          <w:tcPr>
            <w:tcW w:w="7200" w:type="dxa"/>
            <w:vAlign w:val="bottom"/>
          </w:tcPr>
          <w:p>
            <w:pPr>
              <w:ind w:left="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12.23.</w:t>
            </w:r>
          </w:p>
        </w:tc>
        <w:tc>
          <w:tcPr>
            <w:tcW w:w="7200" w:type="dxa"/>
            <w:vAlign w:val="bottom"/>
          </w:tcPr>
          <w:p>
            <w:pPr>
              <w:ind w:left="60"/>
              <w:spacing w:after="0"/>
              <w:rPr>
                <w:sz w:val="20"/>
                <w:szCs w:val="20"/>
                <w:color w:val="auto"/>
              </w:rPr>
            </w:pPr>
            <w:r>
              <w:rPr>
                <w:rFonts w:ascii="Arial" w:cs="Arial" w:eastAsia="Arial" w:hAnsi="Arial"/>
                <w:sz w:val="18"/>
                <w:szCs w:val="18"/>
                <w:color w:val="auto"/>
              </w:rPr>
              <w:t>Electronic Signatures</w:t>
            </w: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620" w:type="dxa"/>
            <w:vAlign w:val="bottom"/>
          </w:tcPr>
          <w:p>
            <w:pPr>
              <w:ind w:left="540"/>
              <w:spacing w:after="0"/>
              <w:rPr>
                <w:sz w:val="20"/>
                <w:szCs w:val="20"/>
                <w:color w:val="auto"/>
              </w:rPr>
            </w:pPr>
            <w:r>
              <w:rPr>
                <w:rFonts w:ascii="Arial" w:cs="Arial" w:eastAsia="Arial" w:hAnsi="Arial"/>
                <w:sz w:val="18"/>
                <w:szCs w:val="18"/>
                <w:color w:val="auto"/>
                <w:w w:val="92"/>
              </w:rPr>
              <w:t>Section 12.24.</w:t>
            </w:r>
          </w:p>
        </w:tc>
        <w:tc>
          <w:tcPr>
            <w:tcW w:w="7200" w:type="dxa"/>
            <w:vAlign w:val="bottom"/>
          </w:tcPr>
          <w:p>
            <w:pPr>
              <w:ind w:left="60"/>
              <w:spacing w:after="0"/>
              <w:rPr>
                <w:sz w:val="20"/>
                <w:szCs w:val="20"/>
                <w:color w:val="auto"/>
              </w:rPr>
            </w:pPr>
            <w:r>
              <w:rPr>
                <w:rFonts w:ascii="Arial" w:cs="Arial" w:eastAsia="Arial" w:hAnsi="Arial"/>
                <w:sz w:val="18"/>
                <w:szCs w:val="18"/>
                <w:color w:val="auto"/>
              </w:rPr>
              <w:t>Acknowledgement Regarding Any Supported QFCs</w:t>
            </w:r>
          </w:p>
        </w:tc>
        <w:tc>
          <w:tcPr>
            <w:tcW w:w="214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960"/>
          </w:cols>
          <w:pgMar w:left="440" w:top="274" w:right="49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color w:val="auto"/>
        </w:rPr>
        <w:t>SCHEDULE I SCHEDULE 1.1.(a) SCHEDULE 6.1.(b) SCHEDULE 6.1.(f) SCHEDULE 6.1.(g) SCHEDULE 6.1.(i) SCHEDULE 6.1.(z)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-215900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List of Loan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Ownership Structure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Properties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Indebtedness and Guaranties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Unencumbered Assets</w:t>
      </w:r>
    </w:p>
    <w:p>
      <w:pPr>
        <w:spacing w:after="0" w:line="210" w:lineRule="exact"/>
        <w:rPr>
          <w:sz w:val="20"/>
          <w:szCs w:val="20"/>
          <w:color w:val="auto"/>
        </w:rPr>
      </w:pPr>
    </w:p>
    <w:p>
      <w:pPr>
        <w:sectPr>
          <w:pgSz w:w="11900" w:h="16838" w:orient="portrait"/>
          <w:cols w:equalWidth="0" w:num="2">
            <w:col w:w="1460" w:space="500"/>
            <w:col w:w="8059"/>
          </w:cols>
          <w:pgMar w:left="440" w:top="274" w:right="1440" w:bottom="1440" w:gutter="0" w:footer="0" w:header="0"/>
        </w:sectPr>
      </w:pPr>
    </w:p>
    <w:p>
      <w:pPr>
        <w:ind w:right="260"/>
        <w:spacing w:after="0" w:line="268" w:lineRule="auto"/>
        <w:rPr>
          <w:sz w:val="20"/>
          <w:szCs w:val="20"/>
          <w:color w:val="auto"/>
        </w:rPr>
      </w:pPr>
      <w:r>
        <w:rPr>
          <w:rFonts w:ascii="Arial" w:cs="Arial" w:eastAsia="Arial" w:hAnsi="Arial"/>
          <w:sz w:val="17"/>
          <w:szCs w:val="17"/>
          <w:color w:val="auto"/>
        </w:rPr>
        <w:t>EXHIBIT A EXHIBIT B EXHIBIT C EXHIBIT D EXHIBIT E EXHIBIT F EXHIBIT G EXHIBIT H EXHIBIT I EXHIBIT J-1 EXHIBIT J-2 EXHIBIT J-3 EXHIBIT J-4 EXHIBIT 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Assignment and Assumption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Disbursement Instruction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 of Beneficial Ownership</w:t>
      </w:r>
    </w:p>
    <w:p>
      <w:pPr>
        <w:spacing w:after="0" w:line="143" w:lineRule="exact"/>
        <w:rPr>
          <w:sz w:val="20"/>
          <w:szCs w:val="20"/>
          <w:color w:val="auto"/>
        </w:rPr>
      </w:pPr>
    </w:p>
    <w:p>
      <w:pPr>
        <w:sectPr>
          <w:pgSz w:w="11900" w:h="16838" w:orient="portrait"/>
          <w:cols w:equalWidth="0" w:num="2">
            <w:col w:w="1240" w:space="720"/>
            <w:col w:w="8059"/>
          </w:cols>
          <w:pgMar w:left="440" w:top="274" w:right="1440" w:bottom="1440" w:gutter="0" w:footer="0" w:header="0"/>
          <w:type w:val="continuous"/>
        </w:sectPr>
      </w:pPr>
    </w:p>
    <w:p>
      <w:pPr>
        <w:ind w:left="5320"/>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0019"/>
          </w:cols>
          <w:pgMar w:left="440" w:top="274" w:right="1440" w:bottom="1440" w:gutter="0" w:footer="0" w:header="0"/>
          <w:type w:val="continuous"/>
        </w:sectPr>
      </w:pPr>
    </w:p>
    <w:bookmarkStart w:id="10" w:name="page11"/>
    <w:bookmarkEnd w:id="10"/>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TERM LOAN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May 6, 2020, by and among FEDERAL REALTY INVESTMENT TRUST, a real estate investment trust formed under the laws of the State of Maryland (the “</w:t>
      </w:r>
      <w:r>
        <w:rPr>
          <w:rFonts w:ascii="Arial" w:cs="Arial" w:eastAsia="Arial" w:hAnsi="Arial"/>
          <w:sz w:val="17"/>
          <w:szCs w:val="17"/>
          <w:b w:val="1"/>
          <w:bCs w:val="1"/>
          <w:color w:val="auto"/>
        </w:rPr>
        <w:t>Borrower</w:t>
      </w:r>
      <w:r>
        <w:rPr>
          <w:rFonts w:ascii="Arial" w:cs="Arial" w:eastAsia="Arial" w:hAnsi="Arial"/>
          <w:sz w:val="17"/>
          <w:szCs w:val="17"/>
          <w:color w:val="auto"/>
        </w:rPr>
        <w:t>”), each of the financial institutions initially a signatory hereto together with their successors and permitted assignees under Section 12.6. (the “</w:t>
      </w:r>
      <w:r>
        <w:rPr>
          <w:rFonts w:ascii="Arial" w:cs="Arial" w:eastAsia="Arial" w:hAnsi="Arial"/>
          <w:sz w:val="17"/>
          <w:szCs w:val="17"/>
          <w:b w:val="1"/>
          <w:bCs w:val="1"/>
          <w:color w:val="auto"/>
        </w:rPr>
        <w:t>Lenders</w:t>
      </w:r>
      <w:r>
        <w:rPr>
          <w:rFonts w:ascii="Arial" w:cs="Arial" w:eastAsia="Arial" w:hAnsi="Arial"/>
          <w:sz w:val="17"/>
          <w:szCs w:val="17"/>
          <w:color w:val="auto"/>
        </w:rPr>
        <w:t>”), PNC BANK, NATIONAL ASSOCIATION, as Administrative Agent (together with its successors and permitted assigns,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each of PNC BANK, NATIONAL ASSOCIATION, REGIONS BANK, TRUIST BANK, and U.S. BANK NATIONAL ASSOCIATION, as Co-Syndication Agents (the “</w:t>
      </w:r>
      <w:r>
        <w:rPr>
          <w:rFonts w:ascii="Arial" w:cs="Arial" w:eastAsia="Arial" w:hAnsi="Arial"/>
          <w:sz w:val="17"/>
          <w:szCs w:val="17"/>
          <w:b w:val="1"/>
          <w:bCs w:val="1"/>
          <w:color w:val="auto"/>
        </w:rPr>
        <w:t>Co-Syndication</w:t>
      </w:r>
      <w:r>
        <w:rPr>
          <w:rFonts w:ascii="Arial" w:cs="Arial" w:eastAsia="Arial" w:hAnsi="Arial"/>
          <w:sz w:val="17"/>
          <w:szCs w:val="17"/>
          <w:color w:val="auto"/>
        </w:rPr>
        <w:t xml:space="preserve"> </w:t>
      </w:r>
      <w:r>
        <w:rPr>
          <w:rFonts w:ascii="Arial" w:cs="Arial" w:eastAsia="Arial" w:hAnsi="Arial"/>
          <w:sz w:val="17"/>
          <w:szCs w:val="17"/>
          <w:b w:val="1"/>
          <w:bCs w:val="1"/>
          <w:color w:val="auto"/>
        </w:rPr>
        <w:t>Agents</w:t>
      </w:r>
      <w:r>
        <w:rPr>
          <w:rFonts w:ascii="Arial" w:cs="Arial" w:eastAsia="Arial" w:hAnsi="Arial"/>
          <w:sz w:val="17"/>
          <w:szCs w:val="17"/>
          <w:color w:val="auto"/>
        </w:rPr>
        <w:t>”) and each of PNC CAPITAL MARKETS LLC, REGIONS CAPITAL MARKETS, SUNTRUST ROBINSON HUMPHREY, INC., and U.S.</w:t>
      </w:r>
      <w:r>
        <w:rPr>
          <w:rFonts w:ascii="Arial" w:cs="Arial" w:eastAsia="Arial" w:hAnsi="Arial"/>
          <w:sz w:val="17"/>
          <w:szCs w:val="17"/>
          <w:b w:val="1"/>
          <w:bCs w:val="1"/>
          <w:color w:val="auto"/>
        </w:rPr>
        <w:t xml:space="preserve"> </w:t>
      </w:r>
      <w:r>
        <w:rPr>
          <w:rFonts w:ascii="Arial" w:cs="Arial" w:eastAsia="Arial" w:hAnsi="Arial"/>
          <w:sz w:val="17"/>
          <w:szCs w:val="17"/>
          <w:color w:val="auto"/>
        </w:rPr>
        <w:t>BANK NATIONAL ASSOCIATION, as Joint Lead Arrangers and Joint Book Managers (in such capacities, the “</w:t>
      </w:r>
      <w:r>
        <w:rPr>
          <w:rFonts w:ascii="Arial" w:cs="Arial" w:eastAsia="Arial" w:hAnsi="Arial"/>
          <w:sz w:val="17"/>
          <w:szCs w:val="17"/>
          <w:b w:val="1"/>
          <w:bCs w:val="1"/>
          <w:color w:val="auto"/>
        </w:rPr>
        <w:t>Arrangers</w:t>
      </w:r>
      <w:r>
        <w:rPr>
          <w:rFonts w:ascii="Arial" w:cs="Arial" w:eastAsia="Arial" w:hAnsi="Arial"/>
          <w:sz w:val="17"/>
          <w:szCs w:val="17"/>
          <w:color w:val="auto"/>
        </w:rPr>
        <w:t>”).</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the Lenders desire to make available to the Borrower unsecured term loans in an aggregate principal amount of $400,000,000, on the terms and conditions contained herein; and</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terms defined elsewhere herein, the following terms shall have the following meanings for the purposes of this Agreement:</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4.1.(b).</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76" w:lineRule="exact"/>
        <w:rPr>
          <w:sz w:val="20"/>
          <w:szCs w:val="20"/>
          <w:color w:val="auto"/>
        </w:rPr>
      </w:pPr>
    </w:p>
    <w:p>
      <w:pPr>
        <w:ind w:right="10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Excluded Subsidiaries and Unconsolidated Affiliates.</w:t>
      </w:r>
    </w:p>
    <w:p>
      <w:pPr>
        <w:spacing w:after="0" w:line="162"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PNC Bank, National Association as contractual representative of the Lenders under this Agreement, or any successor Administrative Agent appointed pursuant to Section 11.8.</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the Administrative Questionnaire completed by each Lender and delivered to the Administrative Agent in a form supplied by the Administrative Agent to the Lenders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ectPr>
          <w:pgSz w:w="11900" w:h="16838" w:orient="portrait"/>
          <w:cols w:equalWidth="0" w:num="1">
            <w:col w:w="11000"/>
          </w:cols>
          <w:pgMar w:left="440" w:top="270" w:right="45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Source</w:t>
      </w:r>
      <w:r>
        <w:rPr>
          <w:rFonts w:ascii="Arial" w:cs="Arial" w:eastAsia="Arial" w:hAnsi="Arial"/>
          <w:sz w:val="18"/>
          <w:szCs w:val="18"/>
          <w:color w:val="auto"/>
        </w:rPr>
        <w:t>” has the meaning given that term in the definition of “LIBOR”.</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176"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80"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5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rate set forth in the table below corresponding to the level (each a “</w:t>
      </w:r>
      <w:r>
        <w:rPr>
          <w:rFonts w:ascii="Arial" w:cs="Arial" w:eastAsia="Arial" w:hAnsi="Arial"/>
          <w:sz w:val="16"/>
          <w:szCs w:val="16"/>
          <w:b w:val="1"/>
          <w:bCs w:val="1"/>
          <w:color w:val="auto"/>
        </w:rPr>
        <w:t>Level</w:t>
      </w:r>
      <w:r>
        <w:rPr>
          <w:rFonts w:ascii="Arial" w:cs="Arial" w:eastAsia="Arial" w:hAnsi="Arial"/>
          <w:sz w:val="16"/>
          <w:szCs w:val="16"/>
          <w:color w:val="auto"/>
        </w:rPr>
        <w:t>”) into which the Borrower’s Credit Rating then falls. As of the Agreement Date, the Applicable Margin is determined based on Level 2.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6. The provisions of this definition shall be subject to Section 2.5.(c).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0" w:right="479" w:bottom="1440" w:gutter="0" w:footer="0" w:header="0"/>
        </w:sectPr>
      </w:pPr>
    </w:p>
    <w:bookmarkStart w:id="12" w:name="page13"/>
    <w:bookmarkEnd w:id="12"/>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Borrower’s Credit Rating</w:t>
            </w:r>
          </w:p>
        </w:tc>
        <w:tc>
          <w:tcPr>
            <w:tcW w:w="2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Applicable Margin for</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260" w:type="dxa"/>
            <w:vAlign w:val="bottom"/>
          </w:tcPr>
          <w:p>
            <w:pPr>
              <w:spacing w:after="0"/>
              <w:rPr>
                <w:sz w:val="12"/>
                <w:szCs w:val="12"/>
                <w:color w:val="auto"/>
              </w:rPr>
            </w:pPr>
          </w:p>
        </w:tc>
        <w:tc>
          <w:tcPr>
            <w:tcW w:w="3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(S&amp;P/Moody’s or</w:t>
            </w:r>
          </w:p>
        </w:tc>
        <w:tc>
          <w:tcPr>
            <w:tcW w:w="254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Margin for all</w:t>
            </w:r>
          </w:p>
        </w:tc>
        <w:tc>
          <w:tcPr>
            <w:tcW w:w="0" w:type="dxa"/>
            <w:vAlign w:val="bottom"/>
          </w:tcPr>
          <w:p>
            <w:pPr>
              <w:spacing w:after="0"/>
              <w:rPr>
                <w:sz w:val="1"/>
                <w:szCs w:val="1"/>
                <w:color w:val="auto"/>
              </w:rPr>
            </w:pPr>
          </w:p>
        </w:tc>
      </w:tr>
      <w:tr>
        <w:trPr>
          <w:trHeight w:val="191"/>
        </w:trPr>
        <w:tc>
          <w:tcPr>
            <w:tcW w:w="3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equivalent)</w:t>
            </w:r>
          </w:p>
        </w:tc>
        <w:tc>
          <w:tcPr>
            <w:tcW w:w="2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all LIBOR Loans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Base Rate Loans</w:t>
            </w:r>
          </w:p>
        </w:tc>
        <w:tc>
          <w:tcPr>
            <w:tcW w:w="0" w:type="dxa"/>
            <w:vAlign w:val="bottom"/>
          </w:tcPr>
          <w:p>
            <w:pPr>
              <w:spacing w:after="0"/>
              <w:rPr>
                <w:sz w:val="1"/>
                <w:szCs w:val="1"/>
                <w:color w:val="auto"/>
              </w:rPr>
            </w:pPr>
          </w:p>
        </w:tc>
      </w:tr>
      <w:tr>
        <w:trPr>
          <w:trHeight w:val="203"/>
        </w:trPr>
        <w:tc>
          <w:tcPr>
            <w:tcW w:w="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A/A2 (or equivalent) or better</w:t>
            </w:r>
          </w:p>
        </w:tc>
        <w:tc>
          <w:tcPr>
            <w:tcW w:w="2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1.300%</w:t>
            </w:r>
          </w:p>
        </w:tc>
        <w:tc>
          <w:tcPr>
            <w:tcW w:w="28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120" w:type="dxa"/>
            <w:vAlign w:val="bottom"/>
            <w:gridSpan w:val="3"/>
          </w:tcPr>
          <w:p>
            <w:pPr>
              <w:ind w:left="260"/>
              <w:spacing w:after="0"/>
              <w:rPr>
                <w:sz w:val="20"/>
                <w:szCs w:val="20"/>
                <w:color w:val="auto"/>
              </w:rPr>
            </w:pPr>
            <w:r>
              <w:rPr>
                <w:rFonts w:ascii="Arial" w:cs="Arial" w:eastAsia="Arial" w:hAnsi="Arial"/>
                <w:sz w:val="18"/>
                <w:szCs w:val="18"/>
                <w:color w:val="auto"/>
              </w:rPr>
              <w:t>A-/A3 (or equivalent)</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1.350%</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1.350%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1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BBB+/Baa1 (or equivalent)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1.400%</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4120" w:type="dxa"/>
            <w:vAlign w:val="bottom"/>
            <w:gridSpan w:val="3"/>
          </w:tcPr>
          <w:p>
            <w:pPr>
              <w:ind w:left="260"/>
              <w:spacing w:after="0"/>
              <w:rPr>
                <w:sz w:val="20"/>
                <w:szCs w:val="20"/>
                <w:color w:val="auto"/>
              </w:rPr>
            </w:pPr>
            <w:r>
              <w:rPr>
                <w:rFonts w:ascii="Arial" w:cs="Arial" w:eastAsia="Arial" w:hAnsi="Arial"/>
                <w:sz w:val="18"/>
                <w:szCs w:val="18"/>
                <w:color w:val="auto"/>
              </w:rPr>
              <w:t>BBB/Baa2 (or equivalent)</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1.500%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1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BBB-/Baa3 (or equivalent)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1.750%</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4120" w:type="dxa"/>
            <w:vAlign w:val="bottom"/>
            <w:gridSpan w:val="3"/>
          </w:tcPr>
          <w:p>
            <w:pPr>
              <w:ind w:left="260"/>
              <w:spacing w:after="0"/>
              <w:rPr>
                <w:sz w:val="20"/>
                <w:szCs w:val="20"/>
                <w:color w:val="auto"/>
              </w:rPr>
            </w:pPr>
            <w:r>
              <w:rPr>
                <w:rFonts w:ascii="Arial" w:cs="Arial" w:eastAsia="Arial" w:hAnsi="Arial"/>
                <w:sz w:val="18"/>
                <w:szCs w:val="18"/>
                <w:color w:val="auto"/>
              </w:rPr>
              <w:t>Lower than BBB-/Baa3 (or equivalent)</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2.150%</w:t>
            </w:r>
          </w:p>
        </w:tc>
        <w:tc>
          <w:tcPr>
            <w:tcW w:w="2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2.150%</w:t>
            </w: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any entity that administers or manages a Lender.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Arranger</w:t>
      </w:r>
      <w:r>
        <w:rPr>
          <w:rFonts w:ascii="Arial" w:cs="Arial" w:eastAsia="Arial" w:hAnsi="Arial"/>
          <w:sz w:val="16"/>
          <w:szCs w:val="16"/>
          <w:color w:val="auto"/>
        </w:rPr>
        <w:t>” has the meaning set forth in the introductory paragraph hereof and shall include each Arranger’s successors and permitted assigns.</w:t>
      </w:r>
    </w:p>
    <w:p>
      <w:pPr>
        <w:spacing w:after="0" w:line="24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Agreement among a Lender, an Eligible Assignee and the Administrative Agent, substantially in the form of Exhibit A.</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Bankruptcy Code of 1978, as amended.</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the LIBOR Market Index Rate; provided, that if for any reason the LIBOR Market Index Rate is unavailable, Base Rate shall mean the per annum rate of interest equal to the Federal Funds Rate plus one and one-half of one percent (1.50%).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any portion of a Loan bearing interest at a rate based on the Base Rate.</w:t>
      </w:r>
    </w:p>
    <w:p>
      <w:pPr>
        <w:spacing w:after="0" w:line="225"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U.S.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0.250%, the Benchmark Replacement will be deemed to be 0.250% for the purposes of this Agreement.</w:t>
      </w:r>
    </w:p>
    <w:p>
      <w:pPr>
        <w:spacing w:after="0" w:line="187" w:lineRule="exact"/>
        <w:rPr>
          <w:sz w:val="20"/>
          <w:szCs w:val="20"/>
          <w:color w:val="auto"/>
        </w:rPr>
      </w:pPr>
    </w:p>
    <w:p>
      <w:pPr>
        <w:ind w:right="2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Adjustment</w:t>
      </w:r>
      <w:r>
        <w:rPr>
          <w:rFonts w:ascii="Arial" w:cs="Arial" w:eastAsia="Arial" w:hAnsi="Arial"/>
          <w:sz w:val="18"/>
          <w:szCs w:val="18"/>
          <w:color w:val="auto"/>
        </w:rPr>
        <w:t>” means, with respect to any replacement of LIBOR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LIBOR with the applicable Unadjusted Benchmark Replacement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53" w:right="479" w:bottom="1440" w:gutter="0" w:footer="0" w:header="0"/>
        </w:sectPr>
      </w:pPr>
    </w:p>
    <w:bookmarkStart w:id="13" w:name="page14"/>
    <w:bookmarkEnd w:id="13"/>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the Relevant Governmental Body or (ii) any evolving or then-prevailing market convention for determining a spread adjustment, or method for calculating or determining such spread adjustment, for the replacement of LIBOR with the applicable Unadjusted Benchmark Replacement for U.S. Dollar-denominated syndicated credit facilities at such time.</w:t>
      </w:r>
    </w:p>
    <w:p>
      <w:pPr>
        <w:spacing w:after="0" w:line="180"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earlier to occur of the following events with respect to LIBOR:</w:t>
      </w:r>
    </w:p>
    <w:p>
      <w:pPr>
        <w:spacing w:after="0" w:line="121" w:lineRule="exact"/>
        <w:rPr>
          <w:sz w:val="20"/>
          <w:szCs w:val="20"/>
          <w:color w:val="auto"/>
        </w:rPr>
      </w:pPr>
    </w:p>
    <w:p>
      <w:pPr>
        <w:ind w:left="440" w:right="60" w:firstLine="419"/>
        <w:spacing w:after="0" w:line="263" w:lineRule="auto"/>
        <w:tabs>
          <w:tab w:leader="none" w:pos="125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LIBOR permanently or indefinitely ceases to provide LIBOR; or</w:t>
      </w:r>
    </w:p>
    <w:p>
      <w:pPr>
        <w:spacing w:after="0" w:line="75" w:lineRule="exact"/>
        <w:rPr>
          <w:rFonts w:ascii="Arial" w:cs="Arial" w:eastAsia="Arial" w:hAnsi="Arial"/>
          <w:sz w:val="18"/>
          <w:szCs w:val="18"/>
          <w:color w:val="auto"/>
        </w:rPr>
      </w:pPr>
    </w:p>
    <w:p>
      <w:pPr>
        <w:ind w:left="440" w:right="740" w:firstLine="419"/>
        <w:spacing w:after="0" w:line="277" w:lineRule="auto"/>
        <w:tabs>
          <w:tab w:leader="none" w:pos="125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means the occurrence of one or more of the following events with respect to LIBOR:</w:t>
      </w:r>
    </w:p>
    <w:p>
      <w:pPr>
        <w:spacing w:after="0" w:line="121" w:lineRule="exact"/>
        <w:rPr>
          <w:sz w:val="20"/>
          <w:szCs w:val="20"/>
          <w:color w:val="auto"/>
        </w:rPr>
      </w:pPr>
    </w:p>
    <w:p>
      <w:pPr>
        <w:ind w:left="440" w:right="20" w:firstLine="419"/>
        <w:spacing w:after="0" w:line="263" w:lineRule="auto"/>
        <w:tabs>
          <w:tab w:leader="none" w:pos="1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LIBOR announcing that such administrator has ceased or will cease to provide LIBOR, permanently or indefinitely, provided that, at the time of such statement or publication, there is no successor administrator that will continue to provide LIBOR;</w:t>
      </w:r>
    </w:p>
    <w:p>
      <w:pPr>
        <w:spacing w:after="0" w:line="75" w:lineRule="exact"/>
        <w:rPr>
          <w:rFonts w:ascii="Arial" w:cs="Arial" w:eastAsia="Arial" w:hAnsi="Arial"/>
          <w:sz w:val="18"/>
          <w:szCs w:val="18"/>
          <w:color w:val="auto"/>
        </w:rPr>
      </w:pPr>
    </w:p>
    <w:p>
      <w:pPr>
        <w:ind w:left="440" w:firstLine="419"/>
        <w:spacing w:after="0" w:line="275" w:lineRule="auto"/>
        <w:tabs>
          <w:tab w:leader="none" w:pos="1253"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which states that the administrator of LIBOR has ceased or will cease to provide LIBOR permanently or indefinitely, provided that, at the time of such statement or publication, there is no successor administrator that will continue to provide LIBOR; or</w:t>
      </w:r>
    </w:p>
    <w:p>
      <w:pPr>
        <w:spacing w:after="0" w:line="68" w:lineRule="exact"/>
        <w:rPr>
          <w:rFonts w:ascii="Arial" w:cs="Arial" w:eastAsia="Arial" w:hAnsi="Arial"/>
          <w:sz w:val="17"/>
          <w:szCs w:val="17"/>
          <w:color w:val="auto"/>
        </w:rPr>
      </w:pPr>
    </w:p>
    <w:p>
      <w:pPr>
        <w:ind w:left="440" w:right="100" w:firstLine="419"/>
        <w:spacing w:after="0" w:line="277" w:lineRule="auto"/>
        <w:tabs>
          <w:tab w:leader="none" w:pos="1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LIBOR announcing that LIBOR is no longer representative.</w:t>
      </w:r>
    </w:p>
    <w:p>
      <w:pPr>
        <w:spacing w:after="0" w:line="166"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Start Date</w:t>
      </w:r>
      <w:r>
        <w:rPr>
          <w:rFonts w:ascii="Arial" w:cs="Arial" w:eastAsia="Arial" w:hAnsi="Arial"/>
          <w:sz w:val="17"/>
          <w:szCs w:val="17"/>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14"/>
          <w:szCs w:val="14"/>
          <w:color w:val="auto"/>
        </w:rPr>
        <w:t>th</w:t>
      </w:r>
      <w:r>
        <w:rPr>
          <w:rFonts w:ascii="Arial" w:cs="Arial" w:eastAsia="Arial" w:hAnsi="Arial"/>
          <w:sz w:val="17"/>
          <w:szCs w:val="17"/>
          <w:color w:val="auto"/>
        </w:rPr>
        <w:t xml:space="preserve"> day prior to the expected date of such event as of such public statement or publication of information (or if the expected date of such</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0"/>
          </w:cols>
          <w:pgMar w:left="440" w:top="274" w:right="499" w:bottom="1440" w:gutter="0" w:footer="0" w:header="0"/>
        </w:sectPr>
      </w:pPr>
    </w:p>
    <w:bookmarkStart w:id="14" w:name="page15"/>
    <w:bookmarkEnd w:id="14"/>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prospective event is fewer than 90 days after such statement or publication, the date of such statement or publication) and (b) in the case of an Early Opt-in Election, the date specified by the Administrative Agent or the Requisite Lenders, as applicable, by notice to the Borrower, the Administrative Agent (in the case of such noticed by the Requisite Lenders) and the Lenders.</w:t>
      </w:r>
    </w:p>
    <w:p>
      <w:pPr>
        <w:spacing w:after="0" w:line="180"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means, if a Benchmark Transition Event and its related Benchmark Replacement Date have occurred with respect to LIBOR and solely to the extent that LIBOR has not been replaced with a Benchmark Replacement, the period (x) beginning at the time that such Benchmark Replacement Date has occurred if, at such time, no Benchmark Replacement has replaced LIBOR for all purposes hereunder in accordance with clauses (b) through (e) of Section 4.2. and (y) ending at the time that a Benchmark Replacement has replaced LIBOR for all purposes hereunder pursuant to clauses (b) through (e) of Section 4.2.</w:t>
      </w:r>
    </w:p>
    <w:p>
      <w:pPr>
        <w:spacing w:after="0" w:line="18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certificate in substantially the form of Exhibit K (as amended or modified by the Administrative Agent from time to time in its sole discretion), certifying, among other things, the beneficial ownership as required by the Beneficial Ownership Regulation.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Information</w:t>
      </w:r>
      <w:r>
        <w:rPr>
          <w:rFonts w:ascii="Arial" w:cs="Arial" w:eastAsia="Arial" w:hAnsi="Arial"/>
          <w:sz w:val="18"/>
          <w:szCs w:val="18"/>
          <w:color w:val="auto"/>
        </w:rPr>
        <w:t>” has the meaning given that term in Section 2.5.(c).</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 day of the week (but not a Saturday, Sunday or holiday) on which the offices of the Administrative Agent in Pittsburgh, Pennsylvania are open to the public for carrying on substantially all of the Administrative Agent’s business functions, and (b) if such day relates to a LIBOR Loan, any such day that is also a day on which dealings in Dollars are carried on in the London interbank market. Unless specifically referenced in this Agreement as a Business Day, all references to “days” shall be to calendar days.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(i) portion of a Property developed with improvements utilized for the retail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sale of goods or services, office space or other use (other than residential apartments and Hotel Properties), an amount equal to (a) $0.15 per square foot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times, (b) a fraction, the numerator of which is the number of days in such period and the denominator of which is 365; provided, however, no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shall be required with respect to any portion of any such Property which is leased under a ground lease to a third party that owns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improvements on such portion of such Property; (ii) Multifamily Property or any portion of a Property developed with improvements utilized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residential apartments (other than Properties having less than 20 residential units), an amount equal to (a) $200 per apartment unit in such Multifamily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Property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(b) a fraction, the numerator of which is the number of days in such period and the denominator of which is 365 or (iii) Hotel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Property an amount equal to the greater of (a) 4.0% of total gross revenues for such Property for such period and (b) the aggregate amount of reserves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furniture, fixtures and equipment required under any Property Management Agreement or Franchise Agreement applicable to such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such period. If the term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15" w:name="page16"/>
    <w:bookmarkEnd w:id="15"/>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 Reserves is used without reference to any specific Property, then the amount shall be determined on an aggregate basis with respect to all Office Properties, Retail Properties, Multifamily Properties and Hotel Properties of the Borrower and its Subsidiaries and a proportionate share of all Office Properties, Retail Properties, Multifamily Properties and Hotel Properties of all Unconsolidated Affiliates.</w:t>
      </w:r>
    </w:p>
    <w:p>
      <w:pPr>
        <w:spacing w:after="0" w:line="180"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(a) 7.25% for (i) the Hotel Properties known as The Row Hotel at Assembly Row and Canopy by Hilton at Pike &amp; Rose and (ii) other Hotel Properties located in downtown or central business district locations in Boston, Massachusetts; Chicago, Illinois; Los Angeles, California; borough of Manhattan, New York; Miami, Florida; San Diego, California; San Francisco, California; and Washington, D.C., (b) 7.75% for all other Hotel Properties and (c) 6.00% for all other Properties.</w:t>
      </w:r>
    </w:p>
    <w:p>
      <w:pPr>
        <w:spacing w:after="0" w:line="180"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Capitalized Lease Obligation</w:t>
      </w:r>
      <w:r>
        <w:rPr>
          <w:rFonts w:ascii="Arial" w:cs="Arial" w:eastAsia="Arial" w:hAnsi="Arial"/>
          <w:sz w:val="16"/>
          <w:szCs w:val="16"/>
          <w:color w:val="auto"/>
        </w:rPr>
        <w:t>”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w:t>
      </w:r>
    </w:p>
    <w:p>
      <w:pPr>
        <w:spacing w:after="0" w:line="142"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179"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a Lender, such Lender’s obligation to make a Loan pursuant to Section 2.1., in an amount up to, but not exceeding, the amount set forth for such Lender on Schedule I as such Lender’s “Loan Amount”.</w:t>
      </w:r>
    </w:p>
    <w:p>
      <w:pPr>
        <w:spacing w:after="0" w:line="16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§1 et seq.), as amended from time to time, and any successor statute.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2.9.</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4" w:right="439" w:bottom="1440" w:gutter="0" w:footer="0" w:header="0"/>
        </w:sectPr>
      </w:pPr>
    </w:p>
    <w:bookmarkStart w:id="16" w:name="page17"/>
    <w:bookmarkEnd w:id="16"/>
    <w:p>
      <w:pPr>
        <w:ind w:right="2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Construction-in-Process”</w:t>
      </w:r>
      <w:r>
        <w:rPr>
          <w:rFonts w:ascii="Arial" w:cs="Arial" w:eastAsia="Arial" w:hAnsi="Arial"/>
          <w:sz w:val="18"/>
          <w:szCs w:val="18"/>
          <w:color w:val="auto"/>
        </w:rPr>
        <w:t xml:space="preserve"> means cash expenditures for land and improvements (including indirect costs internally allocated and development costs) in accordance with GAAP on all Development Properties.</w:t>
      </w:r>
    </w:p>
    <w:p>
      <w:pPr>
        <w:spacing w:after="0" w:line="162"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16"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Property</w:t>
      </w:r>
      <w:r>
        <w:rPr>
          <w:rFonts w:ascii="Arial" w:cs="Arial" w:eastAsia="Arial" w:hAnsi="Arial"/>
          <w:sz w:val="18"/>
          <w:szCs w:val="18"/>
          <w:color w:val="auto"/>
        </w:rPr>
        <w:t>”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spacing w:after="0" w:line="183"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w:t>
      </w:r>
      <w:r>
        <w:rPr>
          <w:rFonts w:ascii="Arial" w:cs="Arial" w:eastAsia="Arial" w:hAnsi="Arial"/>
          <w:sz w:val="18"/>
          <w:szCs w:val="18"/>
          <w:color w:val="auto"/>
        </w:rPr>
        <w:t>”, “</w:t>
      </w:r>
      <w:r>
        <w:rPr>
          <w:rFonts w:ascii="Arial" w:cs="Arial" w:eastAsia="Arial" w:hAnsi="Arial"/>
          <w:sz w:val="18"/>
          <w:szCs w:val="18"/>
          <w:b w:val="1"/>
          <w:bCs w:val="1"/>
          <w:color w:val="auto"/>
        </w:rPr>
        <w:t>Conversion</w:t>
      </w:r>
      <w:r>
        <w:rPr>
          <w:rFonts w:ascii="Arial" w:cs="Arial" w:eastAsia="Arial" w:hAnsi="Arial"/>
          <w:sz w:val="18"/>
          <w:szCs w:val="18"/>
          <w:color w:val="auto"/>
        </w:rPr>
        <w:t>” and “</w:t>
      </w:r>
      <w:r>
        <w:rPr>
          <w:rFonts w:ascii="Arial" w:cs="Arial" w:eastAsia="Arial" w:hAnsi="Arial"/>
          <w:sz w:val="18"/>
          <w:szCs w:val="18"/>
          <w:b w:val="1"/>
          <w:bCs w:val="1"/>
          <w:color w:val="auto"/>
        </w:rPr>
        <w:t>Converted</w:t>
      </w:r>
      <w:r>
        <w:rPr>
          <w:rFonts w:ascii="Arial" w:cs="Arial" w:eastAsia="Arial" w:hAnsi="Arial"/>
          <w:sz w:val="18"/>
          <w:szCs w:val="18"/>
          <w:color w:val="auto"/>
        </w:rPr>
        <w:t>” each refers to the conversion of a Loan of one Type into a Loan of another Type pursuant to Section 2.10.</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xml:space="preserve">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Party</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w:t>
      </w:r>
      <w:r>
        <w:rPr>
          <w:rFonts w:ascii="Arial" w:cs="Arial" w:eastAsia="Arial" w:hAnsi="Arial"/>
          <w:sz w:val="18"/>
          <w:szCs w:val="18"/>
          <w:color w:val="auto"/>
        </w:rPr>
        <w:t>” means any of the following: (a) the making (or deemed making) of any Loan, (b) the Conversion of a Base Rate Loan into a LIBOR Loan and (c) the Continuation of a LIBOR Loan.</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Percentage</w:t>
      </w:r>
      <w:r>
        <w:rPr>
          <w:rFonts w:ascii="Arial" w:cs="Arial" w:eastAsia="Arial" w:hAnsi="Arial"/>
          <w:sz w:val="18"/>
          <w:szCs w:val="18"/>
          <w:color w:val="auto"/>
        </w:rPr>
        <w:t>” means, as to each Lender, the ratio, expressed as a percentage, of (a) the unpaid principal amount of such Lender’s Loan to (b) the aggregate unpaid principal amount of all Loans.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a Person.</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0" w:right="479" w:bottom="1440" w:gutter="0" w:footer="0" w:header="0"/>
        </w:sectPr>
      </w:pPr>
    </w:p>
    <w:bookmarkStart w:id="17" w:name="page18"/>
    <w:bookmarkEnd w:id="17"/>
    <w:p>
      <w:pPr>
        <w:ind w:left="4" w:right="20" w:hanging="4"/>
        <w:spacing w:after="0" w:line="284"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3.9.(d)) upon delivery of written notice of such determination to the Borrower and each Lender.</w:t>
      </w:r>
    </w:p>
    <w:p>
      <w:pPr>
        <w:spacing w:after="0" w:line="178"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6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Support Document</w:t>
      </w:r>
      <w:r>
        <w:rPr>
          <w:rFonts w:ascii="Arial" w:cs="Arial" w:eastAsia="Arial" w:hAnsi="Arial"/>
          <w:sz w:val="18"/>
          <w:szCs w:val="18"/>
          <w:color w:val="auto"/>
        </w:rPr>
        <w:t>”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4"/>
          </w:cols>
          <w:pgMar w:left="436" w:top="274" w:right="459" w:bottom="1440" w:gutter="0" w:footer="0" w:header="0"/>
        </w:sectPr>
      </w:pPr>
    </w:p>
    <w:bookmarkStart w:id="18" w:name="page19"/>
    <w:bookmarkEnd w:id="18"/>
    <w:p>
      <w:pPr>
        <w:jc w:val="both"/>
        <w:ind w:left="4" w:right="1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w:t>
      </w:r>
    </w:p>
    <w:p>
      <w:pPr>
        <w:spacing w:after="0" w:line="2" w:lineRule="exact"/>
        <w:rPr>
          <w:sz w:val="20"/>
          <w:szCs w:val="20"/>
          <w:color w:val="auto"/>
        </w:rPr>
      </w:pPr>
    </w:p>
    <w:p>
      <w:pPr>
        <w:ind w:left="4" w:right="60" w:hanging="4"/>
        <w:spacing w:after="0" w:line="255"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spacing w:after="0" w:line="186"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w:t>
      </w:r>
    </w:p>
    <w:p>
      <w:pPr>
        <w:spacing w:after="0" w:line="2" w:lineRule="exact"/>
        <w:rPr>
          <w:sz w:val="20"/>
          <w:szCs w:val="20"/>
          <w:color w:val="auto"/>
        </w:rPr>
      </w:pPr>
    </w:p>
    <w:p>
      <w:pPr>
        <w:ind w:left="4" w:right="60" w:hanging="4"/>
        <w:spacing w:after="0" w:line="260"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that is six months past substantial completion of such Property and (b) achieving an Occupancy Rate of 85.0% and (y) in the case of a Hotel Property, the date that is 12 months past substantial completion of such Property.</w:t>
      </w:r>
    </w:p>
    <w:p>
      <w:pPr>
        <w:spacing w:after="0" w:line="181" w:lineRule="exact"/>
        <w:rPr>
          <w:sz w:val="20"/>
          <w:szCs w:val="20"/>
          <w:color w:val="auto"/>
        </w:rPr>
      </w:pPr>
    </w:p>
    <w:p>
      <w:pPr>
        <w:ind w:left="4" w:right="6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Disbursement Instruction Agreement</w:t>
      </w:r>
      <w:r>
        <w:rPr>
          <w:rFonts w:ascii="Arial" w:cs="Arial" w:eastAsia="Arial" w:hAnsi="Arial"/>
          <w:sz w:val="16"/>
          <w:szCs w:val="16"/>
          <w:color w:val="auto"/>
        </w:rPr>
        <w:t>” means an agreement substantially in the form of Exhibit G to be executed and delivered by the Borrower, as the same may be amended, restated or modified from time to time with the prior written approval of the Administrative Agent.</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the occurrence of:</w:t>
      </w:r>
    </w:p>
    <w:p>
      <w:pPr>
        <w:spacing w:after="0" w:line="121" w:lineRule="exact"/>
        <w:rPr>
          <w:sz w:val="20"/>
          <w:szCs w:val="20"/>
          <w:color w:val="auto"/>
        </w:rPr>
      </w:pPr>
    </w:p>
    <w:p>
      <w:pPr>
        <w:jc w:val="both"/>
        <w:ind w:left="444" w:firstLine="419"/>
        <w:spacing w:after="0" w:line="259" w:lineRule="auto"/>
        <w:tabs>
          <w:tab w:leader="none" w:pos="1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(i) a determination by the Administrative Agent or (ii) a notification by the Requisite Lenders to the Administrative Agent (with a copy to the Borrower) that the Requisite Lenders have determined that U.S. Dollar-denominated syndicated credit facilities being executed at such time, or that include language similar to that contained in clauses (b) through (e) of Section 4.2., are being executed or amended, as applicable, to incorporate or adopt a new benchmark interest rate to replace LIBOR, and</w:t>
      </w:r>
    </w:p>
    <w:p>
      <w:pPr>
        <w:spacing w:after="0" w:line="78" w:lineRule="exact"/>
        <w:rPr>
          <w:rFonts w:ascii="Arial" w:cs="Arial" w:eastAsia="Arial" w:hAnsi="Arial"/>
          <w:sz w:val="18"/>
          <w:szCs w:val="18"/>
          <w:color w:val="auto"/>
        </w:rPr>
      </w:pPr>
    </w:p>
    <w:p>
      <w:pPr>
        <w:ind w:left="444" w:firstLine="419"/>
        <w:spacing w:after="0" w:line="263" w:lineRule="auto"/>
        <w:tabs>
          <w:tab w:leader="none" w:pos="1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(i) the election by the Administrative Agent or (ii) the election by the Requisite Lenders to declare that an Early Opt-in Election has occurred and the provision, as applicable, by the Administrative Agent of written notice of such election to the Borrower and the Lenders or by the Requisite Lenders of written notice of such election to the Administrative Agent.</w:t>
      </w:r>
    </w:p>
    <w:p>
      <w:pPr>
        <w:spacing w:after="0" w:line="180" w:lineRule="exact"/>
        <w:rPr>
          <w:sz w:val="20"/>
          <w:szCs w:val="20"/>
          <w:color w:val="auto"/>
        </w:rPr>
      </w:pPr>
    </w:p>
    <w:p>
      <w:pPr>
        <w:ind w:left="4"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w:t>
      </w:r>
    </w:p>
    <w:p>
      <w:pPr>
        <w:spacing w:after="0" w:line="154"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0" w:right="459" w:bottom="1440" w:gutter="0" w:footer="0" w:header="0"/>
        </w:sectPr>
      </w:pPr>
    </w:p>
    <w:bookmarkStart w:id="19" w:name="page20"/>
    <w:bookmarkEnd w:id="19"/>
    <w:p>
      <w:pPr>
        <w:ind w:left="4"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by all of the Lenders.</w:t>
      </w:r>
    </w:p>
    <w:p>
      <w:pPr>
        <w:spacing w:after="0" w:line="162"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Borrower, any of the Borrower’s Affiliates or Subsidiaries or any Defaulting Lender.</w:t>
      </w:r>
    </w:p>
    <w:p>
      <w:pPr>
        <w:spacing w:after="0" w:line="158"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w:t>
      </w:r>
    </w:p>
    <w:p>
      <w:pPr>
        <w:spacing w:after="0" w:line="3" w:lineRule="exact"/>
        <w:rPr>
          <w:sz w:val="20"/>
          <w:szCs w:val="20"/>
          <w:color w:val="auto"/>
        </w:rPr>
      </w:pPr>
    </w:p>
    <w:p>
      <w:pPr>
        <w:ind w:left="4" w:right="360" w:hanging="4"/>
        <w:spacing w:after="0" w:line="28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w:t>
      </w:r>
    </w:p>
    <w:p>
      <w:pPr>
        <w:spacing w:after="0" w:line="1" w:lineRule="exact"/>
        <w:rPr>
          <w:rFonts w:ascii="Arial" w:cs="Arial" w:eastAsia="Arial" w:hAnsi="Arial"/>
          <w:sz w:val="16"/>
          <w:szCs w:val="16"/>
          <w:color w:val="auto"/>
        </w:rPr>
      </w:pPr>
    </w:p>
    <w:p>
      <w:pPr>
        <w:ind w:left="4" w:right="220" w:hanging="4"/>
        <w:spacing w:after="0" w:line="255"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86"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spacing w:after="0" w:line="172"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means, with respect to any Person, any share of capital stock of (or other ownership or profit interests in) such Person, any warrant, option or other right for the purchase or other</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20" w:name="page21"/>
    <w:bookmarkEnd w:id="20"/>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7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225"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spacing w:after="0" w:line="39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7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 w:name="page22"/>
    <w:bookmarkEnd w:id="21"/>
    <w:p>
      <w:pPr>
        <w:ind w:left="4"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Eurodollar Reserve Percentage</w:t>
      </w:r>
      <w:r>
        <w:rPr>
          <w:rFonts w:ascii="Arial" w:cs="Arial" w:eastAsia="Arial" w:hAnsi="Arial"/>
          <w:sz w:val="18"/>
          <w:szCs w:val="18"/>
          <w:color w:val="auto"/>
        </w:rPr>
        <w:t>”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80"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62"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65"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1"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2" w:lineRule="exact"/>
        <w:rPr>
          <w:sz w:val="20"/>
          <w:szCs w:val="20"/>
          <w:color w:val="auto"/>
        </w:rPr>
      </w:pPr>
    </w:p>
    <w:p>
      <w:pPr>
        <w:ind w:left="4" w:hanging="4"/>
        <w:spacing w:after="0" w:line="270"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74"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(a) a security listed on a national securities exchange or the NASDAQ National Market, the price of such security as reported on such exchange or market by any widely recognized reporting method customarily relied upon by financial institutions and</w:t>
      </w:r>
    </w:p>
    <w:p>
      <w:pPr>
        <w:spacing w:after="0" w:line="1" w:lineRule="exact"/>
        <w:rPr>
          <w:sz w:val="20"/>
          <w:szCs w:val="20"/>
          <w:color w:val="auto"/>
        </w:rPr>
      </w:pPr>
    </w:p>
    <w:p>
      <w:pPr>
        <w:ind w:left="4" w:right="200" w:hanging="4"/>
        <w:spacing w:after="0" w:line="292"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Borrower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spacing w:after="0" w:line="94" w:lineRule="exact"/>
        <w:rPr>
          <w:rFonts w:ascii="Arial" w:cs="Arial" w:eastAsia="Arial" w:hAnsi="Arial"/>
          <w:sz w:val="16"/>
          <w:szCs w:val="16"/>
          <w:color w:val="auto"/>
        </w:rPr>
      </w:pPr>
    </w:p>
    <w:p>
      <w:pPr>
        <w:ind w:left="5424" w:hanging="111"/>
        <w:spacing w:after="0"/>
        <w:tabs>
          <w:tab w:leader="none" w:pos="5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44"/>
          </w:cols>
          <w:pgMar w:left="436" w:top="270" w:right="51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means, for any day, the rate per annum (rounded upward to the nearest 1/100</w:t>
      </w:r>
      <w:r>
        <w:rPr>
          <w:rFonts w:ascii="Arial" w:cs="Arial" w:eastAsia="Arial" w:hAnsi="Arial"/>
          <w:sz w:val="14"/>
          <w:szCs w:val="14"/>
          <w:color w:val="auto"/>
        </w:rPr>
        <w:t>th</w:t>
      </w:r>
      <w:r>
        <w:rPr>
          <w:rFonts w:ascii="Arial" w:cs="Arial" w:eastAsia="Arial" w:hAnsi="Arial"/>
          <w:sz w:val="17"/>
          <w:szCs w:val="17"/>
          <w:color w:val="auto"/>
        </w:rPr>
        <w:t xml:space="preserve"> of 1%)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Administrative Agent by federal funds dealers selected by the Administrative Agent on such day on such transaction as determined by the Administrative Agent. If the Federal Funds Rate determined as provided above would be less than zero, the Federal Funds Rate shall be deemed to be zero.</w:t>
      </w:r>
    </w:p>
    <w:p>
      <w:pPr>
        <w:spacing w:after="0" w:line="17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Bank of New York’s Website</w:t>
      </w:r>
      <w:r>
        <w:rPr>
          <w:rFonts w:ascii="Arial" w:cs="Arial" w:eastAsia="Arial" w:hAnsi="Arial"/>
          <w:sz w:val="18"/>
          <w:szCs w:val="18"/>
          <w:color w:val="auto"/>
        </w:rPr>
        <w:t xml:space="preserve">” means the website of the Federal Reserve Bank of New York at </w:t>
      </w:r>
      <w:r>
        <w:rPr>
          <w:rFonts w:ascii="Arial" w:cs="Arial" w:eastAsia="Arial" w:hAnsi="Arial"/>
          <w:sz w:val="18"/>
          <w:szCs w:val="18"/>
          <w:u w:val="single" w:color="auto"/>
          <w:color w:val="auto"/>
        </w:rPr>
        <w:t>http://www.newyorkfed.org</w:t>
      </w:r>
      <w:r>
        <w:rPr>
          <w:rFonts w:ascii="Arial" w:cs="Arial" w:eastAsia="Arial" w:hAnsi="Arial"/>
          <w:sz w:val="18"/>
          <w:szCs w:val="18"/>
          <w:color w:val="auto"/>
        </w:rPr>
        <w:t>, or any successor source.</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that certain fee letter dated May 4, 2020, by and among the Borrower, PNC Bank, and PNC Capital Markets LLC and any other fee letter entered into with respect hereto.</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3.5. and any other fees payable by the Borrower hereunder, under any other Loan Document or under the Fee Letter.</w:t>
      </w:r>
    </w:p>
    <w:p>
      <w:pPr>
        <w:spacing w:after="0" w:line="16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89" w:lineRule="exact"/>
        <w:rPr>
          <w:sz w:val="20"/>
          <w:szCs w:val="20"/>
          <w:color w:val="auto"/>
        </w:rPr>
      </w:pPr>
    </w:p>
    <w:p>
      <w:pPr>
        <w:ind w:right="2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0"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Franchise Agreement</w:t>
      </w:r>
      <w:r>
        <w:rPr>
          <w:rFonts w:ascii="Arial" w:cs="Arial" w:eastAsia="Arial" w:hAnsi="Arial"/>
          <w:sz w:val="18"/>
          <w:szCs w:val="18"/>
          <w:color w:val="auto"/>
        </w:rPr>
        <w:t>” means an agreement permitting the use of the applicable hotel brand name, hotel system trademarks, trade names and any related rights in connection with the ownership or operation of a Property.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right="4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 From Operations</w:t>
      </w:r>
      <w:r>
        <w:rPr>
          <w:rFonts w:ascii="Arial" w:cs="Arial" w:eastAsia="Arial" w:hAnsi="Arial"/>
          <w:sz w:val="16"/>
          <w:szCs w:val="16"/>
          <w:color w:val="auto"/>
        </w:rPr>
        <w:t>”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w:t>
      </w:r>
    </w:p>
    <w:p>
      <w:pPr>
        <w:spacing w:after="0" w:line="1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83"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spacing w:after="0" w:line="1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Ground Lease</w:t>
      </w:r>
      <w:r>
        <w:rPr>
          <w:rFonts w:ascii="Arial" w:cs="Arial" w:eastAsia="Arial" w:hAnsi="Arial"/>
          <w:sz w:val="17"/>
          <w:szCs w:val="17"/>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is party to the Guaranty as a Guarantor.</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w:t>
      </w:r>
      <w:r>
        <w:rPr>
          <w:rFonts w:ascii="Arial" w:cs="Arial" w:eastAsia="Arial" w:hAnsi="Arial"/>
          <w:sz w:val="18"/>
          <w:szCs w:val="18"/>
          <w:b w:val="1"/>
          <w:bCs w:val="1"/>
          <w:color w:val="auto"/>
        </w:rPr>
        <w:t>Guaranteed</w:t>
      </w:r>
      <w:r>
        <w:rPr>
          <w:rFonts w:ascii="Arial" w:cs="Arial" w:eastAsia="Arial" w:hAnsi="Arial"/>
          <w:sz w:val="18"/>
          <w:szCs w:val="18"/>
          <w:color w:val="auto"/>
        </w:rPr>
        <w:t>”, “</w:t>
      </w:r>
      <w:r>
        <w:rPr>
          <w:rFonts w:ascii="Arial" w:cs="Arial" w:eastAsia="Arial" w:hAnsi="Arial"/>
          <w:sz w:val="18"/>
          <w:szCs w:val="18"/>
          <w:b w:val="1"/>
          <w:bCs w:val="1"/>
          <w:color w:val="auto"/>
        </w:rPr>
        <w:t>Guarantying</w:t>
      </w:r>
      <w:r>
        <w:rPr>
          <w:rFonts w:ascii="Arial" w:cs="Arial" w:eastAsia="Arial" w:hAnsi="Arial"/>
          <w:sz w:val="18"/>
          <w:szCs w:val="18"/>
          <w:color w:val="auto"/>
        </w:rPr>
        <w:t>” or to “</w:t>
      </w:r>
      <w:r>
        <w:rPr>
          <w:rFonts w:ascii="Arial" w:cs="Arial" w:eastAsia="Arial" w:hAnsi="Arial"/>
          <w:sz w:val="18"/>
          <w:szCs w:val="18"/>
          <w:b w:val="1"/>
          <w:bCs w:val="1"/>
          <w:color w:val="auto"/>
        </w:rPr>
        <w:t>Guarantee</w:t>
      </w:r>
      <w:r>
        <w:rPr>
          <w:rFonts w:ascii="Arial" w:cs="Arial" w:eastAsia="Arial" w:hAnsi="Arial"/>
          <w:sz w:val="18"/>
          <w:szCs w:val="18"/>
          <w:color w:val="auto"/>
        </w:rPr>
        <w:t>” as applied to any obligation means and includes: (a) a guaranty (other than by endorsement of negotiable instruments for collection or deposit in the ordinary course of business), directly or indirectly, in any manner, of any part or all of such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0" w:right="499" w:bottom="1440" w:gutter="0" w:footer="0" w:header="0"/>
        </w:sectPr>
      </w:pPr>
    </w:p>
    <w:bookmarkStart w:id="24" w:name="page25"/>
    <w:bookmarkEnd w:id="2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w:t>
      </w:r>
    </w:p>
    <w:p>
      <w:pPr>
        <w:spacing w:after="0" w:line="162"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61" w:lineRule="exact"/>
        <w:rPr>
          <w:sz w:val="20"/>
          <w:szCs w:val="20"/>
          <w:color w:val="auto"/>
        </w:rPr>
      </w:pPr>
    </w:p>
    <w:p>
      <w:pPr>
        <w:ind w:right="3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Hotel Property</w:t>
      </w:r>
      <w:r>
        <w:rPr>
          <w:rFonts w:ascii="Arial" w:cs="Arial" w:eastAsia="Arial" w:hAnsi="Arial"/>
          <w:sz w:val="17"/>
          <w:szCs w:val="17"/>
          <w:color w:val="auto"/>
        </w:rPr>
        <w:t>” means any Property, the improvements on which are operated as a hotel, inn or the providing of lodging or leisure services, together with any incidental improvements on such Property operated in connection with such hotel, inn, lodging or leisure facility.</w:t>
      </w:r>
    </w:p>
    <w:p>
      <w:pPr>
        <w:spacing w:after="0" w:line="14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5" w:name="page26"/>
    <w:bookmarkEnd w:id="2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w:t>
      </w:r>
    </w:p>
    <w:p>
      <w:pPr>
        <w:spacing w:after="0" w:line="164"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spacing w:after="0" w:line="18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means, with respect to each LIBOR Loan, each period commencing on the date such LIBOR Loan is made, or in the case of the Continuation of a LIBOR Loan the last day of the preceding Interest Period for such Loan, and ending on the numerically corresponding day in the first, third or sixth calendar month thereafter (or such shorter period as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7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Notwithstanding the foregoing: (i) if any Interest Period would otherwise end after the Maturity Date, such Interest Period shall end on the Maturity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(x) with respect to any Person, any acquisition or investment (whether or not of a controlling interest) by such Person, by means of any of the following: (a) the purchase or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6" w:name="page27"/>
    <w:bookmarkEnd w:id="2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BBB-/Baa3 (or the equivalent) or higher from a Rating Agency.</w:t>
      </w:r>
    </w:p>
    <w:p>
      <w:pPr>
        <w:spacing w:after="0" w:line="225" w:lineRule="exact"/>
        <w:rPr>
          <w:sz w:val="20"/>
          <w:szCs w:val="20"/>
          <w:color w:val="auto"/>
        </w:rPr>
      </w:pPr>
    </w:p>
    <w:p>
      <w:pPr>
        <w:jc w:val="both"/>
        <w:ind w:right="3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w:t>
      </w:r>
      <w:r>
        <w:rPr>
          <w:rFonts w:ascii="Arial" w:cs="Arial" w:eastAsia="Arial" w:hAnsi="Arial"/>
          <w:sz w:val="17"/>
          <w:szCs w:val="17"/>
          <w:color w:val="auto"/>
        </w:rPr>
        <w:t>” means, subject to implementation of a Benchmark Replacement in accordance with Section 4.2.(b) through (e), with respect to any LIBOR Loan for any Interest Period, the interest rate per annum determined by the Administrative Agent by dividing (a) the rate which appears on the Bloomberg Page BBAM1 (or such other substitute Bloomberg page that displays rates at which Dollar deposits are offered by leading banks in the London interbank deposit market), or the rate which is quoted by another source selected by the Administrative Agent as an authorized information vendor for the purpose of displaying rates at which Dollar deposits are offered by leading banks in the London interbank deposit market (an “</w:t>
      </w:r>
      <w:r>
        <w:rPr>
          <w:rFonts w:ascii="Arial" w:cs="Arial" w:eastAsia="Arial" w:hAnsi="Arial"/>
          <w:sz w:val="17"/>
          <w:szCs w:val="17"/>
          <w:b w:val="1"/>
          <w:bCs w:val="1"/>
          <w:color w:val="auto"/>
        </w:rPr>
        <w:t>Alternate</w:t>
      </w:r>
      <w:r>
        <w:rPr>
          <w:rFonts w:ascii="Arial" w:cs="Arial" w:eastAsia="Arial" w:hAnsi="Arial"/>
          <w:sz w:val="17"/>
          <w:szCs w:val="17"/>
          <w:color w:val="auto"/>
        </w:rPr>
        <w:t xml:space="preserve"> </w:t>
      </w:r>
      <w:r>
        <w:rPr>
          <w:rFonts w:ascii="Arial" w:cs="Arial" w:eastAsia="Arial" w:hAnsi="Arial"/>
          <w:sz w:val="17"/>
          <w:szCs w:val="17"/>
          <w:b w:val="1"/>
          <w:bCs w:val="1"/>
          <w:color w:val="auto"/>
        </w:rPr>
        <w:t>Source</w:t>
      </w:r>
      <w:r>
        <w:rPr>
          <w:rFonts w:ascii="Arial" w:cs="Arial" w:eastAsia="Arial" w:hAnsi="Arial"/>
          <w:sz w:val="17"/>
          <w:szCs w:val="17"/>
          <w:color w:val="auto"/>
        </w:rPr>
        <w:t>”) at approximately 11:00 a.m., London time, two (2) Business Days prior to the commencement of such Interest Period as the London interbank</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rate for Dollars for an amount comparable to such Type of Loan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 such time (which determination shall be conclusive absent manifest error)), by (b) a number equal to 1.00 minus the Eurodollar Reserve Percentage. Notwithstanding the foregoing, (x) in no event shall LIBOR (including, without limitation, any Benchmark Replacement with respect thereto) be less than 0.250% and (y) unless otherwise specified in any amendment to this Agreement entered into in accordance with Section 4.2.(b) through (e), in the event that a Benchmark Replacement with respect to LIBOR is implemented then all references herein to LIBOR shall be deemed references to such Benchmark Replacement. LIBOR shall be adjusted with respect to any Loan to which LIBOR applies that is outstanding on the effective date of any change in the Eurodollar Reserve Percentage as of such effective date. The Administrative Agent shall give prompt notice to the Borrower of LIBOR as determined or adjusted in accordance herewith, which determination shall be conclusive absent manifest error.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means a Loan (or any portion thereof) bearing interest at a rate based on LIBOR.</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7" w:name="page28"/>
    <w:bookmarkEnd w:id="27"/>
    <w:p>
      <w:pPr>
        <w:ind w:left="4" w:right="2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LIBOR Market Index Rate</w:t>
      </w:r>
      <w:r>
        <w:rPr>
          <w:rFonts w:ascii="Arial" w:cs="Arial" w:eastAsia="Arial" w:hAnsi="Arial"/>
          <w:sz w:val="18"/>
          <w:szCs w:val="18"/>
          <w:color w:val="auto"/>
        </w:rPr>
        <w:t>” means, for any day, LIBOR as of that day that would be applicable for a LIBOR Loan having a one-month Interest Period determined at approximately 10:00 a.m. Eastern time for such day (rather than 11:00 a.m. (London time) two Business Days prior to the first day of such Interest Period as otherwise provided in the definition of “LIBOR”), or if such day is not a Business Day, the immediately preceding Business Day. The LIBOR Market Index Rate shall be determined on a daily basis.</w:t>
      </w:r>
    </w:p>
    <w:p>
      <w:pPr>
        <w:spacing w:after="0" w:line="180"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by a Lender to the Borrower pursuant to Section 2.1.</w:t>
      </w:r>
    </w:p>
    <w:p>
      <w:pPr>
        <w:spacing w:after="0" w:line="225" w:lineRule="exact"/>
        <w:rPr>
          <w:sz w:val="20"/>
          <w:szCs w:val="20"/>
          <w:color w:val="auto"/>
        </w:rPr>
      </w:pPr>
    </w:p>
    <w:p>
      <w:pPr>
        <w:jc w:val="both"/>
        <w:ind w:left="4" w:right="6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w:t>
      </w:r>
      <w:r>
        <w:rPr>
          <w:rFonts w:ascii="Arial" w:cs="Arial" w:eastAsia="Arial" w:hAnsi="Arial"/>
          <w:sz w:val="18"/>
          <w:szCs w:val="18"/>
          <w:color w:val="auto"/>
        </w:rPr>
        <w:t>” means this Agreement, each Note, the Guaranty and each other document or instrument now or hereafter executed and delivered by a Loan Party in connection with, pursuant to or relating to this Agreement (other than the Fee Letter and any Specified Derivatives Contract).</w:t>
      </w:r>
    </w:p>
    <w:p>
      <w:pPr>
        <w:spacing w:after="0" w:line="176"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w:t>
      </w:r>
      <w:r>
        <w:rPr>
          <w:rFonts w:ascii="Arial" w:cs="Arial" w:eastAsia="Arial" w:hAnsi="Arial"/>
          <w:sz w:val="18"/>
          <w:szCs w:val="18"/>
          <w:color w:val="auto"/>
        </w:rPr>
        <w:t>” means each of the Borrower and each other Person who guarantees all or a portion of the Obligations. Schedule 1.1.(a) sets forth the Loan Parties in addition to the Borrower as of the Agreement Date.</w:t>
      </w:r>
    </w:p>
    <w:p>
      <w:pPr>
        <w:spacing w:after="0" w:line="162" w:lineRule="exact"/>
        <w:rPr>
          <w:sz w:val="20"/>
          <w:szCs w:val="20"/>
          <w:color w:val="auto"/>
        </w:rPr>
      </w:pPr>
    </w:p>
    <w:p>
      <w:pPr>
        <w:ind w:left="4" w:right="9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Default</w:t>
      </w:r>
      <w:r>
        <w:rPr>
          <w:rFonts w:ascii="Arial" w:cs="Arial" w:eastAsia="Arial" w:hAnsi="Arial"/>
          <w:sz w:val="18"/>
          <w:szCs w:val="18"/>
          <w:color w:val="auto"/>
        </w:rPr>
        <w:t>” means a Default resulting from the occurrence of any of the events described in Section 10.1.(a), Section 10.1.(e) or Section 10.1.(f).</w:t>
      </w:r>
    </w:p>
    <w:p>
      <w:pPr>
        <w:spacing w:after="0" w:line="16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w:t>
      </w:r>
    </w:p>
    <w:p>
      <w:pPr>
        <w:spacing w:after="0" w:line="1" w:lineRule="exact"/>
        <w:rPr>
          <w:sz w:val="20"/>
          <w:szCs w:val="20"/>
          <w:color w:val="auto"/>
        </w:rPr>
      </w:pPr>
    </w:p>
    <w:p>
      <w:pPr>
        <w:ind w:left="4" w:right="20" w:hanging="4"/>
        <w:spacing w:after="0" w:line="268" w:lineRule="auto"/>
        <w:tabs>
          <w:tab w:leader="none" w:pos="2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including “downREIT” units that are convertible to common Equity Interest of the Borrower or cash solely at the option of the Borrower); in each case, on or prior to the Maturity Date.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NVI-Avenue, LLC; Shrewsbury Commons LP; Route 35 Shrewsbury LP; Sea Girt LP; San Antonio Center II, LLC; FR Montrose Crossing LLC; Rosecrans-Sepulveda Partners 3, LLC; and Federal Realty Partners L.P.</w:t>
      </w:r>
    </w:p>
    <w:p>
      <w:pPr>
        <w:spacing w:after="0" w:line="113" w:lineRule="exact"/>
        <w:rPr>
          <w:rFonts w:ascii="Arial" w:cs="Arial" w:eastAsia="Arial" w:hAnsi="Arial"/>
          <w:sz w:val="17"/>
          <w:szCs w:val="17"/>
          <w:color w:val="auto"/>
        </w:rPr>
      </w:pPr>
    </w:p>
    <w:p>
      <w:pPr>
        <w:ind w:left="5424" w:hanging="111"/>
        <w:spacing w:after="0"/>
        <w:tabs>
          <w:tab w:leader="none" w:pos="5424" w:val="left"/>
        </w:tabs>
        <w:numPr>
          <w:ilvl w:val="1"/>
          <w:numId w:val="1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04"/>
          </w:cols>
          <w:pgMar w:left="436" w:top="270" w:right="459" w:bottom="1440" w:gutter="0" w:footer="0" w:header="0"/>
        </w:sectPr>
      </w:pPr>
    </w:p>
    <w:bookmarkStart w:id="28" w:name="page29"/>
    <w:bookmarkEnd w:id="28"/>
    <w:p>
      <w:pPr>
        <w:jc w:val="both"/>
        <w:ind w:right="1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Material Acquisition</w:t>
      </w:r>
      <w:r>
        <w:rPr>
          <w:rFonts w:ascii="Arial" w:cs="Arial" w:eastAsia="Arial" w:hAnsi="Arial"/>
          <w:sz w:val="18"/>
          <w:szCs w:val="18"/>
          <w:color w:val="auto"/>
        </w:rPr>
        <w:t>”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spacing w:after="0" w:line="176"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w:t>
      </w:r>
    </w:p>
    <w:p>
      <w:pPr>
        <w:spacing w:after="0" w:line="183"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w:t>
      </w:r>
      <w:r>
        <w:rPr>
          <w:rFonts w:ascii="Arial" w:cs="Arial" w:eastAsia="Arial" w:hAnsi="Arial"/>
          <w:sz w:val="16"/>
          <w:szCs w:val="16"/>
          <w:color w:val="auto"/>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“Material Subsidiary” </w:t>
      </w:r>
      <w:r>
        <w:rPr>
          <w:rFonts w:ascii="Arial" w:cs="Arial" w:eastAsia="Arial" w:hAnsi="Arial"/>
          <w:sz w:val="17"/>
          <w:szCs w:val="17"/>
          <w:color w:val="auto"/>
        </w:rPr>
        <w:t>means any Subsidiary to which more than 2% of Adjusted Total Asset Value is attributable on an individual basis.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May 6, 2021, or such later date to which the Maturity Date may be extended pursuant to Section 2.13.</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Mixed-Use Project</w:t>
      </w:r>
      <w:r>
        <w:rPr>
          <w:rFonts w:ascii="Arial" w:cs="Arial" w:eastAsia="Arial" w:hAnsi="Arial"/>
          <w:sz w:val="18"/>
          <w:szCs w:val="18"/>
          <w:color w:val="auto"/>
        </w:rPr>
        <w:t>” means any mixed-use project that includes or will include a Retail Property and will also include a Multifamily Property and/or an Office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62"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spacing w:after="0" w:line="176"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58"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Multifamily Property</w:t>
      </w:r>
      <w:r>
        <w:rPr>
          <w:rFonts w:ascii="Arial" w:cs="Arial" w:eastAsia="Arial" w:hAnsi="Arial"/>
          <w:sz w:val="18"/>
          <w:szCs w:val="18"/>
          <w:color w:val="auto"/>
        </w:rPr>
        <w:t>” means a Property improved with, and from which at least 80% of the rental income is derived from, residential apartments, which may include a Property that is a part of a Mixed-Use Project.</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9" w:name="page30"/>
    <w:bookmarkEnd w:id="2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83" w:lineRule="exact"/>
        <w:rPr>
          <w:sz w:val="20"/>
          <w:szCs w:val="20"/>
          <w:color w:val="auto"/>
        </w:rPr>
      </w:pPr>
    </w:p>
    <w:p>
      <w:pPr>
        <w:ind w:right="20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Capital Reserves for such Property as of the end of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greater of (i) the actual property management fee paid during such period with respect to such Property and (ii) an imputed management fee in the amount equal to 3.0% of the gross revenues for such Property for such period.</w:t>
      </w:r>
    </w:p>
    <w:p>
      <w:pPr>
        <w:spacing w:after="0" w:line="161"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65"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Non-Controlled Property</w:t>
      </w:r>
      <w:r>
        <w:rPr>
          <w:rFonts w:ascii="Arial" w:cs="Arial" w:eastAsia="Arial" w:hAnsi="Arial"/>
          <w:sz w:val="17"/>
          <w:szCs w:val="17"/>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given that term in Section 2.11.(a).</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substantially in the form of Exhibit C (or such other form reasonably acceptable to the Administrative Agent and containing the information required in such Exhibit) to be delivered to the Administrative Agent pursuant to Section 2.1.(b) evidencing the Borrower’s request for the borrowing of the Loans.</w:t>
      </w:r>
    </w:p>
    <w:p>
      <w:pPr>
        <w:spacing w:after="0" w:line="176"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substantially in the form of Exhibit D (or such other form reasonably acceptable to the Administrative Agent and containing the information required in such Exhibit) to be delivered to the Administrative Agent pursuant to Section 2.9. evidencing the Borrower’s request for the Continuation of a LIBOR Loan.</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0" w:name="page31"/>
    <w:bookmarkEnd w:id="30"/>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Obligations</w:t>
      </w:r>
      <w:r>
        <w:rPr>
          <w:rFonts w:ascii="Arial" w:cs="Arial" w:eastAsia="Arial" w:hAnsi="Arial"/>
          <w:sz w:val="16"/>
          <w:szCs w:val="16"/>
          <w:color w:val="auto"/>
        </w:rPr>
        <w:t>” means, individually and collectively: (a) the aggregate principal balance of, and all accrued and unpaid interest on, all Loans; and</w:t>
      </w:r>
    </w:p>
    <w:p>
      <w:pPr>
        <w:spacing w:after="0" w:line="50" w:lineRule="exact"/>
        <w:rPr>
          <w:sz w:val="20"/>
          <w:szCs w:val="20"/>
          <w:color w:val="auto"/>
        </w:rPr>
      </w:pPr>
    </w:p>
    <w:p>
      <w:pPr>
        <w:ind w:left="4" w:hanging="4"/>
        <w:spacing w:after="0" w:line="253"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8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Occupancy Rate</w:t>
      </w:r>
      <w:r>
        <w:rPr>
          <w:rFonts w:ascii="Arial" w:cs="Arial" w:eastAsia="Arial" w:hAnsi="Arial"/>
          <w:sz w:val="17"/>
          <w:szCs w:val="17"/>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4"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Property</w:t>
      </w:r>
      <w:r>
        <w:rPr>
          <w:rFonts w:ascii="Arial" w:cs="Arial" w:eastAsia="Arial" w:hAnsi="Arial"/>
          <w:sz w:val="18"/>
          <w:szCs w:val="18"/>
          <w:color w:val="auto"/>
        </w:rPr>
        <w:t>” means a Property improved with a building or buildings the substantial use of which is office space, which may include a Property that is part of a Mixed-Use Project.</w:t>
      </w:r>
    </w:p>
    <w:p>
      <w:pPr>
        <w:spacing w:after="0" w:line="162" w:lineRule="exact"/>
        <w:rPr>
          <w:sz w:val="20"/>
          <w:szCs w:val="20"/>
          <w:color w:val="auto"/>
        </w:rPr>
      </w:pPr>
    </w:p>
    <w:p>
      <w:pPr>
        <w:jc w:val="both"/>
        <w:ind w:left="4"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w:t>
      </w:r>
    </w:p>
    <w:p>
      <w:pPr>
        <w:spacing w:after="0" w:line="2" w:lineRule="exact"/>
        <w:rPr>
          <w:sz w:val="20"/>
          <w:szCs w:val="20"/>
          <w:color w:val="auto"/>
        </w:rPr>
      </w:pPr>
    </w:p>
    <w:p>
      <w:pPr>
        <w:ind w:left="4" w:right="240"/>
        <w:spacing w:after="0" w:line="260" w:lineRule="auto"/>
        <w:rPr>
          <w:sz w:val="20"/>
          <w:szCs w:val="20"/>
          <w:color w:val="auto"/>
        </w:rPr>
      </w:pPr>
      <w:r>
        <w:rPr>
          <w:rFonts w:ascii="Arial" w:cs="Arial" w:eastAsia="Arial" w:hAnsi="Arial"/>
          <w:sz w:val="18"/>
          <w:szCs w:val="18"/>
          <w:color w:val="auto"/>
        </w:rPr>
        <w:t>10-Q or Form 10-K (or their equivalents) which the Borrower is required to file with the Securities and Exchange Commission (or any Governmental Authority substituted therefor).</w:t>
      </w:r>
    </w:p>
    <w:p>
      <w:pPr>
        <w:spacing w:after="0" w:line="181" w:lineRule="exact"/>
        <w:rPr>
          <w:sz w:val="20"/>
          <w:szCs w:val="20"/>
          <w:color w:val="auto"/>
        </w:rPr>
      </w:pPr>
    </w:p>
    <w:p>
      <w:pPr>
        <w:ind w:left="4"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5"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80"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Ownership Share</w:t>
      </w:r>
      <w:r>
        <w:rPr>
          <w:rFonts w:ascii="Arial" w:cs="Arial" w:eastAsia="Arial" w:hAnsi="Arial"/>
          <w:sz w:val="18"/>
          <w:szCs w:val="18"/>
          <w:color w:val="auto"/>
        </w:rPr>
        <w:t>”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sectPr>
      </w:pPr>
    </w:p>
    <w:bookmarkStart w:id="31" w:name="page32"/>
    <w:bookmarkEnd w:id="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12.6.(d).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225"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w:t>
      </w:r>
    </w:p>
    <w:p>
      <w:pPr>
        <w:spacing w:after="0" w:line="5" w:lineRule="exact"/>
        <w:rPr>
          <w:sz w:val="20"/>
          <w:szCs w:val="20"/>
          <w:color w:val="auto"/>
        </w:rPr>
      </w:pPr>
    </w:p>
    <w:p>
      <w:pPr>
        <w:ind w:left="4" w:hanging="4"/>
        <w:spacing w:after="0" w:line="277" w:lineRule="auto"/>
        <w:tabs>
          <w:tab w:leader="none" w:pos="2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Liens in favor of the Administrative Agent for its benefit and the benefit of the Lenders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spacing w:after="0" w:line="169"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6" w:lineRule="exact"/>
        <w:rPr>
          <w:sz w:val="20"/>
          <w:szCs w:val="20"/>
          <w:color w:val="auto"/>
        </w:rPr>
      </w:pPr>
    </w:p>
    <w:p>
      <w:pPr>
        <w:ind w:left="4"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PNC Bank</w:t>
      </w:r>
      <w:r>
        <w:rPr>
          <w:rFonts w:ascii="Arial" w:cs="Arial" w:eastAsia="Arial" w:hAnsi="Arial"/>
          <w:sz w:val="18"/>
          <w:szCs w:val="18"/>
          <w:color w:val="auto"/>
        </w:rPr>
        <w:t>” means PNC Bank, National Association, and its successors and permitted assigns.</w:t>
      </w:r>
    </w:p>
    <w:p>
      <w:pPr>
        <w:spacing w:after="0" w:line="225" w:lineRule="exact"/>
        <w:rPr>
          <w:sz w:val="20"/>
          <w:szCs w:val="20"/>
          <w:color w:val="auto"/>
        </w:rPr>
      </w:pPr>
    </w:p>
    <w:p>
      <w:pPr>
        <w:ind w:left="4"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the rate otherwise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 additional four percent (4.0%) per annum and with respect to any other Obligation,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76" w:lineRule="exact"/>
        <w:rPr>
          <w:sz w:val="20"/>
          <w:szCs w:val="20"/>
          <w:color w:val="auto"/>
        </w:rPr>
      </w:pPr>
    </w:p>
    <w:p>
      <w:pPr>
        <w:ind w:left="4"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issued by the Borrower, a Subsidiary or an Unconsolidated Affiliate.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32" w:name="page33"/>
    <w:bookmarkEnd w:id="32"/>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Preferred Equity</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62"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main banking office of the Administrative Agent located in Pittsburgh, Pennsylvania, or such other office designated by the Administrative Agent.</w:t>
      </w:r>
    </w:p>
    <w:p>
      <w:pPr>
        <w:spacing w:after="0" w:line="162" w:lineRule="exact"/>
        <w:rPr>
          <w:sz w:val="20"/>
          <w:szCs w:val="20"/>
          <w:color w:val="auto"/>
        </w:rPr>
      </w:pPr>
    </w:p>
    <w:p>
      <w:pPr>
        <w:ind w:right="7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Management Agreement</w:t>
      </w:r>
      <w:r>
        <w:rPr>
          <w:rFonts w:ascii="Arial" w:cs="Arial" w:eastAsia="Arial" w:hAnsi="Arial"/>
          <w:sz w:val="18"/>
          <w:szCs w:val="18"/>
          <w:color w:val="auto"/>
        </w:rPr>
        <w:t>” means an agreement pursuant to which the Borrower or a Subsidiary engages a Person to advise it with respect to the management of an Unencumbered Property or to provide management services with respect to the same.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 Credit Support</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Plan</w:t>
      </w:r>
      <w:r>
        <w:rPr>
          <w:rFonts w:ascii="Arial" w:cs="Arial" w:eastAsia="Arial" w:hAnsi="Arial"/>
          <w:sz w:val="17"/>
          <w:szCs w:val="17"/>
          <w:color w:val="auto"/>
        </w:rPr>
        <w:t>” means a Benefit Arrangement that is intended to be tax-qualified under Section 401(a) of the Internal Revenue Code.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and (b) any Lender, as applicable.</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Recourse Indebtedness</w:t>
      </w:r>
      <w:r>
        <w:rPr>
          <w:rFonts w:ascii="Arial" w:cs="Arial" w:eastAsia="Arial" w:hAnsi="Arial"/>
          <w:sz w:val="18"/>
          <w:szCs w:val="18"/>
          <w:color w:val="auto"/>
        </w:rPr>
        <w:t>”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12.6.(c).</w:t>
      </w:r>
    </w:p>
    <w:p>
      <w:pPr>
        <w:spacing w:after="0" w:line="225"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Change</w:t>
      </w:r>
      <w:r>
        <w:rPr>
          <w:rFonts w:ascii="Arial" w:cs="Arial" w:eastAsia="Arial" w:hAnsi="Arial"/>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40" w:top="270" w:right="559" w:bottom="1440" w:gutter="0" w:footer="0" w:header="0"/>
        </w:sectPr>
      </w:pPr>
    </w:p>
    <w:bookmarkStart w:id="33" w:name="page34"/>
    <w:bookmarkEnd w:id="33"/>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62" w:lineRule="exact"/>
        <w:rPr>
          <w:sz w:val="20"/>
          <w:szCs w:val="20"/>
          <w:color w:val="auto"/>
        </w:rPr>
      </w:pPr>
    </w:p>
    <w:p>
      <w:pPr>
        <w:ind w:left="4" w:right="4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0" w:lineRule="exact"/>
        <w:rPr>
          <w:sz w:val="20"/>
          <w:szCs w:val="20"/>
          <w:color w:val="auto"/>
        </w:rPr>
      </w:pPr>
    </w:p>
    <w:p>
      <w:pPr>
        <w:ind w:left="4" w:right="1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Lenders</w:t>
      </w:r>
      <w:r>
        <w:rPr>
          <w:rFonts w:ascii="Arial" w:cs="Arial" w:eastAsia="Arial" w:hAnsi="Arial"/>
          <w:sz w:val="16"/>
          <w:szCs w:val="16"/>
          <w:color w:val="auto"/>
        </w:rPr>
        <w:t>” means, as of any date, (a) Lenders having more than 50.0% of the aggregate amount of the Commitments or (b) if the Commitments have been terminated or reduced to zero, Lenders holding more than 50.0% of the principal amount of the aggregate outstanding Loans; provided that in determining such percentage at any given time, all then existing Defaulting Lenders will be disregarded and excluded.</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jc w:val="both"/>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operating officer of the Borrower or such Subsidiary and, solely in the case of the Borrower, the vice president-chief accounting officer of the Borrower.</w:t>
      </w:r>
    </w:p>
    <w:p>
      <w:pPr>
        <w:spacing w:after="0" w:line="176"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of its Subsidiaries now or hereafter outstanding, except a dividend payable solely in shares of that class of Equity Interests to the holders of that class;</w:t>
      </w:r>
    </w:p>
    <w:p>
      <w:pPr>
        <w:spacing w:after="0" w:line="1" w:lineRule="exact"/>
        <w:rPr>
          <w:sz w:val="20"/>
          <w:szCs w:val="20"/>
          <w:color w:val="auto"/>
        </w:rPr>
      </w:pPr>
    </w:p>
    <w:p>
      <w:pPr>
        <w:jc w:val="both"/>
        <w:ind w:left="4" w:hanging="4"/>
        <w:spacing w:after="0" w:line="253"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spacing w:after="0" w:line="189"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each Property listed on Part I of Schedule 6.1.(f) hereto as a Retail Property and any other Property, a substantial use of which is the retail sale of goods and services, which may include a Property that is part of a Mixed-Use Project.</w:t>
      </w:r>
    </w:p>
    <w:p>
      <w:pPr>
        <w:spacing w:after="0" w:line="162" w:lineRule="exact"/>
        <w:rPr>
          <w:sz w:val="20"/>
          <w:szCs w:val="20"/>
          <w:color w:val="auto"/>
        </w:rPr>
      </w:pPr>
    </w:p>
    <w:p>
      <w:pPr>
        <w:jc w:val="both"/>
        <w:ind w:left="4"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Revolver First Amendment</w:t>
      </w:r>
      <w:r>
        <w:rPr>
          <w:rFonts w:ascii="Arial" w:cs="Arial" w:eastAsia="Arial" w:hAnsi="Arial"/>
          <w:sz w:val="18"/>
          <w:szCs w:val="18"/>
          <w:color w:val="auto"/>
        </w:rPr>
        <w:t>” means that certain First Amendment to Amended and Restated Credit Agreement, dated as May 6, 2020, by and among the Borrower, the financial institutions party thereto as “Lenders”, Wells Fargo Bank, National Association, as administrative agent thereunder, and the other parties thereto.</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business unit of Standard &amp; Poor’s Financial Services LLC, and any successor thereto.</w:t>
      </w:r>
    </w:p>
    <w:p>
      <w:pPr>
        <w:spacing w:after="0" w:line="225"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 country or territory which is itself the subject or target of any Sanctions (including, as of the Effective Date, Cuba, Iran, North Korea, Syria and Crimea).</w:t>
      </w:r>
    </w:p>
    <w:p>
      <w:pPr>
        <w:spacing w:after="0" w:line="162" w:lineRule="exact"/>
        <w:rPr>
          <w:sz w:val="20"/>
          <w:szCs w:val="20"/>
          <w:color w:val="auto"/>
        </w:rPr>
      </w:pPr>
    </w:p>
    <w:p>
      <w:pPr>
        <w:ind w:right="18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Her Majesty’s Treasury, or other relevant Sanctions authority, (b) any Person operating, organized or resident in a Sanctioned Country or (c) any Person owned or controlled by any such Person or Persons described in clauses (a) and (b), including a Person that is deemed by OFAC to be a Sanctions target based on the ownership of such legal entity by Sanctioned Peron(s).</w:t>
      </w:r>
    </w:p>
    <w:p>
      <w:pPr>
        <w:spacing w:after="0" w:line="187"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Her Majesty’s Treasury, or other relevant sanctions authority with jurisdiction over any Lender, the Borrower or any of its Subsidiaries or Affiliates.</w:t>
      </w:r>
    </w:p>
    <w:p>
      <w:pPr>
        <w:spacing w:after="0" w:line="165"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Indebtedness</w:t>
      </w:r>
      <w:r>
        <w:rPr>
          <w:rFonts w:ascii="Arial" w:cs="Arial" w:eastAsia="Arial" w:hAnsi="Arial"/>
          <w:sz w:val="17"/>
          <w:szCs w:val="17"/>
          <w:color w:val="auto"/>
        </w:rPr>
        <w:t xml:space="preserve">” means, with respect to any Person, (a) all Indebtedness of such Person that is secured in any manner by any Lien on any property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such Person’s Ownership Share of the Secured Indebtedness of any of such Person’s Unconsolidated Affiliates.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from time to time, together with all rules and regulations issued thereunder.</w:t>
      </w:r>
    </w:p>
    <w:p>
      <w:pPr>
        <w:spacing w:after="0" w:line="23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w:t>
      </w:r>
      <w:r>
        <w:rPr>
          <w:rFonts w:ascii="Arial" w:cs="Arial" w:eastAsia="Arial" w:hAnsi="Arial"/>
          <w:sz w:val="18"/>
          <w:szCs w:val="18"/>
          <w:color w:val="auto"/>
        </w:rPr>
        <w:t>” means the Securities Exchange Act of 1934, as amended from time to time, together with all rules and regulations issued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$200,000,000 of Total Asset Value is attributable on an individual basis.</w:t>
      </w:r>
    </w:p>
    <w:p>
      <w:pPr>
        <w:spacing w:after="0" w:line="24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35" w:name="page36"/>
    <w:bookmarkEnd w:id="35"/>
    <w:p>
      <w:pPr>
        <w:jc w:val="both"/>
        <w:ind w:right="3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Specified Derivatives Contract</w:t>
      </w:r>
      <w:r>
        <w:rPr>
          <w:rFonts w:ascii="Arial" w:cs="Arial" w:eastAsia="Arial" w:hAnsi="Arial"/>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spacing w:after="0" w:line="176"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Obligations</w:t>
      </w:r>
      <w:r>
        <w:rPr>
          <w:rFonts w:ascii="Arial" w:cs="Arial" w:eastAsia="Arial" w:hAnsi="Arial"/>
          <w:sz w:val="18"/>
          <w:szCs w:val="18"/>
          <w:color w:val="auto"/>
        </w:rPr>
        <w:t>”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spacing w:after="0" w:line="176"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Provider</w:t>
      </w:r>
      <w:r>
        <w:rPr>
          <w:rFonts w:ascii="Arial" w:cs="Arial" w:eastAsia="Arial" w:hAnsi="Arial"/>
          <w:sz w:val="18"/>
          <w:szCs w:val="18"/>
          <w:color w:val="auto"/>
        </w:rPr>
        <w:t>” means any Lender, or any Affiliate of a Lender that is a party to a Derivatives Contract at the time the Derivatives Contract is entered into.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property that is not a Development Property.</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Supported QFC</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1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“Term SOFR” </w:t>
      </w:r>
      <w:r>
        <w:rPr>
          <w:rFonts w:ascii="Arial" w:cs="Arial" w:eastAsia="Arial" w:hAnsi="Arial"/>
          <w:sz w:val="16"/>
          <w:szCs w:val="16"/>
          <w:color w:val="auto"/>
        </w:rPr>
        <w:t>means the forward-looking term rate based on SOFR that has been selected or recommended by the Relevant Governmental Body.</w:t>
      </w:r>
    </w:p>
    <w:p>
      <w:pPr>
        <w:spacing w:after="0" w:line="24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 Value</w:t>
      </w:r>
      <w:r>
        <w:rPr>
          <w:rFonts w:ascii="Arial" w:cs="Arial" w:eastAsia="Arial" w:hAnsi="Arial"/>
          <w:sz w:val="16"/>
          <w:szCs w:val="16"/>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6" w:name="page37"/>
    <w:bookmarkEnd w:id="36"/>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 (C) the amount of Total Asset Value attributable to Construction-in-Process would exceed 20.0%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Asset Value and (G) the amount of Total Asset Value attributable to assets of the types referred to in the immediately preceding clauses (B) through (F) would exceed 25.0% of Total Asset Value in the aggregate, such excess shall be excluded from Total Asset Value.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w:t>
      </w:r>
    </w:p>
    <w:p>
      <w:pPr>
        <w:spacing w:after="0" w:line="2" w:lineRule="exact"/>
        <w:rPr>
          <w:sz w:val="20"/>
          <w:szCs w:val="20"/>
          <w:color w:val="auto"/>
        </w:rPr>
      </w:pPr>
    </w:p>
    <w:p>
      <w:pPr>
        <w:ind w:left="4" w:right="20" w:hanging="4"/>
        <w:spacing w:after="0" w:line="253" w:lineRule="auto"/>
        <w:tabs>
          <w:tab w:leader="none" w:pos="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w:t>
      </w:r>
    </w:p>
    <w:p>
      <w:pPr>
        <w:spacing w:after="0" w:line="18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Indebtedness</w:t>
      </w:r>
      <w:r>
        <w:rPr>
          <w:rFonts w:ascii="Arial" w:cs="Arial" w:eastAsia="Arial" w:hAnsi="Arial"/>
          <w:sz w:val="17"/>
          <w:szCs w:val="17"/>
          <w:color w:val="auto"/>
        </w:rPr>
        <w:t xml:space="preserve">” means (a) all Indebtedness of the Borrower and its Subsidiaries determined on a consolidated basis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Loan, refers to whether such Loan or portion thereof is a LIBOR Loan or a Base Rate Loan.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left="4"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16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7" w:name="page38"/>
    <w:bookmarkEnd w:id="37"/>
    <w:p>
      <w:pPr>
        <w:ind w:right="8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Unconsolidated Affiliate</w:t>
      </w:r>
      <w:r>
        <w:rPr>
          <w:rFonts w:ascii="Arial" w:cs="Arial" w:eastAsia="Arial" w:hAnsi="Arial"/>
          <w:sz w:val="18"/>
          <w:szCs w:val="18"/>
          <w:color w:val="auto"/>
        </w:rPr>
        <w:t>”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80"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Unencumbered Adjusted NOI</w:t>
      </w:r>
      <w:r>
        <w:rPr>
          <w:rFonts w:ascii="Arial" w:cs="Arial" w:eastAsia="Arial" w:hAnsi="Arial"/>
          <w:sz w:val="17"/>
          <w:szCs w:val="17"/>
          <w:color w:val="auto"/>
        </w:rPr>
        <w:t>”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w:t>
      </w:r>
    </w:p>
    <w:p>
      <w:pPr>
        <w:spacing w:after="0" w:line="15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means (a) Unencumbered Adjusted NOI for the most recently ended four consecutive fiscal quarter period divided by the Capitalization Rate, plus (b) the GAAP book value of all assets (other than assets otherwise included in clauses (c) and (d)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 For purposes of this definition, (A) to the extent that more than 25.0% of Unencumbered Asset Value would be attributable to Controlled Properties, Non-Controlled Properties and Development Properties such excess shall be excluded, and (B) to the extent that more than 2.5% of Unencumbered Asset Value would be attributable to Hotel Properties,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w:t>
      </w:r>
    </w:p>
    <w:p>
      <w:pPr>
        <w:spacing w:after="0" w:line="164"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means land on which no development (other than paving or other improvements that are not material and are temporary in nature) has occurred and for which no development is planned in the following 12 months.</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Total Indebtedness which is not Secured Indebtedness. Indebtedness that is secured solely by Equity Interests and is recourse to the Borrower or its Subsidiaries shall be considered to be Unsecured Indebtedness.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assigned to such term in Section 3.10.(g)(ii)(B)(III).</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38" w:name="page39"/>
    <w:bookmarkEnd w:id="38"/>
    <w:p>
      <w:pPr>
        <w:ind w:right="5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Wholly Owned Subsidiary.</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any liability as a result of a complete or partial withdrawal from a Multiemployer Plan as such terms are defined in Part I of Subtitle E of Title IV of ERISA.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 the Borrower, (b) any other Loan Party and (c) the Administrative Agent, as applicable.</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Eastern Time.</w:t>
      </w:r>
    </w:p>
    <w:p>
      <w:pPr>
        <w:spacing w:after="0" w:line="12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or Financial Accounting Standard having a similar result or effect) (and related interpretations) to the extent any lease where the Borrower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39" w:name="page40"/>
    <w:bookmarkEnd w:id="3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121"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Rates.</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Administrative Agent does not warrant or accept responsibility for, and shall not have any liability with respect to, the administration, submission or any other matter related to the rates in the definition of “LIBOR”.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Divisions.</w:t>
      </w:r>
    </w:p>
    <w:p>
      <w:pPr>
        <w:spacing w:after="0" w:line="121"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Loans.</w:t>
      </w:r>
    </w:p>
    <w:p>
      <w:pPr>
        <w:spacing w:after="0" w:line="121" w:lineRule="exact"/>
        <w:rPr>
          <w:sz w:val="20"/>
          <w:szCs w:val="20"/>
          <w:color w:val="auto"/>
        </w:rPr>
      </w:pPr>
    </w:p>
    <w:p>
      <w:pPr>
        <w:ind w:firstLine="436"/>
        <w:spacing w:after="0" w:line="296"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Making of Loans</w:t>
      </w:r>
      <w:r>
        <w:rPr>
          <w:rFonts w:ascii="Arial" w:cs="Arial" w:eastAsia="Arial" w:hAnsi="Arial"/>
          <w:sz w:val="16"/>
          <w:szCs w:val="16"/>
          <w:color w:val="auto"/>
        </w:rPr>
        <w:t>. Subject to the terms and conditions set forth in this Agreement, on the Effective Date each Lender severally and not jointly agrees to make a Loan in Dollars to the Borrower in a principal amount equal to such Lender’s Commitment as provided in Schedule I. Each Continuation under Section 2.9. of, and each Conversion under Section 2.10. of Base Rate Loans into, LIBOR Loans shall be in an aggregate minimum of $1,000,000 and integral multiples of $1,000,000 in excess of that amount. Upon the funding of a Lender’s Loan in an amount equal to such Lender’s Commitment, such Lender’s Commitment shall terminate. Any Loan made under this Section and repaid or prepaid may not be reborrowed.</w:t>
      </w:r>
    </w:p>
    <w:p>
      <w:pPr>
        <w:spacing w:after="0" w:line="161" w:lineRule="exact"/>
        <w:rPr>
          <w:rFonts w:ascii="Arial" w:cs="Arial" w:eastAsia="Arial" w:hAnsi="Arial"/>
          <w:sz w:val="16"/>
          <w:szCs w:val="16"/>
          <w:color w:val="auto"/>
        </w:rPr>
      </w:pPr>
    </w:p>
    <w:p>
      <w:pPr>
        <w:ind w:right="20" w:firstLine="436"/>
        <w:spacing w:after="0" w:line="273" w:lineRule="auto"/>
        <w:tabs>
          <w:tab w:leader="none" w:pos="83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Requests for Loans</w:t>
      </w:r>
      <w:r>
        <w:rPr>
          <w:rFonts w:ascii="Arial" w:cs="Arial" w:eastAsia="Arial" w:hAnsi="Arial"/>
          <w:sz w:val="17"/>
          <w:szCs w:val="17"/>
          <w:color w:val="auto"/>
        </w:rPr>
        <w:t>. Not later than 2:00 p.m. Eastern time at least one (1) Business Day prior to the anticipated Effective Date with respect to the borrowing of Loans that are to be Base Rate Loans and not later than 2:00 p.m. Eastern time at least three (3) Business Days prior to the anticipated Effective Date with respect to a borrowing of Loans that are to be LIBOR Loans, the Borrower shall deliver to the Administrative Agent a Notice of Borrowing. Such Notice of Borrowing shall specify the aggregate principal amount of the Loans to be borrowed, the date such Loans are to be borrowed (which must be a Business Day), the Type of the requested Loans, and if such Loans are to be LIBOR Loans, the initial Interest Period for such Loans. The Notice of Borrowing shall be irrevocable once given and binding on the Borrower.</w:t>
      </w:r>
    </w:p>
    <w:p>
      <w:pPr>
        <w:spacing w:after="0" w:line="177" w:lineRule="exact"/>
        <w:rPr>
          <w:rFonts w:ascii="Arial" w:cs="Arial" w:eastAsia="Arial" w:hAnsi="Arial"/>
          <w:sz w:val="17"/>
          <w:szCs w:val="17"/>
          <w:color w:val="auto"/>
        </w:rPr>
      </w:pPr>
    </w:p>
    <w:p>
      <w:pPr>
        <w:ind w:right="180" w:firstLine="436"/>
        <w:spacing w:after="0" w:line="255"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Funding of Loans</w:t>
      </w:r>
      <w:r>
        <w:rPr>
          <w:rFonts w:ascii="Arial" w:cs="Arial" w:eastAsia="Arial" w:hAnsi="Arial"/>
          <w:sz w:val="18"/>
          <w:szCs w:val="18"/>
          <w:color w:val="auto"/>
        </w:rPr>
        <w:t>. Promptly after receipt of the Notice of Borrowing under the immediately preceding subsection (b), the Administrative Agent shall notify each Lender of the proposed borrowing. Each Lender shall deposit an amount equal to the Loan to be made by such Lender to the Borrower with the Administrative Agent at the Principal Office, in immediately available funds not later than 11:00 a.m. Eastern time on the Effective Date. Subject to fulfillment of the conditions set forth in Section 5.1., the Administrative Agent shall make available to the Borrower in the account specified in the Disbursement Instruction Agreement, not later than 12:00 p.m. noon Eastern time on the Effective Date, the proceeds of such amounts received by the Administrative Agent.</w:t>
      </w:r>
    </w:p>
    <w:p>
      <w:pPr>
        <w:spacing w:after="0" w:line="192" w:lineRule="exact"/>
        <w:rPr>
          <w:rFonts w:ascii="Arial" w:cs="Arial" w:eastAsia="Arial" w:hAnsi="Arial"/>
          <w:sz w:val="18"/>
          <w:szCs w:val="18"/>
          <w:color w:val="auto"/>
        </w:rPr>
      </w:pPr>
    </w:p>
    <w:p>
      <w:pPr>
        <w:ind w:firstLine="436"/>
        <w:spacing w:after="0" w:line="268" w:lineRule="auto"/>
        <w:tabs>
          <w:tab w:leader="none" w:pos="83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Assumptions Regarding Funding by Lenders</w:t>
      </w:r>
      <w:r>
        <w:rPr>
          <w:rFonts w:ascii="Arial" w:cs="Arial" w:eastAsia="Arial" w:hAnsi="Arial"/>
          <w:sz w:val="17"/>
          <w:szCs w:val="17"/>
          <w:color w:val="auto"/>
        </w:rPr>
        <w:t>. Unless the Administrative Agent shall have been notified by any Lender that such Lender will not make available to the Administrative Agent the Loan to be made by such Lender in connection with the borrowing, the Administrative Agent may assume that such Lender will make the proceeds of such Loan available to the Administrative Agent in accordance with this Section, and the Administrative Agent may (but shall not be obligated to), in reliance upon such assumption, make available to the Borrower the amount of such Loan to be provided by such Lender. If the Administrative Agent makes the amount of such Loan available to the Borrower prior to its receipt of any proceeds of Loans by any Lender, then if such Lender has not funded its Loan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Loan, then such Lender and the Borrower severally agree to pay to the Administrative Agent on demand the amount of such Loan with interest thereon, for each day from and including the date such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the Loan on the date and at the time specified in</w:t>
      </w:r>
    </w:p>
    <w:p>
      <w:pPr>
        <w:spacing w:after="0" w:line="116" w:lineRule="exact"/>
        <w:rPr>
          <w:rFonts w:ascii="Arial" w:cs="Arial" w:eastAsia="Arial" w:hAnsi="Arial"/>
          <w:sz w:val="17"/>
          <w:szCs w:val="17"/>
          <w:color w:val="auto"/>
        </w:rPr>
      </w:pPr>
    </w:p>
    <w:p>
      <w:pPr>
        <w:ind w:left="5420" w:hanging="111"/>
        <w:spacing w:after="0"/>
        <w:tabs>
          <w:tab w:leader="none" w:pos="5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Loan, the amount so paid shall constitute such Lender’s Loan included in the borrowing. Any payment by the Borrower shall be without prejudice to any claim the Borrower may have against a Lender that shall have failed to make available the proceeds of the Loan to be made by such Lender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[Intentionally Omitted].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Rates and Payment of Interest on Loans.</w:t>
      </w:r>
    </w:p>
    <w:p>
      <w:pPr>
        <w:spacing w:after="0" w:line="121" w:lineRule="exact"/>
        <w:rPr>
          <w:sz w:val="20"/>
          <w:szCs w:val="20"/>
          <w:color w:val="auto"/>
        </w:rPr>
      </w:pPr>
    </w:p>
    <w:p>
      <w:pPr>
        <w:jc w:val="both"/>
        <w:ind w:right="100" w:firstLine="436"/>
        <w:spacing w:after="0" w:line="263"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75" w:lineRule="exact"/>
        <w:rPr>
          <w:rFonts w:ascii="Arial" w:cs="Arial" w:eastAsia="Arial" w:hAnsi="Arial"/>
          <w:sz w:val="18"/>
          <w:szCs w:val="18"/>
          <w:color w:val="auto"/>
        </w:rPr>
      </w:pPr>
    </w:p>
    <w:p>
      <w:pPr>
        <w:ind w:left="440" w:right="60" w:firstLine="419"/>
        <w:spacing w:after="0" w:line="277" w:lineRule="auto"/>
        <w:tabs>
          <w:tab w:leader="none" w:pos="121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during such periods as such Loan is a Base Rate Loan, at the Base Rate (as in effect from time to time), plus the Applicable Margin for Base Rate Loans; and</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26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during such periods as such Loan is a LIBOR Loan, at LIBOR for such Loan for the Interest Period therefor, plus the Applicable Margin for LIBOR Loans.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87" w:lineRule="exact"/>
        <w:rPr>
          <w:sz w:val="20"/>
          <w:szCs w:val="20"/>
          <w:color w:val="auto"/>
        </w:rPr>
      </w:pPr>
    </w:p>
    <w:p>
      <w:pPr>
        <w:ind w:firstLine="436"/>
        <w:spacing w:after="0" w:line="254" w:lineRule="auto"/>
        <w:tabs>
          <w:tab w:leader="none" w:pos="83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127" w:lineRule="exact"/>
        <w:rPr>
          <w:rFonts w:ascii="Arial" w:cs="Arial" w:eastAsia="Arial" w:hAnsi="Arial"/>
          <w:sz w:val="18"/>
          <w:szCs w:val="18"/>
          <w:color w:val="auto"/>
        </w:rPr>
      </w:pPr>
    </w:p>
    <w:p>
      <w:pPr>
        <w:ind w:left="5420" w:hanging="111"/>
        <w:spacing w:after="0"/>
        <w:tabs>
          <w:tab w:leader="none" w:pos="5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80"/>
          </w:cols>
          <w:pgMar w:left="440" w:top="274" w:right="479" w:bottom="1440" w:gutter="0" w:footer="0" w:header="0"/>
        </w:sectPr>
      </w:pPr>
    </w:p>
    <w:bookmarkStart w:id="42" w:name="page43"/>
    <w:bookmarkEnd w:id="42"/>
    <w:p>
      <w:pPr>
        <w:ind w:left="820" w:hanging="38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Borrower Information Used to Determine Applicable 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93" w:lineRule="auto"/>
        <w:tabs>
          <w:tab w:leader="none" w:pos="1209"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Arial" w:cs="Arial" w:eastAsia="Arial" w:hAnsi="Arial"/>
          <w:sz w:val="16"/>
          <w:szCs w:val="16"/>
          <w:b w:val="1"/>
          <w:bCs w:val="1"/>
          <w:color w:val="auto"/>
        </w:rPr>
        <w:t>Borrower Information</w:t>
      </w:r>
      <w:r>
        <w:rPr>
          <w:rFonts w:ascii="Arial" w:cs="Arial" w:eastAsia="Arial" w:hAnsi="Arial"/>
          <w:sz w:val="16"/>
          <w:szCs w:val="16"/>
          <w:color w:val="auto"/>
        </w:rPr>
        <w:t>”).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w:t>
      </w:r>
    </w:p>
    <w:p>
      <w:pPr>
        <w:spacing w:after="0" w:line="56" w:lineRule="exact"/>
        <w:rPr>
          <w:rFonts w:ascii="Arial" w:cs="Arial" w:eastAsia="Arial" w:hAnsi="Arial"/>
          <w:sz w:val="16"/>
          <w:szCs w:val="16"/>
          <w:color w:val="auto"/>
        </w:rPr>
      </w:pPr>
    </w:p>
    <w:p>
      <w:pPr>
        <w:ind w:left="440" w:right="40" w:firstLine="419"/>
        <w:spacing w:after="0" w:line="271" w:lineRule="auto"/>
        <w:tabs>
          <w:tab w:leader="none" w:pos="1263"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the event the Borrower’s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 the event the Borrower’s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w:t>
      </w:r>
    </w:p>
    <w:p>
      <w:pPr>
        <w:spacing w:after="0" w:line="70" w:lineRule="exact"/>
        <w:rPr>
          <w:rFonts w:ascii="Arial" w:cs="Arial" w:eastAsia="Arial" w:hAnsi="Arial"/>
          <w:sz w:val="17"/>
          <w:szCs w:val="17"/>
          <w:color w:val="auto"/>
        </w:rPr>
      </w:pPr>
    </w:p>
    <w:p>
      <w:pPr>
        <w:ind w:left="440" w:right="20" w:firstLine="419"/>
        <w:spacing w:after="0" w:line="275" w:lineRule="auto"/>
        <w:tabs>
          <w:tab w:leader="none" w:pos="1309"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or any Lender’s other rights under this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Number of Interest Periods.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may be no more than three (3) different Interest Periods for Loans outstanding at the same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Repayment of Loans.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Borrower shall repay the entire outstanding principal amount of, and all accrued but unpaid interest on, the Loans on the Maturity Date.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Prepayments.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Subject to Section 4.4., the Borrower may prepay any Loan in whole or part at any time without premium or penalty. The Borrower shall give the Administrative Agent at least one (1) Business Day’s prior written notice of the prepayment of any Loan. Each voluntary prepayment of Loans shall be in an aggregate minimum amount of $1,000,000 and integral multiples of $100,000 in excess thereof (or, if less, the aggregate principal amount of Loans outstanding).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2.9. Continuation.</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So long as no Event of Default exists, the Borrower may on any Business Day, with respect to any LIBOR Loan, elect to maintain such LIBOR Loan or any portion thereof as a LIBOR Loan by selecting a new Interest Period for such LIBOR Loan. Each Continuation of a LIBOR Loan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giving to the Administrative Agent a Notice of Continuation not later than 12:00 p.m. noon Eastern time on the third Business Day prior to the date of any such Continuation. Such notice by the Borrower of a Continuation shall be by telephone (confirmed promptly in writing on the same Business Day), electronic mail or other similar form of communication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LIBOR Loan in accordance with this Section, such Loan will automatically, on the last day of the current Interest Period therefor, continue as a LIBOR Loan with an Interest Period of one month; provided, however that if a Event of Default exists, such Loan will automatically, on the last day of the current Interest Period therefor, Convert into a Base Rate Loan notwithstanding the first sentence of Section 2.10. or the Borrower’s failure to comply with any of the terms of such Section.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2.10. Conversion.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LIBOR Loan if an Event of Default exists. Each Conversion of Base Rate Loans into LIBOR Loans shall be in an aggregate minimum amount of $1,000,000 and integral multiples of $1,000,000 in excess of that amount. Each such Notice of Conversion shall be given not later than 12:00 p.m. noon Eastern time 3 Business Days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2.11. Notes.</w:t>
      </w:r>
    </w:p>
    <w:p>
      <w:pPr>
        <w:spacing w:after="0" w:line="121" w:lineRule="exact"/>
        <w:rPr>
          <w:sz w:val="20"/>
          <w:szCs w:val="20"/>
          <w:color w:val="auto"/>
        </w:rPr>
      </w:pPr>
    </w:p>
    <w:p>
      <w:pPr>
        <w:jc w:val="both"/>
        <w:ind w:right="20" w:firstLine="436"/>
        <w:spacing w:after="0" w:line="301"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Except in the case of a Lender that has notified the Administrative Agent in writing that it elects not to receive a Note, the Loan made by each Lender shall, in addition to this Agreement, also be evidenced by a promissory note substantially in the form of Exhibit F (a “</w:t>
      </w:r>
      <w:r>
        <w:rPr>
          <w:rFonts w:ascii="Arial" w:cs="Arial" w:eastAsia="Arial" w:hAnsi="Arial"/>
          <w:sz w:val="16"/>
          <w:szCs w:val="16"/>
          <w:b w:val="1"/>
          <w:bCs w:val="1"/>
          <w:color w:val="auto"/>
        </w:rPr>
        <w:t>Note</w:t>
      </w:r>
      <w:r>
        <w:rPr>
          <w:rFonts w:ascii="Arial" w:cs="Arial" w:eastAsia="Arial" w:hAnsi="Arial"/>
          <w:sz w:val="16"/>
          <w:szCs w:val="16"/>
          <w:color w:val="auto"/>
        </w:rPr>
        <w:t>”), payable to the order of such Lender in a principal amount equal to the amount of its Commitment as originally in effect and otherwise duly completed (or, if such Lender was not a Lender on the Effective Date, in a principal amount equal to the initial principal amount of the Loan of such Lender).</w:t>
      </w:r>
    </w:p>
    <w:p>
      <w:pPr>
        <w:spacing w:after="0" w:line="89" w:lineRule="exact"/>
        <w:rPr>
          <w:rFonts w:ascii="Arial" w:cs="Arial" w:eastAsia="Arial" w:hAnsi="Arial"/>
          <w:sz w:val="16"/>
          <w:szCs w:val="16"/>
          <w:color w:val="auto"/>
        </w:rPr>
      </w:pPr>
    </w:p>
    <w:p>
      <w:pPr>
        <w:ind w:left="5420" w:hanging="111"/>
        <w:spacing w:after="0"/>
        <w:tabs>
          <w:tab w:leader="none" w:pos="5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0"/>
          </w:cols>
          <w:pgMar w:left="440" w:top="270" w:right="459" w:bottom="1440" w:gutter="0" w:footer="0" w:header="0"/>
        </w:sectPr>
      </w:pPr>
    </w:p>
    <w:bookmarkStart w:id="44" w:name="page45"/>
    <w:bookmarkEnd w:id="44"/>
    <w:p>
      <w:pPr>
        <w:ind w:right="60" w:firstLine="436"/>
        <w:spacing w:after="0" w:line="255" w:lineRule="auto"/>
        <w:tabs>
          <w:tab w:leader="none" w:pos="83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Records</w:t>
      </w:r>
      <w:r>
        <w:rPr>
          <w:rFonts w:ascii="Arial" w:cs="Arial" w:eastAsia="Arial" w:hAnsi="Arial"/>
          <w:sz w:val="18"/>
          <w:szCs w:val="18"/>
          <w:color w:val="auto"/>
        </w:rPr>
        <w:t>.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spacing w:after="0" w:line="192" w:lineRule="exact"/>
        <w:rPr>
          <w:rFonts w:ascii="Arial" w:cs="Arial" w:eastAsia="Arial" w:hAnsi="Arial"/>
          <w:sz w:val="18"/>
          <w:szCs w:val="18"/>
          <w:color w:val="auto"/>
        </w:rPr>
      </w:pPr>
    </w:p>
    <w:p>
      <w:pPr>
        <w:ind w:right="20" w:firstLine="436"/>
        <w:spacing w:after="0" w:line="301" w:lineRule="auto"/>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2.12. [Intentionally Omitted].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Extension of Maturity Date.</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Borrower shall have the right, exercisable one time, to extend the Maturity Date by twelve months. The Borrower may exercise such right only by executing and delivering to the Administrative Agent at least 30 days but not more than 90 days prior to the Maturity Date, a written request for such extension (an “</w:t>
      </w:r>
      <w:r>
        <w:rPr>
          <w:rFonts w:ascii="Arial" w:cs="Arial" w:eastAsia="Arial" w:hAnsi="Arial"/>
          <w:sz w:val="16"/>
          <w:szCs w:val="16"/>
          <w:b w:val="1"/>
          <w:bCs w:val="1"/>
          <w:color w:val="auto"/>
        </w:rPr>
        <w:t>Extension Request</w:t>
      </w:r>
      <w:r>
        <w:rPr>
          <w:rFonts w:ascii="Arial" w:cs="Arial" w:eastAsia="Arial" w:hAnsi="Arial"/>
          <w:sz w:val="16"/>
          <w:szCs w:val="16"/>
          <w:color w:val="auto"/>
        </w:rPr>
        <w:t>”). The Administrative Agent shall notify the Lenders if it receives an Extension Request promptly upon receipt thereof. Subject to satisfaction of the following conditions, the Maturity Date shall be extended for twelve months effective upon receipt by the Administrative Agent of the Extension Request and 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3.5(b).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440" w:top="274"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2.14.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2.16. [Intentionally Omitted].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2.17. Funds Transfer Disbursements.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Borrower hereby authorizes the Administrative Agent to disburse the proceeds of the Loans made by the Lenders or any of their Affiliates pursuant to the Loan Documents to any of the accounts designated in the Disbursement Instruction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121" w:lineRule="exact"/>
        <w:rPr>
          <w:sz w:val="20"/>
          <w:szCs w:val="20"/>
          <w:color w:val="auto"/>
        </w:rPr>
      </w:pPr>
    </w:p>
    <w:p>
      <w:pPr>
        <w:ind w:firstLine="436"/>
        <w:spacing w:after="0" w:line="286"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Payments by Borrower</w:t>
      </w:r>
      <w:r>
        <w:rPr>
          <w:rFonts w:ascii="Arial" w:cs="Arial" w:eastAsia="Arial" w:hAnsi="Arial"/>
          <w:sz w:val="16"/>
          <w:szCs w:val="16"/>
          <w:color w:val="auto"/>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2:00 p.m. Eastern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73" w:lineRule="exact"/>
        <w:rPr>
          <w:rFonts w:ascii="Arial" w:cs="Arial" w:eastAsia="Arial" w:hAnsi="Arial"/>
          <w:sz w:val="16"/>
          <w:szCs w:val="16"/>
          <w:color w:val="auto"/>
        </w:rPr>
      </w:pPr>
    </w:p>
    <w:p>
      <w:pPr>
        <w:ind w:right="100" w:firstLine="436"/>
        <w:spacing w:after="0" w:line="254" w:lineRule="auto"/>
        <w:tabs>
          <w:tab w:leader="none" w:pos="83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Presumptions Regarding Payments by Borrower</w:t>
      </w:r>
      <w:r>
        <w:rPr>
          <w:rFonts w:ascii="Arial" w:cs="Arial" w:eastAsia="Arial" w:hAnsi="Arial"/>
          <w:sz w:val="18"/>
          <w:szCs w:val="18"/>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Rate.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Except to the extent otherwise provided herein: (a) the making of the Loans by the Lenders under Section 2.1.(a) shall be made from the Lenders, each payment of the fees under Sections 3.5.(a) and 3.5.(b) shall be made for the account of the Lenders, pro rata according to the amount of their respective Loans;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46" w:name="page47"/>
    <w:bookmarkEnd w:id="46"/>
    <w:p>
      <w:pPr>
        <w:ind w:left="4" w:right="20" w:hanging="4"/>
        <w:spacing w:after="0" w:line="296"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payment or prepayment of principal of the Loans shall be made for the account of the Lenders pro rata in accordance with the respective unpaid principal amounts of the Loans held by them; (c) each payment of interest on the Loans shall be made for the account of the Lenders pro rata in accordance with the amounts of interest on such Loans then due and payable to the respective Lenders; and (d) the Conversion and Continuation of Loans of a particular Type (other than Conversions provided for by Sections 4.1.(c) and 4.5.) shall be made pro rata among the Lenders according to the amounts of their respective Loans and the then current Interest Period for each Lender’s portion of each such Loan of such Type shall be coterminous.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3.3. Sharing of Payments, Etc.</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3.4. Several Obligations.</w:t>
      </w:r>
    </w:p>
    <w:p>
      <w:pPr>
        <w:spacing w:after="0" w:line="121" w:lineRule="exact"/>
        <w:rPr>
          <w:sz w:val="20"/>
          <w:szCs w:val="20"/>
          <w:color w:val="auto"/>
        </w:rPr>
      </w:pPr>
    </w:p>
    <w:p>
      <w:pPr>
        <w:jc w:val="both"/>
        <w:ind w:left="4" w:right="80" w:firstLine="440"/>
        <w:spacing w:after="0" w:line="311"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3.5. Fees.</w:t>
      </w:r>
    </w:p>
    <w:p>
      <w:pPr>
        <w:spacing w:after="0" w:line="121" w:lineRule="exact"/>
        <w:rPr>
          <w:sz w:val="20"/>
          <w:szCs w:val="20"/>
          <w:color w:val="auto"/>
        </w:rPr>
      </w:pPr>
    </w:p>
    <w:p>
      <w:pPr>
        <w:ind w:left="4" w:right="440" w:firstLine="436"/>
        <w:spacing w:after="0" w:line="277" w:lineRule="auto"/>
        <w:tabs>
          <w:tab w:leader="none" w:pos="8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Closing Fee</w:t>
      </w:r>
      <w:r>
        <w:rPr>
          <w:rFonts w:ascii="Arial" w:cs="Arial" w:eastAsia="Arial" w:hAnsi="Arial"/>
          <w:sz w:val="18"/>
          <w:szCs w:val="18"/>
          <w:color w:val="auto"/>
        </w:rPr>
        <w:t>. On the Effective Date, the Borrower agrees to pay to the Administrative Agent and each Lender all loan fees as have been agreed to in writing by the Borrower and the Administrative Agent.</w:t>
      </w:r>
    </w:p>
    <w:p>
      <w:pPr>
        <w:spacing w:after="0" w:line="170" w:lineRule="exact"/>
        <w:rPr>
          <w:rFonts w:ascii="Arial" w:cs="Arial" w:eastAsia="Arial" w:hAnsi="Arial"/>
          <w:sz w:val="18"/>
          <w:szCs w:val="18"/>
          <w:color w:val="auto"/>
        </w:rPr>
      </w:pPr>
    </w:p>
    <w:p>
      <w:pPr>
        <w:ind w:left="4" w:right="100" w:firstLine="436"/>
        <w:spacing w:after="0" w:line="286" w:lineRule="auto"/>
        <w:tabs>
          <w:tab w:leader="none" w:pos="83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Maturity Extension Fee</w:t>
      </w:r>
      <w:r>
        <w:rPr>
          <w:rFonts w:ascii="Arial" w:cs="Arial" w:eastAsia="Arial" w:hAnsi="Arial"/>
          <w:sz w:val="17"/>
          <w:szCs w:val="17"/>
          <w:color w:val="auto"/>
        </w:rPr>
        <w:t>. If the Borrower exercises its right to extend the Maturity Date in accordance with Section 2.13., the Borrower shall pay to the Administrative Agent for the account of each Lender a fee equal to 0.15% of the outstanding principal amount of such Lender’s Loan. Such fee shall be due and payable in full on the date the Administrative Agent receives the Extension Request pursuant to Section 2.13.</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004"/>
          </w:cols>
          <w:pgMar w:left="436" w:top="274" w:right="459" w:bottom="1440" w:gutter="0" w:footer="0" w:header="0"/>
        </w:sectPr>
      </w:pPr>
    </w:p>
    <w:bookmarkStart w:id="47" w:name="page48"/>
    <w:bookmarkEnd w:id="47"/>
    <w:p>
      <w:pPr>
        <w:ind w:right="80" w:firstLine="436"/>
        <w:spacing w:after="0" w:line="308"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and Other Fees</w:t>
      </w:r>
      <w:r>
        <w:rPr>
          <w:rFonts w:ascii="Arial" w:cs="Arial" w:eastAsia="Arial" w:hAnsi="Arial"/>
          <w:sz w:val="17"/>
          <w:szCs w:val="17"/>
          <w:color w:val="auto"/>
        </w:rPr>
        <w:t>. The Borrower agrees to pay the administrative and other fees of the Administrative Agent as provided in the Fee Letter and as may be otherwise agreed to in writing from time to time by the Borrower, the Arrangers and the Administrative Agent.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Computations.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Usury.</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and (ii). Notwithstanding the foregoing, the parties hereto further agree and stipulate that all agency fees, syndication fees, arrangement fees, closing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Statements of Account.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Defaulting Lenders.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to the contrary contained in this Agreement, if any Lender becomes a Defaulting Lender, then, until such time as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is no longer a Defaulting Lender, to the extent permitted by Applicable Law:</w:t>
      </w:r>
    </w:p>
    <w:p>
      <w:pPr>
        <w:spacing w:after="0" w:line="211" w:lineRule="exact"/>
        <w:rPr>
          <w:sz w:val="20"/>
          <w:szCs w:val="20"/>
          <w:color w:val="auto"/>
        </w:rPr>
      </w:pPr>
    </w:p>
    <w:p>
      <w:pPr>
        <w:ind w:right="80" w:firstLine="436"/>
        <w:spacing w:after="0" w:line="279"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Such Defaulting Lender’s right to approve or disapprove any amendment, waiver or consent with respect to this Agreement shall be restricted as set forth in the definition of Requisite Lenders.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w:t>
      </w:r>
    </w:p>
    <w:p>
      <w:pPr>
        <w:spacing w:after="0" w:line="103" w:lineRule="exact"/>
        <w:rPr>
          <w:rFonts w:ascii="Arial" w:cs="Arial" w:eastAsia="Arial" w:hAnsi="Arial"/>
          <w:sz w:val="17"/>
          <w:szCs w:val="17"/>
          <w:color w:val="auto"/>
        </w:rPr>
      </w:pPr>
    </w:p>
    <w:p>
      <w:pPr>
        <w:ind w:left="5420" w:hanging="111"/>
        <w:spacing w:after="0"/>
        <w:tabs>
          <w:tab w:leader="none" w:pos="5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4" w:right="459" w:bottom="1440" w:gutter="0" w:footer="0" w:header="0"/>
        </w:sectPr>
      </w:pPr>
    </w:p>
    <w:bookmarkStart w:id="48" w:name="page49"/>
    <w:bookmarkEnd w:id="48"/>
    <w:p>
      <w:pPr>
        <w:ind w:firstLine="436"/>
        <w:spacing w:after="0" w:line="268" w:lineRule="auto"/>
        <w:tabs>
          <w:tab w:leader="none" w:pos="83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payment is a payment of the principal amount of a Loan in respect of which such Defaulting Lender has not fully funded its appropriate share, such payment shall be applied solely to pay the Loans of all Non-Defaulting Lenders on a pro rata basis prior to being applied to the payment of a Loan of such Defaulting Lender until such time as all Loans are held by the Lenders pro rata in accordance with their respective Credit Percentages.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w:t>
      </w:r>
    </w:p>
    <w:p>
      <w:pPr>
        <w:spacing w:after="0" w:line="179" w:lineRule="exact"/>
        <w:rPr>
          <w:rFonts w:ascii="Arial" w:cs="Arial" w:eastAsia="Arial" w:hAnsi="Arial"/>
          <w:sz w:val="17"/>
          <w:szCs w:val="17"/>
          <w:color w:val="auto"/>
        </w:rPr>
      </w:pPr>
    </w:p>
    <w:p>
      <w:pPr>
        <w:ind w:right="100" w:firstLine="436"/>
        <w:spacing w:after="0" w:line="263"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any Fees payable under Section 3.5. for any period during which that Lender is a Defaulting Lender (and the Borrower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ind w:right="40" w:firstLine="436"/>
        <w:spacing w:after="0" w:line="271" w:lineRule="auto"/>
        <w:tabs>
          <w:tab w:leader="none" w:pos="83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their respective Credit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Taxes; Foreign Lenders.</w:t>
      </w:r>
    </w:p>
    <w:p>
      <w:pPr>
        <w:spacing w:after="0" w:line="121" w:lineRule="exact"/>
        <w:rPr>
          <w:sz w:val="20"/>
          <w:szCs w:val="20"/>
          <w:color w:val="auto"/>
        </w:rPr>
      </w:pPr>
    </w:p>
    <w:p>
      <w:pPr>
        <w:ind w:left="820" w:hanging="38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100" w:firstLine="436"/>
        <w:spacing w:after="0" w:line="263" w:lineRule="auto"/>
        <w:tabs>
          <w:tab w:leader="none" w:pos="83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000"/>
          </w:cols>
          <w:pgMar w:left="440" w:top="274" w:right="459" w:bottom="1440" w:gutter="0" w:footer="0" w:header="0"/>
        </w:sectPr>
      </w:pPr>
    </w:p>
    <w:bookmarkStart w:id="49" w:name="page50"/>
    <w:bookmarkEnd w:id="49"/>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1" w:lineRule="exact"/>
        <w:rPr>
          <w:sz w:val="20"/>
          <w:szCs w:val="20"/>
          <w:color w:val="auto"/>
        </w:rPr>
      </w:pPr>
    </w:p>
    <w:p>
      <w:pPr>
        <w:ind w:left="4" w:right="120" w:firstLine="436"/>
        <w:spacing w:after="0" w:line="308" w:lineRule="auto"/>
        <w:tabs>
          <w:tab w:leader="none" w:pos="824"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w:t>
      </w:r>
      <w:r>
        <w:rPr>
          <w:rFonts w:ascii="Arial" w:cs="Arial" w:eastAsia="Arial" w:hAnsi="Arial"/>
          <w:sz w:val="17"/>
          <w:szCs w:val="17"/>
          <w:color w:val="auto"/>
        </w:rPr>
        <w:t>. The Borrower and the other Loan Parties shall timely pay to the relevant Governmental Authority in accordance with Applicable Law, or at the option of the Administrative Agent timely reimburse it for the payment of, any Other Taxes.</w:t>
      </w:r>
    </w:p>
    <w:p>
      <w:pPr>
        <w:spacing w:after="0" w:line="146" w:lineRule="exact"/>
        <w:rPr>
          <w:rFonts w:ascii="Arial" w:cs="Arial" w:eastAsia="Arial" w:hAnsi="Arial"/>
          <w:sz w:val="17"/>
          <w:szCs w:val="17"/>
          <w:color w:val="auto"/>
        </w:rPr>
      </w:pPr>
    </w:p>
    <w:p>
      <w:pPr>
        <w:ind w:left="4" w:right="20" w:firstLine="436"/>
        <w:spacing w:after="0" w:line="293" w:lineRule="auto"/>
        <w:tabs>
          <w:tab w:leader="none" w:pos="83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4" w:lineRule="exact"/>
        <w:rPr>
          <w:rFonts w:ascii="Arial" w:cs="Arial" w:eastAsia="Arial" w:hAnsi="Arial"/>
          <w:sz w:val="16"/>
          <w:szCs w:val="16"/>
          <w:color w:val="auto"/>
        </w:rPr>
      </w:pPr>
    </w:p>
    <w:p>
      <w:pPr>
        <w:ind w:left="824" w:hanging="384"/>
        <w:spacing w:after="0"/>
        <w:tabs>
          <w:tab w:leader="none" w:pos="82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Each Lender shall severally indemnify the Administrative Agent, within 10 days after demand therefor, for</w:t>
      </w:r>
    </w:p>
    <w:p>
      <w:pPr>
        <w:spacing w:after="0" w:line="46" w:lineRule="exact"/>
        <w:rPr>
          <w:rFonts w:ascii="Arial" w:cs="Arial" w:eastAsia="Arial" w:hAnsi="Arial"/>
          <w:sz w:val="16"/>
          <w:szCs w:val="16"/>
          <w:color w:val="auto"/>
        </w:rPr>
      </w:pPr>
    </w:p>
    <w:p>
      <w:pPr>
        <w:ind w:left="4" w:right="20" w:hanging="4"/>
        <w:spacing w:after="0" w:line="268" w:lineRule="auto"/>
        <w:tabs>
          <w:tab w:leader="none" w:pos="219"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w:t>
      </w:r>
    </w:p>
    <w:p>
      <w:pPr>
        <w:spacing w:after="0" w:line="178" w:lineRule="exact"/>
        <w:rPr>
          <w:rFonts w:ascii="Arial" w:cs="Arial" w:eastAsia="Arial" w:hAnsi="Arial"/>
          <w:sz w:val="17"/>
          <w:szCs w:val="17"/>
          <w:color w:val="auto"/>
        </w:rPr>
      </w:pPr>
    </w:p>
    <w:p>
      <w:pPr>
        <w:ind w:left="4" w:right="180" w:firstLine="436"/>
        <w:spacing w:after="0" w:line="259" w:lineRule="auto"/>
        <w:tabs>
          <w:tab w:leader="none" w:pos="804"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824" w:hanging="384"/>
        <w:spacing w:after="0"/>
        <w:tabs>
          <w:tab w:leader="none" w:pos="824"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500" w:firstLine="419"/>
        <w:spacing w:after="0" w:line="286" w:lineRule="auto"/>
        <w:tabs>
          <w:tab w:leader="none" w:pos="1207" w:val="left"/>
        </w:tabs>
        <w:numPr>
          <w:ilvl w:val="2"/>
          <w:numId w:val="32"/>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3"/>
          <w:numId w:val="32"/>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024"/>
          </w:cols>
          <w:pgMar w:left="436" w:top="274" w:right="439" w:bottom="1440" w:gutter="0" w:footer="0" w:header="0"/>
        </w:sectPr>
      </w:pPr>
    </w:p>
    <w:bookmarkStart w:id="50" w:name="page51"/>
    <w:bookmarkEnd w:id="5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4" w:lineRule="exact"/>
        <w:rPr>
          <w:sz w:val="20"/>
          <w:szCs w:val="20"/>
          <w:color w:val="auto"/>
        </w:rPr>
      </w:pPr>
    </w:p>
    <w:p>
      <w:pPr>
        <w:ind w:left="820" w:hanging="401"/>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540" w:right="40" w:firstLine="408"/>
        <w:spacing w:after="0" w:line="279" w:lineRule="auto"/>
        <w:tabs>
          <w:tab w:leader="none" w:pos="137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w:t>
      </w:r>
    </w:p>
    <w:p>
      <w:pPr>
        <w:spacing w:after="0" w:line="63" w:lineRule="exact"/>
        <w:rPr>
          <w:rFonts w:ascii="Arial" w:cs="Arial" w:eastAsia="Arial" w:hAnsi="Arial"/>
          <w:sz w:val="17"/>
          <w:szCs w:val="17"/>
          <w:color w:val="auto"/>
        </w:rPr>
      </w:pPr>
    </w:p>
    <w:p>
      <w:pPr>
        <w:ind w:left="540" w:right="140" w:firstLine="408"/>
        <w:spacing w:after="0" w:line="259" w:lineRule="auto"/>
        <w:tabs>
          <w:tab w:leader="none" w:pos="13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980" w:right="40" w:firstLine="391"/>
        <w:spacing w:after="0" w:line="293" w:lineRule="auto"/>
        <w:tabs>
          <w:tab w:leader="none" w:pos="1723" w:val="left"/>
        </w:tabs>
        <w:numPr>
          <w:ilvl w:val="2"/>
          <w:numId w:val="33"/>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56" w:lineRule="exact"/>
        <w:rPr>
          <w:sz w:val="20"/>
          <w:szCs w:val="20"/>
          <w:color w:val="auto"/>
        </w:rPr>
      </w:pPr>
    </w:p>
    <w:p>
      <w:pPr>
        <w:ind w:left="1800" w:hanging="429"/>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electronic copy (or an original if requested by the Borrower or the Administrative Agent) of an executed IRS Form</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W-8ECI;</w:t>
      </w:r>
    </w:p>
    <w:p>
      <w:pPr>
        <w:spacing w:after="0" w:line="103" w:lineRule="exact"/>
        <w:rPr>
          <w:sz w:val="20"/>
          <w:szCs w:val="20"/>
          <w:color w:val="auto"/>
        </w:rPr>
      </w:pPr>
    </w:p>
    <w:p>
      <w:pPr>
        <w:ind w:left="980" w:firstLine="391"/>
        <w:spacing w:after="0" w:line="286" w:lineRule="auto"/>
        <w:tabs>
          <w:tab w:leader="none" w:pos="1843"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Internal Revenue Code, (x) a certificate substantially in the form of Exhibit J-1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w:t>
      </w:r>
    </w:p>
    <w:p>
      <w:pPr>
        <w:spacing w:after="0" w:line="1" w:lineRule="exact"/>
        <w:rPr>
          <w:rFonts w:ascii="Arial" w:cs="Arial" w:eastAsia="Arial" w:hAnsi="Arial"/>
          <w:sz w:val="16"/>
          <w:szCs w:val="16"/>
          <w:color w:val="auto"/>
        </w:rPr>
      </w:pPr>
    </w:p>
    <w:p>
      <w:pPr>
        <w:ind w:left="980" w:right="120" w:firstLine="8"/>
        <w:spacing w:after="0" w:line="260" w:lineRule="auto"/>
        <w:tabs>
          <w:tab w:leader="none" w:pos="1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Internal Revenue Code (a “</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and (y) an electronic copy (or an original if requested by the Borrower or the Administrative Agent) of IRS Form W-8BEN or W-8BEN-E, as applicable,; or</w:t>
      </w:r>
    </w:p>
    <w:p>
      <w:pPr>
        <w:spacing w:after="0" w:line="117" w:lineRule="exact"/>
        <w:rPr>
          <w:rFonts w:ascii="Arial" w:cs="Arial" w:eastAsia="Arial" w:hAnsi="Arial"/>
          <w:sz w:val="18"/>
          <w:szCs w:val="18"/>
          <w:color w:val="auto"/>
        </w:rPr>
      </w:pPr>
    </w:p>
    <w:p>
      <w:pPr>
        <w:ind w:left="4980" w:hanging="111"/>
        <w:spacing w:after="0"/>
        <w:tabs>
          <w:tab w:leader="none" w:pos="4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540"/>
          </w:cols>
          <w:pgMar w:left="880" w:top="274" w:right="479" w:bottom="1440" w:gutter="0" w:footer="0" w:header="0"/>
        </w:sectPr>
      </w:pPr>
    </w:p>
    <w:bookmarkStart w:id="51" w:name="page52"/>
    <w:bookmarkEnd w:id="51"/>
    <w:p>
      <w:pPr>
        <w:ind w:left="1420" w:right="60" w:firstLine="38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87" w:lineRule="exact"/>
        <w:rPr>
          <w:sz w:val="20"/>
          <w:szCs w:val="20"/>
          <w:color w:val="auto"/>
        </w:rPr>
      </w:pPr>
    </w:p>
    <w:p>
      <w:pPr>
        <w:ind w:left="980" w:right="80" w:firstLine="408"/>
        <w:spacing w:after="0" w:line="254" w:lineRule="auto"/>
        <w:tabs>
          <w:tab w:leader="none" w:pos="18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6" w:lineRule="exact"/>
        <w:rPr>
          <w:rFonts w:ascii="Arial" w:cs="Arial" w:eastAsia="Arial" w:hAnsi="Arial"/>
          <w:sz w:val="18"/>
          <w:szCs w:val="18"/>
          <w:color w:val="auto"/>
        </w:rPr>
      </w:pPr>
    </w:p>
    <w:p>
      <w:pPr>
        <w:ind w:left="980" w:firstLine="408"/>
        <w:spacing w:after="0" w:line="287" w:lineRule="auto"/>
        <w:tabs>
          <w:tab w:leader="none" w:pos="18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2" w:name="page53"/>
    <w:bookmarkEnd w:id="52"/>
    <w:p>
      <w:pPr>
        <w:ind w:firstLine="436"/>
        <w:spacing w:after="0" w:line="268" w:lineRule="auto"/>
        <w:tabs>
          <w:tab w:leader="none" w:pos="83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186" w:lineRule="exact"/>
        <w:rPr>
          <w:rFonts w:ascii="Arial" w:cs="Arial" w:eastAsia="Arial" w:hAnsi="Arial"/>
          <w:sz w:val="17"/>
          <w:szCs w:val="17"/>
          <w:color w:val="auto"/>
        </w:rPr>
      </w:pPr>
    </w:p>
    <w:p>
      <w:pPr>
        <w:jc w:val="both"/>
        <w:ind w:right="660" w:firstLine="436"/>
        <w:spacing w:after="0" w:line="263" w:lineRule="auto"/>
        <w:tabs>
          <w:tab w:leader="none" w:pos="79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121" w:lineRule="exact"/>
        <w:rPr>
          <w:sz w:val="20"/>
          <w:szCs w:val="20"/>
          <w:color w:val="auto"/>
        </w:rPr>
      </w:pPr>
    </w:p>
    <w:p>
      <w:pPr>
        <w:ind w:right="20" w:firstLine="436"/>
        <w:spacing w:after="0" w:line="269"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Capital Adequacy</w:t>
      </w:r>
      <w:r>
        <w:rPr>
          <w:rFonts w:ascii="Arial" w:cs="Arial" w:eastAsia="Arial" w:hAnsi="Arial"/>
          <w:sz w:val="17"/>
          <w:szCs w:val="17"/>
          <w:color w:val="auto"/>
        </w:rPr>
        <w:t>.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w:t>
      </w:r>
    </w:p>
    <w:p>
      <w:pPr>
        <w:spacing w:after="0" w:line="185" w:lineRule="exact"/>
        <w:rPr>
          <w:rFonts w:ascii="Arial" w:cs="Arial" w:eastAsia="Arial" w:hAnsi="Arial"/>
          <w:sz w:val="17"/>
          <w:szCs w:val="17"/>
          <w:color w:val="auto"/>
        </w:rPr>
      </w:pPr>
    </w:p>
    <w:p>
      <w:pPr>
        <w:ind w:right="140" w:firstLine="436"/>
        <w:spacing w:after="0" w:line="273" w:lineRule="auto"/>
        <w:tabs>
          <w:tab w:leader="none" w:pos="83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Additional Costs.</w:t>
      </w:r>
      <w:r>
        <w:rPr>
          <w:rFonts w:ascii="Arial" w:cs="Arial" w:eastAsia="Arial" w:hAnsi="Arial"/>
          <w:sz w:val="17"/>
          <w:szCs w:val="17"/>
          <w:color w:val="auto"/>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LIBOR Loans or its obligation to make any LIBOR Loans hereunder, any reduction in any amount receivable by such Lender under this Agreement or any of the other Loan Documents in respect of any of such LIBOR Loans or such obligation or the maintenance by such Lender of capital in respect of its LIBOR Loans (such increases in costs and reductions in amounts receivable being</w:t>
      </w:r>
    </w:p>
    <w:p>
      <w:pPr>
        <w:spacing w:after="0" w:line="110" w:lineRule="exact"/>
        <w:rPr>
          <w:rFonts w:ascii="Arial" w:cs="Arial" w:eastAsia="Arial" w:hAnsi="Arial"/>
          <w:sz w:val="17"/>
          <w:szCs w:val="17"/>
          <w:color w:val="auto"/>
        </w:rPr>
      </w:pPr>
    </w:p>
    <w:p>
      <w:pPr>
        <w:ind w:left="5420" w:hanging="111"/>
        <w:spacing w:after="0"/>
        <w:tabs>
          <w:tab w:leader="none" w:pos="5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000"/>
          </w:cols>
          <w:pgMar w:left="440" w:top="274" w:right="459" w:bottom="1440" w:gutter="0" w:footer="0" w:header="0"/>
        </w:sectPr>
      </w:pPr>
    </w:p>
    <w:bookmarkStart w:id="53" w:name="page54"/>
    <w:bookmarkEnd w:id="53"/>
    <w:p>
      <w:pPr>
        <w:ind w:left="4"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herein called “</w:t>
      </w:r>
      <w:r>
        <w:rPr>
          <w:rFonts w:ascii="Arial" w:cs="Arial" w:eastAsia="Arial" w:hAnsi="Arial"/>
          <w:sz w:val="17"/>
          <w:szCs w:val="17"/>
          <w:b w:val="1"/>
          <w:bCs w:val="1"/>
          <w:color w:val="auto"/>
        </w:rPr>
        <w:t>Additional Costs</w:t>
      </w:r>
      <w:r>
        <w:rPr>
          <w:rFonts w:ascii="Arial" w:cs="Arial" w:eastAsia="Arial" w:hAnsi="Arial"/>
          <w:sz w:val="17"/>
          <w:szCs w:val="17"/>
          <w:color w:val="auto"/>
        </w:rPr>
        <w:t>”), to the extent resulting from any Regulatory Change that: (i) changes the basis of taxation of any amounts payable to such Lender under this Agreement or any of the other Loan Documents in respect of any of such LIBOR Loans (other than Indemnified Taxes, Taxes described in clauses (b) through (d) of the definition of Excluded Taxes and Connection Income Taxes), or (ii) imposes or modifies any reserve, special deposit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LIBOR Loans is determined to the extent utilized to determine LIBOR for such Loans) relating to any extensions of credit or other assets of, or any deposits with or other liabilities of, or other credit extended by, or any other acquisition of funds by such Lender (or its parent corporation), or any commitment of such Lender or (iii) imposes on any Lender or the London interbank market any other condition, cost or expense (other than Taxes) affecting this Agreement or the Loans made by such Lender.</w:t>
      </w:r>
    </w:p>
    <w:p>
      <w:pPr>
        <w:spacing w:after="0" w:line="178" w:lineRule="exact"/>
        <w:rPr>
          <w:sz w:val="20"/>
          <w:szCs w:val="20"/>
          <w:color w:val="auto"/>
        </w:rPr>
      </w:pPr>
    </w:p>
    <w:p>
      <w:pPr>
        <w:ind w:left="4" w:right="200" w:firstLine="436"/>
        <w:spacing w:after="0" w:line="286" w:lineRule="auto"/>
        <w:tabs>
          <w:tab w:leader="none" w:pos="82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 is determined as provided in this Agreement or a category of extensions of credit or other assets of such Lender that includes LIBOR Loans or</w:t>
      </w:r>
    </w:p>
    <w:p>
      <w:pPr>
        <w:spacing w:after="0" w:line="1" w:lineRule="exact"/>
        <w:rPr>
          <w:rFonts w:ascii="Arial" w:cs="Arial" w:eastAsia="Arial" w:hAnsi="Arial"/>
          <w:sz w:val="16"/>
          <w:szCs w:val="16"/>
          <w:color w:val="auto"/>
        </w:rPr>
      </w:pPr>
    </w:p>
    <w:p>
      <w:pPr>
        <w:ind w:left="4" w:hanging="4"/>
        <w:spacing w:after="0" w:line="302" w:lineRule="auto"/>
        <w:tabs>
          <w:tab w:leader="none" w:pos="2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LIBOR Loans hereunder shall be suspended until such Regulatory Change ceases to be in effect (in which case the provisions of Section 4.5. shall apply).</w:t>
      </w:r>
    </w:p>
    <w:p>
      <w:pPr>
        <w:spacing w:after="0" w:line="155" w:lineRule="exact"/>
        <w:rPr>
          <w:rFonts w:ascii="Arial" w:cs="Arial" w:eastAsia="Arial" w:hAnsi="Arial"/>
          <w:sz w:val="16"/>
          <w:szCs w:val="16"/>
          <w:color w:val="auto"/>
        </w:rPr>
      </w:pPr>
    </w:p>
    <w:p>
      <w:pPr>
        <w:ind w:left="824" w:hanging="384"/>
        <w:spacing w:after="0"/>
        <w:tabs>
          <w:tab w:leader="none" w:pos="8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4" w:firstLine="436"/>
        <w:spacing w:after="0" w:line="287" w:lineRule="auto"/>
        <w:tabs>
          <w:tab w:leader="none" w:pos="82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4.2. Inability to Determine Interest Rates; Alternative Rate of Interest.</w:t>
      </w:r>
    </w:p>
    <w:p>
      <w:pPr>
        <w:spacing w:after="0" w:line="121" w:lineRule="exact"/>
        <w:rPr>
          <w:sz w:val="20"/>
          <w:szCs w:val="20"/>
          <w:color w:val="auto"/>
        </w:rPr>
      </w:pPr>
    </w:p>
    <w:p>
      <w:pPr>
        <w:jc w:val="both"/>
        <w:ind w:left="4" w:right="260" w:firstLine="436"/>
        <w:spacing w:after="0" w:line="286" w:lineRule="auto"/>
        <w:tabs>
          <w:tab w:leader="none" w:pos="86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 If the Administrative Agent reasonably determines, or the Administrative Agent is advised by the Requisite Lenders, that for any reason in connection with any request for a LIBOR Loan or a Conversion to or Continuation thereof or otherwise that (i) Dollar deposits are not being offered to banks in the London interbank market for the applicable amount and Interest Period</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04"/>
          </w:cols>
          <w:pgMar w:left="436" w:top="270" w:right="459" w:bottom="1440" w:gutter="0" w:footer="0" w:header="0"/>
        </w:sectPr>
      </w:pPr>
    </w:p>
    <w:bookmarkStart w:id="54" w:name="page55"/>
    <w:bookmarkEnd w:id="54"/>
    <w:p>
      <w:pPr>
        <w:ind w:left="4"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such LIBOR Loan, (ii) adequate and reasonable means do not exist for determining LIBOR for any requested Interest Period with respect to a proposed LIBOR Loan, or (iii) LIBOR for any requested Interest Period with respect to a proposed LIBOR Loan does not adequately and fairly reflect the cost to the Requisite Lenders of funding such Loan, the Administrative Agent will promptly so notify the Borrower and each Lender. Thereafter, the obligation of the Lenders to make or maintain LIBOR Loans and Base Rate Loans as to which the interest rate is determined by reference to LIBOR shall be suspended until the Administrative Agent (upon the instruction of the Requisite Lenders) revokes such notice, such revocation not to be unreasonably withheld or delayed. Upon receipt of such notice, the Borrower may revoke any pending request for the borrowing of Loans, Conversion to or Continuation of LIBOR Loans or, failing that, will be deemed to have converted such request into a request for the borrowing of Loans that are Base Rate Loans (with the Base Rate determined other than by reference to the LIBOR Market Index Rate (as provided in the definition of Base Rate)) in the amount specified therein.</w:t>
      </w:r>
    </w:p>
    <w:p>
      <w:pPr>
        <w:spacing w:after="0" w:line="181" w:lineRule="exact"/>
        <w:rPr>
          <w:sz w:val="20"/>
          <w:szCs w:val="20"/>
          <w:color w:val="auto"/>
        </w:rPr>
      </w:pPr>
    </w:p>
    <w:p>
      <w:pPr>
        <w:ind w:left="4" w:firstLine="436"/>
        <w:spacing w:after="0" w:line="269" w:lineRule="auto"/>
        <w:tabs>
          <w:tab w:leader="none" w:pos="879"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Benchmark Replacement</w:t>
      </w:r>
      <w:r>
        <w:rPr>
          <w:rFonts w:ascii="Arial" w:cs="Arial" w:eastAsia="Arial" w:hAnsi="Arial"/>
          <w:sz w:val="17"/>
          <w:szCs w:val="17"/>
          <w:color w:val="auto"/>
        </w:rPr>
        <w:t>. Notwithstanding anything to the contrary contained herein or in any other Loan Document, upon the occurrence of a Benchmark Transition Event or an Early Opt-in Election, as applicable, the Administrative Agent and the Borrower may amend this Agreement to replace LIBOR with a Benchmark Replacement. Any such amendment with respect to a Benchmark Transition Event will become effective at 5:00 p.m. Eastern time on the fifth (5</w:t>
      </w:r>
      <w:r>
        <w:rPr>
          <w:rFonts w:ascii="Arial" w:cs="Arial" w:eastAsia="Arial" w:hAnsi="Arial"/>
          <w:sz w:val="14"/>
          <w:szCs w:val="14"/>
          <w:color w:val="auto"/>
        </w:rPr>
        <w:t>th</w:t>
      </w:r>
      <w:r>
        <w:rPr>
          <w:rFonts w:ascii="Arial" w:cs="Arial" w:eastAsia="Arial" w:hAnsi="Arial"/>
          <w:sz w:val="17"/>
          <w:szCs w:val="17"/>
          <w:color w:val="auto"/>
        </w:rPr>
        <w:t>)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Any such amendment agreed upon by the Administrative Agent and the Borrower with respect to an Early Opt-in Election will become effective on the date that Lenders comprising the Requisite Lenders have delivered to the Administrative Agent written notice that such Requisite Lenders accept such amendment. No replacement of LIBOR with a Benchmark Replacement pursuant to clause (b) through (e) of this Section 4.2. will occur prior to the applicable Benchmark Transition Start Date.</w:t>
      </w:r>
    </w:p>
    <w:p>
      <w:pPr>
        <w:spacing w:after="0" w:line="185" w:lineRule="exact"/>
        <w:rPr>
          <w:rFonts w:ascii="Arial" w:cs="Arial" w:eastAsia="Arial" w:hAnsi="Arial"/>
          <w:sz w:val="17"/>
          <w:szCs w:val="17"/>
          <w:color w:val="auto"/>
        </w:rPr>
      </w:pPr>
    </w:p>
    <w:p>
      <w:pPr>
        <w:ind w:left="4" w:right="20" w:firstLine="436"/>
        <w:spacing w:after="0" w:line="259" w:lineRule="auto"/>
        <w:tabs>
          <w:tab w:leader="none" w:pos="86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ind w:left="884" w:hanging="444"/>
        <w:spacing w:after="0"/>
        <w:tabs>
          <w:tab w:leader="none" w:pos="884"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The Administrative Agent will promptly notify the Borrower and the Lenders of</w:t>
      </w:r>
    </w:p>
    <w:p>
      <w:pPr>
        <w:spacing w:after="0" w:line="34" w:lineRule="exact"/>
        <w:rPr>
          <w:rFonts w:ascii="Arial" w:cs="Arial" w:eastAsia="Arial" w:hAnsi="Arial"/>
          <w:sz w:val="17"/>
          <w:szCs w:val="17"/>
          <w:color w:val="auto"/>
        </w:rPr>
      </w:pPr>
    </w:p>
    <w:p>
      <w:pPr>
        <w:ind w:left="4" w:right="100" w:hanging="4"/>
        <w:spacing w:after="0" w:line="251" w:lineRule="auto"/>
        <w:tabs>
          <w:tab w:leader="none" w:pos="2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4.2.,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clauses (b) through (e) of this Section 4.2 (including in the definitions of defined terms used in such clauses).</w:t>
      </w:r>
    </w:p>
    <w:p>
      <w:pPr>
        <w:spacing w:after="0" w:line="197" w:lineRule="exact"/>
        <w:rPr>
          <w:rFonts w:ascii="Arial" w:cs="Arial" w:eastAsia="Arial" w:hAnsi="Arial"/>
          <w:sz w:val="18"/>
          <w:szCs w:val="18"/>
          <w:color w:val="auto"/>
        </w:rPr>
      </w:pPr>
    </w:p>
    <w:p>
      <w:pPr>
        <w:ind w:left="4" w:right="160" w:firstLine="436"/>
        <w:spacing w:after="0" w:line="263" w:lineRule="auto"/>
        <w:tabs>
          <w:tab w:leader="none" w:pos="869"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request for a Conversion to or a Continuation of LIBOR Loans to be made, converted or continued during any Benchmark Unavailability Period and, failing that, the Borrower will be deemed to have converted any</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44"/>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004"/>
          </w:cols>
          <w:pgMar w:left="436" w:top="274" w:right="45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request into a request for a borrowing of or Conversion to Base Rate Loans. During any Benchmark Unavailability Period, the LIBOR Market Index Rate will not be used in any determination of Base Rate (as provided in the definition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Notwithstanding any other provision of this Agreement, if any Lender shall reasonably determine (which determination shall be conclusive and binding) that it is unlawful for such Lender to honor its obligation to Convert to, Continue or maintain LIBOR Loans hereunder, then such Lender shall promptly notify the Borrower thereof (with a copy of such notice to the Administrative Agent) and such Lender’s obligation to maintain or Continue, or to Convert Loans of any other Type into, LIBOR Loans shall be suspended until such time as such Lender may again maintain LIBOR Loans (in which case the provisions of Section 4.5. shall be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spacing w:after="0" w:line="76" w:lineRule="exact"/>
        <w:rPr>
          <w:sz w:val="20"/>
          <w:szCs w:val="20"/>
          <w:color w:val="auto"/>
        </w:rPr>
      </w:pPr>
    </w:p>
    <w:p>
      <w:pPr>
        <w:ind w:left="440" w:right="500" w:firstLine="419"/>
        <w:spacing w:after="0" w:line="342" w:lineRule="auto"/>
        <w:tabs>
          <w:tab w:leader="none" w:pos="12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Conversion of a LIBOR Loan, made by such Lender for any reason (including, without limitation, acceleration) on a date other than the last day of the Interest Period for such Loan; or</w:t>
      </w:r>
    </w:p>
    <w:p>
      <w:pPr>
        <w:spacing w:after="0" w:line="15" w:lineRule="exact"/>
        <w:rPr>
          <w:rFonts w:ascii="Arial" w:cs="Arial" w:eastAsia="Arial" w:hAnsi="Arial"/>
          <w:sz w:val="16"/>
          <w:szCs w:val="16"/>
          <w:color w:val="auto"/>
        </w:rPr>
      </w:pPr>
    </w:p>
    <w:p>
      <w:pPr>
        <w:ind w:left="440" w:right="300" w:firstLine="419"/>
        <w:spacing w:after="0" w:line="286" w:lineRule="auto"/>
        <w:tabs>
          <w:tab w:leader="none" w:pos="12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failure by the Borrower for any reason (including, without limitation, the failure of any of the applicable conditions precedent specified in Section 5.2. to be satisfied) to borrow a LIBOR Loan from such Lender on the date for such borrowing, or to Convert a Base Rate Loan into a LIBOR Loan or Continue a LIBOR Loan on the requested date of such Conversion or Continuation.</w:t>
      </w:r>
    </w:p>
    <w:p>
      <w:pPr>
        <w:spacing w:after="0" w:line="16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If the obligation of any Lender to Continue, or to Convert Base Rate Loans into, LIBOR Loans shall be suspended pursuant to Section 4.1.(c), Section 4.2. or Section 4.3. then such Lender’s LIBOR Loans shall be automatically Converted into Base Rate Loans on the last day(s) of the then current Interest Period(s) for LIBOR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w:t>
      </w:r>
    </w:p>
    <w:p>
      <w:pPr>
        <w:spacing w:after="0" w:line="53" w:lineRule="exact"/>
        <w:rPr>
          <w:sz w:val="20"/>
          <w:szCs w:val="20"/>
          <w:color w:val="auto"/>
        </w:rPr>
      </w:pPr>
    </w:p>
    <w:p>
      <w:pPr>
        <w:ind w:left="440" w:right="720" w:firstLine="419"/>
        <w:spacing w:after="0" w:line="308" w:lineRule="auto"/>
        <w:tabs>
          <w:tab w:leader="none" w:pos="12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980"/>
          </w:cols>
          <w:pgMar w:left="440" w:top="274" w:right="479" w:bottom="1440" w:gutter="0" w:footer="0" w:header="0"/>
        </w:sectPr>
      </w:pPr>
    </w:p>
    <w:bookmarkStart w:id="56" w:name="page57"/>
    <w:bookmarkEnd w:id="56"/>
    <w:p>
      <w:pPr>
        <w:ind w:left="440" w:right="100" w:firstLine="419"/>
        <w:spacing w:after="0" w:line="263" w:lineRule="auto"/>
        <w:tabs>
          <w:tab w:leader="none" w:pos="1263"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portion of such Lender’s Loan that would otherwise be Continued by such Lender as a LIBOR Loan shall be Continued instead as a Base Rate Loan, and any Base Rate Loan of such Lender that would otherwise be Converted into a LIBOR Loan shall remain as a Base Rate Loan.</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such Lender gives notice to the Borrower (with a copy to the Administrative Agent) that the circumstances specified in Section 4.1.(c) or 4.3. that gave rise to the Conversion of such Lender’s LIBOR Loans pursuant to this Section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 respective unpaid principal amount of the Loan held by such Lender.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Affected Lenders.</w:t>
      </w:r>
    </w:p>
    <w:p>
      <w:pPr>
        <w:spacing w:after="0" w:line="121"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If (a) a Lender requests compensation pursuant to Section 3.10. or 4.1., and the Requisite Lenders are not also doing the same, or (b) the obligation of any Lender to Continue, or to Convert Base Rate Loans into, LIBOR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Arial" w:cs="Arial" w:eastAsia="Arial" w:hAnsi="Arial"/>
          <w:sz w:val="17"/>
          <w:szCs w:val="17"/>
          <w:b w:val="1"/>
          <w:bCs w:val="1"/>
          <w:color w:val="auto"/>
        </w:rPr>
        <w:t>Affected Lender</w:t>
      </w:r>
      <w:r>
        <w:rPr>
          <w:rFonts w:ascii="Arial" w:cs="Arial" w:eastAsia="Arial" w:hAnsi="Arial"/>
          <w:sz w:val="17"/>
          <w:szCs w:val="17"/>
          <w:color w:val="auto"/>
        </w:rPr>
        <w:t>”), and upon such demand the Affected Lender shall promptly, assign its Loan to an Eligible Assignee subject to and in accordance with the provisions of Section 12.6.(b)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Change of Lending Office.</w:t>
      </w:r>
    </w:p>
    <w:p>
      <w:pPr>
        <w:spacing w:after="0" w:line="121"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4.8. Assumptions Concerning Funding of LIBOR Loans.</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Calculation of all amounts payable to a Lender under this Article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obligation of the Lenders to make the Loans is subject to the satisfaction or waiver of the following conditions precedent:</w:t>
      </w:r>
    </w:p>
    <w:p>
      <w:pPr>
        <w:spacing w:after="0" w:line="225" w:lineRule="exact"/>
        <w:rPr>
          <w:sz w:val="20"/>
          <w:szCs w:val="20"/>
          <w:color w:val="auto"/>
        </w:rPr>
      </w:pPr>
    </w:p>
    <w:p>
      <w:pPr>
        <w:ind w:left="820" w:hanging="384"/>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Administrative Agent shall have received each of the following, in form and substance satisfactory to the Administrative Agent:</w:t>
      </w:r>
    </w:p>
    <w:p>
      <w:pPr>
        <w:spacing w:after="0" w:line="128" w:lineRule="exact"/>
        <w:rPr>
          <w:rFonts w:ascii="Arial" w:cs="Arial" w:eastAsia="Arial" w:hAnsi="Arial"/>
          <w:sz w:val="17"/>
          <w:szCs w:val="17"/>
          <w:color w:val="auto"/>
        </w:rPr>
      </w:pPr>
    </w:p>
    <w:p>
      <w:pPr>
        <w:ind w:left="1200" w:hanging="341"/>
        <w:spacing w:after="0"/>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Notes executed by the Borrower, payable to each applicable Lender and complying with the terms of Section 2.11.(a);</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Guaranty executed by each of the Guarantors, if applicable, initially to be a party thereto;</w:t>
      </w:r>
    </w:p>
    <w:p>
      <w:pPr>
        <w:spacing w:after="0" w:line="117" w:lineRule="exact"/>
        <w:rPr>
          <w:rFonts w:ascii="Arial" w:cs="Arial" w:eastAsia="Arial" w:hAnsi="Arial"/>
          <w:sz w:val="18"/>
          <w:szCs w:val="18"/>
          <w:color w:val="auto"/>
        </w:rPr>
      </w:pPr>
    </w:p>
    <w:p>
      <w:pPr>
        <w:ind w:left="440" w:right="920" w:firstLine="419"/>
        <w:spacing w:after="0" w:line="277" w:lineRule="auto"/>
        <w:tabs>
          <w:tab w:leader="none" w:pos="13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 opinion of Pillsbury Winthrop Shaw Pittman LLP, counsel to the Borrower and the other Loan Parties, addressed to the Administrative Agent and the Lenders and covering the matters set forth in Exhibit H;</w:t>
      </w:r>
    </w:p>
    <w:p>
      <w:pPr>
        <w:spacing w:after="0" w:line="62" w:lineRule="exact"/>
        <w:rPr>
          <w:rFonts w:ascii="Arial" w:cs="Arial" w:eastAsia="Arial" w:hAnsi="Arial"/>
          <w:sz w:val="18"/>
          <w:szCs w:val="18"/>
          <w:color w:val="auto"/>
        </w:rPr>
      </w:pPr>
    </w:p>
    <w:p>
      <w:pPr>
        <w:ind w:left="440" w:right="40" w:firstLine="419"/>
        <w:spacing w:after="0" w:line="263" w:lineRule="auto"/>
        <w:tabs>
          <w:tab w:leader="none" w:pos="125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75" w:lineRule="exact"/>
        <w:rPr>
          <w:rFonts w:ascii="Arial" w:cs="Arial" w:eastAsia="Arial" w:hAnsi="Arial"/>
          <w:sz w:val="18"/>
          <w:szCs w:val="18"/>
          <w:color w:val="auto"/>
        </w:rPr>
      </w:pPr>
    </w:p>
    <w:p>
      <w:pPr>
        <w:jc w:val="both"/>
        <w:ind w:left="440" w:right="220" w:firstLine="419"/>
        <w:spacing w:after="0" w:line="301" w:lineRule="auto"/>
        <w:tabs>
          <w:tab w:leader="none" w:pos="1303"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49" w:lineRule="exact"/>
        <w:rPr>
          <w:rFonts w:ascii="Arial" w:cs="Arial" w:eastAsia="Arial" w:hAnsi="Arial"/>
          <w:sz w:val="16"/>
          <w:szCs w:val="16"/>
          <w:color w:val="auto"/>
        </w:rPr>
      </w:pPr>
    </w:p>
    <w:p>
      <w:pPr>
        <w:ind w:left="440" w:right="120" w:firstLine="419"/>
        <w:spacing w:after="0" w:line="259" w:lineRule="auto"/>
        <w:tabs>
          <w:tab w:leader="none" w:pos="135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the Notice of Borrowing, Notices of Conversion and Notices of Continuation;</w:t>
      </w:r>
    </w:p>
    <w:p>
      <w:pPr>
        <w:spacing w:after="0" w:line="78" w:lineRule="exact"/>
        <w:rPr>
          <w:rFonts w:ascii="Arial" w:cs="Arial" w:eastAsia="Arial" w:hAnsi="Arial"/>
          <w:sz w:val="18"/>
          <w:szCs w:val="18"/>
          <w:color w:val="auto"/>
        </w:rPr>
      </w:pPr>
    </w:p>
    <w:p>
      <w:pPr>
        <w:ind w:left="1400" w:hanging="541"/>
        <w:spacing w:after="0"/>
        <w:tabs>
          <w:tab w:leader="none" w:pos="14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copies certified by the Secretary or Assistant Secretary (or other individual performing similar functions) of each Loan Party of</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by-laws of such Loan Party, if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58" w:name="page59"/>
    <w:bookmarkEnd w:id="58"/>
    <w:p>
      <w:pPr>
        <w:ind w:left="4"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57" w:lineRule="exact"/>
        <w:rPr>
          <w:sz w:val="20"/>
          <w:szCs w:val="20"/>
          <w:color w:val="auto"/>
        </w:rPr>
      </w:pPr>
    </w:p>
    <w:p>
      <w:pPr>
        <w:ind w:left="864" w:hanging="441"/>
        <w:spacing w:after="0"/>
        <w:tabs>
          <w:tab w:leader="none" w:pos="8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Compliance Certificate calculated on a pro forma basis for the Borrower’s fiscal quarter ending March 31, 2020;</w:t>
      </w:r>
    </w:p>
    <w:p>
      <w:pPr>
        <w:spacing w:after="0" w:line="117" w:lineRule="exact"/>
        <w:rPr>
          <w:rFonts w:ascii="Arial" w:cs="Arial" w:eastAsia="Arial" w:hAnsi="Arial"/>
          <w:sz w:val="18"/>
          <w:szCs w:val="18"/>
          <w:color w:val="auto"/>
        </w:rPr>
      </w:pPr>
    </w:p>
    <w:p>
      <w:pPr>
        <w:ind w:left="804" w:hanging="381"/>
        <w:spacing w:after="0"/>
        <w:tabs>
          <w:tab w:leader="none" w:pos="8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Disbursement Instruction Agreement effective as of the Agreement Date;</w:t>
      </w:r>
    </w:p>
    <w:p>
      <w:pPr>
        <w:spacing w:after="0" w:line="117" w:lineRule="exact"/>
        <w:rPr>
          <w:rFonts w:ascii="Arial" w:cs="Arial" w:eastAsia="Arial" w:hAnsi="Arial"/>
          <w:sz w:val="18"/>
          <w:szCs w:val="18"/>
          <w:color w:val="auto"/>
        </w:rPr>
      </w:pPr>
    </w:p>
    <w:p>
      <w:pPr>
        <w:ind w:left="4" w:right="140" w:firstLine="419"/>
        <w:spacing w:after="0" w:line="277" w:lineRule="auto"/>
        <w:tabs>
          <w:tab w:leader="none" w:pos="866"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Revolver First Amendment shall have closed, all signatures thereto shall have been released and such Revolver First Amendment shall be effective;</w:t>
      </w:r>
    </w:p>
    <w:p>
      <w:pPr>
        <w:spacing w:after="0" w:line="62" w:lineRule="exact"/>
        <w:rPr>
          <w:rFonts w:ascii="Arial" w:cs="Arial" w:eastAsia="Arial" w:hAnsi="Arial"/>
          <w:sz w:val="18"/>
          <w:szCs w:val="18"/>
          <w:color w:val="auto"/>
        </w:rPr>
      </w:pPr>
    </w:p>
    <w:p>
      <w:pPr>
        <w:ind w:left="4" w:right="20" w:firstLine="419"/>
        <w:spacing w:after="0" w:line="263" w:lineRule="auto"/>
        <w:tabs>
          <w:tab w:leader="none" w:pos="91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w:t>
      </w:r>
    </w:p>
    <w:p>
      <w:pPr>
        <w:spacing w:after="0" w:line="75" w:lineRule="exact"/>
        <w:rPr>
          <w:rFonts w:ascii="Arial" w:cs="Arial" w:eastAsia="Arial" w:hAnsi="Arial"/>
          <w:sz w:val="18"/>
          <w:szCs w:val="18"/>
          <w:color w:val="auto"/>
        </w:rPr>
      </w:pPr>
    </w:p>
    <w:p>
      <w:pPr>
        <w:ind w:left="964" w:hanging="541"/>
        <w:spacing w:after="0"/>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Notice of Borrowing executed by the Borrower; and</w:t>
      </w:r>
    </w:p>
    <w:p>
      <w:pPr>
        <w:spacing w:after="0" w:line="117" w:lineRule="exact"/>
        <w:rPr>
          <w:rFonts w:ascii="Arial" w:cs="Arial" w:eastAsia="Arial" w:hAnsi="Arial"/>
          <w:sz w:val="18"/>
          <w:szCs w:val="18"/>
          <w:color w:val="auto"/>
        </w:rPr>
      </w:pPr>
    </w:p>
    <w:p>
      <w:pPr>
        <w:ind w:left="4" w:right="280" w:firstLine="419"/>
        <w:spacing w:after="0" w:line="277" w:lineRule="auto"/>
        <w:tabs>
          <w:tab w:leader="none" w:pos="956"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225" w:lineRule="exact"/>
        <w:rPr>
          <w:rFonts w:ascii="Arial" w:cs="Arial" w:eastAsia="Arial" w:hAnsi="Arial"/>
          <w:sz w:val="18"/>
          <w:szCs w:val="18"/>
          <w:color w:val="auto"/>
        </w:rPr>
      </w:pPr>
    </w:p>
    <w:p>
      <w:pPr>
        <w:ind w:left="4" w:right="40" w:firstLine="419"/>
        <w:spacing w:after="0" w:line="259" w:lineRule="auto"/>
        <w:tabs>
          <w:tab w:leader="none" w:pos="7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78" w:lineRule="exact"/>
        <w:rPr>
          <w:rFonts w:ascii="Arial" w:cs="Arial" w:eastAsia="Arial" w:hAnsi="Arial"/>
          <w:sz w:val="18"/>
          <w:szCs w:val="18"/>
          <w:color w:val="auto"/>
        </w:rPr>
      </w:pPr>
    </w:p>
    <w:p>
      <w:pPr>
        <w:ind w:left="4" w:right="120" w:firstLine="419"/>
        <w:spacing w:after="0" w:line="259" w:lineRule="auto"/>
        <w:tabs>
          <w:tab w:leader="none" w:pos="8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78" w:lineRule="exact"/>
        <w:rPr>
          <w:rFonts w:ascii="Arial" w:cs="Arial" w:eastAsia="Arial" w:hAnsi="Arial"/>
          <w:sz w:val="18"/>
          <w:szCs w:val="18"/>
          <w:color w:val="auto"/>
        </w:rPr>
      </w:pPr>
    </w:p>
    <w:p>
      <w:pPr>
        <w:ind w:left="4" w:firstLine="419"/>
        <w:spacing w:after="0" w:line="254" w:lineRule="auto"/>
        <w:tabs>
          <w:tab w:leader="none" w:pos="8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86" w:lineRule="exact"/>
        <w:rPr>
          <w:rFonts w:ascii="Arial" w:cs="Arial" w:eastAsia="Arial" w:hAnsi="Arial"/>
          <w:sz w:val="18"/>
          <w:szCs w:val="18"/>
          <w:color w:val="auto"/>
        </w:rPr>
      </w:pPr>
    </w:p>
    <w:p>
      <w:pPr>
        <w:ind w:left="4" w:right="20" w:firstLine="419"/>
        <w:spacing w:after="0" w:line="286" w:lineRule="auto"/>
        <w:tabs>
          <w:tab w:leader="none" w:pos="866"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97" w:lineRule="exact"/>
        <w:rPr>
          <w:rFonts w:ascii="Arial" w:cs="Arial" w:eastAsia="Arial" w:hAnsi="Arial"/>
          <w:sz w:val="17"/>
          <w:szCs w:val="17"/>
          <w:color w:val="auto"/>
        </w:rPr>
      </w:pPr>
    </w:p>
    <w:p>
      <w:pPr>
        <w:ind w:left="4984" w:hanging="111"/>
        <w:spacing w:after="0"/>
        <w:tabs>
          <w:tab w:leader="none" w:pos="4984" w:val="left"/>
        </w:tabs>
        <w:numPr>
          <w:ilvl w:val="2"/>
          <w:numId w:val="50"/>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584"/>
          </w:cols>
          <w:pgMar w:left="876" w:top="274" w:right="439" w:bottom="1440" w:gutter="0" w:footer="0" w:header="0"/>
        </w:sectPr>
      </w:pPr>
    </w:p>
    <w:bookmarkStart w:id="59" w:name="page60"/>
    <w:bookmarkEnd w:id="59"/>
    <w:p>
      <w:pPr>
        <w:jc w:val="both"/>
        <w:ind w:left="440" w:right="20" w:firstLine="419"/>
        <w:spacing w:after="0" w:line="286" w:lineRule="auto"/>
        <w:tabs>
          <w:tab w:leader="none" w:pos="1253" w:val="left"/>
        </w:tabs>
        <w:numPr>
          <w:ilvl w:val="0"/>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w:t>
      </w:r>
    </w:p>
    <w:p>
      <w:pPr>
        <w:spacing w:after="0" w:line="57" w:lineRule="exact"/>
        <w:rPr>
          <w:rFonts w:ascii="Arial" w:cs="Arial" w:eastAsia="Arial" w:hAnsi="Arial"/>
          <w:sz w:val="17"/>
          <w:szCs w:val="17"/>
          <w:color w:val="auto"/>
        </w:rPr>
      </w:pPr>
    </w:p>
    <w:p>
      <w:pPr>
        <w:ind w:left="440" w:right="20" w:firstLine="419"/>
        <w:spacing w:after="0" w:line="277" w:lineRule="auto"/>
        <w:tabs>
          <w:tab w:leader="none" w:pos="13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Conditions Precedent to All Loans.</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obligations of Lenders to make the Loans are subject to the further conditions precedent that: (a) no Default or Event of Default shall exist as of the date of the making of the Loans or would exist immediately after giving effect thereto, and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that all conditions to the making of such Loan contained in this Article V. have been satisfied. Unless set forth in writing to the contrary, the making of a Loan by a Lender shall constitute a certification by such Lender to the Administrative Agent and the other Lenders that the conditions precedent for the Loans set forth in Section 5.1. that have not previously been waived by the Lenders in accordance with the terms of this Agreement have been satisfied.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12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In order to induce the Administrative Agent and each Lender to enter into this Agreement and to make Loans, the Borrower represents and warrants to the Administrative Agent and each Lender as follows:</w:t>
      </w:r>
    </w:p>
    <w:p>
      <w:pPr>
        <w:spacing w:after="0" w:line="170" w:lineRule="exact"/>
        <w:rPr>
          <w:sz w:val="20"/>
          <w:szCs w:val="20"/>
          <w:color w:val="auto"/>
        </w:rPr>
      </w:pPr>
    </w:p>
    <w:p>
      <w:pPr>
        <w:ind w:right="20" w:firstLine="436"/>
        <w:spacing w:after="0" w:line="293" w:lineRule="auto"/>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Organization; Power; Qualification</w:t>
      </w:r>
      <w:r>
        <w:rPr>
          <w:rFonts w:ascii="Arial" w:cs="Arial" w:eastAsia="Arial" w:hAnsi="Arial"/>
          <w:sz w:val="16"/>
          <w:szCs w:val="16"/>
          <w:color w:val="auto"/>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96" w:lineRule="exact"/>
        <w:rPr>
          <w:rFonts w:ascii="Arial" w:cs="Arial" w:eastAsia="Arial" w:hAnsi="Arial"/>
          <w:sz w:val="16"/>
          <w:szCs w:val="16"/>
          <w:color w:val="auto"/>
        </w:rPr>
      </w:pPr>
    </w:p>
    <w:p>
      <w:pPr>
        <w:ind w:left="5420" w:hanging="111"/>
        <w:spacing w:after="0"/>
        <w:tabs>
          <w:tab w:leader="none" w:pos="5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980"/>
          </w:cols>
          <w:pgMar w:left="440" w:top="274" w:right="479" w:bottom="1440" w:gutter="0" w:footer="0" w:header="0"/>
        </w:sectPr>
      </w:pPr>
    </w:p>
    <w:bookmarkStart w:id="60" w:name="page61"/>
    <w:bookmarkEnd w:id="60"/>
    <w:p>
      <w:pPr>
        <w:ind w:left="-436" w:right="80" w:firstLine="436"/>
        <w:spacing w:after="0" w:line="268" w:lineRule="auto"/>
        <w:tabs>
          <w:tab w:leader="none" w:pos="39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Ownership Structure</w:t>
      </w:r>
      <w:r>
        <w:rPr>
          <w:rFonts w:ascii="Arial" w:cs="Arial" w:eastAsia="Arial" w:hAnsi="Arial"/>
          <w:sz w:val="17"/>
          <w:szCs w:val="17"/>
          <w:color w:val="auto"/>
        </w:rPr>
        <w:t>. Part I of Schedule 6.1.(b) is, as of the Agreement Date, a complete and correct list of all Subsidiaries of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As of the Agreement Date, except as disclosed in such Schedule (A), each of the Borrower and its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86" w:lineRule="exact"/>
        <w:rPr>
          <w:rFonts w:ascii="Arial" w:cs="Arial" w:eastAsia="Arial" w:hAnsi="Arial"/>
          <w:sz w:val="17"/>
          <w:szCs w:val="17"/>
          <w:color w:val="auto"/>
        </w:rPr>
      </w:pPr>
    </w:p>
    <w:p>
      <w:pPr>
        <w:ind w:left="-436" w:firstLine="436"/>
        <w:spacing w:after="0" w:line="290" w:lineRule="auto"/>
        <w:tabs>
          <w:tab w:leader="none" w:pos="38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Authorization of Loan Documents and Borrowings</w:t>
      </w:r>
      <w:r>
        <w:rPr>
          <w:rFonts w:ascii="Arial" w:cs="Arial" w:eastAsia="Arial" w:hAnsi="Arial"/>
          <w:sz w:val="16"/>
          <w:szCs w:val="16"/>
          <w:color w:val="auto"/>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65" w:lineRule="exact"/>
        <w:rPr>
          <w:rFonts w:ascii="Arial" w:cs="Arial" w:eastAsia="Arial" w:hAnsi="Arial"/>
          <w:sz w:val="16"/>
          <w:szCs w:val="16"/>
          <w:color w:val="auto"/>
        </w:rPr>
      </w:pPr>
    </w:p>
    <w:p>
      <w:pPr>
        <w:ind w:left="-436" w:right="20" w:firstLine="436"/>
        <w:spacing w:after="0" w:line="272" w:lineRule="auto"/>
        <w:tabs>
          <w:tab w:leader="none" w:pos="39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Compliance of Loan Documents with Laws</w:t>
      </w:r>
      <w:r>
        <w:rPr>
          <w:rFonts w:ascii="Arial" w:cs="Arial" w:eastAsia="Arial" w:hAnsi="Arial"/>
          <w:sz w:val="17"/>
          <w:szCs w:val="17"/>
          <w:color w:val="auto"/>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w:t>
      </w:r>
    </w:p>
    <w:p>
      <w:pPr>
        <w:spacing w:after="0" w:line="177" w:lineRule="exact"/>
        <w:rPr>
          <w:rFonts w:ascii="Arial" w:cs="Arial" w:eastAsia="Arial" w:hAnsi="Arial"/>
          <w:sz w:val="17"/>
          <w:szCs w:val="17"/>
          <w:color w:val="auto"/>
        </w:rPr>
      </w:pPr>
    </w:p>
    <w:p>
      <w:pPr>
        <w:ind w:left="-436" w:right="140" w:firstLine="436"/>
        <w:spacing w:after="0" w:line="259" w:lineRule="auto"/>
        <w:tabs>
          <w:tab w:leader="none" w:pos="38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Each of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19" w:lineRule="exact"/>
        <w:rPr>
          <w:rFonts w:ascii="Arial" w:cs="Arial" w:eastAsia="Arial" w:hAnsi="Arial"/>
          <w:sz w:val="18"/>
          <w:szCs w:val="18"/>
          <w:color w:val="auto"/>
        </w:rPr>
      </w:pPr>
    </w:p>
    <w:p>
      <w:pPr>
        <w:ind w:left="4984" w:hanging="111"/>
        <w:spacing w:after="0"/>
        <w:tabs>
          <w:tab w:leader="none" w:pos="4984" w:val="left"/>
        </w:tabs>
        <w:numPr>
          <w:ilvl w:val="1"/>
          <w:numId w:val="5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0564"/>
          </w:cols>
          <w:pgMar w:left="876" w:top="274" w:right="459" w:bottom="1440" w:gutter="0" w:footer="0" w:header="0"/>
        </w:sectPr>
      </w:pPr>
    </w:p>
    <w:bookmarkStart w:id="61" w:name="page62"/>
    <w:bookmarkEnd w:id="61"/>
    <w:p>
      <w:pPr>
        <w:ind w:left="-436" w:right="120" w:firstLine="436"/>
        <w:spacing w:after="0" w:line="259" w:lineRule="auto"/>
        <w:tabs>
          <w:tab w:leader="none" w:pos="36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to Properties; Liens</w:t>
      </w:r>
      <w:r>
        <w:rPr>
          <w:rFonts w:ascii="Arial" w:cs="Arial" w:eastAsia="Arial" w:hAnsi="Arial"/>
          <w:sz w:val="18"/>
          <w:szCs w:val="18"/>
          <w:color w:val="auto"/>
        </w:rPr>
        <w:t>.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w:t>
      </w:r>
    </w:p>
    <w:p>
      <w:pPr>
        <w:spacing w:after="0" w:line="186" w:lineRule="exact"/>
        <w:rPr>
          <w:rFonts w:ascii="Arial" w:cs="Arial" w:eastAsia="Arial" w:hAnsi="Arial"/>
          <w:sz w:val="18"/>
          <w:szCs w:val="18"/>
          <w:color w:val="auto"/>
        </w:rPr>
      </w:pPr>
    </w:p>
    <w:p>
      <w:pPr>
        <w:ind w:left="-436" w:right="40" w:firstLine="436"/>
        <w:spacing w:after="0" w:line="257" w:lineRule="auto"/>
        <w:tabs>
          <w:tab w:leader="none" w:pos="39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Schedule 6.1.(g) is, as of March 31, 2020,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March 31, 2020, through the Agreement Date, neither the Borrower nor any of its Subsidiaries has incurred any Indebtedness having an outstanding principal balance in excess of $1,000,000 in the aggregate.</w:t>
      </w:r>
    </w:p>
    <w:p>
      <w:pPr>
        <w:spacing w:after="0" w:line="187" w:lineRule="exact"/>
        <w:rPr>
          <w:rFonts w:ascii="Arial" w:cs="Arial" w:eastAsia="Arial" w:hAnsi="Arial"/>
          <w:sz w:val="18"/>
          <w:szCs w:val="18"/>
          <w:color w:val="auto"/>
        </w:rPr>
      </w:pPr>
    </w:p>
    <w:p>
      <w:pPr>
        <w:ind w:left="384" w:hanging="384"/>
        <w:spacing w:after="0"/>
        <w:tabs>
          <w:tab w:leader="none" w:pos="38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No Loan Party is an Affected Financial Institution.</w:t>
      </w:r>
    </w:p>
    <w:p>
      <w:pPr>
        <w:spacing w:after="0" w:line="225" w:lineRule="exact"/>
        <w:rPr>
          <w:rFonts w:ascii="Arial" w:cs="Arial" w:eastAsia="Arial" w:hAnsi="Arial"/>
          <w:sz w:val="18"/>
          <w:szCs w:val="18"/>
          <w:color w:val="auto"/>
        </w:rPr>
      </w:pPr>
    </w:p>
    <w:p>
      <w:pPr>
        <w:ind w:left="-436" w:firstLine="436"/>
        <w:spacing w:after="0" w:line="293" w:lineRule="auto"/>
        <w:tabs>
          <w:tab w:leader="none" w:pos="35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6.1.(i), there are no actions, suits or proceedings pending (nor, to the knowledge of any Loan Party, are there any actions, suits or proceedings threatened) against or in any other way relating adversely to or affecting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64" w:lineRule="exact"/>
        <w:rPr>
          <w:rFonts w:ascii="Arial" w:cs="Arial" w:eastAsia="Arial" w:hAnsi="Arial"/>
          <w:sz w:val="16"/>
          <w:szCs w:val="16"/>
          <w:color w:val="auto"/>
        </w:rPr>
      </w:pPr>
    </w:p>
    <w:p>
      <w:pPr>
        <w:ind w:left="-436" w:right="60" w:firstLine="436"/>
        <w:spacing w:after="0" w:line="273" w:lineRule="auto"/>
        <w:tabs>
          <w:tab w:leader="none" w:pos="35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federal, state and other tax returns of the Borrower, each other Loan Party and each other Subsidiary required by Applicable Law to be filed have been duly filed, and all federal, state and other taxes, assessments and other governmental charges or levies upon, each Loan Party, each other Subsidiary and their respective properties, income, profits and assets which are due and payable have been paid, except any such nonpayment or non-filing which is at the time permitted under Section 7.6.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177" w:lineRule="exact"/>
        <w:rPr>
          <w:rFonts w:ascii="Arial" w:cs="Arial" w:eastAsia="Arial" w:hAnsi="Arial"/>
          <w:sz w:val="17"/>
          <w:szCs w:val="17"/>
          <w:color w:val="auto"/>
        </w:rPr>
      </w:pPr>
    </w:p>
    <w:p>
      <w:pPr>
        <w:ind w:left="-436" w:right="20" w:firstLine="436"/>
        <w:spacing w:after="0" w:line="270" w:lineRule="auto"/>
        <w:tabs>
          <w:tab w:leader="none" w:pos="39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Borrower has furnished to each Lender copies of (i) the audited consolidated balance sheet of the Borrower and its consolidated Subsidiaries for the fiscal years ended December 31, 2018 and December 31, 2019, and the related audited consolidated statements of operations, shareholders’ equity and cash flow for the fiscal years ended on such dates, with the opinion thereon of Grant Thornton LLP, and (ii) the unaudited consolidated balance sheet of the Borrower and its consolidated Subsidiaries for the fiscal quarter ended March 31, 2020, and the related unaudited consolidated statements of operations, shareholders’ equity and cash flow of the Borrower and its consolidated Subsidiaries for the one fiscal quarter period ended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w:t>
      </w:r>
    </w:p>
    <w:p>
      <w:pPr>
        <w:spacing w:after="0" w:line="113" w:lineRule="exact"/>
        <w:rPr>
          <w:rFonts w:ascii="Arial" w:cs="Arial" w:eastAsia="Arial" w:hAnsi="Arial"/>
          <w:sz w:val="17"/>
          <w:szCs w:val="17"/>
          <w:color w:val="auto"/>
        </w:rPr>
      </w:pPr>
    </w:p>
    <w:p>
      <w:pPr>
        <w:ind w:left="4984" w:hanging="111"/>
        <w:spacing w:after="0"/>
        <w:tabs>
          <w:tab w:leader="none" w:pos="4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0564"/>
          </w:cols>
          <w:pgMar w:left="876" w:top="274" w:right="459" w:bottom="1440" w:gutter="0" w:footer="0" w:header="0"/>
        </w:sectPr>
      </w:pPr>
    </w:p>
    <w:bookmarkStart w:id="62" w:name="page63"/>
    <w:bookmarkEnd w:id="62"/>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165" w:lineRule="exact"/>
        <w:rPr>
          <w:sz w:val="20"/>
          <w:szCs w:val="20"/>
          <w:color w:val="auto"/>
        </w:rPr>
      </w:pPr>
    </w:p>
    <w:p>
      <w:pPr>
        <w:ind w:right="80" w:firstLine="436"/>
        <w:spacing w:after="0" w:line="308" w:lineRule="auto"/>
        <w:tabs>
          <w:tab w:leader="none" w:pos="79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December 31, 2019, there has been no event, change, circumstance or occurrence that could reasonably be expected to have a Material Adverse Effect. Each of the Borrower, the other Loan Parties and the other Subsidiaries is Solvent.</w:t>
      </w:r>
    </w:p>
    <w:p>
      <w:pPr>
        <w:spacing w:after="0" w:line="146" w:lineRule="exact"/>
        <w:rPr>
          <w:rFonts w:ascii="Arial" w:cs="Arial" w:eastAsia="Arial" w:hAnsi="Arial"/>
          <w:sz w:val="17"/>
          <w:szCs w:val="17"/>
          <w:color w:val="auto"/>
        </w:rPr>
      </w:pPr>
    </w:p>
    <w:p>
      <w:pPr>
        <w:ind w:left="880" w:hanging="44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9" w:lineRule="auto"/>
        <w:tabs>
          <w:tab w:leader="none" w:pos="1213" w:val="left"/>
        </w:tabs>
        <w:numPr>
          <w:ilvl w:val="1"/>
          <w:numId w:val="55"/>
        </w:numPr>
        <w:rPr>
          <w:rFonts w:ascii="Arial" w:cs="Arial" w:eastAsia="Arial" w:hAnsi="Arial"/>
          <w:sz w:val="17"/>
          <w:szCs w:val="17"/>
          <w:color w:val="auto"/>
        </w:rPr>
      </w:pPr>
      <w:r>
        <w:rPr>
          <w:rFonts w:ascii="Arial" w:cs="Arial" w:eastAsia="Arial" w:hAnsi="Arial"/>
          <w:sz w:val="17"/>
          <w:szCs w:val="17"/>
          <w:color w:val="auto"/>
        </w:rPr>
        <w:t>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spacing w:after="0" w:line="73" w:lineRule="exact"/>
        <w:rPr>
          <w:rFonts w:ascii="Arial" w:cs="Arial" w:eastAsia="Arial" w:hAnsi="Arial"/>
          <w:sz w:val="17"/>
          <w:szCs w:val="17"/>
          <w:color w:val="auto"/>
        </w:rPr>
      </w:pPr>
    </w:p>
    <w:p>
      <w:pPr>
        <w:ind w:left="440" w:right="300" w:firstLine="419"/>
        <w:spacing w:after="0" w:line="308" w:lineRule="auto"/>
        <w:tabs>
          <w:tab w:leader="none" w:pos="1253" w:val="left"/>
        </w:tabs>
        <w:numPr>
          <w:ilvl w:val="1"/>
          <w:numId w:val="55"/>
        </w:numPr>
        <w:rPr>
          <w:rFonts w:ascii="Arial" w:cs="Arial" w:eastAsia="Arial" w:hAnsi="Arial"/>
          <w:sz w:val="17"/>
          <w:szCs w:val="17"/>
          <w:color w:val="auto"/>
        </w:rPr>
      </w:pPr>
      <w:r>
        <w:rPr>
          <w:rFonts w:ascii="Arial" w:cs="Arial" w:eastAsia="Arial" w:hAnsi="Arial"/>
          <w:sz w:val="17"/>
          <w:szCs w:val="17"/>
          <w:color w:val="auto"/>
        </w:rPr>
        <w:t>As of the most recent valuation date, the “benefit obligation” of all Plans does not exceed the “fair market value of plan assets” for such Plans by more than $10,000,000 all as determined by and with such terms defined in accordance with FASB ASC 715.</w:t>
      </w:r>
    </w:p>
    <w:p>
      <w:pPr>
        <w:spacing w:after="0" w:line="38" w:lineRule="exact"/>
        <w:rPr>
          <w:rFonts w:ascii="Arial" w:cs="Arial" w:eastAsia="Arial" w:hAnsi="Arial"/>
          <w:sz w:val="17"/>
          <w:szCs w:val="17"/>
          <w:color w:val="auto"/>
        </w:rPr>
      </w:pPr>
    </w:p>
    <w:p>
      <w:pPr>
        <w:ind w:left="440" w:right="20" w:firstLine="419"/>
        <w:spacing w:after="0" w:line="254" w:lineRule="auto"/>
        <w:tabs>
          <w:tab w:leader="none" w:pos="1313"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spacing w:after="0" w:line="194" w:lineRule="exact"/>
        <w:rPr>
          <w:rFonts w:ascii="Arial" w:cs="Arial" w:eastAsia="Arial" w:hAnsi="Arial"/>
          <w:sz w:val="18"/>
          <w:szCs w:val="18"/>
          <w:color w:val="auto"/>
        </w:rPr>
      </w:pPr>
    </w:p>
    <w:p>
      <w:pPr>
        <w:jc w:val="both"/>
        <w:ind w:firstLine="436"/>
        <w:spacing w:after="0" w:line="293" w:lineRule="auto"/>
        <w:tabs>
          <w:tab w:leader="none" w:pos="83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Absence of Default</w:t>
      </w:r>
      <w:r>
        <w:rPr>
          <w:rFonts w:ascii="Arial" w:cs="Arial" w:eastAsia="Arial" w:hAnsi="Arial"/>
          <w:sz w:val="16"/>
          <w:szCs w:val="16"/>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96" w:lineRule="exact"/>
        <w:rPr>
          <w:rFonts w:ascii="Arial" w:cs="Arial" w:eastAsia="Arial" w:hAnsi="Arial"/>
          <w:sz w:val="16"/>
          <w:szCs w:val="16"/>
          <w:color w:val="auto"/>
        </w:rPr>
      </w:pPr>
    </w:p>
    <w:p>
      <w:pPr>
        <w:ind w:left="5420" w:hanging="111"/>
        <w:spacing w:after="0"/>
        <w:tabs>
          <w:tab w:leader="none" w:pos="54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0960"/>
          </w:cols>
          <w:pgMar w:left="440" w:top="274" w:right="499" w:bottom="1440" w:gutter="0" w:footer="0" w:header="0"/>
        </w:sectPr>
      </w:pPr>
    </w:p>
    <w:bookmarkStart w:id="63" w:name="page64"/>
    <w:bookmarkEnd w:id="63"/>
    <w:p>
      <w:pPr>
        <w:ind w:left="-436" w:firstLine="436"/>
        <w:spacing w:after="0" w:line="285" w:lineRule="auto"/>
        <w:tabs>
          <w:tab w:leader="none" w:pos="39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Environmental Laws</w:t>
      </w:r>
      <w:r>
        <w:rPr>
          <w:rFonts w:ascii="Arial" w:cs="Arial" w:eastAsia="Arial" w:hAnsi="Arial"/>
          <w:sz w:val="16"/>
          <w:szCs w:val="16"/>
          <w:color w:val="auto"/>
        </w:rPr>
        <w:t>.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384" w:lineRule="exact"/>
        <w:rPr>
          <w:rFonts w:ascii="Arial" w:cs="Arial" w:eastAsia="Arial" w:hAnsi="Arial"/>
          <w:sz w:val="16"/>
          <w:szCs w:val="16"/>
          <w:color w:val="auto"/>
        </w:rPr>
      </w:pPr>
    </w:p>
    <w:p>
      <w:pPr>
        <w:ind w:left="-436" w:right="100" w:firstLine="436"/>
        <w:spacing w:after="0" w:line="279" w:lineRule="auto"/>
        <w:tabs>
          <w:tab w:leader="none" w:pos="39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None of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71" w:lineRule="exact"/>
        <w:rPr>
          <w:rFonts w:ascii="Arial" w:cs="Arial" w:eastAsia="Arial" w:hAnsi="Arial"/>
          <w:sz w:val="17"/>
          <w:szCs w:val="17"/>
          <w:color w:val="auto"/>
        </w:rPr>
      </w:pPr>
    </w:p>
    <w:p>
      <w:pPr>
        <w:ind w:left="-436" w:right="40" w:firstLine="436"/>
        <w:spacing w:after="0" w:line="263" w:lineRule="auto"/>
        <w:tabs>
          <w:tab w:leader="none" w:pos="39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83" w:lineRule="exact"/>
        <w:rPr>
          <w:rFonts w:ascii="Arial" w:cs="Arial" w:eastAsia="Arial" w:hAnsi="Arial"/>
          <w:sz w:val="18"/>
          <w:szCs w:val="18"/>
          <w:color w:val="auto"/>
        </w:rPr>
      </w:pPr>
    </w:p>
    <w:p>
      <w:pPr>
        <w:ind w:left="-436" w:right="140" w:firstLine="436"/>
        <w:spacing w:after="0" w:line="277" w:lineRule="auto"/>
        <w:tabs>
          <w:tab w:leader="none" w:pos="36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permitted by Section 9.9., none of the Borrower, any other Loan Party or any other Subsidiary is a party to or bound by any agreement or arrangement with any Affiliate.</w:t>
      </w:r>
    </w:p>
    <w:p>
      <w:pPr>
        <w:spacing w:after="0" w:line="170" w:lineRule="exact"/>
        <w:rPr>
          <w:rFonts w:ascii="Arial" w:cs="Arial" w:eastAsia="Arial" w:hAnsi="Arial"/>
          <w:sz w:val="18"/>
          <w:szCs w:val="18"/>
          <w:color w:val="auto"/>
        </w:rPr>
      </w:pPr>
    </w:p>
    <w:p>
      <w:pPr>
        <w:ind w:left="-436" w:right="20" w:firstLine="436"/>
        <w:spacing w:after="0" w:line="342" w:lineRule="auto"/>
        <w:tabs>
          <w:tab w:leader="none" w:pos="37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w:t>
      </w:r>
    </w:p>
    <w:p>
      <w:pPr>
        <w:spacing w:after="0" w:line="56" w:lineRule="exact"/>
        <w:rPr>
          <w:rFonts w:ascii="Arial" w:cs="Arial" w:eastAsia="Arial" w:hAnsi="Arial"/>
          <w:sz w:val="16"/>
          <w:szCs w:val="16"/>
          <w:color w:val="auto"/>
        </w:rPr>
      </w:pPr>
    </w:p>
    <w:p>
      <w:pPr>
        <w:ind w:left="4984" w:hanging="111"/>
        <w:spacing w:after="0"/>
        <w:tabs>
          <w:tab w:leader="none" w:pos="4984" w:val="left"/>
        </w:tabs>
        <w:numPr>
          <w:ilvl w:val="1"/>
          <w:numId w:val="56"/>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564"/>
          </w:cols>
          <w:pgMar w:left="876" w:top="274" w:right="459" w:bottom="1440" w:gutter="0" w:footer="0" w:header="0"/>
        </w:sectPr>
      </w:pPr>
    </w:p>
    <w:bookmarkStart w:id="64" w:name="page65"/>
    <w:bookmarkEnd w:id="64"/>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copyrights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78" w:lineRule="exact"/>
        <w:rPr>
          <w:sz w:val="20"/>
          <w:szCs w:val="20"/>
          <w:color w:val="auto"/>
        </w:rPr>
      </w:pPr>
    </w:p>
    <w:p>
      <w:pPr>
        <w:ind w:right="60" w:firstLine="436"/>
        <w:spacing w:after="0" w:line="257" w:lineRule="auto"/>
        <w:tabs>
          <w:tab w:leader="none" w:pos="79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w:t>
      </w:r>
    </w:p>
    <w:p>
      <w:pPr>
        <w:spacing w:after="0" w:line="187" w:lineRule="exact"/>
        <w:rPr>
          <w:rFonts w:ascii="Arial" w:cs="Arial" w:eastAsia="Arial" w:hAnsi="Arial"/>
          <w:sz w:val="18"/>
          <w:szCs w:val="18"/>
          <w:color w:val="auto"/>
        </w:rPr>
      </w:pPr>
    </w:p>
    <w:p>
      <w:pPr>
        <w:ind w:firstLine="436"/>
        <w:spacing w:after="0" w:line="263" w:lineRule="auto"/>
        <w:tabs>
          <w:tab w:leader="none" w:pos="83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spacing w:after="0" w:line="183" w:lineRule="exact"/>
        <w:rPr>
          <w:rFonts w:ascii="Arial" w:cs="Arial" w:eastAsia="Arial" w:hAnsi="Arial"/>
          <w:sz w:val="18"/>
          <w:szCs w:val="18"/>
          <w:color w:val="auto"/>
        </w:rPr>
      </w:pPr>
    </w:p>
    <w:p>
      <w:pPr>
        <w:ind w:right="20" w:firstLine="436"/>
        <w:spacing w:after="0" w:line="268" w:lineRule="auto"/>
        <w:tabs>
          <w:tab w:leader="none" w:pos="83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Accuracy and Completeness of Information</w:t>
      </w:r>
      <w:r>
        <w:rPr>
          <w:rFonts w:ascii="Arial" w:cs="Arial" w:eastAsia="Arial" w:hAnsi="Arial"/>
          <w:sz w:val="17"/>
          <w:szCs w:val="17"/>
          <w:color w:val="auto"/>
        </w:rPr>
        <w:t>.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w:t>
      </w:r>
    </w:p>
    <w:p>
      <w:pPr>
        <w:spacing w:after="0" w:line="181" w:lineRule="exact"/>
        <w:rPr>
          <w:rFonts w:ascii="Arial" w:cs="Arial" w:eastAsia="Arial" w:hAnsi="Arial"/>
          <w:sz w:val="17"/>
          <w:szCs w:val="17"/>
          <w:color w:val="auto"/>
        </w:rPr>
      </w:pPr>
    </w:p>
    <w:p>
      <w:pPr>
        <w:ind w:right="180" w:firstLine="436"/>
        <w:spacing w:after="0" w:line="277" w:lineRule="auto"/>
        <w:tabs>
          <w:tab w:leader="none" w:pos="8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Transactions</w:t>
      </w:r>
      <w:r>
        <w:rPr>
          <w:rFonts w:ascii="Arial" w:cs="Arial" w:eastAsia="Arial" w:hAnsi="Arial"/>
          <w:sz w:val="18"/>
          <w:szCs w:val="18"/>
          <w:color w:val="auto"/>
        </w:rPr>
        <w:t>. None of the assets of the Borrower, any other Loan Party or any other Subsidiary constitutes “plan assets” within the meaning of ERISA, the</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000"/>
          </w:cols>
          <w:pgMar w:left="440" w:top="270" w:right="459" w:bottom="1440" w:gutter="0" w:footer="0" w:header="0"/>
        </w:sectPr>
      </w:pPr>
    </w:p>
    <w:bookmarkStart w:id="65" w:name="page66"/>
    <w:bookmarkEnd w:id="6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187" w:lineRule="exact"/>
        <w:rPr>
          <w:sz w:val="20"/>
          <w:szCs w:val="20"/>
          <w:color w:val="auto"/>
        </w:rPr>
      </w:pPr>
    </w:p>
    <w:p>
      <w:pPr>
        <w:ind w:left="820" w:hanging="38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7"/>
        <w:spacing w:after="0" w:line="271" w:lineRule="auto"/>
        <w:tabs>
          <w:tab w:leader="none" w:pos="1330" w:val="left"/>
        </w:tabs>
        <w:numPr>
          <w:ilvl w:val="1"/>
          <w:numId w:val="58"/>
        </w:numPr>
        <w:rPr>
          <w:rFonts w:ascii="Arial" w:cs="Arial" w:eastAsia="Arial" w:hAnsi="Arial"/>
          <w:sz w:val="17"/>
          <w:szCs w:val="17"/>
          <w:color w:val="auto"/>
        </w:rPr>
      </w:pPr>
      <w:r>
        <w:rPr>
          <w:rFonts w:ascii="Arial" w:cs="Arial" w:eastAsia="Arial" w:hAnsi="Arial"/>
          <w:sz w:val="17"/>
          <w:szCs w:val="17"/>
          <w:color w:val="auto"/>
        </w:rPr>
        <w:t>None of (i) the Borrower, any Subsidiary,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70" w:lineRule="exact"/>
        <w:rPr>
          <w:rFonts w:ascii="Arial" w:cs="Arial" w:eastAsia="Arial" w:hAnsi="Arial"/>
          <w:sz w:val="17"/>
          <w:szCs w:val="17"/>
          <w:color w:val="auto"/>
        </w:rPr>
      </w:pPr>
    </w:p>
    <w:p>
      <w:pPr>
        <w:ind w:left="980" w:right="300" w:firstLine="7"/>
        <w:spacing w:after="0" w:line="263" w:lineRule="auto"/>
        <w:tabs>
          <w:tab w:leader="none" w:pos="1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of the Borrower and its Subsidiaries has implemented and maintains in effect policies and procedures designed to ensure compliance by the Borrower and its Subsidiaries and their respective directors, officers, employees, agents and Affiliates with all Anti-Corruption Laws, Anti-Money Laundering Laws and applicable Sanctions.</w:t>
      </w:r>
    </w:p>
    <w:p>
      <w:pPr>
        <w:spacing w:after="0" w:line="75" w:lineRule="exact"/>
        <w:rPr>
          <w:rFonts w:ascii="Arial" w:cs="Arial" w:eastAsia="Arial" w:hAnsi="Arial"/>
          <w:sz w:val="18"/>
          <w:szCs w:val="18"/>
          <w:color w:val="auto"/>
        </w:rPr>
      </w:pPr>
    </w:p>
    <w:p>
      <w:pPr>
        <w:ind w:left="980" w:right="20" w:firstLine="7"/>
        <w:spacing w:after="0" w:line="263" w:lineRule="auto"/>
        <w:tabs>
          <w:tab w:leader="none" w:pos="14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of the Borrower and its Subsidiaries, each director, officer, and to the knowledge of Borrower, employee, agent and Affiliate of the Borrower and each Subsidiary, is in compliance with all Anti-Corruption Laws, Anti-Money Laundering Laws in all material respects and applicable Sanctions.</w:t>
      </w:r>
    </w:p>
    <w:p>
      <w:pPr>
        <w:spacing w:after="0" w:line="75" w:lineRule="exact"/>
        <w:rPr>
          <w:rFonts w:ascii="Arial" w:cs="Arial" w:eastAsia="Arial" w:hAnsi="Arial"/>
          <w:sz w:val="18"/>
          <w:szCs w:val="18"/>
          <w:color w:val="auto"/>
        </w:rPr>
      </w:pPr>
    </w:p>
    <w:p>
      <w:pPr>
        <w:ind w:left="980" w:right="620" w:firstLine="7"/>
        <w:spacing w:after="0" w:line="277"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proceeds of any Loan have been used, directly or indirectly, by the Borrower, any of its Subsidiaries or any of its or their respective directors, officers, employees and agents in violation of Section 9.13.(c).</w:t>
      </w:r>
    </w:p>
    <w:p>
      <w:pPr>
        <w:spacing w:after="0" w:line="170" w:lineRule="exact"/>
        <w:rPr>
          <w:sz w:val="20"/>
          <w:szCs w:val="20"/>
          <w:color w:val="auto"/>
        </w:rPr>
      </w:pPr>
    </w:p>
    <w:p>
      <w:pPr>
        <w:ind w:right="200" w:firstLine="436"/>
        <w:spacing w:after="0" w:line="277" w:lineRule="auto"/>
        <w:tabs>
          <w:tab w:leader="none" w:pos="83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and has elected to be treated as, a REIT and is in compliance with all requirements and conditions imposed under the Internal Revenue Code to allow the Borrower to maintain its status as a REIT.</w:t>
      </w:r>
    </w:p>
    <w:p>
      <w:pPr>
        <w:spacing w:after="0" w:line="170" w:lineRule="exact"/>
        <w:rPr>
          <w:rFonts w:ascii="Arial" w:cs="Arial" w:eastAsia="Arial" w:hAnsi="Arial"/>
          <w:sz w:val="18"/>
          <w:szCs w:val="18"/>
          <w:color w:val="auto"/>
        </w:rPr>
      </w:pPr>
    </w:p>
    <w:p>
      <w:pPr>
        <w:ind w:firstLine="436"/>
        <w:spacing w:after="0" w:line="286" w:lineRule="auto"/>
        <w:tabs>
          <w:tab w:leader="none" w:pos="82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Unencumbered Assets</w:t>
      </w:r>
      <w:r>
        <w:rPr>
          <w:rFonts w:ascii="Arial" w:cs="Arial" w:eastAsia="Arial" w:hAnsi="Arial"/>
          <w:sz w:val="17"/>
          <w:szCs w:val="17"/>
          <w:color w:val="auto"/>
        </w:rPr>
        <w:t>.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6" w:name="page67"/>
    <w:bookmarkEnd w:id="66"/>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Maturity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229" w:lineRule="exact"/>
        <w:rPr>
          <w:sz w:val="20"/>
          <w:szCs w:val="20"/>
          <w:color w:val="auto"/>
        </w:rPr>
      </w:pPr>
    </w:p>
    <w:p>
      <w:pPr>
        <w:ind w:left="4" w:right="740" w:firstLine="440"/>
        <w:spacing w:after="0" w:line="308" w:lineRule="auto"/>
        <w:rPr>
          <w:sz w:val="20"/>
          <w:szCs w:val="20"/>
          <w:color w:val="auto"/>
        </w:rPr>
      </w:pPr>
      <w:r>
        <w:rPr>
          <w:rFonts w:ascii="Arial" w:cs="Arial" w:eastAsia="Arial" w:hAnsi="Arial"/>
          <w:sz w:val="17"/>
          <w:szCs w:val="17"/>
          <w:color w:val="auto"/>
        </w:rPr>
        <w:t>For so long as this Agreement is in effect, unless the Requisite Lenders (or, if required pursuant to Section 12.7., all of the Lenders) shall otherwise consent in the manner provided for in Section 12.7., the Borrower shall comply with the following covenants: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121"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12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7.3. Maintenance of Property.</w:t>
      </w:r>
    </w:p>
    <w:p>
      <w:pPr>
        <w:spacing w:after="0" w:line="12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w:t>
      </w:r>
    </w:p>
    <w:p>
      <w:pPr>
        <w:spacing w:after="0" w:line="2" w:lineRule="exact"/>
        <w:rPr>
          <w:sz w:val="20"/>
          <w:szCs w:val="20"/>
          <w:color w:val="auto"/>
        </w:rPr>
      </w:pPr>
    </w:p>
    <w:p>
      <w:pPr>
        <w:ind w:left="4" w:right="180" w:hanging="4"/>
        <w:spacing w:after="0" w:line="260" w:lineRule="auto"/>
        <w:tabs>
          <w:tab w:leader="none" w:pos="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7.4. Conduct of Business.</w:t>
      </w:r>
    </w:p>
    <w:p>
      <w:pPr>
        <w:spacing w:after="0" w:line="121"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The Borrower shall, and shall cause each other Loan Party and each other Subsidiary to, carry on its respective businesses as described in Section 6.1.(t).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4" w:right="439" w:bottom="1440" w:gutter="0" w:footer="0" w:header="0"/>
        </w:sectPr>
      </w:pPr>
    </w:p>
    <w:bookmarkStart w:id="67" w:name="page68"/>
    <w:bookmarkEnd w:id="6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7.5. Insurance.</w:t>
      </w:r>
    </w:p>
    <w:p>
      <w:pPr>
        <w:spacing w:after="0" w:line="12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7.7. Books and Records; Inspections.</w:t>
      </w:r>
    </w:p>
    <w:p>
      <w:pPr>
        <w:spacing w:after="0" w:line="12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w:t>
      </w:r>
    </w:p>
    <w:p>
      <w:pPr>
        <w:spacing w:after="0" w:line="1" w:lineRule="exact"/>
        <w:rPr>
          <w:sz w:val="20"/>
          <w:szCs w:val="20"/>
          <w:color w:val="auto"/>
        </w:rPr>
      </w:pPr>
    </w:p>
    <w:p>
      <w:pPr>
        <w:ind w:left="4" w:right="80" w:hanging="4"/>
        <w:spacing w:after="0" w:line="271" w:lineRule="auto"/>
        <w:tabs>
          <w:tab w:leader="none" w:pos="249"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7.8. Use of Proceeds.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Borrower will use the proceeds of Loans only to (i) provide for the general working capital needs of the Borrower and its Subsidiaries and</w:t>
      </w:r>
    </w:p>
    <w:p>
      <w:pPr>
        <w:spacing w:after="0" w:line="46" w:lineRule="exact"/>
        <w:rPr>
          <w:sz w:val="20"/>
          <w:szCs w:val="20"/>
          <w:color w:val="auto"/>
        </w:rPr>
      </w:pPr>
    </w:p>
    <w:p>
      <w:pPr>
        <w:ind w:left="264" w:hanging="264"/>
        <w:spacing w:after="0"/>
        <w:tabs>
          <w:tab w:leader="none" w:pos="2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other general corporate purposes of the Borrower and its Subsidiaries.</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1"/>
          <w:numId w:val="62"/>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024"/>
          </w:cols>
          <w:pgMar w:left="436" w:top="270" w:right="439" w:bottom="1440" w:gutter="0" w:footer="0" w:header="0"/>
        </w:sectPr>
      </w:pPr>
    </w:p>
    <w:bookmarkStart w:id="68" w:name="page69"/>
    <w:bookmarkEnd w:id="6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7.9. Environmental Matters.</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7.10. Further Assurances.</w:t>
      </w:r>
    </w:p>
    <w:p>
      <w:pPr>
        <w:spacing w:after="0" w:line="12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Section 7.11. Compliance with Anti-Corruption Laws; Beneficial Ownership Regulation, Anti-Money Laundering Laws and Sanctions.</w:t>
      </w:r>
    </w:p>
    <w:p>
      <w:pPr>
        <w:spacing w:after="0" w:line="133"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The Borrower will (a) maintain in effect and enforce policies and procedures designed to ensure compliance by the Borrower, its Subsidiaries and their respective directors, officers, employees and agents with all Anti-Corruption Laws, Anti-Money Laundering Laws and applicable Sanctions,</w:t>
      </w:r>
    </w:p>
    <w:p>
      <w:pPr>
        <w:ind w:left="4" w:right="20" w:hanging="4"/>
        <w:spacing w:after="0" w:line="273" w:lineRule="auto"/>
        <w:tabs>
          <w:tab w:leader="none" w:pos="259"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7.12. REIT Status.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at all times maintain its status as, and election to be treated as, a REIT under the Internal Revenue Code.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7.13. Exchange Listing.</w:t>
      </w:r>
    </w:p>
    <w:p>
      <w:pPr>
        <w:spacing w:after="0" w:line="12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or the American Stock Exchange or other national exchange which is subject to price quotations on The NASDAQ Stock Market’s National Market System (or any successor exchanges or quotation systems thereto).</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4"/>
          </w:cols>
          <w:pgMar w:left="436" w:top="270" w:right="4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7.14. Guarantors.</w:t>
      </w:r>
    </w:p>
    <w:p>
      <w:pPr>
        <w:spacing w:after="0" w:line="121" w:lineRule="exact"/>
        <w:rPr>
          <w:sz w:val="20"/>
          <w:szCs w:val="20"/>
          <w:color w:val="auto"/>
        </w:rPr>
      </w:pPr>
    </w:p>
    <w:p>
      <w:pPr>
        <w:ind w:firstLine="436"/>
        <w:spacing w:after="0" w:line="275" w:lineRule="auto"/>
        <w:tabs>
          <w:tab w:leader="none" w:pos="817" w:val="left"/>
        </w:tabs>
        <w:numPr>
          <w:ilvl w:val="0"/>
          <w:numId w:val="64"/>
        </w:numPr>
        <w:rPr>
          <w:rFonts w:ascii="Arial" w:cs="Arial" w:eastAsia="Arial" w:hAnsi="Arial"/>
          <w:sz w:val="17"/>
          <w:szCs w:val="17"/>
          <w:color w:val="auto"/>
        </w:rPr>
      </w:pPr>
      <w:r>
        <w:rPr>
          <w:rFonts w:ascii="Arial" w:cs="Arial" w:eastAsia="Arial" w:hAnsi="Arial"/>
          <w:sz w:val="17"/>
          <w:szCs w:val="17"/>
          <w:color w:val="auto"/>
        </w:rPr>
        <w:t>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p>
    <w:p>
      <w:pPr>
        <w:spacing w:after="0" w:line="68" w:lineRule="exact"/>
        <w:rPr>
          <w:rFonts w:ascii="Arial" w:cs="Arial" w:eastAsia="Arial" w:hAnsi="Arial"/>
          <w:sz w:val="17"/>
          <w:szCs w:val="17"/>
          <w:color w:val="auto"/>
        </w:rPr>
      </w:pPr>
    </w:p>
    <w:p>
      <w:pPr>
        <w:ind w:left="440" w:right="140" w:firstLine="419"/>
        <w:spacing w:after="0" w:line="277" w:lineRule="auto"/>
        <w:tabs>
          <w:tab w:leader="none" w:pos="12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such Subsidiary Guarantees, or otherwise becomes obligated in respect of, any Indebtedness of the Borrower or any Subsidiary of the Borrower; or</w:t>
      </w:r>
    </w:p>
    <w:p>
      <w:pPr>
        <w:spacing w:after="0" w:line="62" w:lineRule="exact"/>
        <w:rPr>
          <w:rFonts w:ascii="Arial" w:cs="Arial" w:eastAsia="Arial" w:hAnsi="Arial"/>
          <w:sz w:val="18"/>
          <w:szCs w:val="18"/>
          <w:color w:val="auto"/>
        </w:rPr>
      </w:pPr>
    </w:p>
    <w:p>
      <w:pPr>
        <w:ind w:left="440" w:right="380" w:firstLine="419"/>
        <w:spacing w:after="0" w:line="277" w:lineRule="auto"/>
        <w:tabs>
          <w:tab w:leader="none" w:pos="12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such Subsidiary (A) owns any asset the value of which is included in the determination of Unencumbered Asset Value and (B) has incurred, acquired or suffered to exist any Recourse Indebtedness.</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00" w:firstLine="436"/>
        <w:spacing w:after="0" w:line="271" w:lineRule="auto"/>
        <w:tabs>
          <w:tab w:leader="none" w:pos="81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Borrower may request in writing that the Administrative Agent release, and upon receipt of such request the Administrative Agent shall release,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ended June 30, 2020), the unaudited consolidated balance sheet of the Borrower and its Subsidiaries as at the end of such period and the related unaudited consolidated statements of operations, shareholders’ equity and cash flows of the Borrower and its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8.2. Year-End Statements.</w:t>
      </w:r>
    </w:p>
    <w:p>
      <w:pPr>
        <w:spacing w:after="0" w:line="12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As soon as available and in any event within five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shareholders’ equity and cash flows of the Borrower and its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accordance with GAAP, the consolidated financial position of the Borrower and its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8.3. Compliance Certificate.</w:t>
      </w:r>
    </w:p>
    <w:p>
      <w:pPr>
        <w:spacing w:after="0" w:line="12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I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w:t>
      </w:r>
    </w:p>
    <w:p>
      <w:pPr>
        <w:spacing w:after="0" w:line="1" w:lineRule="exact"/>
        <w:rPr>
          <w:sz w:val="20"/>
          <w:szCs w:val="20"/>
          <w:color w:val="auto"/>
        </w:rPr>
      </w:pPr>
    </w:p>
    <w:p>
      <w:pPr>
        <w:jc w:val="both"/>
        <w:ind w:left="4" w:right="400" w:hanging="4"/>
        <w:spacing w:after="0" w:line="255" w:lineRule="auto"/>
        <w:tabs>
          <w:tab w:leader="none" w:pos="3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8.4. Other Information.</w:t>
      </w:r>
    </w:p>
    <w:p>
      <w:pPr>
        <w:spacing w:after="0" w:line="121" w:lineRule="exact"/>
        <w:rPr>
          <w:sz w:val="20"/>
          <w:szCs w:val="20"/>
          <w:color w:val="auto"/>
        </w:rPr>
      </w:pPr>
    </w:p>
    <w:p>
      <w:pPr>
        <w:ind w:left="4" w:right="880" w:firstLine="436"/>
        <w:spacing w:after="0" w:line="277" w:lineRule="auto"/>
        <w:tabs>
          <w:tab w:leader="none" w:pos="8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Promptly upon receipt thereof, copies of all management reports, if any, submitted to the Borrower or its Board of Trustees by its independent public accountants;</w:t>
      </w:r>
    </w:p>
    <w:p>
      <w:pPr>
        <w:spacing w:after="0" w:line="170" w:lineRule="exact"/>
        <w:rPr>
          <w:rFonts w:ascii="Arial" w:cs="Arial" w:eastAsia="Arial" w:hAnsi="Arial"/>
          <w:sz w:val="18"/>
          <w:szCs w:val="18"/>
          <w:color w:val="auto"/>
        </w:rPr>
      </w:pPr>
    </w:p>
    <w:p>
      <w:pPr>
        <w:ind w:left="4" w:right="140" w:firstLine="436"/>
        <w:spacing w:after="0" w:line="277" w:lineRule="auto"/>
        <w:tabs>
          <w:tab w:leader="none" w:pos="8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Within five (5) Business Days of the filing thereof, copies of all registration statements (excluding the exhibits thereto (unless requested by the Administrative Agent) and any registration</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66"/>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984"/>
          </w:cols>
          <w:pgMar w:left="436" w:top="270" w:right="479" w:bottom="1440" w:gutter="0" w:footer="0" w:header="0"/>
        </w:sectPr>
      </w:pPr>
    </w:p>
    <w:bookmarkStart w:id="71" w:name="page72"/>
    <w:bookmarkEnd w:id="71"/>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statements on Form S-8 or its equivalent), reports on Forms 10-K, 10-Q and 8-K (or their equivalents) and all other periodic reports which any Loan Party or any other Subsidiary shall file with the Securities and Exchange Commission (or any Governmental Authority substituted therefor) or any national securities exchange;</w:t>
      </w:r>
    </w:p>
    <w:p>
      <w:pPr>
        <w:spacing w:after="0" w:line="184" w:lineRule="exact"/>
        <w:rPr>
          <w:sz w:val="20"/>
          <w:szCs w:val="20"/>
          <w:color w:val="auto"/>
        </w:rPr>
      </w:pPr>
    </w:p>
    <w:p>
      <w:pPr>
        <w:ind w:right="460" w:firstLine="436"/>
        <w:spacing w:after="0" w:line="263"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83" w:lineRule="exact"/>
        <w:rPr>
          <w:rFonts w:ascii="Arial" w:cs="Arial" w:eastAsia="Arial" w:hAnsi="Arial"/>
          <w:sz w:val="18"/>
          <w:szCs w:val="18"/>
          <w:color w:val="auto"/>
        </w:rPr>
      </w:pPr>
    </w:p>
    <w:p>
      <w:pPr>
        <w:ind w:firstLine="436"/>
        <w:spacing w:after="0" w:line="273" w:lineRule="auto"/>
        <w:tabs>
          <w:tab w:leader="none" w:pos="83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77" w:lineRule="exact"/>
        <w:rPr>
          <w:rFonts w:ascii="Arial" w:cs="Arial" w:eastAsia="Arial" w:hAnsi="Arial"/>
          <w:sz w:val="17"/>
          <w:szCs w:val="17"/>
          <w:color w:val="auto"/>
        </w:rPr>
      </w:pPr>
    </w:p>
    <w:p>
      <w:pPr>
        <w:ind w:right="20" w:firstLine="436"/>
        <w:spacing w:after="0" w:line="286" w:lineRule="auto"/>
        <w:tabs>
          <w:tab w:leader="none" w:pos="8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w:t>
      </w:r>
    </w:p>
    <w:p>
      <w:pPr>
        <w:spacing w:after="0" w:line="165" w:lineRule="exact"/>
        <w:rPr>
          <w:rFonts w:ascii="Arial" w:cs="Arial" w:eastAsia="Arial" w:hAnsi="Arial"/>
          <w:sz w:val="17"/>
          <w:szCs w:val="17"/>
          <w:color w:val="auto"/>
        </w:rPr>
      </w:pPr>
    </w:p>
    <w:p>
      <w:pPr>
        <w:ind w:right="120" w:firstLine="436"/>
        <w:spacing w:after="0" w:line="257" w:lineRule="auto"/>
        <w:tabs>
          <w:tab w:leader="none" w:pos="7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187" w:lineRule="exact"/>
        <w:rPr>
          <w:rFonts w:ascii="Arial" w:cs="Arial" w:eastAsia="Arial" w:hAnsi="Arial"/>
          <w:sz w:val="18"/>
          <w:szCs w:val="18"/>
          <w:color w:val="auto"/>
        </w:rPr>
      </w:pPr>
    </w:p>
    <w:p>
      <w:pPr>
        <w:ind w:right="260" w:firstLine="436"/>
        <w:spacing w:after="0" w:line="277"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copy of any amendment to the declaration of trust or other organizational documents of the Borrower within fifteen (15) Business Days after the effectiveness thereof;</w:t>
      </w:r>
    </w:p>
    <w:p>
      <w:pPr>
        <w:spacing w:after="0" w:line="170" w:lineRule="exact"/>
        <w:rPr>
          <w:rFonts w:ascii="Arial" w:cs="Arial" w:eastAsia="Arial" w:hAnsi="Arial"/>
          <w:sz w:val="18"/>
          <w:szCs w:val="18"/>
          <w:color w:val="auto"/>
        </w:rPr>
      </w:pPr>
    </w:p>
    <w:p>
      <w:pPr>
        <w:ind w:right="80" w:firstLine="436"/>
        <w:spacing w:after="0" w:line="286" w:lineRule="auto"/>
        <w:tabs>
          <w:tab w:leader="none" w:pos="83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w:t>
      </w:r>
    </w:p>
    <w:p>
      <w:pPr>
        <w:spacing w:after="0" w:line="165" w:lineRule="exact"/>
        <w:rPr>
          <w:rFonts w:ascii="Arial" w:cs="Arial" w:eastAsia="Arial" w:hAnsi="Arial"/>
          <w:sz w:val="17"/>
          <w:szCs w:val="17"/>
          <w:color w:val="auto"/>
        </w:rPr>
      </w:pPr>
    </w:p>
    <w:p>
      <w:pPr>
        <w:ind w:right="80" w:firstLine="436"/>
        <w:spacing w:after="0" w:line="259" w:lineRule="auto"/>
        <w:tabs>
          <w:tab w:leader="none" w:pos="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spacing w:after="0" w:line="186" w:lineRule="exact"/>
        <w:rPr>
          <w:rFonts w:ascii="Arial" w:cs="Arial" w:eastAsia="Arial" w:hAnsi="Arial"/>
          <w:sz w:val="18"/>
          <w:szCs w:val="18"/>
          <w:color w:val="auto"/>
        </w:rPr>
      </w:pPr>
    </w:p>
    <w:p>
      <w:pPr>
        <w:ind w:right="340" w:firstLine="436"/>
        <w:spacing w:after="0" w:line="277" w:lineRule="auto"/>
        <w:tabs>
          <w:tab w:leader="none" w:pos="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Prompt notice of any order, judgment or decree not covered by insurance in excess of $25,000,000 having been entered against any Loan Party or any other Subsidiary or any of their respective properties or assets;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000"/>
          </w:cols>
          <w:pgMar w:left="440" w:top="274" w:right="459" w:bottom="1440" w:gutter="0" w:footer="0" w:header="0"/>
        </w:sectPr>
      </w:pPr>
    </w:p>
    <w:bookmarkStart w:id="72" w:name="page73"/>
    <w:bookmarkEnd w:id="72"/>
    <w:p>
      <w:pPr>
        <w:ind w:right="420" w:firstLine="436"/>
        <w:spacing w:after="0" w:line="342" w:lineRule="auto"/>
        <w:tabs>
          <w:tab w:leader="none" w:pos="830"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23" w:lineRule="exact"/>
        <w:rPr>
          <w:rFonts w:ascii="Arial" w:cs="Arial" w:eastAsia="Arial" w:hAnsi="Arial"/>
          <w:sz w:val="16"/>
          <w:szCs w:val="16"/>
          <w:color w:val="auto"/>
        </w:rPr>
      </w:pPr>
    </w:p>
    <w:p>
      <w:pPr>
        <w:ind w:left="780" w:hanging="344"/>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60" w:firstLine="436"/>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evidence of the Borrower’s calculation of the Ownership Share with respect to a Subsidiary or an Unconsolidated Affiliate, such evidence to be in form and detail satisfactory to the Administrative Agent;</w:t>
      </w:r>
    </w:p>
    <w:p>
      <w:pPr>
        <w:spacing w:after="0" w:line="170" w:lineRule="exact"/>
        <w:rPr>
          <w:rFonts w:ascii="Arial" w:cs="Arial" w:eastAsia="Arial" w:hAnsi="Arial"/>
          <w:sz w:val="18"/>
          <w:szCs w:val="18"/>
          <w:color w:val="auto"/>
        </w:rPr>
      </w:pPr>
    </w:p>
    <w:p>
      <w:pPr>
        <w:ind w:right="100" w:firstLine="436"/>
        <w:spacing w:after="0" w:line="277" w:lineRule="auto"/>
        <w:tabs>
          <w:tab w:leader="none" w:pos="8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upon any change in the Borrower’s Credit Rating, a certificate stating that the Borrower’s Credit Rating has changed and the new Credit Rating that is in effect;</w:t>
      </w:r>
    </w:p>
    <w:p>
      <w:pPr>
        <w:spacing w:after="0" w:line="170" w:lineRule="exact"/>
        <w:rPr>
          <w:rFonts w:ascii="Arial" w:cs="Arial" w:eastAsia="Arial" w:hAnsi="Arial"/>
          <w:sz w:val="18"/>
          <w:szCs w:val="18"/>
          <w:color w:val="auto"/>
        </w:rPr>
      </w:pPr>
    </w:p>
    <w:p>
      <w:pPr>
        <w:ind w:right="220" w:firstLine="436"/>
        <w:spacing w:after="0" w:line="263" w:lineRule="auto"/>
        <w:tabs>
          <w:tab w:leader="none" w:pos="8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w:t>
      </w:r>
    </w:p>
    <w:p>
      <w:pPr>
        <w:spacing w:after="0" w:line="183" w:lineRule="exact"/>
        <w:rPr>
          <w:rFonts w:ascii="Arial" w:cs="Arial" w:eastAsia="Arial" w:hAnsi="Arial"/>
          <w:sz w:val="18"/>
          <w:szCs w:val="18"/>
          <w:color w:val="auto"/>
        </w:rPr>
      </w:pPr>
    </w:p>
    <w:p>
      <w:pPr>
        <w:ind w:right="80" w:firstLine="436"/>
        <w:spacing w:after="0" w:line="277" w:lineRule="auto"/>
        <w:tabs>
          <w:tab w:leader="none" w:pos="8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 notice of the sale, transfer or other disposition of any material assets of the Borrower, any Subsidiary or any other Loan Party to any Person other than the Borrower, any Subsidiary or any other Loan Party;</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Prompt written notice, meaning within ten (10) Business Days after the Borrower obtains knowledge thereof, of the occurrence of any of the</w:t>
      </w:r>
    </w:p>
    <w:p>
      <w:pPr>
        <w:spacing w:after="0" w:line="46" w:lineRule="exact"/>
        <w:rPr>
          <w:rFonts w:ascii="Arial" w:cs="Arial" w:eastAsia="Arial" w:hAnsi="Arial"/>
          <w:sz w:val="16"/>
          <w:szCs w:val="16"/>
          <w:color w:val="auto"/>
        </w:rPr>
      </w:pPr>
    </w:p>
    <w:p>
      <w:pPr>
        <w:ind w:right="120"/>
        <w:spacing w:after="0" w:line="287" w:lineRule="auto"/>
        <w:rPr>
          <w:rFonts w:ascii="Arial" w:cs="Arial" w:eastAsia="Arial" w:hAnsi="Arial"/>
          <w:sz w:val="16"/>
          <w:szCs w:val="16"/>
          <w:color w:val="auto"/>
        </w:rPr>
      </w:pPr>
      <w:r>
        <w:rPr>
          <w:rFonts w:ascii="Arial" w:cs="Arial" w:eastAsia="Arial" w:hAnsi="Arial"/>
          <w:sz w:val="16"/>
          <w:szCs w:val="16"/>
          <w:color w:val="auto"/>
        </w:rPr>
        <w:t>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w:t>
      </w:r>
    </w:p>
    <w:p>
      <w:pPr>
        <w:spacing w:after="0" w:line="169" w:lineRule="exact"/>
        <w:rPr>
          <w:rFonts w:ascii="Arial" w:cs="Arial" w:eastAsia="Arial" w:hAnsi="Arial"/>
          <w:sz w:val="16"/>
          <w:szCs w:val="16"/>
          <w:color w:val="auto"/>
        </w:rPr>
      </w:pPr>
    </w:p>
    <w:p>
      <w:pPr>
        <w:ind w:right="140" w:firstLine="436"/>
        <w:spacing w:after="0" w:line="277"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the Derivatives Termination Value in respect of any Specified Derivatives Contract from time to time outstanding; and</w:t>
      </w:r>
    </w:p>
    <w:p>
      <w:pPr>
        <w:spacing w:after="0" w:line="170" w:lineRule="exact"/>
        <w:rPr>
          <w:rFonts w:ascii="Arial" w:cs="Arial" w:eastAsia="Arial" w:hAnsi="Arial"/>
          <w:sz w:val="18"/>
          <w:szCs w:val="18"/>
          <w:color w:val="auto"/>
        </w:rPr>
      </w:pPr>
    </w:p>
    <w:p>
      <w:pPr>
        <w:ind w:right="240" w:firstLine="436"/>
        <w:spacing w:after="0" w:line="263" w:lineRule="auto"/>
        <w:tabs>
          <w:tab w:leader="none" w:pos="8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From time to time and promptly upon each request, such data, certificates, reports, statements, opinions of counsel, documents or further information regarding the business, assets, liabilities, financial condition or results of operations of the Borrower, any of its Subsidiaries, or any other Loan Party as the Administrative Agent or any Lender may reasonably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121" w:lineRule="exact"/>
        <w:rPr>
          <w:sz w:val="20"/>
          <w:szCs w:val="20"/>
          <w:color w:val="auto"/>
        </w:rPr>
      </w:pPr>
    </w:p>
    <w:p>
      <w:pPr>
        <w:jc w:val="both"/>
        <w:ind w:firstLine="436"/>
        <w:spacing w:after="0" w:line="259"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Article II. and (ii) any Lender that has notified the</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0980"/>
          </w:cols>
          <w:pgMar w:left="440" w:top="274" w:right="479" w:bottom="1440" w:gutter="0" w:footer="0" w:header="0"/>
        </w:sectPr>
      </w:pPr>
    </w:p>
    <w:bookmarkStart w:id="73" w:name="page74"/>
    <w:bookmarkEnd w:id="7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12:00 p.m. noon Eastern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184" w:lineRule="exact"/>
        <w:rPr>
          <w:sz w:val="20"/>
          <w:szCs w:val="20"/>
          <w:color w:val="auto"/>
        </w:rPr>
      </w:pPr>
    </w:p>
    <w:p>
      <w:pPr>
        <w:ind w:right="360" w:firstLine="436"/>
        <w:spacing w:after="0" w:line="277" w:lineRule="auto"/>
        <w:tabs>
          <w:tab w:leader="none" w:pos="8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Documents required to be delivered pursuant to Article II. may be delivered electronically to a website provided for such purpose by the Administrative Agent pursuant to the procedures provided to the Borrower by the Administrative Agent.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Public/Private Information.</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Borrower will cooperate with the Administrative Agent in connection with the publication of certain materials and/or information provided by or on behalf of the Borrower to the Administrative Agent and the Lenders (collectively, “</w:t>
      </w:r>
      <w:r>
        <w:rPr>
          <w:rFonts w:ascii="Arial" w:cs="Arial" w:eastAsia="Arial" w:hAnsi="Arial"/>
          <w:sz w:val="17"/>
          <w:szCs w:val="17"/>
          <w:b w:val="1"/>
          <w:bCs w:val="1"/>
          <w:color w:val="auto"/>
        </w:rPr>
        <w:t>Information Materials</w:t>
      </w:r>
      <w:r>
        <w:rPr>
          <w:rFonts w:ascii="Arial" w:cs="Arial" w:eastAsia="Arial" w:hAnsi="Arial"/>
          <w:sz w:val="17"/>
          <w:szCs w:val="17"/>
          <w:color w:val="auto"/>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USA Patriot Act Notice; Compliance.</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229" w:lineRule="exact"/>
        <w:rPr>
          <w:sz w:val="20"/>
          <w:szCs w:val="20"/>
          <w:color w:val="auto"/>
        </w:rPr>
      </w:pPr>
    </w:p>
    <w:p>
      <w:pPr>
        <w:ind w:right="720" w:firstLine="440"/>
        <w:spacing w:after="0" w:line="308" w:lineRule="auto"/>
        <w:rPr>
          <w:sz w:val="20"/>
          <w:szCs w:val="20"/>
          <w:color w:val="auto"/>
        </w:rPr>
      </w:pPr>
      <w:r>
        <w:rPr>
          <w:rFonts w:ascii="Arial" w:cs="Arial" w:eastAsia="Arial" w:hAnsi="Arial"/>
          <w:sz w:val="17"/>
          <w:szCs w:val="17"/>
          <w:color w:val="auto"/>
        </w:rPr>
        <w:t>For so long as this Agreement is in effect, unless the Requisite Lenders (or, if required pursuant to Section 12.7., all of the Lenders) shall otherwise consent in the manner set forth in Section 12.7., the Borrower shall comply with the following covenants: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121" w:lineRule="exact"/>
        <w:rPr>
          <w:sz w:val="20"/>
          <w:szCs w:val="20"/>
          <w:color w:val="auto"/>
        </w:rPr>
      </w:pPr>
    </w:p>
    <w:p>
      <w:pPr>
        <w:ind w:left="820" w:hanging="38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firstLine="436"/>
        <w:spacing w:after="0" w:line="254" w:lineRule="auto"/>
        <w:tabs>
          <w:tab w:leader="none" w:pos="83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xml:space="preserve">. The Borrower shall not permit the ratio of (i) Total Indebtedness to (ii) Total Asset Value to exceed 0.60 to 1.00 at any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p>
    <w:p>
      <w:pPr>
        <w:spacing w:after="0" w:line="194" w:lineRule="exact"/>
        <w:rPr>
          <w:rFonts w:ascii="Arial" w:cs="Arial" w:eastAsia="Arial" w:hAnsi="Arial"/>
          <w:sz w:val="18"/>
          <w:szCs w:val="18"/>
          <w:color w:val="auto"/>
        </w:rPr>
      </w:pPr>
    </w:p>
    <w:p>
      <w:pPr>
        <w:ind w:right="100" w:firstLine="436"/>
        <w:spacing w:after="0" w:line="342" w:lineRule="auto"/>
        <w:tabs>
          <w:tab w:leader="none" w:pos="82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Borrower shall not permit the ratio of (i) Adjusted EBITDA for the period of four consecutive fiscal quarters most recently ended to (ii) Fixed Charges for such period, to be less than 1.50 to 1.00 as of the last day of such period.</w:t>
      </w:r>
    </w:p>
    <w:p>
      <w:pPr>
        <w:spacing w:after="0" w:line="123" w:lineRule="exact"/>
        <w:rPr>
          <w:rFonts w:ascii="Arial" w:cs="Arial" w:eastAsia="Arial" w:hAnsi="Arial"/>
          <w:sz w:val="16"/>
          <w:szCs w:val="16"/>
          <w:color w:val="auto"/>
        </w:rPr>
      </w:pPr>
    </w:p>
    <w:p>
      <w:pPr>
        <w:ind w:right="740" w:firstLine="436"/>
        <w:spacing w:after="0" w:line="277" w:lineRule="auto"/>
        <w:tabs>
          <w:tab w:leader="none" w:pos="83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Maximum Secured Indebtedness Ratio</w:t>
      </w:r>
      <w:r>
        <w:rPr>
          <w:rFonts w:ascii="Arial" w:cs="Arial" w:eastAsia="Arial" w:hAnsi="Arial"/>
          <w:sz w:val="18"/>
          <w:szCs w:val="18"/>
          <w:color w:val="auto"/>
        </w:rPr>
        <w:t>. The Borrower shall not permit the ratio of (i) Secured Indebtedness of the Borrower and its Subsidiaries determined on a consolidated basis to (ii) Total Asset Value to exceed 0.35 to 1.00 at any time.</w:t>
      </w:r>
    </w:p>
    <w:p>
      <w:pPr>
        <w:spacing w:after="0" w:line="170" w:lineRule="exact"/>
        <w:rPr>
          <w:rFonts w:ascii="Arial" w:cs="Arial" w:eastAsia="Arial" w:hAnsi="Arial"/>
          <w:sz w:val="18"/>
          <w:szCs w:val="18"/>
          <w:color w:val="auto"/>
        </w:rPr>
      </w:pPr>
    </w:p>
    <w:p>
      <w:pPr>
        <w:ind w:right="20" w:firstLine="436"/>
        <w:spacing w:after="0" w:line="254"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Maximum Unencumbered Leverage Ratio</w:t>
      </w:r>
      <w:r>
        <w:rPr>
          <w:rFonts w:ascii="Arial" w:cs="Arial" w:eastAsia="Arial" w:hAnsi="Arial"/>
          <w:sz w:val="18"/>
          <w:szCs w:val="18"/>
          <w:color w:val="auto"/>
        </w:rPr>
        <w:t xml:space="preserve">. The Borrower shall not permit the ratio of (i) Unsecured Indebtedness of the Borrower and its Subsidiaries determined on a consolidated basis to (ii) Unencumbered Asset Value, to exceed 0.60 to 1.00 at any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spacing w:after="0" w:line="191" w:lineRule="exact"/>
        <w:rPr>
          <w:rFonts w:ascii="Arial" w:cs="Arial" w:eastAsia="Arial" w:hAnsi="Arial"/>
          <w:sz w:val="18"/>
          <w:szCs w:val="18"/>
          <w:color w:val="auto"/>
        </w:rPr>
      </w:pPr>
    </w:p>
    <w:p>
      <w:pPr>
        <w:ind w:left="800" w:hanging="364"/>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300" w:firstLine="436"/>
        <w:spacing w:after="0" w:line="286" w:lineRule="auto"/>
        <w:tabs>
          <w:tab w:leader="none" w:pos="79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Dividends and Other Restricted Payments</w:t>
      </w:r>
      <w:r>
        <w:rPr>
          <w:rFonts w:ascii="Arial" w:cs="Arial" w:eastAsia="Arial" w:hAnsi="Arial"/>
          <w:sz w:val="17"/>
          <w:szCs w:val="17"/>
          <w:color w:val="auto"/>
        </w:rPr>
        <w:t>. The Borrower shall not, and shall not permit any of its Subsidiaries to, declare or make any Restricted Payment if an Event of Default shall have occurred and is continuing; except that the Borrower may, subject to the immediately following sentence, declare and make cash distributions to its shareholders during any fiscal year in an aggregate amount not to exceed</w:t>
      </w:r>
    </w:p>
    <w:p>
      <w:pPr>
        <w:spacing w:after="0" w:line="97" w:lineRule="exact"/>
        <w:rPr>
          <w:rFonts w:ascii="Arial" w:cs="Arial" w:eastAsia="Arial" w:hAnsi="Arial"/>
          <w:sz w:val="17"/>
          <w:szCs w:val="17"/>
          <w:color w:val="auto"/>
        </w:rPr>
      </w:pPr>
    </w:p>
    <w:p>
      <w:pPr>
        <w:ind w:left="5420" w:hanging="111"/>
        <w:spacing w:after="0"/>
        <w:tabs>
          <w:tab w:leader="none" w:pos="5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000"/>
          </w:cols>
          <w:pgMar w:left="440" w:top="270" w:right="459" w:bottom="1440" w:gutter="0" w:footer="0" w:header="0"/>
        </w:sectPr>
      </w:pPr>
    </w:p>
    <w:bookmarkStart w:id="75" w:name="page76"/>
    <w:bookmarkEnd w:id="75"/>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minimum amount necessary for the Borrower to remain in compliance with Section 7.12.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9.2. [Intentionally Omitted].</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9.3. Liens; Negative Pledges.</w:t>
      </w:r>
    </w:p>
    <w:p>
      <w:pPr>
        <w:spacing w:after="0" w:line="121" w:lineRule="exact"/>
        <w:rPr>
          <w:sz w:val="20"/>
          <w:szCs w:val="20"/>
          <w:color w:val="auto"/>
        </w:rPr>
      </w:pPr>
    </w:p>
    <w:p>
      <w:pPr>
        <w:ind w:left="4" w:right="120" w:firstLine="436"/>
        <w:spacing w:after="0" w:line="257" w:lineRule="auto"/>
        <w:tabs>
          <w:tab w:leader="none" w:pos="8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spacing w:after="0" w:line="187" w:lineRule="exact"/>
        <w:rPr>
          <w:rFonts w:ascii="Arial" w:cs="Arial" w:eastAsia="Arial" w:hAnsi="Arial"/>
          <w:sz w:val="18"/>
          <w:szCs w:val="18"/>
          <w:color w:val="auto"/>
        </w:rPr>
      </w:pPr>
    </w:p>
    <w:p>
      <w:pPr>
        <w:ind w:left="4" w:firstLine="436"/>
        <w:spacing w:after="0" w:line="293" w:lineRule="auto"/>
        <w:tabs>
          <w:tab w:leader="none" w:pos="83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9.4. Restrictions on Intercompany Transfers.</w:t>
      </w:r>
    </w:p>
    <w:p>
      <w:pPr>
        <w:spacing w:after="0" w:line="121"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w:t>
      </w:r>
    </w:p>
    <w:p>
      <w:pPr>
        <w:spacing w:after="0" w:line="2" w:lineRule="exact"/>
        <w:rPr>
          <w:sz w:val="20"/>
          <w:szCs w:val="20"/>
          <w:color w:val="auto"/>
        </w:rPr>
      </w:pPr>
    </w:p>
    <w:p>
      <w:pPr>
        <w:ind w:left="4" w:right="20" w:hanging="4"/>
        <w:spacing w:after="0" w:line="268" w:lineRule="auto"/>
        <w:tabs>
          <w:tab w:leader="none" w:pos="259" w:val="left"/>
        </w:tabs>
        <w:numPr>
          <w:ilvl w:val="0"/>
          <w:numId w:val="73"/>
        </w:numPr>
        <w:rPr>
          <w:rFonts w:ascii="Arial" w:cs="Arial" w:eastAsia="Arial" w:hAnsi="Arial"/>
          <w:sz w:val="17"/>
          <w:szCs w:val="17"/>
          <w:color w:val="auto"/>
        </w:rPr>
      </w:pPr>
      <w:r>
        <w:rPr>
          <w:rFonts w:ascii="Arial" w:cs="Arial" w:eastAsia="Arial" w:hAnsi="Arial"/>
          <w:sz w:val="17"/>
          <w:szCs w:val="17"/>
          <w:color w:val="auto"/>
        </w:rPr>
        <w:t>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13" w:lineRule="exact"/>
        <w:rPr>
          <w:rFonts w:ascii="Arial" w:cs="Arial" w:eastAsia="Arial" w:hAnsi="Arial"/>
          <w:sz w:val="17"/>
          <w:szCs w:val="17"/>
          <w:color w:val="auto"/>
        </w:rPr>
      </w:pPr>
    </w:p>
    <w:p>
      <w:pPr>
        <w:ind w:left="5424" w:hanging="111"/>
        <w:spacing w:after="0"/>
        <w:tabs>
          <w:tab w:leader="none" w:pos="5424" w:val="left"/>
        </w:tabs>
        <w:numPr>
          <w:ilvl w:val="1"/>
          <w:numId w:val="73"/>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004"/>
          </w:cols>
          <w:pgMar w:left="436" w:top="274"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9.5. Merger, Consolidation, Sales of Assets and Other Arrangements.</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spacing w:after="0" w:line="79" w:lineRule="exact"/>
        <w:rPr>
          <w:sz w:val="20"/>
          <w:szCs w:val="20"/>
          <w:color w:val="auto"/>
        </w:rPr>
      </w:pPr>
    </w:p>
    <w:p>
      <w:pPr>
        <w:ind w:left="440" w:right="140" w:firstLine="419"/>
        <w:spacing w:after="0" w:line="285" w:lineRule="auto"/>
        <w:tabs>
          <w:tab w:leader="none" w:pos="1213"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w:t>
      </w:r>
    </w:p>
    <w:p>
      <w:pPr>
        <w:spacing w:after="0" w:line="1" w:lineRule="exact"/>
        <w:rPr>
          <w:rFonts w:ascii="Arial" w:cs="Arial" w:eastAsia="Arial" w:hAnsi="Arial"/>
          <w:sz w:val="16"/>
          <w:szCs w:val="16"/>
          <w:color w:val="auto"/>
        </w:rPr>
      </w:pPr>
    </w:p>
    <w:p>
      <w:pPr>
        <w:ind w:left="440" w:right="60" w:hanging="4"/>
        <w:spacing w:after="0" w:line="267" w:lineRule="auto"/>
        <w:tabs>
          <w:tab w:leader="none" w:pos="72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w:t>
      </w:r>
    </w:p>
    <w:p>
      <w:pPr>
        <w:spacing w:after="0" w:line="77" w:lineRule="exact"/>
        <w:rPr>
          <w:rFonts w:ascii="Arial" w:cs="Arial" w:eastAsia="Arial" w:hAnsi="Arial"/>
          <w:sz w:val="17"/>
          <w:szCs w:val="17"/>
          <w:color w:val="auto"/>
        </w:rPr>
      </w:pPr>
    </w:p>
    <w:p>
      <w:pPr>
        <w:ind w:left="440" w:right="20" w:firstLine="419"/>
        <w:spacing w:after="0" w:line="277" w:lineRule="auto"/>
        <w:tabs>
          <w:tab w:leader="none" w:pos="126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Borrower, the other Loan Parties and the other Subsidiaries may lease and sublease their respective assets, as lessor or sublessor (as the case may be), in the ordinary course of their business;</w:t>
      </w:r>
    </w:p>
    <w:p>
      <w:pPr>
        <w:spacing w:after="0" w:line="62" w:lineRule="exact"/>
        <w:rPr>
          <w:rFonts w:ascii="Arial" w:cs="Arial" w:eastAsia="Arial" w:hAnsi="Arial"/>
          <w:sz w:val="18"/>
          <w:szCs w:val="18"/>
          <w:color w:val="auto"/>
        </w:rPr>
      </w:pPr>
    </w:p>
    <w:p>
      <w:pPr>
        <w:jc w:val="both"/>
        <w:ind w:left="440" w:right="120" w:firstLine="419"/>
        <w:spacing w:after="0" w:line="291" w:lineRule="auto"/>
        <w:tabs>
          <w:tab w:leader="none" w:pos="1313"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Person may merge with and into the Borrower so long as (A) the Borrower is the survivor of such merger, (B) immediately prior to such merger, and immediately thereafter and after giving effect thereto, no Default or Event of Default shall have occurred and be continuing and</w:t>
      </w:r>
    </w:p>
    <w:p>
      <w:pPr>
        <w:ind w:left="440" w:hanging="4"/>
        <w:spacing w:after="0" w:line="260" w:lineRule="auto"/>
        <w:tabs>
          <w:tab w:leader="none" w:pos="7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Borrower shall have given the Administrative Agent and the Lenders at least 10 Business Days’ prior written notice of such merger (except that such prior notice shall not be required in the case of a merger by a Subsidiary with and into the Borrower);</w:t>
      </w:r>
    </w:p>
    <w:p>
      <w:pPr>
        <w:spacing w:after="0" w:line="77" w:lineRule="exact"/>
        <w:rPr>
          <w:rFonts w:ascii="Arial" w:cs="Arial" w:eastAsia="Arial" w:hAnsi="Arial"/>
          <w:sz w:val="18"/>
          <w:szCs w:val="18"/>
          <w:color w:val="auto"/>
        </w:rPr>
      </w:pPr>
    </w:p>
    <w:p>
      <w:pPr>
        <w:ind w:left="440" w:right="200" w:firstLine="419"/>
        <w:spacing w:after="0" w:line="277" w:lineRule="auto"/>
        <w:tabs>
          <w:tab w:leader="none" w:pos="134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Borrower and each Subsidiary may sell, transfer or dispose of assets (including by merger or liquidation of Subsidiaries) among themselves;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Borrower and each Subsidiary may transfer property as security for Indebtedness to the extent permitted under Section 9.3.</w:t>
      </w:r>
    </w:p>
    <w:p>
      <w:pPr>
        <w:spacing w:after="0" w:line="169" w:lineRule="exact"/>
        <w:rPr>
          <w:rFonts w:ascii="Arial" w:cs="Arial" w:eastAsia="Arial" w:hAnsi="Arial"/>
          <w:sz w:val="17"/>
          <w:szCs w:val="17"/>
          <w:color w:val="auto"/>
        </w:rPr>
      </w:pPr>
    </w:p>
    <w:p>
      <w:pPr>
        <w:ind w:left="5420" w:hanging="111"/>
        <w:spacing w:after="0"/>
        <w:tabs>
          <w:tab w:leader="none" w:pos="54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020"/>
          </w:cols>
          <w:pgMar w:left="440" w:top="270" w:right="439" w:bottom="1440" w:gutter="0" w:footer="0" w:header="0"/>
        </w:sectPr>
      </w:pPr>
    </w:p>
    <w:bookmarkStart w:id="77" w:name="page78"/>
    <w:bookmarkEnd w:id="7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9.6. Plans.</w:t>
      </w:r>
    </w:p>
    <w:p>
      <w:pPr>
        <w:spacing w:after="0" w:line="121"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9.7. Fiscal Year.</w:t>
      </w:r>
    </w:p>
    <w:p>
      <w:pPr>
        <w:spacing w:after="0" w:line="12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The Borrower shall not, and shall not permit any other Loan Party or other Subsidiary to, change its fiscal year from that in effect as of the Agreement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9.8. Modifications of Organizational Documents.</w:t>
      </w:r>
    </w:p>
    <w:p>
      <w:pPr>
        <w:spacing w:after="0" w:line="12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9.9. Transactions with Affiliates.</w:t>
      </w:r>
    </w:p>
    <w:p>
      <w:pPr>
        <w:spacing w:after="0" w:line="121"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w:t>
      </w:r>
    </w:p>
    <w:p>
      <w:pPr>
        <w:ind w:left="4" w:hanging="4"/>
        <w:spacing w:after="0" w:line="253"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compensation, bonus and benefit arrangements with employees, officers and trustees as permitted by Applicable Law, (b) transactions permitted by Section 9.5. to the extent among the Borrower, the other Loan Parties and other Subsidiaries, or (c)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9.10. Environmental Matters.</w:t>
      </w:r>
    </w:p>
    <w:p>
      <w:pPr>
        <w:spacing w:after="0" w:line="121"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9.11. Non-Controlled Properties.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4"/>
          </w:cols>
          <w:pgMar w:left="436" w:top="270" w:right="47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9.12. Derivatives Contracts.</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9.13. Use of Proceeds.</w:t>
      </w:r>
    </w:p>
    <w:p>
      <w:pPr>
        <w:spacing w:after="0" w:line="121" w:lineRule="exact"/>
        <w:rPr>
          <w:sz w:val="20"/>
          <w:szCs w:val="20"/>
          <w:color w:val="auto"/>
        </w:rPr>
      </w:pPr>
    </w:p>
    <w:p>
      <w:pPr>
        <w:ind w:left="824" w:hanging="384"/>
        <w:spacing w:after="0"/>
        <w:tabs>
          <w:tab w:leader="none" w:pos="82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Borrower shall not, and shall not permit any other Loan Party or any other Subsidiary to, use any part of the proceeds of the Loans to</w:t>
      </w:r>
    </w:p>
    <w:p>
      <w:pPr>
        <w:spacing w:after="0" w:line="46" w:lineRule="exact"/>
        <w:rPr>
          <w:rFonts w:ascii="Arial" w:cs="Arial" w:eastAsia="Arial" w:hAnsi="Arial"/>
          <w:sz w:val="16"/>
          <w:szCs w:val="16"/>
          <w:color w:val="auto"/>
        </w:rPr>
      </w:pPr>
    </w:p>
    <w:p>
      <w:pPr>
        <w:ind w:left="4" w:hanging="4"/>
        <w:spacing w:after="0" w:line="255" w:lineRule="auto"/>
        <w:tabs>
          <w:tab w:leader="none" w:pos="2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purchase or carry, or to reduce or retire or refinance any credit incurred to purchase or carry, any margin stock (within the meaning of Regulation U or Regulation X of the Board of Governors of the Federal Reserve System) or (ii) to extend credit to others for the purpose of purchasing or carrying any such margin stock.</w:t>
      </w:r>
    </w:p>
    <w:p>
      <w:pPr>
        <w:spacing w:after="0" w:line="189" w:lineRule="exact"/>
        <w:rPr>
          <w:rFonts w:ascii="Arial" w:cs="Arial" w:eastAsia="Arial" w:hAnsi="Arial"/>
          <w:sz w:val="18"/>
          <w:szCs w:val="18"/>
          <w:color w:val="auto"/>
        </w:rPr>
      </w:pPr>
    </w:p>
    <w:p>
      <w:pPr>
        <w:ind w:left="4" w:right="20" w:firstLine="436"/>
        <w:spacing w:after="0" w:line="296" w:lineRule="auto"/>
        <w:tabs>
          <w:tab w:leader="none" w:pos="831"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Borrower will not request any Loans, and the Borrower shall not use, and shall ensure that its Subsidiaries and its or their respective directors, officers, employees and agents shall not use, the proceeds of any Loans,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10.1. Events of Default.</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70" w:lineRule="exact"/>
        <w:rPr>
          <w:sz w:val="20"/>
          <w:szCs w:val="20"/>
          <w:color w:val="auto"/>
        </w:rPr>
      </w:pPr>
    </w:p>
    <w:p>
      <w:pPr>
        <w:ind w:left="4" w:firstLine="436"/>
        <w:spacing w:after="0" w:line="286" w:lineRule="auto"/>
        <w:tabs>
          <w:tab w:leader="none" w:pos="824"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Default in Payment</w:t>
      </w:r>
      <w:r>
        <w:rPr>
          <w:rFonts w:ascii="Arial" w:cs="Arial" w:eastAsia="Arial" w:hAnsi="Arial"/>
          <w:sz w:val="16"/>
          <w:szCs w:val="16"/>
          <w:color w:val="auto"/>
        </w:rPr>
        <w:t>.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any of the other payment Obligations owing by the Borrower under this Agreement, any other Loan Document or the Fee Letter and, solely with respect to this clause (ii) such failure shall continue for a period of five</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Business Days.</w:t>
      </w:r>
    </w:p>
    <w:p>
      <w:pPr>
        <w:spacing w:after="0" w:line="318" w:lineRule="exact"/>
        <w:rPr>
          <w:rFonts w:ascii="Arial" w:cs="Arial" w:eastAsia="Arial" w:hAnsi="Arial"/>
          <w:sz w:val="18"/>
          <w:szCs w:val="18"/>
          <w:color w:val="auto"/>
        </w:rPr>
      </w:pPr>
    </w:p>
    <w:p>
      <w:pPr>
        <w:ind w:left="824" w:hanging="384"/>
        <w:spacing w:after="0"/>
        <w:tabs>
          <w:tab w:leader="none" w:pos="824"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Default in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firstLine="419"/>
        <w:spacing w:after="0" w:line="263" w:lineRule="auto"/>
        <w:tabs>
          <w:tab w:leader="none" w:pos="1207"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w:t>
      </w:r>
    </w:p>
    <w:p>
      <w:pPr>
        <w:spacing w:after="0" w:line="75" w:lineRule="exact"/>
        <w:rPr>
          <w:rFonts w:ascii="Arial" w:cs="Arial" w:eastAsia="Arial" w:hAnsi="Arial"/>
          <w:sz w:val="18"/>
          <w:szCs w:val="18"/>
          <w:color w:val="auto"/>
        </w:rPr>
      </w:pPr>
    </w:p>
    <w:p>
      <w:pPr>
        <w:ind w:left="444" w:right="80" w:firstLine="419"/>
        <w:spacing w:after="0" w:line="342" w:lineRule="auto"/>
        <w:tabs>
          <w:tab w:leader="none" w:pos="1257" w:val="left"/>
        </w:tabs>
        <w:numPr>
          <w:ilvl w:val="2"/>
          <w:numId w:val="81"/>
        </w:numPr>
        <w:rPr>
          <w:rFonts w:ascii="Arial" w:cs="Arial" w:eastAsia="Arial" w:hAnsi="Arial"/>
          <w:sz w:val="16"/>
          <w:szCs w:val="16"/>
          <w:color w:val="auto"/>
        </w:rPr>
      </w:pPr>
      <w:r>
        <w:rPr>
          <w:rFonts w:ascii="Arial" w:cs="Arial" w:eastAsia="Arial" w:hAnsi="Arial"/>
          <w:sz w:val="16"/>
          <w:szCs w:val="16"/>
          <w:color w:val="auto"/>
        </w:rPr>
        <w:t>Any Loan Party shall fail to perform or observe any term, covenant, condition or agreement contained in this Agreement or any other Loan Document to which it is a party and not otherwise mentioned in this Section, and in the case of this subsection (b)(ii) only, such failure shall</w:t>
      </w:r>
    </w:p>
    <w:p>
      <w:pPr>
        <w:spacing w:after="0" w:line="56" w:lineRule="exact"/>
        <w:rPr>
          <w:rFonts w:ascii="Arial" w:cs="Arial" w:eastAsia="Arial" w:hAnsi="Arial"/>
          <w:sz w:val="16"/>
          <w:szCs w:val="16"/>
          <w:color w:val="auto"/>
        </w:rPr>
      </w:pPr>
    </w:p>
    <w:p>
      <w:pPr>
        <w:ind w:left="5424" w:hanging="111"/>
        <w:spacing w:after="0"/>
        <w:tabs>
          <w:tab w:leader="none" w:pos="5424" w:val="left"/>
        </w:tabs>
        <w:numPr>
          <w:ilvl w:val="3"/>
          <w:numId w:val="81"/>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004"/>
          </w:cols>
          <w:pgMar w:left="436" w:top="270" w:right="459" w:bottom="1440" w:gutter="0" w:footer="0" w:header="0"/>
        </w:sectPr>
      </w:pPr>
    </w:p>
    <w:bookmarkStart w:id="79" w:name="page80"/>
    <w:bookmarkEnd w:id="79"/>
    <w:p>
      <w:pPr>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w:t>
      </w:r>
    </w:p>
    <w:p>
      <w:pPr>
        <w:spacing w:after="0" w:line="184" w:lineRule="exact"/>
        <w:rPr>
          <w:sz w:val="20"/>
          <w:szCs w:val="20"/>
          <w:color w:val="auto"/>
        </w:rPr>
      </w:pPr>
    </w:p>
    <w:p>
      <w:pPr>
        <w:ind w:left="-436" w:right="60" w:firstLine="436"/>
        <w:spacing w:after="0" w:line="257" w:lineRule="auto"/>
        <w:tabs>
          <w:tab w:leader="none" w:pos="38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Misrepresentations</w:t>
      </w:r>
      <w:r>
        <w:rPr>
          <w:rFonts w:ascii="Arial" w:cs="Arial" w:eastAsia="Arial" w:hAnsi="Arial"/>
          <w:sz w:val="18"/>
          <w:szCs w:val="18"/>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w:t>
      </w:r>
    </w:p>
    <w:p>
      <w:pPr>
        <w:spacing w:after="0" w:line="187" w:lineRule="exact"/>
        <w:rPr>
          <w:rFonts w:ascii="Arial" w:cs="Arial" w:eastAsia="Arial" w:hAnsi="Arial"/>
          <w:sz w:val="18"/>
          <w:szCs w:val="18"/>
          <w:color w:val="auto"/>
        </w:rPr>
      </w:pPr>
    </w:p>
    <w:p>
      <w:pPr>
        <w:ind w:left="384" w:hanging="384"/>
        <w:spacing w:after="0"/>
        <w:tabs>
          <w:tab w:leader="none" w:pos="38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419"/>
        <w:spacing w:after="0" w:line="254" w:lineRule="auto"/>
        <w:tabs>
          <w:tab w:leader="none" w:pos="773"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Indebtedness</w:t>
      </w:r>
      <w:r>
        <w:rPr>
          <w:rFonts w:ascii="Arial" w:cs="Arial" w:eastAsia="Arial" w:hAnsi="Arial"/>
          <w:sz w:val="18"/>
          <w:szCs w:val="18"/>
          <w:color w:val="auto"/>
        </w:rPr>
        <w:t>”); or</w:t>
      </w:r>
    </w:p>
    <w:p>
      <w:pPr>
        <w:spacing w:after="0" w:line="86" w:lineRule="exact"/>
        <w:rPr>
          <w:rFonts w:ascii="Arial" w:cs="Arial" w:eastAsia="Arial" w:hAnsi="Arial"/>
          <w:sz w:val="18"/>
          <w:szCs w:val="18"/>
          <w:color w:val="auto"/>
        </w:rPr>
      </w:pPr>
    </w:p>
    <w:p>
      <w:pPr>
        <w:jc w:val="both"/>
        <w:ind w:left="4" w:firstLine="419"/>
        <w:spacing w:after="0" w:line="263" w:lineRule="auto"/>
        <w:tabs>
          <w:tab w:leader="none" w:pos="826" w:val="left"/>
        </w:tabs>
        <w:numPr>
          <w:ilvl w:val="1"/>
          <w:numId w:val="82"/>
        </w:numPr>
        <w:rPr>
          <w:rFonts w:ascii="Arial" w:cs="Arial" w:eastAsia="Arial" w:hAnsi="Arial"/>
          <w:sz w:val="18"/>
          <w:szCs w:val="18"/>
          <w:color w:val="auto"/>
        </w:rPr>
      </w:pPr>
      <w:r>
        <w:rPr>
          <w:rFonts w:ascii="Arial" w:cs="Arial" w:eastAsia="Arial" w:hAnsi="Arial"/>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75" w:lineRule="exact"/>
        <w:rPr>
          <w:rFonts w:ascii="Arial" w:cs="Arial" w:eastAsia="Arial" w:hAnsi="Arial"/>
          <w:sz w:val="18"/>
          <w:szCs w:val="18"/>
          <w:color w:val="auto"/>
        </w:rPr>
      </w:pPr>
    </w:p>
    <w:p>
      <w:pPr>
        <w:ind w:left="4" w:firstLine="419"/>
        <w:spacing w:after="0" w:line="259" w:lineRule="auto"/>
        <w:tabs>
          <w:tab w:leader="none" w:pos="8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78" w:lineRule="exact"/>
        <w:rPr>
          <w:rFonts w:ascii="Arial" w:cs="Arial" w:eastAsia="Arial" w:hAnsi="Arial"/>
          <w:sz w:val="18"/>
          <w:szCs w:val="18"/>
          <w:color w:val="auto"/>
        </w:rPr>
      </w:pPr>
    </w:p>
    <w:p>
      <w:pPr>
        <w:ind w:left="4" w:right="180" w:firstLine="419"/>
        <w:spacing w:after="0" w:line="277" w:lineRule="auto"/>
        <w:tabs>
          <w:tab w:leader="none" w:pos="8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Loan Party shall fail to pay when due and payable amounts in excess of $125,000,000 in the aggregate owing in respect of any Derivatives Contracts; or</w:t>
      </w:r>
    </w:p>
    <w:p>
      <w:pPr>
        <w:spacing w:after="0" w:line="62" w:lineRule="exact"/>
        <w:rPr>
          <w:rFonts w:ascii="Arial" w:cs="Arial" w:eastAsia="Arial" w:hAnsi="Arial"/>
          <w:sz w:val="18"/>
          <w:szCs w:val="18"/>
          <w:color w:val="auto"/>
        </w:rPr>
      </w:pPr>
    </w:p>
    <w:p>
      <w:pPr>
        <w:ind w:left="4" w:right="20" w:firstLine="419"/>
        <w:spacing w:after="0" w:line="273" w:lineRule="auto"/>
        <w:tabs>
          <w:tab w:leader="none" w:pos="806"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 “Event of Default” under and as defined in that certain Amended and Restated Credited Agreement, dated as July 25, 2019, by and among the Borrower, the financial institutions party thereto as “Lenders”, Wells Fargo Bank, National Association, as administrative agent thereunder, and the other parties thereto (as amended by the Revolver First Amendment and as further amended, supplemented, restated or otherwise modified from time to time)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w:t>
      </w:r>
    </w:p>
    <w:p>
      <w:pPr>
        <w:spacing w:after="0" w:line="110" w:lineRule="exact"/>
        <w:rPr>
          <w:rFonts w:ascii="Arial" w:cs="Arial" w:eastAsia="Arial" w:hAnsi="Arial"/>
          <w:sz w:val="17"/>
          <w:szCs w:val="17"/>
          <w:color w:val="auto"/>
        </w:rPr>
      </w:pPr>
    </w:p>
    <w:p>
      <w:pPr>
        <w:ind w:left="4984" w:hanging="111"/>
        <w:spacing w:after="0"/>
        <w:tabs>
          <w:tab w:leader="none" w:pos="4984" w:val="left"/>
        </w:tabs>
        <w:numPr>
          <w:ilvl w:val="2"/>
          <w:numId w:val="82"/>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0504"/>
          </w:cols>
          <w:pgMar w:left="876" w:top="274" w:right="519" w:bottom="1440" w:gutter="0" w:footer="0" w:header="0"/>
        </w:sectPr>
      </w:pPr>
    </w:p>
    <w:bookmarkStart w:id="80" w:name="page81"/>
    <w:bookmarkEnd w:id="80"/>
    <w:p>
      <w:pPr>
        <w:jc w:val="both"/>
        <w:ind w:left="4" w:right="4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184" w:lineRule="exact"/>
        <w:rPr>
          <w:sz w:val="20"/>
          <w:szCs w:val="20"/>
          <w:color w:val="auto"/>
        </w:rPr>
      </w:pPr>
    </w:p>
    <w:p>
      <w:pPr>
        <w:ind w:left="4" w:right="140" w:firstLine="436"/>
        <w:spacing w:after="0" w:line="287" w:lineRule="auto"/>
        <w:tabs>
          <w:tab w:leader="none" w:pos="824"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w:t>
      </w:r>
    </w:p>
    <w:p>
      <w:pPr>
        <w:spacing w:after="0" w:line="2" w:lineRule="exact"/>
        <w:rPr>
          <w:rFonts w:ascii="Arial" w:cs="Arial" w:eastAsia="Arial" w:hAnsi="Arial"/>
          <w:sz w:val="16"/>
          <w:szCs w:val="16"/>
          <w:color w:val="auto"/>
        </w:rPr>
      </w:pPr>
    </w:p>
    <w:p>
      <w:pPr>
        <w:ind w:left="4" w:right="100" w:hanging="4"/>
        <w:spacing w:after="0" w:line="252"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93" w:lineRule="exact"/>
        <w:rPr>
          <w:rFonts w:ascii="Arial" w:cs="Arial" w:eastAsia="Arial" w:hAnsi="Arial"/>
          <w:sz w:val="18"/>
          <w:szCs w:val="18"/>
          <w:color w:val="auto"/>
        </w:rPr>
      </w:pPr>
    </w:p>
    <w:p>
      <w:pPr>
        <w:ind w:left="4" w:right="180" w:firstLine="436"/>
        <w:spacing w:after="0" w:line="291" w:lineRule="auto"/>
        <w:tabs>
          <w:tab w:leader="none" w:pos="804"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66" w:lineRule="exact"/>
        <w:rPr>
          <w:rFonts w:ascii="Arial" w:cs="Arial" w:eastAsia="Arial" w:hAnsi="Arial"/>
          <w:sz w:val="16"/>
          <w:szCs w:val="16"/>
          <w:color w:val="auto"/>
        </w:rPr>
      </w:pPr>
    </w:p>
    <w:p>
      <w:pPr>
        <w:ind w:left="4" w:right="40" w:firstLine="436"/>
        <w:spacing w:after="0" w:line="279" w:lineRule="auto"/>
        <w:tabs>
          <w:tab w:leader="none" w:pos="834"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Revocation of Loan Documents</w:t>
      </w:r>
      <w:r>
        <w:rPr>
          <w:rFonts w:ascii="Arial" w:cs="Arial" w:eastAsia="Arial" w:hAnsi="Arial"/>
          <w:sz w:val="17"/>
          <w:szCs w:val="17"/>
          <w:color w:val="auto"/>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spacing w:after="0" w:line="171" w:lineRule="exact"/>
        <w:rPr>
          <w:rFonts w:ascii="Arial" w:cs="Arial" w:eastAsia="Arial" w:hAnsi="Arial"/>
          <w:sz w:val="17"/>
          <w:szCs w:val="17"/>
          <w:color w:val="auto"/>
        </w:rPr>
      </w:pPr>
    </w:p>
    <w:p>
      <w:pPr>
        <w:ind w:left="4" w:firstLine="436"/>
        <w:spacing w:after="0" w:line="254" w:lineRule="auto"/>
        <w:tabs>
          <w:tab w:leader="none" w:pos="83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Judgment</w:t>
      </w:r>
      <w:r>
        <w:rPr>
          <w:rFonts w:ascii="Arial" w:cs="Arial" w:eastAsia="Arial" w:hAnsi="Arial"/>
          <w:sz w:val="18"/>
          <w:szCs w:val="18"/>
          <w:color w:val="auto"/>
        </w:rPr>
        <w:t>.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w:t>
      </w:r>
    </w:p>
    <w:p>
      <w:pPr>
        <w:spacing w:after="0" w:line="194" w:lineRule="exact"/>
        <w:rPr>
          <w:rFonts w:ascii="Arial" w:cs="Arial" w:eastAsia="Arial" w:hAnsi="Arial"/>
          <w:sz w:val="18"/>
          <w:szCs w:val="18"/>
          <w:color w:val="auto"/>
        </w:rPr>
      </w:pPr>
    </w:p>
    <w:p>
      <w:pPr>
        <w:ind w:left="4" w:right="60" w:firstLine="436"/>
        <w:spacing w:after="0" w:line="257" w:lineRule="auto"/>
        <w:tabs>
          <w:tab w:leader="none" w:pos="79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Attachment</w:t>
      </w:r>
      <w:r>
        <w:rPr>
          <w:rFonts w:ascii="Arial" w:cs="Arial" w:eastAsia="Arial" w:hAnsi="Arial"/>
          <w:sz w:val="18"/>
          <w:szCs w:val="18"/>
          <w:color w:val="auto"/>
        </w:rPr>
        <w:t>.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84"/>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004"/>
          </w:cols>
          <w:pgMar w:left="436" w:top="274" w:right="459" w:bottom="1440" w:gutter="0" w:footer="0" w:header="0"/>
        </w:sectPr>
      </w:pPr>
    </w:p>
    <w:bookmarkStart w:id="81" w:name="page82"/>
    <w:bookmarkEnd w:id="8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w:t>
      </w:r>
    </w:p>
    <w:p>
      <w:pPr>
        <w:spacing w:after="0" w:line="184" w:lineRule="exact"/>
        <w:rPr>
          <w:sz w:val="20"/>
          <w:szCs w:val="20"/>
          <w:color w:val="auto"/>
        </w:rPr>
      </w:pPr>
    </w:p>
    <w:p>
      <w:pPr>
        <w:ind w:left="780" w:hanging="344"/>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2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ERISA Event shall have occurred that results or could reasonably be expected to result in liability to any member of the ERISA Group aggregating in excess of $125,000,000; or</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25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most recent valuation date, the “benefit obligation” of all Plans exceeds the “fair market value of plan assets” for such Plans by more than $125,000,000, all as determined, and with such terms defined, in accordance with FASB ASC 715.</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An Event of Default (as defined therein) shall occur under any of the other Loan Documents.</w:t>
      </w:r>
    </w:p>
    <w:p>
      <w:pPr>
        <w:spacing w:after="0" w:line="225" w:lineRule="exact"/>
        <w:rPr>
          <w:rFonts w:ascii="Arial" w:cs="Arial" w:eastAsia="Arial" w:hAnsi="Arial"/>
          <w:sz w:val="18"/>
          <w:szCs w:val="18"/>
          <w:color w:val="auto"/>
        </w:rPr>
      </w:pPr>
    </w:p>
    <w:p>
      <w:pPr>
        <w:ind w:left="780" w:hanging="344"/>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220" w:firstLine="419"/>
        <w:spacing w:after="0" w:line="301" w:lineRule="auto"/>
        <w:tabs>
          <w:tab w:leader="none" w:pos="1203"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stock of the Borrower; or</w:t>
      </w:r>
    </w:p>
    <w:p>
      <w:pPr>
        <w:spacing w:after="0" w:line="49" w:lineRule="exact"/>
        <w:rPr>
          <w:rFonts w:ascii="Arial" w:cs="Arial" w:eastAsia="Arial" w:hAnsi="Arial"/>
          <w:sz w:val="16"/>
          <w:szCs w:val="16"/>
          <w:color w:val="auto"/>
        </w:rPr>
      </w:pPr>
    </w:p>
    <w:p>
      <w:pPr>
        <w:ind w:left="440" w:firstLine="419"/>
        <w:spacing w:after="0" w:line="257" w:lineRule="auto"/>
        <w:tabs>
          <w:tab w:leader="none" w:pos="1263" w:val="left"/>
        </w:tabs>
        <w:numPr>
          <w:ilvl w:val="1"/>
          <w:numId w:val="85"/>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Borrower then in office.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225" w:lineRule="exact"/>
        <w:rPr>
          <w:sz w:val="20"/>
          <w:szCs w:val="20"/>
          <w:color w:val="auto"/>
        </w:rPr>
      </w:pPr>
    </w:p>
    <w:p>
      <w:pPr>
        <w:ind w:left="820" w:hanging="384"/>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40" w:firstLine="419"/>
        <w:spacing w:after="0" w:line="257" w:lineRule="auto"/>
        <w:tabs>
          <w:tab w:leader="none" w:pos="1213"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Automatic</w:t>
      </w:r>
      <w:r>
        <w:rPr>
          <w:rFonts w:ascii="Arial" w:cs="Arial" w:eastAsia="Arial" w:hAnsi="Arial"/>
          <w:sz w:val="18"/>
          <w:szCs w:val="18"/>
          <w:color w:val="auto"/>
        </w:rPr>
        <w:t>. Upon the occurrence of an Event of Default specified in Sections 10.1.(e) or 10.1.(f), (A)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w:t>
      </w:r>
    </w:p>
    <w:p>
      <w:pPr>
        <w:spacing w:after="0" w:line="79" w:lineRule="exact"/>
        <w:rPr>
          <w:rFonts w:ascii="Arial" w:cs="Arial" w:eastAsia="Arial" w:hAnsi="Arial"/>
          <w:sz w:val="18"/>
          <w:szCs w:val="18"/>
          <w:color w:val="auto"/>
        </w:rPr>
      </w:pPr>
    </w:p>
    <w:p>
      <w:pPr>
        <w:ind w:left="440" w:right="180" w:firstLine="419"/>
        <w:spacing w:after="0" w:line="263" w:lineRule="auto"/>
        <w:tabs>
          <w:tab w:leader="none" w:pos="1263"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If any other Event of Default shall exist, the Administrative Agent may, and at the direction of the Requisite Lenders shall declare (A) the principal of, and accrued interest on, the Loans and the Notes at the time outstanding and (B) all of the other Obligations, including,</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0940"/>
          </w:cols>
          <w:pgMar w:left="440" w:top="274" w:right="519" w:bottom="1440" w:gutter="0" w:footer="0" w:header="0"/>
        </w:sectPr>
      </w:pPr>
    </w:p>
    <w:bookmarkStart w:id="82" w:name="page83"/>
    <w:bookmarkEnd w:id="82"/>
    <w:p>
      <w:pPr>
        <w:ind w:left="440"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w:t>
      </w:r>
    </w:p>
    <w:p>
      <w:pPr>
        <w:spacing w:after="0" w:line="165" w:lineRule="exact"/>
        <w:rPr>
          <w:sz w:val="20"/>
          <w:szCs w:val="20"/>
          <w:color w:val="auto"/>
        </w:rPr>
      </w:pPr>
    </w:p>
    <w:p>
      <w:pPr>
        <w:ind w:right="100" w:firstLine="436"/>
        <w:spacing w:after="0" w:line="277" w:lineRule="auto"/>
        <w:tabs>
          <w:tab w:leader="none" w:pos="83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Administrative Agent to, and the Administrative Agent if so directed shall, exercise any and all of its rights under any and all of the other Loan Documents.</w:t>
      </w:r>
    </w:p>
    <w:p>
      <w:pPr>
        <w:spacing w:after="0" w:line="170" w:lineRule="exact"/>
        <w:rPr>
          <w:rFonts w:ascii="Arial" w:cs="Arial" w:eastAsia="Arial" w:hAnsi="Arial"/>
          <w:sz w:val="18"/>
          <w:szCs w:val="18"/>
          <w:color w:val="auto"/>
        </w:rPr>
      </w:pPr>
    </w:p>
    <w:p>
      <w:pPr>
        <w:ind w:right="200" w:firstLine="436"/>
        <w:spacing w:after="0" w:line="277" w:lineRule="auto"/>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Administrative Agent to, and the Administrative Agent if so directed shall, exercise all other rights and remedies it may have under any Applicable Law.</w:t>
      </w:r>
    </w:p>
    <w:p>
      <w:pPr>
        <w:spacing w:after="0" w:line="170" w:lineRule="exact"/>
        <w:rPr>
          <w:rFonts w:ascii="Arial" w:cs="Arial" w:eastAsia="Arial" w:hAnsi="Arial"/>
          <w:sz w:val="18"/>
          <w:szCs w:val="18"/>
          <w:color w:val="auto"/>
        </w:rPr>
      </w:pPr>
    </w:p>
    <w:p>
      <w:pPr>
        <w:ind w:right="40" w:firstLine="436"/>
        <w:spacing w:after="0" w:line="301" w:lineRule="auto"/>
        <w:tabs>
          <w:tab w:leader="none" w:pos="83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spacing w:after="0" w:line="157" w:lineRule="exact"/>
        <w:rPr>
          <w:rFonts w:ascii="Arial" w:cs="Arial" w:eastAsia="Arial" w:hAnsi="Arial"/>
          <w:sz w:val="16"/>
          <w:szCs w:val="16"/>
          <w:color w:val="auto"/>
        </w:rPr>
      </w:pPr>
    </w:p>
    <w:p>
      <w:pPr>
        <w:ind w:firstLine="436"/>
        <w:spacing w:after="0" w:line="269" w:lineRule="auto"/>
        <w:tabs>
          <w:tab w:leader="none" w:pos="8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Specified Derivatives Contract Remedies</w:t>
      </w:r>
      <w:r>
        <w:rPr>
          <w:rFonts w:ascii="Arial" w:cs="Arial" w:eastAsia="Arial" w:hAnsi="Arial"/>
          <w:sz w:val="17"/>
          <w:szCs w:val="17"/>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[Intentionally Omitted].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Marshaling; Payments Set Aside.</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83" w:name="page84"/>
    <w:bookmarkEnd w:id="83"/>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Allocation of Proceeds.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76" w:lineRule="exact"/>
        <w:rPr>
          <w:sz w:val="20"/>
          <w:szCs w:val="20"/>
          <w:color w:val="auto"/>
        </w:rPr>
      </w:pPr>
    </w:p>
    <w:p>
      <w:pPr>
        <w:ind w:left="1240" w:hanging="381"/>
        <w:spacing w:after="0"/>
        <w:tabs>
          <w:tab w:leader="none" w:pos="1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amounts due to the Administrative Agent and the Lenders in respect of expenses due under Section 12.2. until paid in full, and then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Fees;</w:t>
      </w:r>
    </w:p>
    <w:p>
      <w:pPr>
        <w:spacing w:after="0" w:line="103" w:lineRule="exact"/>
        <w:rPr>
          <w:sz w:val="20"/>
          <w:szCs w:val="20"/>
          <w:color w:val="auto"/>
        </w:rPr>
      </w:pPr>
    </w:p>
    <w:p>
      <w:pPr>
        <w:ind w:left="1240" w:hanging="38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of interest on the Loans to be applied for the ratable benefit of the Lenders;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of principal of the Loans to be applied for the ratable benefit of the Lenders;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amounts due to the Administrative Agent and the Lenders pursuant to Sections 11.6. and 12.10.;</w:t>
      </w:r>
    </w:p>
    <w:p>
      <w:pPr>
        <w:spacing w:after="0" w:line="117" w:lineRule="exact"/>
        <w:rPr>
          <w:rFonts w:ascii="Arial" w:cs="Arial" w:eastAsia="Arial" w:hAnsi="Arial"/>
          <w:sz w:val="18"/>
          <w:szCs w:val="18"/>
          <w:color w:val="auto"/>
        </w:rPr>
      </w:pPr>
    </w:p>
    <w:p>
      <w:pPr>
        <w:ind w:left="440" w:firstLine="419"/>
        <w:spacing w:after="0" w:line="277" w:lineRule="auto"/>
        <w:tabs>
          <w:tab w:leader="none" w:pos="12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under any of the Loan Documents to be applied for the ratable benefit of the Lenders; and</w:t>
      </w:r>
    </w:p>
    <w:p>
      <w:pPr>
        <w:spacing w:after="0" w:line="62" w:lineRule="exact"/>
        <w:rPr>
          <w:rFonts w:ascii="Arial" w:cs="Arial" w:eastAsia="Arial" w:hAnsi="Arial"/>
          <w:sz w:val="18"/>
          <w:szCs w:val="18"/>
          <w:color w:val="auto"/>
        </w:rPr>
      </w:pPr>
    </w:p>
    <w:p>
      <w:pPr>
        <w:ind w:left="1220" w:hanging="361"/>
        <w:spacing w:after="0"/>
        <w:tabs>
          <w:tab w:leader="none" w:pos="1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[Intentionally Omitted].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Rescission of Acceleration by Requisite Lenders.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Performance by Administrative Agent.</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If the Borrower or any other Loan Party shall fail to perform any covenant, duty or agreement contained in any of the Loan Documents, the Administrative Agent may, after notice to the Borrower,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860"/>
          </w:cols>
          <w:pgMar w:left="440" w:top="274" w:right="599" w:bottom="1440" w:gutter="0" w:footer="0" w:header="0"/>
        </w:sectPr>
      </w:pPr>
    </w:p>
    <w:bookmarkStart w:id="84" w:name="page85"/>
    <w:bookmarkEnd w:id="8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10.9. Rights Cumulative.</w:t>
      </w:r>
    </w:p>
    <w:p>
      <w:pPr>
        <w:spacing w:after="0" w:line="121" w:lineRule="exact"/>
        <w:rPr>
          <w:sz w:val="20"/>
          <w:szCs w:val="20"/>
          <w:color w:val="auto"/>
        </w:rPr>
      </w:pPr>
    </w:p>
    <w:p>
      <w:pPr>
        <w:ind w:firstLine="436"/>
        <w:spacing w:after="0" w:line="273" w:lineRule="auto"/>
        <w:tabs>
          <w:tab w:leader="none" w:pos="82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177" w:lineRule="exact"/>
        <w:rPr>
          <w:rFonts w:ascii="Arial" w:cs="Arial" w:eastAsia="Arial" w:hAnsi="Arial"/>
          <w:sz w:val="17"/>
          <w:szCs w:val="17"/>
          <w:color w:val="auto"/>
        </w:rPr>
      </w:pPr>
    </w:p>
    <w:p>
      <w:pPr>
        <w:ind w:right="60" w:firstLine="436"/>
        <w:spacing w:after="0" w:line="287" w:lineRule="auto"/>
        <w:tabs>
          <w:tab w:leader="none" w:pos="83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Enforcement by Administrative Agent</w:t>
      </w:r>
      <w:r>
        <w:rPr>
          <w:rFonts w:ascii="Arial" w:cs="Arial" w:eastAsia="Arial" w:hAnsi="Arial"/>
          <w:sz w:val="16"/>
          <w:szCs w:val="16"/>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Appointment and Authorization.</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4" w:right="479" w:bottom="1440" w:gutter="0" w:footer="0" w:header="0"/>
        </w:sectPr>
      </w:pPr>
    </w:p>
    <w:bookmarkStart w:id="85" w:name="page86"/>
    <w:bookmarkEnd w:id="8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PNC Bank as Lender.</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PNC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PNC Bank in each case in its individual capacity. PNC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PNC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6" w:name="page87"/>
    <w:bookmarkEnd w:id="8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11.3. Approvals of Lenders.</w:t>
      </w:r>
    </w:p>
    <w:p>
      <w:pPr>
        <w:spacing w:after="0" w:line="121"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w:t>
      </w:r>
    </w:p>
    <w:p>
      <w:pPr>
        <w:spacing w:after="0" w:line="4" w:lineRule="exact"/>
        <w:rPr>
          <w:sz w:val="20"/>
          <w:szCs w:val="20"/>
          <w:color w:val="auto"/>
        </w:rPr>
      </w:pPr>
    </w:p>
    <w:p>
      <w:pPr>
        <w:jc w:val="both"/>
        <w:ind w:left="4" w:right="140" w:hanging="4"/>
        <w:spacing w:after="0" w:line="277" w:lineRule="auto"/>
        <w:tabs>
          <w:tab w:leader="none" w:pos="349" w:val="left"/>
        </w:tabs>
        <w:numPr>
          <w:ilvl w:val="0"/>
          <w:numId w:val="91"/>
        </w:numPr>
        <w:rPr>
          <w:rFonts w:ascii="Arial" w:cs="Arial" w:eastAsia="Arial" w:hAnsi="Arial"/>
          <w:sz w:val="17"/>
          <w:szCs w:val="17"/>
          <w:color w:val="auto"/>
        </w:rPr>
      </w:pPr>
      <w:r>
        <w:rPr>
          <w:rFonts w:ascii="Arial" w:cs="Arial" w:eastAsia="Arial" w:hAnsi="Arial"/>
          <w:sz w:val="17"/>
          <w:szCs w:val="17"/>
          <w:color w:val="auto"/>
        </w:rPr>
        <w:t>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spacing w:after="0" w:line="2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11.4. Notice of Events of Default.</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11.5. Administrative Agent’s Reliance.</w:t>
      </w:r>
    </w:p>
    <w:p>
      <w:pPr>
        <w:spacing w:after="0" w:line="121"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0" w:right="459" w:bottom="1440" w:gutter="0" w:footer="0" w:header="0"/>
        </w:sectPr>
      </w:pPr>
    </w:p>
    <w:bookmarkStart w:id="87" w:name="page88"/>
    <w:bookmarkEnd w:id="8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Indemnification of Administrative Agent.</w:t>
      </w:r>
    </w:p>
    <w:p>
      <w:pPr>
        <w:spacing w:after="0" w:line="121"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Each Lender agrees to indemnify the Administrative Agent (to the extent not reimbursed by the Borrower and without limiting the obligation of the Borrower to do so) pro rata in accordance with such Lender’s respective Credit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Arial" w:cs="Arial" w:eastAsia="Arial" w:hAnsi="Arial"/>
          <w:sz w:val="17"/>
          <w:szCs w:val="17"/>
          <w:b w:val="1"/>
          <w:bCs w:val="1"/>
          <w:color w:val="auto"/>
        </w:rPr>
        <w:t>Indemnifiable Amounts</w:t>
      </w:r>
      <w:r>
        <w:rPr>
          <w:rFonts w:ascii="Arial" w:cs="Arial" w:eastAsia="Arial" w:hAnsi="Arial"/>
          <w:sz w:val="17"/>
          <w:szCs w:val="17"/>
          <w:color w:val="auto"/>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Lender Credit Decision, Etc.</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of the Lenders expressly acknowledges and agrees that neither the Administrative Agent nor any of its officers, directors, employees, agents, counsel, attorneys-in-fact or other Affiliates has made any representations or warranties to such Lender and that no act by the Administrative Agent hereafter taken, including any review of the affairs of the Borrower, any other Loan Party or any other Subsidiary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8" w:name="page89"/>
    <w:bookmarkEnd w:id="8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acknowledges that the Administrative Agent’s legal counsel in connection with the transactions contemplated by this Agreement is only acting as counsel to the Administrative Agent and is not acting as counsel to any Lender.</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11.8. Successor Administrative Agent.</w:t>
      </w:r>
    </w:p>
    <w:p>
      <w:pPr>
        <w:spacing w:after="0" w:line="12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and</w:t>
      </w:r>
    </w:p>
    <w:p>
      <w:pPr>
        <w:spacing w:after="0" w:line="2" w:lineRule="exact"/>
        <w:rPr>
          <w:sz w:val="20"/>
          <w:szCs w:val="20"/>
          <w:color w:val="auto"/>
        </w:rPr>
      </w:pPr>
    </w:p>
    <w:p>
      <w:pPr>
        <w:ind w:left="4" w:right="20" w:hanging="4"/>
        <w:spacing w:after="0" w:line="267" w:lineRule="auto"/>
        <w:tabs>
          <w:tab w:leader="none" w:pos="269"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w:t>
      </w:r>
    </w:p>
    <w:p>
      <w:pPr>
        <w:spacing w:after="0" w:line="118" w:lineRule="exact"/>
        <w:rPr>
          <w:rFonts w:ascii="Arial" w:cs="Arial" w:eastAsia="Arial" w:hAnsi="Arial"/>
          <w:sz w:val="17"/>
          <w:szCs w:val="17"/>
          <w:color w:val="auto"/>
        </w:rPr>
      </w:pPr>
    </w:p>
    <w:p>
      <w:pPr>
        <w:ind w:left="5424" w:hanging="111"/>
        <w:spacing w:after="0"/>
        <w:tabs>
          <w:tab w:leader="none" w:pos="5424" w:val="left"/>
        </w:tabs>
        <w:numPr>
          <w:ilvl w:val="1"/>
          <w:numId w:val="92"/>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0964"/>
          </w:cols>
          <w:pgMar w:left="436" w:top="274" w:right="499" w:bottom="1440" w:gutter="0" w:footer="0" w:header="0"/>
        </w:sectPr>
      </w:pPr>
    </w:p>
    <w:bookmarkStart w:id="89" w:name="page90"/>
    <w:bookmarkEnd w:id="8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117"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The Arrangers and Co-Syndication Agents (the “</w:t>
      </w:r>
      <w:r>
        <w:rPr>
          <w:rFonts w:ascii="Arial" w:cs="Arial" w:eastAsia="Arial" w:hAnsi="Arial"/>
          <w:sz w:val="16"/>
          <w:szCs w:val="16"/>
          <w:b w:val="1"/>
          <w:bCs w:val="1"/>
          <w:color w:val="auto"/>
        </w:rPr>
        <w:t>Titled Agents</w:t>
      </w:r>
      <w:r>
        <w:rPr>
          <w:rFonts w:ascii="Arial" w:cs="Arial" w:eastAsia="Arial" w:hAnsi="Arial"/>
          <w:sz w:val="16"/>
          <w:szCs w:val="16"/>
          <w:color w:val="auto"/>
        </w:rPr>
        <w:t>”)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Unless otherwise provided herein (including without limitation as provided in Section 8.5.), communications provided for hereunder shall be in writing and shall be mailed, sent via electronic mail, or delivered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Borrower: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(301) 998-8318</w:t>
      </w:r>
    </w:p>
    <w:p>
      <w:pPr>
        <w:spacing w:after="0" w:line="9" w:lineRule="exact"/>
        <w:rPr>
          <w:sz w:val="20"/>
          <w:szCs w:val="20"/>
          <w:color w:val="auto"/>
        </w:rPr>
      </w:pPr>
    </w:p>
    <w:p>
      <w:pPr>
        <w:ind w:left="980"/>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msolis@federalrealty.com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for all notices (other than notices solely under Article II), with copies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General Counsel</w:t>
      </w:r>
    </w:p>
    <w:p>
      <w:pPr>
        <w:spacing w:after="0" w:line="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2120" w:type="dxa"/>
            <w:vAlign w:val="bottom"/>
            <w:gridSpan w:val="2"/>
          </w:tcPr>
          <w:p>
            <w:pPr>
              <w:jc w:val="right"/>
              <w:ind w:right="830"/>
              <w:spacing w:after="0"/>
              <w:rPr>
                <w:sz w:val="20"/>
                <w:szCs w:val="20"/>
                <w:color w:val="auto"/>
              </w:rPr>
            </w:pPr>
            <w:r>
              <w:rPr>
                <w:rFonts w:ascii="Arial" w:cs="Arial" w:eastAsia="Arial" w:hAnsi="Arial"/>
                <w:sz w:val="18"/>
                <w:szCs w:val="18"/>
                <w:color w:val="auto"/>
                <w:w w:val="95"/>
              </w:rPr>
              <w:t>(301) 998-8100</w:t>
            </w: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120" w:type="dxa"/>
            <w:vAlign w:val="bottom"/>
          </w:tcPr>
          <w:p>
            <w:pPr>
              <w:spacing w:after="0"/>
              <w:rPr>
                <w:sz w:val="16"/>
                <w:szCs w:val="16"/>
                <w:color w:val="auto"/>
              </w:rPr>
            </w:pPr>
          </w:p>
        </w:tc>
        <w:tc>
          <w:tcPr>
            <w:tcW w:w="4120" w:type="dxa"/>
            <w:vAlign w:val="bottom"/>
            <w:gridSpan w:val="3"/>
          </w:tcPr>
          <w:p>
            <w:pPr>
              <w:spacing w:after="0" w:line="190" w:lineRule="exact"/>
              <w:rPr>
                <w:sz w:val="20"/>
                <w:szCs w:val="20"/>
                <w:color w:val="auto"/>
              </w:rPr>
            </w:pPr>
            <w:r>
              <w:rPr>
                <w:rFonts w:ascii="Arial" w:cs="Arial" w:eastAsia="Arial" w:hAnsi="Arial"/>
                <w:sz w:val="18"/>
                <w:szCs w:val="18"/>
                <w:color w:val="auto"/>
                <w:w w:val="90"/>
              </w:rPr>
              <w:t>dbecker@federalrealty.com and legal@federalrealty.com</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Washington, DC 20036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Justin J. Bintrim, Esq.</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(202) 663-8364</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justin.bintrim@pillsburylaw.com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PNC Bank, National Association</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800 17</w:t>
      </w:r>
      <w:r>
        <w:rPr>
          <w:rFonts w:ascii="Arial" w:cs="Arial" w:eastAsia="Arial" w:hAnsi="Arial"/>
          <w:sz w:val="15"/>
          <w:szCs w:val="15"/>
          <w:color w:val="auto"/>
        </w:rPr>
        <w:t>th</w:t>
      </w:r>
      <w:r>
        <w:rPr>
          <w:rFonts w:ascii="Arial" w:cs="Arial" w:eastAsia="Arial" w:hAnsi="Arial"/>
          <w:sz w:val="18"/>
          <w:szCs w:val="18"/>
          <w:color w:val="auto"/>
        </w:rPr>
        <w:t xml:space="preserve"> Street NW,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Mailstop: C6-CPNC-03-04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Katie Chowdhry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(202) 835-5316</w:t>
      </w:r>
    </w:p>
    <w:p>
      <w:pPr>
        <w:spacing w:after="0" w:line="9" w:lineRule="exact"/>
        <w:rPr>
          <w:sz w:val="20"/>
          <w:szCs w:val="20"/>
          <w:color w:val="auto"/>
        </w:rPr>
      </w:pPr>
    </w:p>
    <w:p>
      <w:pPr>
        <w:ind w:left="980"/>
        <w:spacing w:after="0"/>
        <w:tabs>
          <w:tab w:leader="none" w:pos="1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katie.chowdhry@pnc.com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500 First Avenue, Fourth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Mailstop: P7 PFSC-04-I</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Tim DeVita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(412) 762-4163</w:t>
      </w:r>
    </w:p>
    <w:p>
      <w:pPr>
        <w:spacing w:after="0" w:line="9"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u w:val="single" w:color="auto"/>
          <w:color w:val="auto"/>
        </w:rPr>
        <w:t>timothy.devita@pnc.com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any other Lender: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such Lender’s address or electronic mail address as set forth in the applicable Administrative Questionnaire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00"/>
          </w:cols>
          <w:pgMar w:left="440" w:top="274" w:right="759" w:bottom="1440" w:gutter="0" w:footer="0" w:header="0"/>
        </w:sectPr>
      </w:pPr>
    </w:p>
    <w:bookmarkStart w:id="91" w:name="page92"/>
    <w:bookmarkEnd w:id="91"/>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 incur any liability to any Loan Party (nor shall the Administrative Agent incur any liability to the Lenders) for acting upon any notice via electronic mail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2" w:name="page93"/>
    <w:bookmarkEnd w:id="92"/>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Stamp, Intangible and Recording Taxes.</w:t>
      </w:r>
    </w:p>
    <w:p>
      <w:pPr>
        <w:spacing w:after="0" w:line="12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Setoff.</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Subject to Section 3.3. and in addition to any rights now or hereafter granted under Applicable Law and not by way of limitation of any such rights, the Borrower hereby authorizes the Administrative Agent, 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Litigation; Jurisdiction; Other Matters; Waivers.</w:t>
      </w:r>
    </w:p>
    <w:p>
      <w:pPr>
        <w:spacing w:after="0" w:line="121" w:lineRule="exact"/>
        <w:rPr>
          <w:sz w:val="20"/>
          <w:szCs w:val="20"/>
          <w:color w:val="auto"/>
        </w:rPr>
      </w:pPr>
    </w:p>
    <w:p>
      <w:pPr>
        <w:ind w:left="820" w:hanging="384"/>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THE</w:t>
      </w:r>
    </w:p>
    <w:p>
      <w:pPr>
        <w:spacing w:after="0" w:line="23" w:lineRule="exact"/>
        <w:rPr>
          <w:rFonts w:ascii="Arial" w:cs="Arial" w:eastAsia="Arial" w:hAnsi="Arial"/>
          <w:sz w:val="18"/>
          <w:szCs w:val="18"/>
          <w:color w:val="auto"/>
        </w:rPr>
      </w:pPr>
    </w:p>
    <w:p>
      <w:pPr>
        <w:ind w:right="80"/>
        <w:spacing w:after="0" w:line="251" w:lineRule="auto"/>
        <w:rPr>
          <w:rFonts w:ascii="Arial" w:cs="Arial" w:eastAsia="Arial" w:hAnsi="Arial"/>
          <w:sz w:val="18"/>
          <w:szCs w:val="18"/>
          <w:color w:val="auto"/>
        </w:rPr>
      </w:pPr>
      <w:r>
        <w:rPr>
          <w:rFonts w:ascii="Arial" w:cs="Arial" w:eastAsia="Arial" w:hAnsi="Arial"/>
          <w:sz w:val="18"/>
          <w:szCs w:val="18"/>
          <w:color w:val="auto"/>
        </w:rPr>
        <w:t>BORROWER, THE ADMINISTRATIVE AGENT OR ANY OF THE LENDERS WOULD BE BASED ON DIFFICULT AND COMPLEX ISSUES OF LAW AND FACT AND WOULD RESULT IN DELAY AND EXPENSE TO THE PARTIES. ACCORDINGLY, TO THE EXTENT PERMITTED BY APPLICABLE LAW, EACH OF THE LENDERS, THE ADMINISTRATIVE 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OR ANY OF THE LENDERS OF ANY KIND OR NATURE RELATING TO ANY OF THE LOAN DOCUMENTS.</w:t>
      </w:r>
    </w:p>
    <w:p>
      <w:pPr>
        <w:spacing w:after="0" w:line="130" w:lineRule="exact"/>
        <w:rPr>
          <w:rFonts w:ascii="Arial" w:cs="Arial" w:eastAsia="Arial" w:hAnsi="Arial"/>
          <w:sz w:val="18"/>
          <w:szCs w:val="18"/>
          <w:color w:val="auto"/>
        </w:rPr>
      </w:pPr>
    </w:p>
    <w:p>
      <w:pPr>
        <w:ind w:left="5420" w:hanging="111"/>
        <w:spacing w:after="0"/>
        <w:tabs>
          <w:tab w:leader="none" w:pos="5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0980"/>
          </w:cols>
          <w:pgMar w:left="440" w:top="274" w:right="479" w:bottom="1440" w:gutter="0" w:footer="0" w:header="0"/>
        </w:sectPr>
      </w:pPr>
    </w:p>
    <w:bookmarkStart w:id="93" w:name="page94"/>
    <w:bookmarkEnd w:id="93"/>
    <w:p>
      <w:pPr>
        <w:ind w:firstLine="436"/>
        <w:spacing w:after="0" w:line="267" w:lineRule="auto"/>
        <w:tabs>
          <w:tab w:leader="none" w:pos="827"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w:t>
      </w:r>
    </w:p>
    <w:p>
      <w:pPr>
        <w:spacing w:after="0" w:line="191" w:lineRule="exact"/>
        <w:rPr>
          <w:rFonts w:ascii="Arial" w:cs="Arial" w:eastAsia="Arial" w:hAnsi="Arial"/>
          <w:sz w:val="17"/>
          <w:szCs w:val="17"/>
          <w:color w:val="auto"/>
        </w:rPr>
      </w:pPr>
    </w:p>
    <w:p>
      <w:pPr>
        <w:ind w:right="100" w:firstLine="436"/>
        <w:spacing w:after="0" w:line="259" w:lineRule="auto"/>
        <w:tabs>
          <w:tab w:leader="none" w:pos="81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Successors and Assigns.</w:t>
      </w:r>
    </w:p>
    <w:p>
      <w:pPr>
        <w:spacing w:after="0" w:line="121" w:lineRule="exact"/>
        <w:rPr>
          <w:sz w:val="20"/>
          <w:szCs w:val="20"/>
          <w:color w:val="auto"/>
        </w:rPr>
      </w:pPr>
    </w:p>
    <w:p>
      <w:pPr>
        <w:ind w:firstLine="436"/>
        <w:spacing w:after="0" w:line="288" w:lineRule="auto"/>
        <w:tabs>
          <w:tab w:leader="none" w:pos="82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spacing w:after="0" w:line="100" w:lineRule="exact"/>
        <w:rPr>
          <w:rFonts w:ascii="Arial" w:cs="Arial" w:eastAsia="Arial" w:hAnsi="Arial"/>
          <w:sz w:val="16"/>
          <w:szCs w:val="16"/>
          <w:color w:val="auto"/>
        </w:rPr>
      </w:pPr>
    </w:p>
    <w:p>
      <w:pPr>
        <w:ind w:left="5420" w:hanging="111"/>
        <w:spacing w:after="0"/>
        <w:tabs>
          <w:tab w:leader="none" w:pos="5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1000"/>
          </w:cols>
          <w:pgMar w:left="440" w:top="274" w:right="459" w:bottom="1440" w:gutter="0" w:footer="0" w:header="0"/>
        </w:sectPr>
      </w:pPr>
    </w:p>
    <w:bookmarkStart w:id="94" w:name="page95"/>
    <w:bookmarkEnd w:id="94"/>
    <w:p>
      <w:pPr>
        <w:ind w:left="-436" w:right="160" w:firstLine="436"/>
        <w:spacing w:after="0" w:line="263" w:lineRule="auto"/>
        <w:tabs>
          <w:tab w:leader="none" w:pos="39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91" w:lineRule="exact"/>
        <w:rPr>
          <w:rFonts w:ascii="Arial" w:cs="Arial" w:eastAsia="Arial" w:hAnsi="Arial"/>
          <w:sz w:val="18"/>
          <w:szCs w:val="18"/>
          <w:color w:val="auto"/>
        </w:rPr>
      </w:pPr>
    </w:p>
    <w:p>
      <w:pPr>
        <w:ind w:left="764" w:hanging="341"/>
        <w:spacing w:after="0"/>
        <w:tabs>
          <w:tab w:leader="none" w:pos="764"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4" w:firstLine="408"/>
        <w:spacing w:after="0" w:line="308" w:lineRule="auto"/>
        <w:tabs>
          <w:tab w:leader="none" w:pos="1374" w:val="left"/>
        </w:tabs>
        <w:numPr>
          <w:ilvl w:val="2"/>
          <w:numId w:val="96"/>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an assigning Lender’s Loan at the time owing to it or, in the case of an assignment to a Lender, an Affiliate of a Lender or an Approved Fund, no minimum amount need be assigned; and</w:t>
      </w:r>
    </w:p>
    <w:p>
      <w:pPr>
        <w:spacing w:after="0" w:line="38" w:lineRule="exact"/>
        <w:rPr>
          <w:rFonts w:ascii="Arial" w:cs="Arial" w:eastAsia="Arial" w:hAnsi="Arial"/>
          <w:sz w:val="17"/>
          <w:szCs w:val="17"/>
          <w:color w:val="auto"/>
        </w:rPr>
      </w:pPr>
    </w:p>
    <w:p>
      <w:pPr>
        <w:ind w:left="544" w:right="40" w:firstLine="408"/>
        <w:spacing w:after="0" w:line="269" w:lineRule="auto"/>
        <w:tabs>
          <w:tab w:leader="none" w:pos="1364" w:val="left"/>
        </w:tabs>
        <w:numPr>
          <w:ilvl w:val="2"/>
          <w:numId w:val="96"/>
        </w:numPr>
        <w:rPr>
          <w:rFonts w:ascii="Arial" w:cs="Arial" w:eastAsia="Arial" w:hAnsi="Arial"/>
          <w:sz w:val="17"/>
          <w:szCs w:val="17"/>
          <w:color w:val="auto"/>
        </w:rPr>
      </w:pPr>
      <w:r>
        <w:rPr>
          <w:rFonts w:ascii="Arial" w:cs="Arial" w:eastAsia="Arial" w:hAnsi="Arial"/>
          <w:sz w:val="17"/>
          <w:szCs w:val="17"/>
          <w:color w:val="auto"/>
        </w:rPr>
        <w:t>in any case not described in the immediately preceding subsection (A), the aggregate amount of the principal outstanding balance of the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outstanding principal balance of the Loan held by such assigning Lender would be less than $5,000,000, then such assigning Lender shall assign the entire amount of its Loan at the time owing to it unless the Administrative Agent and Borrower agree otherwise.</w:t>
      </w:r>
    </w:p>
    <w:p>
      <w:pPr>
        <w:spacing w:after="0" w:line="77" w:lineRule="exact"/>
        <w:rPr>
          <w:rFonts w:ascii="Arial" w:cs="Arial" w:eastAsia="Arial" w:hAnsi="Arial"/>
          <w:sz w:val="17"/>
          <w:szCs w:val="17"/>
          <w:color w:val="auto"/>
        </w:rPr>
      </w:pPr>
    </w:p>
    <w:p>
      <w:pPr>
        <w:ind w:left="4" w:right="220" w:firstLine="419"/>
        <w:spacing w:after="0" w:line="277" w:lineRule="auto"/>
        <w:tabs>
          <w:tab w:leader="none" w:pos="826"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w:t>
      </w:r>
    </w:p>
    <w:p>
      <w:pPr>
        <w:spacing w:after="0" w:line="62" w:lineRule="exact"/>
        <w:rPr>
          <w:rFonts w:ascii="Arial" w:cs="Arial" w:eastAsia="Arial" w:hAnsi="Arial"/>
          <w:sz w:val="18"/>
          <w:szCs w:val="18"/>
          <w:color w:val="auto"/>
        </w:rPr>
      </w:pPr>
    </w:p>
    <w:p>
      <w:pPr>
        <w:ind w:left="864" w:hanging="441"/>
        <w:spacing w:after="0"/>
        <w:tabs>
          <w:tab w:leader="none" w:pos="864"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clause (i)(B) of this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subsection (b) and, in addition:</w:t>
      </w:r>
    </w:p>
    <w:p>
      <w:pPr>
        <w:spacing w:after="0" w:line="103" w:lineRule="exact"/>
        <w:rPr>
          <w:sz w:val="20"/>
          <w:szCs w:val="20"/>
          <w:color w:val="auto"/>
        </w:rPr>
      </w:pPr>
    </w:p>
    <w:p>
      <w:pPr>
        <w:ind w:left="544" w:right="80" w:firstLine="408"/>
        <w:spacing w:after="0" w:line="273" w:lineRule="auto"/>
        <w:tabs>
          <w:tab w:leader="none" w:pos="137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w:t>
      </w:r>
    </w:p>
    <w:p>
      <w:pPr>
        <w:spacing w:after="0" w:line="69" w:lineRule="exact"/>
        <w:rPr>
          <w:rFonts w:ascii="Arial" w:cs="Arial" w:eastAsia="Arial" w:hAnsi="Arial"/>
          <w:sz w:val="17"/>
          <w:szCs w:val="17"/>
          <w:color w:val="auto"/>
        </w:rPr>
      </w:pPr>
    </w:p>
    <w:p>
      <w:pPr>
        <w:jc w:val="both"/>
        <w:ind w:left="544" w:right="540" w:firstLine="408"/>
        <w:spacing w:after="0" w:line="263" w:lineRule="auto"/>
        <w:tabs>
          <w:tab w:leader="none" w:pos="13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 Loan if such assignment is to a Person that is not already a Lender holding a Loan, an Affiliate of such a Lender or an Approved Fund with respect to such a Lender.</w:t>
      </w:r>
    </w:p>
    <w:p>
      <w:pPr>
        <w:spacing w:after="0" w:line="116" w:lineRule="exact"/>
        <w:rPr>
          <w:rFonts w:ascii="Arial" w:cs="Arial" w:eastAsia="Arial" w:hAnsi="Arial"/>
          <w:sz w:val="18"/>
          <w:szCs w:val="18"/>
          <w:color w:val="auto"/>
        </w:rPr>
      </w:pPr>
    </w:p>
    <w:p>
      <w:pPr>
        <w:ind w:left="4984" w:hanging="111"/>
        <w:spacing w:after="0"/>
        <w:tabs>
          <w:tab w:leader="none" w:pos="4984" w:val="left"/>
        </w:tabs>
        <w:numPr>
          <w:ilvl w:val="1"/>
          <w:numId w:val="97"/>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0584"/>
          </w:cols>
          <w:pgMar w:left="876" w:top="274" w:right="439" w:bottom="1440" w:gutter="0" w:footer="0" w:header="0"/>
        </w:sectPr>
      </w:pPr>
    </w:p>
    <w:bookmarkStart w:id="95" w:name="page96"/>
    <w:bookmarkEnd w:id="95"/>
    <w:p>
      <w:pPr>
        <w:ind w:left="440" w:firstLine="419"/>
        <w:spacing w:after="0" w:line="293" w:lineRule="auto"/>
        <w:tabs>
          <w:tab w:leader="none" w:pos="130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and Assumption; Notes</w:t>
      </w:r>
      <w:r>
        <w:rPr>
          <w:rFonts w:ascii="Arial" w:cs="Arial" w:eastAsia="Arial" w:hAnsi="Arial"/>
          <w:sz w:val="16"/>
          <w:szCs w:val="16"/>
          <w:color w:val="auto"/>
        </w:rPr>
        <w:t>.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w:t>
      </w:r>
    </w:p>
    <w:p>
      <w:pPr>
        <w:spacing w:after="0" w:line="56" w:lineRule="exact"/>
        <w:rPr>
          <w:rFonts w:ascii="Arial" w:cs="Arial" w:eastAsia="Arial" w:hAnsi="Arial"/>
          <w:sz w:val="16"/>
          <w:szCs w:val="16"/>
          <w:color w:val="auto"/>
        </w:rPr>
      </w:pPr>
    </w:p>
    <w:p>
      <w:pPr>
        <w:ind w:left="440" w:right="540" w:firstLine="419"/>
        <w:spacing w:after="0" w:line="277" w:lineRule="auto"/>
        <w:tabs>
          <w:tab w:leader="none" w:pos="125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Assignment to Borrower</w:t>
      </w:r>
      <w:r>
        <w:rPr>
          <w:rFonts w:ascii="Arial" w:cs="Arial" w:eastAsia="Arial" w:hAnsi="Arial"/>
          <w:sz w:val="18"/>
          <w:szCs w:val="18"/>
          <w:color w:val="auto"/>
        </w:rPr>
        <w:t>. No such assignment shall be made to a Defaulting Lender, the Borrower or any of the Borrower’s Affiliates or Subsidiaries.</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17" w:lineRule="exact"/>
        <w:rPr>
          <w:rFonts w:ascii="Arial" w:cs="Arial" w:eastAsia="Arial" w:hAnsi="Arial"/>
          <w:sz w:val="18"/>
          <w:szCs w:val="18"/>
          <w:color w:val="auto"/>
        </w:rPr>
      </w:pPr>
    </w:p>
    <w:p>
      <w:pPr>
        <w:ind w:left="440" w:firstLine="419"/>
        <w:spacing w:after="0" w:line="259"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Assignments by Specified Derivatives Provider</w:t>
      </w:r>
      <w:r>
        <w:rPr>
          <w:rFonts w:ascii="Arial" w:cs="Arial" w:eastAsia="Arial" w:hAnsi="Arial"/>
          <w:sz w:val="18"/>
          <w:szCs w:val="18"/>
          <w:color w:val="auto"/>
        </w:rPr>
        <w:t>. If the assigning Lender (or its Affiliate) is a Specified Derivatives Provider and if after giving effect to such assignment such Lender will hold no further Loans under this Agreement, such Lender shall undertake such assignment only contemporaneously with an assignment by such Lender (or its Affiliate, as the case may be) of all of its Specified Derivatives Contracts to the Assignee or another Lender (or Affiliate thereof).</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85" w:lineRule="exact"/>
        <w:rPr>
          <w:sz w:val="20"/>
          <w:szCs w:val="20"/>
          <w:color w:val="auto"/>
        </w:rPr>
      </w:pPr>
    </w:p>
    <w:p>
      <w:pPr>
        <w:ind w:right="40" w:firstLine="436"/>
        <w:spacing w:after="0" w:line="269" w:lineRule="auto"/>
        <w:tabs>
          <w:tab w:leader="none" w:pos="82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principal amounts of the Loans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w:t>
      </w:r>
    </w:p>
    <w:p>
      <w:pPr>
        <w:spacing w:after="0" w:line="117" w:lineRule="exact"/>
        <w:rPr>
          <w:rFonts w:ascii="Arial" w:cs="Arial" w:eastAsia="Arial" w:hAnsi="Arial"/>
          <w:sz w:val="17"/>
          <w:szCs w:val="17"/>
          <w:color w:val="auto"/>
        </w:rPr>
      </w:pPr>
    </w:p>
    <w:p>
      <w:pPr>
        <w:ind w:left="5420" w:hanging="111"/>
        <w:spacing w:after="0"/>
        <w:tabs>
          <w:tab w:leader="none" w:pos="54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0940"/>
          </w:cols>
          <w:pgMar w:left="440" w:top="274" w:right="519" w:bottom="1440" w:gutter="0" w:footer="0" w:header="0"/>
        </w:sectPr>
      </w:pPr>
    </w:p>
    <w:bookmarkStart w:id="96" w:name="page97"/>
    <w:bookmarkEnd w:id="96"/>
    <w:p>
      <w:pPr>
        <w:ind w:left="4"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6" w:lineRule="exact"/>
        <w:rPr>
          <w:sz w:val="20"/>
          <w:szCs w:val="20"/>
          <w:color w:val="auto"/>
        </w:rPr>
      </w:pPr>
    </w:p>
    <w:p>
      <w:pPr>
        <w:ind w:left="824" w:hanging="384"/>
        <w:spacing w:after="0"/>
        <w:tabs>
          <w:tab w:leader="none" w:pos="82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w:t>
      </w:r>
    </w:p>
    <w:p>
      <w:pPr>
        <w:spacing w:after="0" w:line="23" w:lineRule="exact"/>
        <w:rPr>
          <w:rFonts w:ascii="Arial" w:cs="Arial" w:eastAsia="Arial" w:hAnsi="Arial"/>
          <w:sz w:val="18"/>
          <w:szCs w:val="18"/>
          <w:color w:val="auto"/>
        </w:rPr>
      </w:pPr>
    </w:p>
    <w:p>
      <w:pPr>
        <w:ind w:left="4" w:right="120"/>
        <w:spacing w:after="0" w:line="281" w:lineRule="auto"/>
        <w:rPr>
          <w:rFonts w:ascii="Arial" w:cs="Arial" w:eastAsia="Arial" w:hAnsi="Arial"/>
          <w:sz w:val="18"/>
          <w:szCs w:val="18"/>
          <w:color w:val="auto"/>
        </w:rPr>
      </w:pPr>
      <w:r>
        <w:rPr>
          <w:rFonts w:ascii="Arial" w:cs="Arial" w:eastAsia="Arial" w:hAnsi="Arial"/>
          <w:sz w:val="16"/>
          <w:szCs w:val="16"/>
          <w:color w:val="auto"/>
        </w:rPr>
        <w:t>participations to any Person (other than a natural person or the Borrower or any of the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rights and/or obligations under this Agreement (including all or a portion of the Loans owing to it); provided that</w:t>
      </w:r>
    </w:p>
    <w:p>
      <w:pPr>
        <w:spacing w:after="0" w:line="1" w:lineRule="exact"/>
        <w:rPr>
          <w:rFonts w:ascii="Arial" w:cs="Arial" w:eastAsia="Arial" w:hAnsi="Arial"/>
          <w:sz w:val="18"/>
          <w:szCs w:val="18"/>
          <w:color w:val="auto"/>
        </w:rPr>
      </w:pPr>
    </w:p>
    <w:p>
      <w:pPr>
        <w:ind w:left="4" w:hanging="4"/>
        <w:spacing w:after="0" w:line="267" w:lineRule="auto"/>
        <w:tabs>
          <w:tab w:leader="none" w:pos="21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Loan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spacing w:after="0" w:line="185" w:lineRule="exact"/>
        <w:rPr>
          <w:rFonts w:ascii="Arial" w:cs="Arial" w:eastAsia="Arial" w:hAnsi="Arial"/>
          <w:sz w:val="17"/>
          <w:szCs w:val="17"/>
          <w:color w:val="auto"/>
        </w:rPr>
      </w:pPr>
    </w:p>
    <w:p>
      <w:pPr>
        <w:ind w:left="4" w:right="80" w:firstLine="436"/>
        <w:spacing w:after="0" w:line="257" w:lineRule="auto"/>
        <w:tabs>
          <w:tab w:leader="none" w:pos="824"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spacing w:after="0" w:line="187" w:lineRule="exact"/>
        <w:rPr>
          <w:rFonts w:ascii="Arial" w:cs="Arial" w:eastAsia="Arial" w:hAnsi="Arial"/>
          <w:sz w:val="18"/>
          <w:szCs w:val="18"/>
          <w:color w:val="auto"/>
        </w:rPr>
      </w:pPr>
    </w:p>
    <w:p>
      <w:pPr>
        <w:ind w:left="4" w:right="60" w:firstLine="436"/>
        <w:spacing w:after="0" w:line="311" w:lineRule="auto"/>
        <w:tabs>
          <w:tab w:leader="none" w:pos="804"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48" w:lineRule="exact"/>
        <w:rPr>
          <w:rFonts w:ascii="Arial" w:cs="Arial" w:eastAsia="Arial" w:hAnsi="Arial"/>
          <w:sz w:val="16"/>
          <w:szCs w:val="16"/>
          <w:color w:val="auto"/>
        </w:rPr>
      </w:pPr>
    </w:p>
    <w:p>
      <w:pPr>
        <w:ind w:left="4" w:firstLine="436"/>
        <w:spacing w:after="0" w:line="286" w:lineRule="auto"/>
        <w:tabs>
          <w:tab w:leader="none" w:pos="834"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No Registration</w:t>
      </w:r>
      <w:r>
        <w:rPr>
          <w:rFonts w:ascii="Arial" w:cs="Arial" w:eastAsia="Arial" w:hAnsi="Arial"/>
          <w:sz w:val="17"/>
          <w:szCs w:val="17"/>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2"/>
          <w:numId w:val="101"/>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0984"/>
          </w:cols>
          <w:pgMar w:left="436" w:top="274" w:right="479" w:bottom="1440" w:gutter="0" w:footer="0" w:header="0"/>
        </w:sectPr>
      </w:pPr>
    </w:p>
    <w:bookmarkStart w:id="97" w:name="page98"/>
    <w:bookmarkEnd w:id="9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12.7. Amendments and Waivers.</w:t>
      </w:r>
    </w:p>
    <w:p>
      <w:pPr>
        <w:spacing w:after="0" w:line="121" w:lineRule="exact"/>
        <w:rPr>
          <w:sz w:val="20"/>
          <w:szCs w:val="20"/>
          <w:color w:val="auto"/>
        </w:rPr>
      </w:pPr>
    </w:p>
    <w:p>
      <w:pPr>
        <w:ind w:left="4" w:firstLine="436"/>
        <w:spacing w:after="0" w:line="291" w:lineRule="auto"/>
        <w:tabs>
          <w:tab w:leader="none" w:pos="824"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w:t>
      </w:r>
    </w:p>
    <w:p>
      <w:pPr>
        <w:ind w:left="4" w:right="180" w:hanging="4"/>
        <w:spacing w:after="0" w:line="253" w:lineRule="auto"/>
        <w:tabs>
          <w:tab w:leader="none" w:pos="3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90" w:lineRule="exact"/>
        <w:rPr>
          <w:rFonts w:ascii="Arial" w:cs="Arial" w:eastAsia="Arial" w:hAnsi="Arial"/>
          <w:sz w:val="18"/>
          <w:szCs w:val="18"/>
          <w:color w:val="auto"/>
        </w:rPr>
      </w:pPr>
    </w:p>
    <w:p>
      <w:pPr>
        <w:ind w:left="824" w:hanging="384"/>
        <w:spacing w:after="0"/>
        <w:tabs>
          <w:tab w:leader="none" w:pos="82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436"/>
        <w:spacing w:after="0" w:line="263" w:lineRule="auto"/>
        <w:tabs>
          <w:tab w:leader="none" w:pos="82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Consent of Lenders Directly Affected</w:t>
      </w:r>
      <w:r>
        <w:rPr>
          <w:rFonts w:ascii="Arial" w:cs="Arial" w:eastAsia="Arial" w:hAnsi="Arial"/>
          <w:sz w:val="18"/>
          <w:szCs w:val="18"/>
          <w:color w:val="auto"/>
        </w:rPr>
        <w:t>. In addition to the foregoing requirements, no amendment, waiver or consent shall, unless in writing, and signed by each of the Lenders directly and adversely affected thereby (or the Administrative Agent at the written direction of such Lenders), do any of the following:</w:t>
      </w:r>
    </w:p>
    <w:p>
      <w:pPr>
        <w:spacing w:after="0" w:line="75" w:lineRule="exact"/>
        <w:rPr>
          <w:rFonts w:ascii="Arial" w:cs="Arial" w:eastAsia="Arial" w:hAnsi="Arial"/>
          <w:sz w:val="18"/>
          <w:szCs w:val="18"/>
          <w:color w:val="auto"/>
        </w:rPr>
      </w:pPr>
    </w:p>
    <w:p>
      <w:pPr>
        <w:ind w:left="1204" w:hanging="341"/>
        <w:spacing w:after="0"/>
        <w:tabs>
          <w:tab w:leader="none" w:pos="120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subject such Lenders to any additional obligations;</w:t>
      </w:r>
    </w:p>
    <w:p>
      <w:pPr>
        <w:spacing w:after="0" w:line="117" w:lineRule="exact"/>
        <w:rPr>
          <w:rFonts w:ascii="Arial" w:cs="Arial" w:eastAsia="Arial" w:hAnsi="Arial"/>
          <w:sz w:val="18"/>
          <w:szCs w:val="18"/>
          <w:color w:val="auto"/>
        </w:rPr>
      </w:pPr>
    </w:p>
    <w:p>
      <w:pPr>
        <w:ind w:left="444" w:right="100" w:firstLine="419"/>
        <w:spacing w:after="0" w:line="277" w:lineRule="auto"/>
        <w:tabs>
          <w:tab w:leader="none" w:pos="126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 owing to such Lenders;</w:t>
      </w:r>
    </w:p>
    <w:p>
      <w:pPr>
        <w:spacing w:after="0" w:line="62" w:lineRule="exact"/>
        <w:rPr>
          <w:rFonts w:ascii="Arial" w:cs="Arial" w:eastAsia="Arial" w:hAnsi="Arial"/>
          <w:sz w:val="18"/>
          <w:szCs w:val="18"/>
          <w:color w:val="auto"/>
        </w:rPr>
      </w:pPr>
    </w:p>
    <w:p>
      <w:pPr>
        <w:ind w:left="1304" w:hanging="441"/>
        <w:spacing w:after="0"/>
        <w:tabs>
          <w:tab w:leader="none" w:pos="130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reduce the amount of any Fees payable to such Lenders hereunder;</w:t>
      </w:r>
    </w:p>
    <w:p>
      <w:pPr>
        <w:spacing w:after="0" w:line="117" w:lineRule="exact"/>
        <w:rPr>
          <w:rFonts w:ascii="Arial" w:cs="Arial" w:eastAsia="Arial" w:hAnsi="Arial"/>
          <w:sz w:val="18"/>
          <w:szCs w:val="18"/>
          <w:color w:val="auto"/>
        </w:rPr>
      </w:pPr>
    </w:p>
    <w:p>
      <w:pPr>
        <w:ind w:left="444" w:right="580" w:firstLine="419"/>
        <w:spacing w:after="0" w:line="277" w:lineRule="auto"/>
        <w:tabs>
          <w:tab w:leader="none" w:pos="130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modify the definition of “Maturity Date” (except in accordance with Section 2.13.), otherwise postpone any date fixed for any payment of principal of, or interest on, any Loans or for the payment of Fees or any other Obligations;</w:t>
      </w:r>
    </w:p>
    <w:p>
      <w:pPr>
        <w:spacing w:after="0" w:line="62" w:lineRule="exact"/>
        <w:rPr>
          <w:rFonts w:ascii="Arial" w:cs="Arial" w:eastAsia="Arial" w:hAnsi="Arial"/>
          <w:sz w:val="18"/>
          <w:szCs w:val="18"/>
          <w:color w:val="auto"/>
        </w:rPr>
      </w:pPr>
    </w:p>
    <w:p>
      <w:pPr>
        <w:ind w:left="1244" w:hanging="381"/>
        <w:spacing w:after="0"/>
        <w:tabs>
          <w:tab w:leader="none" w:pos="124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modify the definition of “Credit Percentage” or amend or otherwise modify the provisions of Section 3.2. or Section 10.5.;</w:t>
      </w:r>
    </w:p>
    <w:p>
      <w:pPr>
        <w:spacing w:after="0" w:line="117" w:lineRule="exact"/>
        <w:rPr>
          <w:rFonts w:ascii="Arial" w:cs="Arial" w:eastAsia="Arial" w:hAnsi="Arial"/>
          <w:sz w:val="18"/>
          <w:szCs w:val="18"/>
          <w:color w:val="auto"/>
        </w:rPr>
      </w:pPr>
    </w:p>
    <w:p>
      <w:pPr>
        <w:ind w:left="444" w:right="620" w:firstLine="419"/>
        <w:spacing w:after="0" w:line="277" w:lineRule="auto"/>
        <w:tabs>
          <w:tab w:leader="none" w:pos="130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amend this Section or amend the definitions of the terms used in this Agreement or the other Loan Documents insofar as such definitions affect the substance of this Section;</w:t>
      </w:r>
    </w:p>
    <w:p>
      <w:pPr>
        <w:spacing w:after="0" w:line="62" w:lineRule="exact"/>
        <w:rPr>
          <w:rFonts w:ascii="Arial" w:cs="Arial" w:eastAsia="Arial" w:hAnsi="Arial"/>
          <w:sz w:val="18"/>
          <w:szCs w:val="18"/>
          <w:color w:val="auto"/>
        </w:rPr>
      </w:pPr>
    </w:p>
    <w:p>
      <w:pPr>
        <w:ind w:left="444" w:right="520" w:firstLine="419"/>
        <w:spacing w:after="0" w:line="277" w:lineRule="auto"/>
        <w:tabs>
          <w:tab w:leader="none" w:pos="135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modify in any other manner the number or percentage of the Lenders required to make any determinations or waive any rights hereunder or to modify any provision hereof;</w:t>
      </w:r>
    </w:p>
    <w:p>
      <w:pPr>
        <w:spacing w:after="0" w:line="62" w:lineRule="exact"/>
        <w:rPr>
          <w:rFonts w:ascii="Arial" w:cs="Arial" w:eastAsia="Arial" w:hAnsi="Arial"/>
          <w:sz w:val="18"/>
          <w:szCs w:val="18"/>
          <w:color w:val="auto"/>
        </w:rPr>
      </w:pPr>
    </w:p>
    <w:p>
      <w:pPr>
        <w:ind w:left="1404" w:hanging="541"/>
        <w:spacing w:after="0"/>
        <w:tabs>
          <w:tab w:leader="none" w:pos="140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contemplated by Section 7.14.(c); or</w:t>
      </w:r>
    </w:p>
    <w:p>
      <w:pPr>
        <w:spacing w:after="0" w:line="117" w:lineRule="exact"/>
        <w:rPr>
          <w:rFonts w:ascii="Arial" w:cs="Arial" w:eastAsia="Arial" w:hAnsi="Arial"/>
          <w:sz w:val="18"/>
          <w:szCs w:val="18"/>
          <w:color w:val="auto"/>
        </w:rPr>
      </w:pPr>
    </w:p>
    <w:p>
      <w:pPr>
        <w:ind w:left="1304" w:hanging="441"/>
        <w:spacing w:after="0"/>
        <w:tabs>
          <w:tab w:leader="none" w:pos="130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waive a Default or Event of Default under Section 10.1.(a), except as provided in Section 10.7.</w:t>
      </w:r>
    </w:p>
    <w:p>
      <w:pPr>
        <w:spacing w:after="0" w:line="225" w:lineRule="exact"/>
        <w:rPr>
          <w:rFonts w:ascii="Arial" w:cs="Arial" w:eastAsia="Arial" w:hAnsi="Arial"/>
          <w:sz w:val="18"/>
          <w:szCs w:val="18"/>
          <w:color w:val="auto"/>
        </w:rPr>
      </w:pPr>
    </w:p>
    <w:p>
      <w:pPr>
        <w:ind w:left="4" w:right="240" w:firstLine="436"/>
        <w:spacing w:after="0" w:line="286" w:lineRule="auto"/>
        <w:tabs>
          <w:tab w:leader="none" w:pos="834"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Amendment of Administrative Agent’s Duties, Etc</w:t>
      </w:r>
      <w:r>
        <w:rPr>
          <w:rFonts w:ascii="Arial" w:cs="Arial" w:eastAsia="Arial" w:hAnsi="Arial"/>
          <w:sz w:val="17"/>
          <w:szCs w:val="17"/>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3"/>
          <w:numId w:val="103"/>
        </w:numPr>
        <w:rPr>
          <w:rFonts w:ascii="Arial" w:cs="Arial" w:eastAsia="Arial" w:hAnsi="Arial"/>
          <w:sz w:val="18"/>
          <w:szCs w:val="18"/>
          <w:color w:val="auto"/>
        </w:rPr>
      </w:pPr>
      <w:r>
        <w:rPr>
          <w:rFonts w:ascii="Arial" w:cs="Arial" w:eastAsia="Arial" w:hAnsi="Arial"/>
          <w:sz w:val="18"/>
          <w:szCs w:val="18"/>
          <w:color w:val="auto"/>
        </w:rPr>
        <w:t>88 -</w:t>
      </w:r>
    </w:p>
    <w:p>
      <w:pPr>
        <w:sectPr>
          <w:pgSz w:w="11900" w:h="16838" w:orient="portrait"/>
          <w:cols w:equalWidth="0" w:num="1">
            <w:col w:w="10964"/>
          </w:cols>
          <w:pgMar w:left="436" w:top="270" w:right="499" w:bottom="1440" w:gutter="0" w:footer="0" w:header="0"/>
        </w:sectPr>
      </w:pPr>
    </w:p>
    <w:bookmarkStart w:id="98" w:name="page99"/>
    <w:bookmarkEnd w:id="98"/>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Nonliability of Administrative Agent and Lenders.</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Confidentiality.</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9" w:name="page100"/>
    <w:bookmarkEnd w:id="9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Indemnification.</w:t>
      </w:r>
    </w:p>
    <w:p>
      <w:pPr>
        <w:spacing w:after="0" w:line="121" w:lineRule="exact"/>
        <w:rPr>
          <w:sz w:val="20"/>
          <w:szCs w:val="20"/>
          <w:color w:val="auto"/>
        </w:rPr>
      </w:pPr>
    </w:p>
    <w:p>
      <w:pPr>
        <w:ind w:firstLine="436"/>
        <w:spacing w:after="0" w:line="284" w:lineRule="auto"/>
        <w:tabs>
          <w:tab w:leader="none" w:pos="81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 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counsel fees and disbursements) incurred in connection with defense thereof by, the Administrative Agent or any Lender as a result of conduct of the Borrower, any other Loan Party or any other Subsidiary that violates a sanction administered or enforced by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w:t>
      </w:r>
    </w:p>
    <w:p>
      <w:pPr>
        <w:spacing w:after="0" w:line="323" w:lineRule="exact"/>
        <w:rPr>
          <w:rFonts w:ascii="Arial" w:cs="Arial" w:eastAsia="Arial" w:hAnsi="Arial"/>
          <w:sz w:val="16"/>
          <w:szCs w:val="16"/>
          <w:color w:val="auto"/>
        </w:rPr>
      </w:pPr>
    </w:p>
    <w:p>
      <w:pPr>
        <w:ind w:left="5420" w:hanging="111"/>
        <w:spacing w:after="0"/>
        <w:tabs>
          <w:tab w:leader="none" w:pos="5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1000"/>
          </w:cols>
          <w:pgMar w:left="440" w:top="274" w:right="459" w:bottom="1440" w:gutter="0" w:footer="0" w:header="0"/>
        </w:sectPr>
      </w:pPr>
    </w:p>
    <w:bookmarkStart w:id="100" w:name="page101"/>
    <w:bookmarkEnd w:id="100"/>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acting in such capacity).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w:t>
      </w:r>
    </w:p>
    <w:p>
      <w:pPr>
        <w:spacing w:after="0" w:line="164" w:lineRule="exact"/>
        <w:rPr>
          <w:sz w:val="20"/>
          <w:szCs w:val="20"/>
          <w:color w:val="auto"/>
        </w:rPr>
      </w:pPr>
    </w:p>
    <w:p>
      <w:pPr>
        <w:ind w:left="4" w:firstLine="436"/>
        <w:spacing w:after="0" w:line="289" w:lineRule="auto"/>
        <w:tabs>
          <w:tab w:leader="none" w:pos="83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spacing w:after="0" w:line="166" w:lineRule="exact"/>
        <w:rPr>
          <w:rFonts w:ascii="Arial" w:cs="Arial" w:eastAsia="Arial" w:hAnsi="Arial"/>
          <w:sz w:val="16"/>
          <w:szCs w:val="16"/>
          <w:color w:val="auto"/>
        </w:rPr>
      </w:pPr>
    </w:p>
    <w:p>
      <w:pPr>
        <w:ind w:left="4" w:right="100" w:firstLine="436"/>
        <w:spacing w:after="0" w:line="277" w:lineRule="auto"/>
        <w:tabs>
          <w:tab w:leader="none" w:pos="82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70" w:lineRule="exact"/>
        <w:rPr>
          <w:rFonts w:ascii="Arial" w:cs="Arial" w:eastAsia="Arial" w:hAnsi="Arial"/>
          <w:sz w:val="18"/>
          <w:szCs w:val="18"/>
          <w:color w:val="auto"/>
        </w:rPr>
      </w:pPr>
    </w:p>
    <w:p>
      <w:pPr>
        <w:ind w:left="4" w:right="80" w:firstLine="436"/>
        <w:spacing w:after="0" w:line="301" w:lineRule="auto"/>
        <w:tabs>
          <w:tab w:leader="none" w:pos="82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57" w:lineRule="exact"/>
        <w:rPr>
          <w:rFonts w:ascii="Arial" w:cs="Arial" w:eastAsia="Arial" w:hAnsi="Arial"/>
          <w:sz w:val="16"/>
          <w:szCs w:val="16"/>
          <w:color w:val="auto"/>
        </w:rPr>
      </w:pPr>
    </w:p>
    <w:p>
      <w:pPr>
        <w:ind w:left="4" w:right="120" w:firstLine="436"/>
        <w:spacing w:after="0" w:line="283" w:lineRule="auto"/>
        <w:tabs>
          <w:tab w:leader="none" w:pos="81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w:t>
      </w:r>
    </w:p>
    <w:p>
      <w:pPr>
        <w:spacing w:after="0" w:line="5" w:lineRule="exact"/>
        <w:rPr>
          <w:rFonts w:ascii="Arial" w:cs="Arial" w:eastAsia="Arial" w:hAnsi="Arial"/>
          <w:sz w:val="16"/>
          <w:szCs w:val="16"/>
          <w:color w:val="auto"/>
        </w:rPr>
      </w:pPr>
    </w:p>
    <w:p>
      <w:pPr>
        <w:ind w:left="4" w:right="120" w:hanging="4"/>
        <w:spacing w:after="0" w:line="255" w:lineRule="auto"/>
        <w:tabs>
          <w:tab w:leader="none" w:pos="25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0984"/>
          </w:cols>
          <w:pgMar w:left="436" w:top="274" w:right="479" w:bottom="1440" w:gutter="0" w:footer="0" w:header="0"/>
        </w:sectPr>
      </w:pPr>
    </w:p>
    <w:bookmarkStart w:id="101" w:name="page102"/>
    <w:bookmarkEnd w:id="101"/>
    <w:p>
      <w:pPr>
        <w:ind w:right="180" w:firstLine="436"/>
        <w:spacing w:after="0" w:line="308" w:lineRule="auto"/>
        <w:tabs>
          <w:tab w:leader="none" w:pos="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46" w:lineRule="exact"/>
        <w:rPr>
          <w:rFonts w:ascii="Arial" w:cs="Arial" w:eastAsia="Arial" w:hAnsi="Arial"/>
          <w:sz w:val="17"/>
          <w:szCs w:val="17"/>
          <w:color w:val="auto"/>
        </w:rPr>
      </w:pPr>
    </w:p>
    <w:p>
      <w:pPr>
        <w:ind w:right="220" w:firstLine="436"/>
        <w:spacing w:after="0" w:line="263" w:lineRule="auto"/>
        <w:tabs>
          <w:tab w:leader="none" w:pos="82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in this Section 12.10. to “Lender” or “Lenders” shall be deemed to include such Persons (and their Affiliates) in their capacity as Specified Derivatives Providers.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Termination; Survival.</w:t>
      </w:r>
    </w:p>
    <w:p>
      <w:pPr>
        <w:spacing w:after="0" w:line="12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This Agreement shall terminate at such time as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Severability of Provisions.</w:t>
      </w:r>
    </w:p>
    <w:p>
      <w:pPr>
        <w:spacing w:after="0" w:line="12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GOVERNING LAW.</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12.14. Counterparts.</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440" w:top="274" w:right="4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12.15. Obligations with Respect to Loan Parties.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Independence of Covenants.</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Limitation of Liability.</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Entire Agreement.</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Construction.</w:t>
      </w:r>
    </w:p>
    <w:p>
      <w:pPr>
        <w:spacing w:after="0" w:line="121"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12.20. Headings.</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paragraph and section headings in this Agreement are provided for convenience of reference only and shall not affect its construction or interpretation.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12.21. Limitation of Liability of Trustees, Etc.</w:t>
      </w:r>
    </w:p>
    <w:p>
      <w:pPr>
        <w:spacing w:after="0" w:line="12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NOR SHAREHOLDERS OF THE BORROWER SHALL HAVE ANY PERSONAL LIABILITY FOR OBLIGATIONS ENTERED INTO BY OR ON BEHALF OF THE BORROWER OR ANY OTHER LOAN PARTY.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12.22. Acknowledgement and Consent to Bail-In of EEA Financial Institutions.</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right="180" w:firstLine="436"/>
        <w:spacing w:after="0" w:line="277" w:lineRule="auto"/>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60" w:firstLine="419"/>
        <w:spacing w:after="0" w:line="311" w:lineRule="auto"/>
        <w:tabs>
          <w:tab w:leader="none" w:pos="126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firstLine="419"/>
        <w:spacing w:after="0" w:line="277" w:lineRule="auto"/>
        <w:tabs>
          <w:tab w:leader="none" w:pos="131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12.23. Electronic Signatures.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0" w:right="479" w:bottom="1440" w:gutter="0" w:footer="0" w:header="0"/>
        </w:sectPr>
      </w:pPr>
    </w:p>
    <w:bookmarkStart w:id="104" w:name="page105"/>
    <w:bookmarkEnd w:id="10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12.24. Acknowledgement Regarding Any Supported QFCs.</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To the extent that the Loan Documents provide support, through a guarantee or otherwise, for a Derivatives Contract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Regimes</w:t>
      </w:r>
      <w:r>
        <w:rPr>
          <w:rFonts w:ascii="Arial" w:cs="Arial" w:eastAsia="Arial" w:hAnsi="Arial"/>
          <w:sz w:val="18"/>
          <w:szCs w:val="18"/>
          <w:color w:val="auto"/>
        </w:rPr>
        <w:t>”) in respect of such Supported QFC and QFC Credit Support (with the provisions below applicable notwithstanding that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Supported QFC may in fact be stated to be governed by the laws of the State of New York and/or of the United States or any other state of the United States):</w:t>
      </w:r>
    </w:p>
    <w:p>
      <w:pPr>
        <w:spacing w:after="0" w:line="19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5" w:name="page106"/>
    <w:bookmarkEnd w:id="10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Term Loan Agreement to be executed by their authorized officers all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Executive Vice President – Chief</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Financial Officer and Treasurer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840"/>
          </w:cols>
          <w:pgMar w:left="440" w:top="274" w:right="6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7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PNC BANK, NATIONAL ASSOCIATION, as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Administrative Agent and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Wayne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Wayne Robertson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9019"/>
          </w:cols>
          <w:pgMar w:left="1440" w:top="270"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 a</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Scott S.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Scott S. Solis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1000"/>
          </w:cols>
          <w:pgMar w:left="440" w:top="418" w:right="4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Name: William M. Brandt, Jr.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019"/>
          </w:cols>
          <w:pgMar w:left="1440" w:top="418"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REGIONS BANK,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William Chalmers</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Assistant Vice President</w:t>
      </w:r>
    </w:p>
    <w:p>
      <w:pPr>
        <w:sectPr>
          <w:pgSz w:w="11900" w:h="16838" w:orient="portrait"/>
          <w:cols w:equalWidth="0" w:num="1">
            <w:col w:w="9019"/>
          </w:cols>
          <w:pgMar w:left="1440" w:top="418"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TRUIST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Ryan Almond</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019"/>
          </w:cols>
          <w:pgMar w:left="1440" w:top="418" w:right="1440" w:bottom="1440" w:gutter="0" w:footer="0" w:header="0"/>
        </w:sectPr>
      </w:pPr>
    </w:p>
    <w:bookmarkStart w:id="111" w:name="page112"/>
    <w:bookmarkEnd w:id="111"/>
    <w:p>
      <w:pPr>
        <w:ind w:left="1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J. Tillman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9580"/>
          </w:cols>
          <w:pgMar w:left="1440" w:top="418" w:right="87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Christopher Albano</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9019"/>
          </w:cols>
          <w:pgMar w:left="1440" w:top="418" w:right="1440" w:bottom="1440" w:gutter="0" w:footer="0" w:header="0"/>
        </w:sectPr>
      </w:pPr>
    </w:p>
    <w:bookmarkStart w:id="113" w:name="page114"/>
    <w:bookmarkEnd w:id="113"/>
    <w:p>
      <w:pPr>
        <w:ind w:left="1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Term Loan Agreement with Federal Realty Investment Trust]</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DEUTSCHE BANK AG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Annie Chung</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580"/>
          </w:cols>
          <w:pgMar w:left="1440" w:top="418" w:right="8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AMENDMENT TO AMENDED AND RESTATED CREDIT AGREEMENT</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THIS FIRST AMENDMENT TO AMENDED AND RESTATED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May 6, 2020, by and among FEDERAL REALTY INVESTMENT TRUST, a real estate investment trust formed under the laws of the State of Maryland (the “</w:t>
      </w:r>
      <w:r>
        <w:rPr>
          <w:rFonts w:ascii="Arial" w:cs="Arial" w:eastAsia="Arial" w:hAnsi="Arial"/>
          <w:sz w:val="16"/>
          <w:szCs w:val="16"/>
          <w:u w:val="single" w:color="auto"/>
          <w:color w:val="auto"/>
        </w:rPr>
        <w:t>Borrower</w:t>
      </w:r>
      <w:r>
        <w:rPr>
          <w:rFonts w:ascii="Arial" w:cs="Arial" w:eastAsia="Arial" w:hAnsi="Arial"/>
          <w:sz w:val="16"/>
          <w:szCs w:val="16"/>
          <w:color w:val="auto"/>
        </w:rPr>
        <w:t>”), each of the Lenders party hereto and WELLS FARGO BANK, NATIONAL ASSOCIATION,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4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WHEREAS, the Borrower, the Lenders, the Administrative Agent and certain other parties have entered into that certain Amended and Restated Credit Agreement dated as of July 25, 2019 (as amended and as in effect immediately prior to the effectiveness of this Amendment,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the Borrower, the Lenders and the Administrative Agent desire to amend certain provisions of the Credit Agreement on the terms and conditions contained herein.</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Credit Agreement</w:t>
      </w:r>
      <w:r>
        <w:rPr>
          <w:rFonts w:ascii="Arial" w:cs="Arial" w:eastAsia="Arial" w:hAnsi="Arial"/>
          <w:sz w:val="18"/>
          <w:szCs w:val="18"/>
          <w:color w:val="auto"/>
        </w:rPr>
        <w:t>. As of the First Amendment Date, the parties hereto agree that the Credit Agreement shall be amended as follows:</w:t>
      </w:r>
    </w:p>
    <w:p>
      <w:pPr>
        <w:spacing w:after="0" w:line="170" w:lineRule="exact"/>
        <w:rPr>
          <w:sz w:val="20"/>
          <w:szCs w:val="20"/>
          <w:color w:val="auto"/>
        </w:rPr>
      </w:pPr>
    </w:p>
    <w:p>
      <w:pPr>
        <w:ind w:right="1140" w:firstLine="436"/>
        <w:spacing w:after="0" w:line="342" w:lineRule="auto"/>
        <w:tabs>
          <w:tab w:leader="none" w:pos="81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Credit Agreement is amended by restating the definitions of “Bail-In Action”, “Bail-In Legislation”, “Total Asset Value”, “Unencumbered Asset Value”, and “Write-Down and Conversion Powers” contained in Section 1.1. thereof in their entirety as follows:</w:t>
      </w:r>
    </w:p>
    <w:p>
      <w:pPr>
        <w:spacing w:after="0" w:line="12" w:lineRule="exact"/>
        <w:rPr>
          <w:sz w:val="20"/>
          <w:szCs w:val="20"/>
          <w:color w:val="auto"/>
        </w:rPr>
      </w:pPr>
    </w:p>
    <w:p>
      <w:pPr>
        <w:ind w:left="44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54" w:lineRule="exact"/>
        <w:rPr>
          <w:sz w:val="20"/>
          <w:szCs w:val="20"/>
          <w:color w:val="auto"/>
        </w:rPr>
      </w:pPr>
    </w:p>
    <w:p>
      <w:pPr>
        <w:ind w:left="440" w:righ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9" w:lineRule="exact"/>
        <w:rPr>
          <w:sz w:val="20"/>
          <w:szCs w:val="20"/>
          <w:color w:val="auto"/>
        </w:rPr>
      </w:pPr>
    </w:p>
    <w:p>
      <w:pPr>
        <w:ind w:left="440" w:right="12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 Value</w:t>
      </w:r>
      <w:r>
        <w:rPr>
          <w:rFonts w:ascii="Arial" w:cs="Arial" w:eastAsia="Arial" w:hAnsi="Arial"/>
          <w:sz w:val="16"/>
          <w:szCs w:val="16"/>
          <w:color w:val="auto"/>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w:t>
      </w:r>
    </w:p>
    <w:p>
      <w:pPr>
        <w:sectPr>
          <w:pgSz w:w="11900" w:h="16838" w:orient="portrait"/>
          <w:cols w:equalWidth="0" w:num="1">
            <w:col w:w="11020"/>
          </w:cols>
          <w:pgMar w:left="440" w:top="121" w:right="439" w:bottom="1440" w:gutter="0" w:footer="0" w:header="0"/>
        </w:sectPr>
      </w:pPr>
    </w:p>
    <w:bookmarkStart w:id="115" w:name="page116"/>
    <w:bookmarkEnd w:id="11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Unimproved Land, Mortgage Receivables and other promissory notes.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 (C) the amount of Total Asset Value attributable to Construction-in-Process would exceed 20.0%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Asset Value and (G) the amount of Total Asset Value attributable to assets of the types referred to in the immediately preceding clauses (B) through (F) would exceed 25.0% of Total Asset Value in the aggregate, such excess shall be excluded from Total Asset Value.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w:t>
      </w:r>
    </w:p>
    <w:p>
      <w:pPr>
        <w:spacing w:after="0" w:line="66"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means (a) Unencumbered Adjusted NOI for the most recently ended four consecutive fiscal quarter period divided by the Capitalization Rate, plus (b) the GAAP book value of all assets (other than assets otherwise included in clauses (c) and (d)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w:t>
      </w:r>
    </w:p>
    <w:p>
      <w:pPr>
        <w:spacing w:after="0" w:line="2" w:lineRule="exact"/>
        <w:rPr>
          <w:sz w:val="20"/>
          <w:szCs w:val="20"/>
          <w:color w:val="auto"/>
        </w:rPr>
      </w:pPr>
    </w:p>
    <w:p>
      <w:pPr>
        <w:ind w:left="4" w:right="220" w:hanging="4"/>
        <w:spacing w:after="0" w:line="302" w:lineRule="auto"/>
        <w:tabs>
          <w:tab w:leader="none" w:pos="25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unrestricted cash and cash equivalents in excess of $25,000,000 which are not subject to any Liens (other than Permitted Liens of the type described in clause (a)(i) of the definition thereof) or subject to any Negative Pledge. For purposes of this definition, (A) to the extent that more than 25.0% of Unencumbered Asset Value would be attributable to Controlled Properties, Non-Controlled Properties and Development</w:t>
      </w:r>
    </w:p>
    <w:p>
      <w:pPr>
        <w:spacing w:after="0" w:line="8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4"/>
          </w:cols>
          <w:pgMar w:left="876" w:top="274" w:right="459" w:bottom="1440" w:gutter="0" w:footer="0" w:header="0"/>
        </w:sectPr>
      </w:pPr>
    </w:p>
    <w:bookmarkStart w:id="116" w:name="page117"/>
    <w:bookmarkEnd w:id="116"/>
    <w:p>
      <w:pPr>
        <w:ind w:left="4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Properties such excess shall be excluded, and (B) to the extent that more than 2.5% of Unencumbered Asset Value would be attributable to Hotel Properties,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w:t>
      </w:r>
    </w:p>
    <w:p>
      <w:pPr>
        <w:spacing w:after="0" w:line="54" w:lineRule="exact"/>
        <w:rPr>
          <w:sz w:val="20"/>
          <w:szCs w:val="20"/>
          <w:color w:val="auto"/>
        </w:rPr>
      </w:pPr>
    </w:p>
    <w:p>
      <w:pPr>
        <w:ind w:left="420"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6" w:lineRule="exact"/>
        <w:rPr>
          <w:sz w:val="20"/>
          <w:szCs w:val="20"/>
          <w:color w:val="auto"/>
        </w:rPr>
      </w:pPr>
    </w:p>
    <w:p>
      <w:pPr>
        <w:ind w:left="-20" w:right="120" w:firstLine="436"/>
        <w:spacing w:after="0" w:line="342" w:lineRule="auto"/>
        <w:tabs>
          <w:tab w:leader="none" w:pos="8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Credit Agreement is further amended by adding the following definitions of “Affected Financial Institution”, “First Amendment Date”, “Resolution Authority”, “UK Financial Institution”, and “UK Resolution Authority” to Section 1.1. thereof in the appropriate alphabetical location:</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Date</w:t>
      </w:r>
      <w:r>
        <w:rPr>
          <w:rFonts w:ascii="Arial" w:cs="Arial" w:eastAsia="Arial" w:hAnsi="Arial"/>
          <w:sz w:val="18"/>
          <w:szCs w:val="18"/>
          <w:color w:val="auto"/>
        </w:rPr>
        <w:t>” means May 6, 2020.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129" w:lineRule="exact"/>
        <w:rPr>
          <w:sz w:val="20"/>
          <w:szCs w:val="20"/>
          <w:color w:val="auto"/>
        </w:rPr>
      </w:pPr>
    </w:p>
    <w:p>
      <w:pPr>
        <w:ind w:left="420" w:right="3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117" w:name="page118"/>
    <w:bookmarkEnd w:id="117"/>
    <w:p>
      <w:pPr>
        <w:ind w:left="4"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6" w:lineRule="exact"/>
        <w:rPr>
          <w:sz w:val="20"/>
          <w:szCs w:val="20"/>
          <w:color w:val="auto"/>
        </w:rPr>
      </w:pPr>
    </w:p>
    <w:p>
      <w:pPr>
        <w:ind w:left="4"/>
        <w:spacing w:after="0"/>
        <w:tabs>
          <w:tab w:leader="none" w:pos="363"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The Credit Agreement is further amended by restating Section 6.1.(h) thereof in its entirety as follows:</w:t>
      </w:r>
    </w:p>
    <w:p>
      <w:pPr>
        <w:spacing w:after="0" w:line="117" w:lineRule="exact"/>
        <w:rPr>
          <w:sz w:val="20"/>
          <w:szCs w:val="20"/>
          <w:color w:val="auto"/>
        </w:rPr>
      </w:pPr>
    </w:p>
    <w:p>
      <w:pPr>
        <w:ind w:left="4"/>
        <w:spacing w:after="0"/>
        <w:tabs>
          <w:tab w:leader="none" w:pos="363"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u w:val="single" w:color="auto"/>
          <w:color w:val="auto"/>
        </w:rPr>
        <w:t>Affected Financial Institution</w:t>
      </w:r>
      <w:r>
        <w:rPr>
          <w:rFonts w:ascii="Arial" w:cs="Arial" w:eastAsia="Arial" w:hAnsi="Arial"/>
          <w:sz w:val="16"/>
          <w:szCs w:val="16"/>
          <w:color w:val="auto"/>
        </w:rPr>
        <w:t>. No Loan Party is an Affected Financial Institution.</w:t>
      </w:r>
    </w:p>
    <w:p>
      <w:pPr>
        <w:spacing w:after="0" w:line="225" w:lineRule="exact"/>
        <w:rPr>
          <w:sz w:val="20"/>
          <w:szCs w:val="20"/>
          <w:color w:val="auto"/>
        </w:rPr>
      </w:pPr>
    </w:p>
    <w:p>
      <w:pPr>
        <w:ind w:left="4"/>
        <w:spacing w:after="0"/>
        <w:tabs>
          <w:tab w:leader="none" w:pos="363"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Credit Agreement is further amended by restating Section 9.1(c) thereof in its entirety as follows:</w:t>
      </w:r>
    </w:p>
    <w:p>
      <w:pPr>
        <w:spacing w:after="0" w:line="117" w:lineRule="exact"/>
        <w:rPr>
          <w:sz w:val="20"/>
          <w:szCs w:val="20"/>
          <w:color w:val="auto"/>
        </w:rPr>
      </w:pPr>
    </w:p>
    <w:p>
      <w:pPr>
        <w:ind w:left="4" w:hanging="4"/>
        <w:spacing w:after="0" w:line="342" w:lineRule="auto"/>
        <w:tabs>
          <w:tab w:leader="none" w:pos="38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Borrower shall not permit the ratio of (i) Adjusted EBITDA for the period of four consecutive fiscal quarters most recently ended to (ii) Fixed Charges for such period, to be less than 1.50 to 1.00 as of the last day of such period.</w:t>
      </w:r>
    </w:p>
    <w:p>
      <w:pPr>
        <w:spacing w:after="0" w:line="124" w:lineRule="exact"/>
        <w:rPr>
          <w:sz w:val="20"/>
          <w:szCs w:val="20"/>
          <w:color w:val="auto"/>
        </w:rPr>
      </w:pPr>
    </w:p>
    <w:p>
      <w:pPr>
        <w:ind w:left="4"/>
        <w:spacing w:after="0"/>
        <w:tabs>
          <w:tab w:leader="none" w:pos="363"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The Credit Agreement is further amended by restating Section 12.22 thereof in its entirety as follows: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12.22. Acknowledgement and Consent to Bail-In of EEA Financial Institution.</w:t>
      </w:r>
    </w:p>
    <w:p>
      <w:pPr>
        <w:spacing w:after="0" w:line="121" w:lineRule="exact"/>
        <w:rPr>
          <w:sz w:val="20"/>
          <w:szCs w:val="20"/>
          <w:color w:val="auto"/>
        </w:rPr>
      </w:pPr>
    </w:p>
    <w:p>
      <w:pPr>
        <w:ind w:left="4" w:right="20" w:firstLine="423"/>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9" w:lineRule="exact"/>
        <w:rPr>
          <w:sz w:val="20"/>
          <w:szCs w:val="20"/>
          <w:color w:val="auto"/>
        </w:rPr>
      </w:pPr>
    </w:p>
    <w:p>
      <w:pPr>
        <w:ind w:left="4" w:right="440" w:firstLine="419"/>
        <w:spacing w:after="0" w:line="277" w:lineRule="auto"/>
        <w:tabs>
          <w:tab w:leader="none" w:pos="8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62" w:lineRule="exact"/>
        <w:rPr>
          <w:rFonts w:ascii="Arial" w:cs="Arial" w:eastAsia="Arial" w:hAnsi="Arial"/>
          <w:sz w:val="18"/>
          <w:szCs w:val="18"/>
          <w:color w:val="auto"/>
        </w:rPr>
      </w:pPr>
    </w:p>
    <w:p>
      <w:pPr>
        <w:ind w:left="804" w:hanging="381"/>
        <w:spacing w:after="0"/>
        <w:tabs>
          <w:tab w:leader="none" w:pos="8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30" w:lineRule="exact"/>
        <w:rPr>
          <w:rFonts w:ascii="Arial" w:cs="Arial" w:eastAsia="Arial" w:hAnsi="Arial"/>
          <w:sz w:val="18"/>
          <w:szCs w:val="18"/>
          <w:color w:val="auto"/>
        </w:rPr>
      </w:pPr>
    </w:p>
    <w:p>
      <w:pPr>
        <w:ind w:left="1524" w:hanging="533"/>
        <w:spacing w:after="0"/>
        <w:tabs>
          <w:tab w:leader="none" w:pos="152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30" w:lineRule="exact"/>
        <w:rPr>
          <w:rFonts w:ascii="Arial" w:cs="Arial" w:eastAsia="Arial" w:hAnsi="Arial"/>
          <w:sz w:val="18"/>
          <w:szCs w:val="18"/>
          <w:color w:val="auto"/>
        </w:rPr>
      </w:pPr>
    </w:p>
    <w:p>
      <w:pPr>
        <w:ind w:left="1524" w:right="100" w:hanging="533"/>
        <w:spacing w:after="0" w:line="259" w:lineRule="auto"/>
        <w:tabs>
          <w:tab w:leader="none" w:pos="152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9"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4"/>
          </w:cols>
          <w:pgMar w:left="876" w:top="270" w:right="559" w:bottom="1440" w:gutter="0" w:footer="0" w:header="0"/>
        </w:sectPr>
      </w:pPr>
    </w:p>
    <w:bookmarkStart w:id="118" w:name="page119"/>
    <w:bookmarkEnd w:id="118"/>
    <w:p>
      <w:pPr>
        <w:ind w:left="1960" w:right="120" w:hanging="533"/>
        <w:spacing w:after="0" w:line="277" w:lineRule="auto"/>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receipt by the Administrative Agent of each of the following in form and substance satisfactory to the Administrative Agent:</w:t>
      </w:r>
    </w:p>
    <w:p>
      <w:pPr>
        <w:spacing w:after="0" w:line="170" w:lineRule="exact"/>
        <w:rPr>
          <w:sz w:val="20"/>
          <w:szCs w:val="20"/>
          <w:color w:val="auto"/>
        </w:rPr>
      </w:pPr>
    </w:p>
    <w:p>
      <w:pPr>
        <w:ind w:left="820" w:hanging="384"/>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counterpart of this Amendment duly executed by the Borrower, the Administrative Agent and the Requisite Lenders;</w:t>
      </w:r>
    </w:p>
    <w:p>
      <w:pPr>
        <w:spacing w:after="0" w:line="225" w:lineRule="exact"/>
        <w:rPr>
          <w:rFonts w:ascii="Arial" w:cs="Arial" w:eastAsia="Arial" w:hAnsi="Arial"/>
          <w:sz w:val="18"/>
          <w:szCs w:val="18"/>
          <w:color w:val="auto"/>
        </w:rPr>
      </w:pPr>
    </w:p>
    <w:p>
      <w:pPr>
        <w:ind w:right="340" w:firstLine="436"/>
        <w:spacing w:after="0" w:line="263" w:lineRule="auto"/>
        <w:tabs>
          <w:tab w:leader="none" w:pos="8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evidence that all fees, expenses and reimbursement amounts due and payable to the Administrative Agent and the arrangers, including without limitation, (i) the costs and expenses set forth in Section 7 hereto, and (ii) the reasonable fees and expenses of counsel to the Administrative Agent, have been paid; and</w:t>
      </w:r>
    </w:p>
    <w:p>
      <w:pPr>
        <w:spacing w:after="0" w:line="183" w:lineRule="exact"/>
        <w:rPr>
          <w:rFonts w:ascii="Arial" w:cs="Arial" w:eastAsia="Arial" w:hAnsi="Arial"/>
          <w:sz w:val="18"/>
          <w:szCs w:val="18"/>
          <w:color w:val="auto"/>
        </w:rPr>
      </w:pPr>
    </w:p>
    <w:p>
      <w:pPr>
        <w:ind w:right="460" w:firstLine="436"/>
        <w:spacing w:after="0" w:line="277" w:lineRule="auto"/>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represents and warrants to the Administrative Agent and the Lenders that:</w:t>
      </w:r>
    </w:p>
    <w:p>
      <w:pPr>
        <w:spacing w:after="0" w:line="225" w:lineRule="exact"/>
        <w:rPr>
          <w:sz w:val="20"/>
          <w:szCs w:val="20"/>
          <w:color w:val="auto"/>
        </w:rPr>
      </w:pPr>
    </w:p>
    <w:p>
      <w:pPr>
        <w:ind w:right="40" w:firstLine="436"/>
        <w:spacing w:after="0" w:line="254"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Authorization of Loan Documents and Borrowings</w:t>
      </w:r>
      <w:r>
        <w:rPr>
          <w:rFonts w:ascii="Arial" w:cs="Arial" w:eastAsia="Arial" w:hAnsi="Arial"/>
          <w:sz w:val="18"/>
          <w:szCs w:val="18"/>
          <w:color w:val="auto"/>
        </w:rPr>
        <w:t>.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91" w:lineRule="exact"/>
        <w:rPr>
          <w:rFonts w:ascii="Arial" w:cs="Arial" w:eastAsia="Arial" w:hAnsi="Arial"/>
          <w:sz w:val="18"/>
          <w:szCs w:val="18"/>
          <w:color w:val="auto"/>
        </w:rPr>
      </w:pPr>
    </w:p>
    <w:p>
      <w:pPr>
        <w:ind w:right="120" w:firstLine="436"/>
        <w:spacing w:after="0" w:line="277" w:lineRule="auto"/>
        <w:tabs>
          <w:tab w:leader="none" w:pos="83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and the Credit Agreement as amended by this Amendment constitute valid and binding agreements of the Borrower, enforceable against the Borrower in accordance with their terms.</w:t>
      </w:r>
    </w:p>
    <w:p>
      <w:pPr>
        <w:spacing w:after="0" w:line="170" w:lineRule="exact"/>
        <w:rPr>
          <w:rFonts w:ascii="Arial" w:cs="Arial" w:eastAsia="Arial" w:hAnsi="Arial"/>
          <w:sz w:val="18"/>
          <w:szCs w:val="18"/>
          <w:color w:val="auto"/>
        </w:rPr>
      </w:pPr>
    </w:p>
    <w:p>
      <w:pPr>
        <w:ind w:firstLine="436"/>
        <w:spacing w:after="0" w:line="277"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as of the date hereof nor will exist immediately after giving effect to this Amendment.</w:t>
      </w:r>
    </w:p>
    <w:p>
      <w:pPr>
        <w:spacing w:after="0" w:line="170" w:lineRule="exact"/>
        <w:rPr>
          <w:rFonts w:ascii="Arial" w:cs="Arial" w:eastAsia="Arial" w:hAnsi="Arial"/>
          <w:sz w:val="18"/>
          <w:szCs w:val="18"/>
          <w:color w:val="auto"/>
        </w:rPr>
      </w:pPr>
    </w:p>
    <w:p>
      <w:pPr>
        <w:jc w:val="both"/>
        <w:ind w:right="60" w:firstLine="436"/>
        <w:spacing w:after="0" w:line="311" w:lineRule="auto"/>
        <w:tabs>
          <w:tab w:leader="none" w:pos="83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December 31, 2019,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spacing w:after="0" w:line="14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Reaffirmation of Representations</w:t>
      </w:r>
      <w:r>
        <w:rPr>
          <w:rFonts w:ascii="Arial" w:cs="Arial" w:eastAsia="Arial" w:hAnsi="Arial"/>
          <w:sz w:val="18"/>
          <w:szCs w:val="18"/>
          <w:color w:val="auto"/>
        </w:rPr>
        <w:t>. The Borrower hereby repeats and reaffirms all representations and warranties made or deemed made by the Borrower to the Administrative Agent and the Lenders in the Credit Agreement as amended by this Amendment and the other Loan Documents 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19" w:name="page120"/>
    <w:bookmarkEnd w:id="119"/>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9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Certain References</w:t>
      </w:r>
      <w:r>
        <w:rPr>
          <w:rFonts w:ascii="Arial" w:cs="Arial" w:eastAsia="Arial" w:hAnsi="Arial"/>
          <w:sz w:val="18"/>
          <w:szCs w:val="18"/>
          <w:color w:val="auto"/>
        </w:rPr>
        <w:t>. Each reference to the Credit Agreement in any of the Loan Documents shall be deemed to be a reference to the Credit Agreement as amended by this Amendment. This Amendment is a Loan Document.</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Benefits</w:t>
      </w:r>
      <w:r>
        <w:rPr>
          <w:rFonts w:ascii="Arial" w:cs="Arial" w:eastAsia="Arial" w:hAnsi="Arial"/>
          <w:sz w:val="18"/>
          <w:szCs w:val="18"/>
          <w:color w:val="auto"/>
        </w:rPr>
        <w:t>. This Amendment shall be binding upon and shall inure to the benefit of the parties hereto and their respective successors and assigns.</w:t>
      </w:r>
    </w:p>
    <w:p>
      <w:pPr>
        <w:spacing w:after="0" w:line="170" w:lineRule="exact"/>
        <w:rPr>
          <w:sz w:val="20"/>
          <w:szCs w:val="20"/>
          <w:color w:val="auto"/>
        </w:rPr>
      </w:pPr>
    </w:p>
    <w:p>
      <w:pPr>
        <w:jc w:val="both"/>
        <w:ind w:right="280" w:firstLine="440"/>
        <w:spacing w:after="0" w:line="30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 APPLICABLE TO CONTRACTS EXECUTED, AND TO BE FULLY PERFORMED, IN SUCH STATE.</w:t>
      </w:r>
    </w:p>
    <w:p>
      <w:pPr>
        <w:spacing w:after="0" w:line="14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Effect; Ratification</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from and after the First Amendment Date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amendments contained herein, the Borrower and each other Loan Party hereby waives and releases the Administrative Agent, each Lender and any Issuing Bank from any and all claims and defenses, whether known or unknown, with respect to the Credit Agreement and the other Loan Documents and the transactions contemplated thereby.</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not otherwise defined herein are used herein with the respective definitions given them in the Credit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0" w:name="page121"/>
    <w:bookmarkEnd w:id="12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First Amendment to Amended and Restated Credit Agreement to be executed as of the date first above written.</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4960"/>
        <w:spacing w:after="0"/>
        <w:tabs>
          <w:tab w:leader="none" w:pos="5440" w:val="left"/>
        </w:tabs>
        <w:rPr>
          <w:sz w:val="20"/>
          <w:szCs w:val="20"/>
          <w:color w:val="auto"/>
        </w:rPr>
      </w:pPr>
      <w:r>
        <w:rPr>
          <w:rFonts w:ascii="Arial" w:cs="Arial" w:eastAsia="Arial" w:hAnsi="Arial"/>
          <w:sz w:val="18"/>
          <w:szCs w:val="18"/>
          <w:color w:val="auto"/>
        </w:rPr>
        <w:t>By:</w:t>
        <w:tab/>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3522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Title:</w:t>
        <w:tab/>
        <w:t>Executive Vice President –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 and Treasurer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920"/>
          </w:cols>
          <w:pgMar w:left="440" w:top="274" w:right="5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Administrative Agent, an Issuing Bank and as a Lender</w:t>
      </w:r>
    </w:p>
    <w:p>
      <w:pPr>
        <w:spacing w:after="0" w:line="2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Scott S.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Scott S. Solis</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960"/>
          </w:cols>
          <w:pgMar w:left="1360" w:top="270" w:right="57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6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PNC BANK, NATIONAL ASSOCIATION, as an Issuing</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Bank and as a Lender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Wayne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Wayne Robertson</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840"/>
          </w:cols>
          <w:pgMar w:left="1360" w:top="270" w:right="69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REGIONS BANK, as a Lender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William Chalmers</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Assistant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60"/>
          </w:cols>
          <w:pgMar w:left="1360" w:top="270" w:right="137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TRUIST BANK, as a Lender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Ryan Almond</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60"/>
          </w:cols>
          <w:pgMar w:left="1360" w:top="270" w:right="137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6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Timothy J. Tillman</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660"/>
          </w:cols>
          <w:pgMar w:left="1360" w:top="270" w:right="87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William M. Brandt, Jr.</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60"/>
          </w:cols>
          <w:pgMar w:left="1360" w:top="270" w:right="137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BANK OF AMERICA, N.A., as a Lender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Cheryl Sneor</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60"/>
          </w:cols>
          <w:pgMar w:left="1360" w:top="270" w:right="137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Christopher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Christopher Albano</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60"/>
          </w:cols>
          <w:pgMar w:left="1360" w:top="270" w:right="137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6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DEUTSCHE BANK AG NEW YORK BRANCH, as a</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Annie Chung</w:t>
      </w:r>
    </w:p>
    <w:p>
      <w:pPr>
        <w:spacing w:after="0" w:line="23" w:lineRule="exact"/>
        <w:rPr>
          <w:sz w:val="20"/>
          <w:szCs w:val="20"/>
          <w:color w:val="auto"/>
        </w:rPr>
      </w:pPr>
    </w:p>
    <w:p>
      <w:pPr>
        <w:jc w:val="both"/>
        <w:ind w:left="604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660"/>
          </w:cols>
          <w:pgMar w:left="1360" w:top="270" w:right="879" w:bottom="1440" w:gutter="0" w:footer="0" w:header="0"/>
        </w:sectPr>
      </w:pPr>
    </w:p>
    <w:bookmarkStart w:id="130" w:name="page131"/>
    <w:bookmarkEnd w:id="130"/>
    <w:p>
      <w:pPr>
        <w:jc w:val="right"/>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JPMORGAN CHASE BANK, N.A., as a Lender</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Bryce 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Bryce Hy</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200"/>
          </w:cols>
          <w:pgMar w:left="1360" w:top="270" w:right="1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to First Amendment to Amended and Restated Credit Agreement for Federal Realty Investment Trust]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BANK OF NOVA SCOTIA, as a Lender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Ajit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25717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Ajit Goswami</w:t>
      </w:r>
    </w:p>
    <w:p>
      <w:pPr>
        <w:spacing w:after="0" w:line="23" w:lineRule="exact"/>
        <w:rPr>
          <w:sz w:val="20"/>
          <w:szCs w:val="20"/>
          <w:color w:val="auto"/>
        </w:rPr>
      </w:pPr>
    </w:p>
    <w:p>
      <w:pPr>
        <w:jc w:val="both"/>
        <w:ind w:left="6040"/>
        <w:spacing w:after="0"/>
        <w:tabs>
          <w:tab w:leader="none" w:pos="6600" w:val="left"/>
        </w:tabs>
        <w:rPr>
          <w:sz w:val="20"/>
          <w:szCs w:val="20"/>
          <w:color w:val="auto"/>
        </w:rPr>
      </w:pPr>
      <w:r>
        <w:rPr>
          <w:rFonts w:ascii="Arial" w:cs="Arial" w:eastAsia="Arial" w:hAnsi="Arial"/>
          <w:sz w:val="18"/>
          <w:szCs w:val="18"/>
          <w:color w:val="auto"/>
        </w:rPr>
        <w:t>Title:</w:t>
        <w:tab/>
        <w:t>Managing Director &amp; Industry Head</w:t>
      </w:r>
    </w:p>
    <w:sectPr>
      <w:pgSz w:w="11900" w:h="16838" w:orient="portrait"/>
      <w:cols w:equalWidth="0" w:num="1">
        <w:col w:w="9260"/>
      </w:cols>
      <w:pgMar w:left="1360" w:top="270"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lowerLetter"/>
      <w:start w:val="4"/>
    </w:lvl>
  </w:abstractNum>
  <w:abstractNum w:abstractNumId="2">
    <w:nsid w:val="15B5AF5C"/>
    <w:multiLevelType w:val="hybridMultilevel"/>
    <w:lvl w:ilvl="0">
      <w:lvlJc w:val="left"/>
      <w:lvlText w:val="(%1)"/>
      <w:numFmt w:val="decimal"/>
      <w:start w:val="1"/>
    </w:lvl>
  </w:abstractNum>
  <w:abstractNum w:abstractNumId="3">
    <w:nsid w:val="741226BB"/>
    <w:multiLevelType w:val="hybridMultilevel"/>
    <w:lvl w:ilvl="0">
      <w:lvlJc w:val="left"/>
      <w:lvlText w:val="(%1)"/>
      <w:numFmt w:val="decimal"/>
      <w:start w:val="1"/>
    </w:lvl>
  </w:abstractNum>
  <w:abstractNum w:abstractNumId="4">
    <w:nsid w:val="D34B6A8"/>
    <w:multiLevelType w:val="hybridMultilevel"/>
    <w:lvl w:ilvl="0">
      <w:lvlJc w:val="left"/>
      <w:lvlText w:val="(%1)"/>
      <w:numFmt w:val="lowerRoman"/>
      <w:start w:val="2"/>
    </w:lvl>
  </w:abstractNum>
  <w:abstractNum w:abstractNumId="5">
    <w:nsid w:val="10233C99"/>
    <w:multiLevelType w:val="hybridMultilevel"/>
    <w:lvl w:ilvl="0">
      <w:lvlJc w:val="left"/>
      <w:lvlText w:val="(%1)"/>
      <w:numFmt w:val="lowerLetter"/>
      <w:start w:val="1"/>
    </w:lvl>
  </w:abstractNum>
  <w:abstractNum w:abstractNumId="6">
    <w:nsid w:val="3F6AB60F"/>
    <w:multiLevelType w:val="hybridMultilevel"/>
    <w:lvl w:ilvl="0">
      <w:lvlJc w:val="left"/>
      <w:lvlText w:val="(%1)"/>
      <w:numFmt w:val="lowerLetter"/>
      <w:start w:val="1"/>
    </w:lvl>
  </w:abstractNum>
  <w:abstractNum w:abstractNumId="7">
    <w:nsid w:val="61574095"/>
    <w:multiLevelType w:val="hybridMultilevel"/>
    <w:lvl w:ilvl="0">
      <w:lvlJc w:val="left"/>
      <w:lvlText w:val="(%1)"/>
      <w:numFmt w:val="decimal"/>
      <w:start w:val="1"/>
    </w:lvl>
  </w:abstractNum>
  <w:abstractNum w:abstractNumId="8">
    <w:nsid w:val="7E0C57B1"/>
    <w:multiLevelType w:val="hybridMultilevel"/>
    <w:lvl w:ilvl="0">
      <w:lvlJc w:val="left"/>
      <w:lvlText w:val="(%1)"/>
      <w:numFmt w:val="lowerLetter"/>
      <w:start w:val="3"/>
    </w:lvl>
  </w:abstractNum>
  <w:abstractNum w:abstractNumId="9">
    <w:nsid w:val="77AE35EB"/>
    <w:multiLevelType w:val="hybridMultilevel"/>
    <w:lvl w:ilvl="0">
      <w:lvlJc w:val="left"/>
      <w:lvlText w:val="(%1)"/>
      <w:numFmt w:val="lowerLetter"/>
      <w:start w:val="35"/>
    </w:lvl>
  </w:abstractNum>
  <w:abstractNum w:abstractNumId="10">
    <w:nsid w:val="579BE4F1"/>
    <w:multiLevelType w:val="hybridMultilevel"/>
    <w:lvl w:ilvl="0">
      <w:lvlJc w:val="left"/>
      <w:lvlText w:val="(%1)"/>
      <w:numFmt w:val="lowerLetter"/>
      <w:start w:val="2"/>
    </w:lvl>
  </w:abstractNum>
  <w:abstractNum w:abstractNumId="11">
    <w:nsid w:val="310C50B3"/>
    <w:multiLevelType w:val="hybridMultilevel"/>
    <w:lvl w:ilvl="0">
      <w:lvlJc w:val="left"/>
      <w:lvlText w:val="(%1)"/>
      <w:numFmt w:val="lowerLetter"/>
      <w:start w:val="2"/>
    </w:lvl>
    <w:lvl w:ilvl="1">
      <w:lvlJc w:val="left"/>
      <w:lvlText w:val="-"/>
      <w:numFmt w:val="bullet"/>
      <w:start w:val="1"/>
    </w:lvl>
  </w:abstractNum>
  <w:abstractNum w:abstractNumId="12">
    <w:nsid w:val="5FF87E05"/>
    <w:multiLevelType w:val="hybridMultilevel"/>
    <w:lvl w:ilvl="0">
      <w:lvlJc w:val="left"/>
      <w:lvlText w:val="(%1)"/>
      <w:numFmt w:val="lowerLetter"/>
      <w:start w:val="1"/>
    </w:lvl>
    <w:lvl w:ilvl="1">
      <w:lvlJc w:val="left"/>
      <w:lvlText w:val="-"/>
      <w:numFmt w:val="bullet"/>
      <w:start w:val="1"/>
    </w:lvl>
  </w:abstractNum>
  <w:abstractNum w:abstractNumId="13">
    <w:nsid w:val="2F305DEF"/>
    <w:multiLevelType w:val="hybridMultilevel"/>
    <w:lvl w:ilvl="0">
      <w:lvlJc w:val="left"/>
      <w:lvlText w:val="(%1)"/>
      <w:numFmt w:val="lowerLetter"/>
      <w:start w:val="2"/>
    </w:lvl>
  </w:abstractNum>
  <w:abstractNum w:abstractNumId="14">
    <w:nsid w:val="25A70BF7"/>
    <w:multiLevelType w:val="hybridMultilevel"/>
    <w:lvl w:ilvl="0">
      <w:lvlJc w:val="left"/>
      <w:lvlText w:val="(%1)"/>
      <w:numFmt w:val="lowerLetter"/>
      <w:start w:val="5"/>
    </w:lvl>
  </w:abstractNum>
  <w:abstractNum w:abstractNumId="15">
    <w:nsid w:val="1DBABF00"/>
    <w:multiLevelType w:val="hybridMultilevel"/>
    <w:lvl w:ilvl="0">
      <w:lvlJc w:val="left"/>
      <w:lvlText w:val="(%1)"/>
      <w:numFmt w:val="lowerLetter"/>
      <w:start w:val="2"/>
    </w:lvl>
  </w:abstractNum>
  <w:abstractNum w:abstractNumId="16">
    <w:nsid w:val="4AD084E9"/>
    <w:multiLevelType w:val="hybridMultilevel"/>
    <w:lvl w:ilvl="0">
      <w:lvlJc w:val="left"/>
      <w:lvlText w:val="(%1)"/>
      <w:numFmt w:val="lowerRoman"/>
      <w:start w:val="2"/>
    </w:lvl>
  </w:abstractNum>
  <w:abstractNum w:abstractNumId="17">
    <w:nsid w:val="1F48EAA1"/>
    <w:multiLevelType w:val="hybridMultilevel"/>
    <w:lvl w:ilvl="0">
      <w:lvlJc w:val="left"/>
      <w:lvlText w:val="(%1)"/>
      <w:numFmt w:val="lowerLetter"/>
      <w:start w:val="1"/>
    </w:lvl>
    <w:lvl w:ilvl="1">
      <w:lvlJc w:val="left"/>
      <w:lvlText w:val="-"/>
      <w:numFmt w:val="bullet"/>
      <w:start w:val="1"/>
    </w:lvl>
  </w:abstractNum>
  <w:abstractNum w:abstractNumId="18">
    <w:nsid w:val="1381823A"/>
    <w:multiLevelType w:val="hybridMultilevel"/>
    <w:lvl w:ilvl="0">
      <w:lvlJc w:val="left"/>
      <w:lvlText w:val="(%1)"/>
      <w:numFmt w:val="lowerLetter"/>
      <w:start w:val="1"/>
    </w:lvl>
    <w:lvl w:ilvl="1">
      <w:lvlJc w:val="left"/>
      <w:lvlText w:val="(%2)"/>
      <w:numFmt w:val="lowerRoman"/>
      <w:start w:val="1"/>
    </w:lvl>
  </w:abstractNum>
  <w:abstractNum w:abstractNumId="19">
    <w:nsid w:val="5DB70AE5"/>
    <w:multiLevelType w:val="hybridMultilevel"/>
    <w:lvl w:ilvl="0">
      <w:lvlJc w:val="left"/>
      <w:lvlText w:val="(%1)"/>
      <w:numFmt w:val="lowerLetter"/>
      <w:start w:val="2"/>
    </w:lvl>
    <w:lvl w:ilvl="1">
      <w:lvlJc w:val="left"/>
      <w:lvlText w:val="-"/>
      <w:numFmt w:val="bullet"/>
      <w:start w:val="1"/>
    </w:lvl>
  </w:abstractNum>
  <w:abstractNum w:abstractNumId="20">
    <w:nsid w:val="100F8FCA"/>
    <w:multiLevelType w:val="hybridMultilevel"/>
    <w:lvl w:ilvl="0">
      <w:lvlJc w:val="left"/>
      <w:lvlText w:val="(%1)"/>
      <w:numFmt w:val="lowerLetter"/>
      <w:start w:val="3"/>
    </w:lvl>
    <w:lvl w:ilvl="1">
      <w:lvlJc w:val="left"/>
      <w:lvlText w:val="(%2)"/>
      <w:numFmt w:val="lowerRoman"/>
      <w:start w:val="1"/>
    </w:lvl>
  </w:abstractNum>
  <w:abstractNum w:abstractNumId="21">
    <w:nsid w:val="6590700B"/>
    <w:multiLevelType w:val="hybridMultilevel"/>
    <w:lvl w:ilvl="0">
      <w:lvlJc w:val="left"/>
      <w:lvlText w:val="(%1)"/>
      <w:numFmt w:val="lowerLetter"/>
      <w:start w:val="1"/>
    </w:lvl>
    <w:lvl w:ilvl="1">
      <w:lvlJc w:val="left"/>
      <w:lvlText w:val="-"/>
      <w:numFmt w:val="bullet"/>
      <w:start w:val="1"/>
    </w:lvl>
  </w:abstractNum>
  <w:abstractNum w:abstractNumId="22">
    <w:nsid w:val="15014ACB"/>
    <w:multiLevelType w:val="hybridMultilevel"/>
    <w:lvl w:ilvl="0">
      <w:lvlJc w:val="left"/>
      <w:lvlText w:val="(%1)"/>
      <w:numFmt w:val="lowerLetter"/>
      <w:start w:val="2"/>
    </w:lvl>
  </w:abstractNum>
  <w:abstractNum w:abstractNumId="23">
    <w:nsid w:val="5F5E7FD0"/>
    <w:multiLevelType w:val="hybridMultilevel"/>
    <w:lvl w:ilvl="0">
      <w:lvlJc w:val="left"/>
      <w:lvlText w:val="(%1)"/>
      <w:numFmt w:val="lowerLetter"/>
      <w:start w:val="1"/>
    </w:lvl>
  </w:abstractNum>
  <w:abstractNum w:abstractNumId="24">
    <w:nsid w:val="98A3148"/>
    <w:multiLevelType w:val="hybridMultilevel"/>
    <w:lvl w:ilvl="0">
      <w:lvlJc w:val="left"/>
      <w:lvlText w:val="(%1)"/>
      <w:numFmt w:val="lowerLetter"/>
      <w:start w:val="2"/>
    </w:lvl>
  </w:abstractNum>
  <w:abstractNum w:abstractNumId="25">
    <w:nsid w:val="799D0247"/>
    <w:multiLevelType w:val="hybridMultilevel"/>
    <w:lvl w:ilvl="0">
      <w:lvlJc w:val="left"/>
      <w:lvlText w:val="(%1)"/>
      <w:numFmt w:val="lowerLetter"/>
      <w:start w:val="1"/>
    </w:lvl>
    <w:lvl w:ilvl="1">
      <w:lvlJc w:val="left"/>
      <w:lvlText w:val="-"/>
      <w:numFmt w:val="bullet"/>
      <w:start w:val="1"/>
    </w:lvl>
  </w:abstractNum>
  <w:abstractNum w:abstractNumId="26">
    <w:nsid w:val="6B94764"/>
    <w:multiLevelType w:val="hybridMultilevel"/>
    <w:lvl w:ilvl="0">
      <w:lvlJc w:val="left"/>
      <w:lvlText w:val="(%1)"/>
      <w:numFmt w:val="lowerLetter"/>
      <w:start w:val="3"/>
    </w:lvl>
  </w:abstractNum>
  <w:abstractNum w:abstractNumId="27">
    <w:nsid w:val="42C296BD"/>
    <w:multiLevelType w:val="hybridMultilevel"/>
    <w:lvl w:ilvl="0">
      <w:lvlJc w:val="left"/>
      <w:lvlText w:val="(%1)"/>
      <w:numFmt w:val="lowerLetter"/>
      <w:start w:val="1"/>
    </w:lvl>
    <w:lvl w:ilvl="1">
      <w:lvlJc w:val="left"/>
      <w:lvlText w:val="-"/>
      <w:numFmt w:val="bullet"/>
      <w:start w:val="1"/>
    </w:lvl>
  </w:abstractNum>
  <w:abstractNum w:abstractNumId="28">
    <w:nsid w:val="168E121F"/>
    <w:multiLevelType w:val="hybridMultilevel"/>
    <w:lvl w:ilvl="0">
      <w:lvlJc w:val="left"/>
      <w:lvlText w:val="(%1)"/>
      <w:numFmt w:val="lowerLetter"/>
      <w:start w:val="2"/>
    </w:lvl>
  </w:abstractNum>
  <w:abstractNum w:abstractNumId="29">
    <w:nsid w:val="1EBA5D23"/>
    <w:multiLevelType w:val="hybridMultilevel"/>
    <w:lvl w:ilvl="0">
      <w:lvlJc w:val="left"/>
      <w:lvlText w:val="(%1)"/>
      <w:numFmt w:val="lowerLetter"/>
      <w:start w:val="1"/>
    </w:lvl>
    <w:lvl w:ilvl="1">
      <w:lvlJc w:val="left"/>
      <w:lvlText w:val="-"/>
      <w:numFmt w:val="bullet"/>
      <w:start w:val="1"/>
    </w:lvl>
  </w:abstractNum>
  <w:abstractNum w:abstractNumId="30">
    <w:nsid w:val="661E3F1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31">
    <w:nsid w:val="5DC79EA8"/>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32">
    <w:nsid w:val="540A471C"/>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33">
    <w:nsid w:val="7BD3EE7B"/>
    <w:multiLevelType w:val="hybridMultilevel"/>
    <w:lvl w:ilvl="0">
      <w:lvlJc w:val="left"/>
      <w:lvlText w:val="(%1)"/>
      <w:numFmt w:val="upperLetter"/>
      <w:start w:val="35"/>
    </w:lvl>
  </w:abstractNum>
  <w:abstractNum w:abstractNumId="34">
    <w:nsid w:val="51D9C564"/>
    <w:multiLevelType w:val="hybridMultilevel"/>
    <w:lvl w:ilvl="0">
      <w:lvlJc w:val="left"/>
      <w:lvlText w:val="%1"/>
      <w:numFmt w:val="upperLetter"/>
      <w:start w:val="1"/>
    </w:lvl>
    <w:lvl w:ilvl="1">
      <w:lvlJc w:val="left"/>
      <w:lvlText w:val="(%2)"/>
      <w:numFmt w:val="upperLetter"/>
      <w:start w:val="61"/>
    </w:lvl>
    <w:lvl w:ilvl="2">
      <w:lvlJc w:val="left"/>
      <w:lvlText w:val="-"/>
      <w:numFmt w:val="bullet"/>
      <w:start w:val="1"/>
    </w:lvl>
  </w:abstractNum>
  <w:abstractNum w:abstractNumId="35">
    <w:nsid w:val="613EFDC5"/>
    <w:multiLevelType w:val="hybridMultilevel"/>
    <w:lvl w:ilvl="0">
      <w:lvlJc w:val="left"/>
      <w:lvlText w:val="(%1)"/>
      <w:numFmt w:val="upperLetter"/>
      <w:start w:val="3"/>
    </w:lvl>
    <w:lvl w:ilvl="1">
      <w:lvlJc w:val="left"/>
      <w:lvlText w:val="%2"/>
      <w:numFmt w:val="upperLetter"/>
      <w:start w:val="1"/>
    </w:lvl>
    <w:lvl w:ilvl="2">
      <w:lvlJc w:val="left"/>
      <w:lvlText w:val="-"/>
      <w:numFmt w:val="bullet"/>
      <w:start w:val="1"/>
    </w:lvl>
  </w:abstractNum>
  <w:abstractNum w:abstractNumId="36">
    <w:nsid w:val="BF72B14"/>
    <w:multiLevelType w:val="hybridMultilevel"/>
    <w:lvl w:ilvl="0">
      <w:lvlJc w:val="left"/>
      <w:lvlText w:val="(%1)"/>
      <w:numFmt w:val="upperLetter"/>
      <w:start w:val="3"/>
    </w:lvl>
  </w:abstractNum>
  <w:abstractNum w:abstractNumId="37">
    <w:nsid w:val="11447B73"/>
    <w:multiLevelType w:val="hybridMultilevel"/>
    <w:lvl w:ilvl="0">
      <w:lvlJc w:val="left"/>
      <w:lvlText w:val="(%1)"/>
      <w:numFmt w:val="lowerLetter"/>
      <w:start w:val="8"/>
    </w:lvl>
  </w:abstractNum>
  <w:abstractNum w:abstractNumId="38">
    <w:nsid w:val="42963E5A"/>
    <w:multiLevelType w:val="hybridMultilevel"/>
    <w:lvl w:ilvl="0">
      <w:lvlJc w:val="left"/>
      <w:lvlText w:val="(%1)"/>
      <w:numFmt w:val="lowerLetter"/>
      <w:start w:val="1"/>
    </w:lvl>
    <w:lvl w:ilvl="1">
      <w:lvlJc w:val="left"/>
      <w:lvlText w:val="-"/>
      <w:numFmt w:val="bullet"/>
      <w:start w:val="1"/>
    </w:lvl>
  </w:abstractNum>
  <w:abstractNum w:abstractNumId="39">
    <w:nsid w:val="A0382C5"/>
    <w:multiLevelType w:val="hybridMultilevel"/>
    <w:lvl w:ilvl="0">
      <w:lvlJc w:val="left"/>
      <w:lvlText w:val="%1"/>
      <w:numFmt w:val="lowerLetter"/>
      <w:start w:val="1"/>
    </w:lvl>
    <w:lvl w:ilvl="1">
      <w:lvlJc w:val="left"/>
      <w:lvlText w:val="(%2)"/>
      <w:numFmt w:val="lowerLetter"/>
      <w:start w:val="3"/>
    </w:lvl>
  </w:abstractNum>
  <w:abstractNum w:abstractNumId="40">
    <w:nsid w:val="8F2B15E"/>
    <w:multiLevelType w:val="hybridMultilevel"/>
    <w:lvl w:ilvl="0">
      <w:lvlJc w:val="left"/>
      <w:lvlText w:val="(%1)"/>
      <w:numFmt w:val="lowerLetter"/>
      <w:start w:val="35"/>
    </w:lvl>
    <w:lvl w:ilvl="1">
      <w:lvlJc w:val="left"/>
      <w:lvlText w:val="(%2)"/>
      <w:numFmt w:val="lowerLetter"/>
      <w:start w:val="4"/>
    </w:lvl>
  </w:abstractNum>
  <w:abstractNum w:abstractNumId="41">
    <w:nsid w:val="1A32234B"/>
    <w:multiLevelType w:val="hybridMultilevel"/>
    <w:lvl w:ilvl="0">
      <w:lvlJc w:val="left"/>
      <w:lvlText w:val="(%1)"/>
      <w:numFmt w:val="lowerLetter"/>
      <w:start w:val="1"/>
    </w:lvl>
    <w:lvl w:ilvl="1">
      <w:lvlJc w:val="left"/>
      <w:lvlText w:val="-"/>
      <w:numFmt w:val="bullet"/>
      <w:start w:val="1"/>
    </w:lvl>
  </w:abstractNum>
  <w:abstractNum w:abstractNumId="42">
    <w:nsid w:val="3B0FD37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3">
    <w:nsid w:val="68EB2F63"/>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44">
    <w:nsid w:val="4962813B"/>
    <w:multiLevelType w:val="hybridMultilevel"/>
    <w:lvl w:ilvl="0">
      <w:lvlJc w:val="left"/>
      <w:lvlText w:val="(%1)"/>
      <w:numFmt w:val="lowerLetter"/>
      <w:start w:val="1"/>
    </w:lvl>
  </w:abstractNum>
  <w:abstractNum w:abstractNumId="45">
    <w:nsid w:val="60B6DF70"/>
    <w:multiLevelType w:val="hybridMultilevel"/>
    <w:lvl w:ilvl="0">
      <w:lvlJc w:val="left"/>
      <w:lvlText w:val="(%1)"/>
      <w:numFmt w:val="lowerRoman"/>
      <w:start w:val="1"/>
    </w:lvl>
    <w:lvl w:ilvl="1">
      <w:lvlJc w:val="left"/>
      <w:lvlText w:val="-"/>
      <w:numFmt w:val="bullet"/>
      <w:start w:val="1"/>
    </w:lvl>
  </w:abstractNum>
  <w:abstractNum w:abstractNumId="46">
    <w:nsid w:val="6A5EE64"/>
    <w:multiLevelType w:val="hybridMultilevel"/>
    <w:lvl w:ilvl="0">
      <w:lvlJc w:val="left"/>
      <w:lvlText w:val="(%1)"/>
      <w:numFmt w:val="lowerRoman"/>
      <w:start w:val="2"/>
    </w:lvl>
  </w:abstractNum>
  <w:abstractNum w:abstractNumId="47">
    <w:nsid w:val="14330624"/>
    <w:multiLevelType w:val="hybridMultilevel"/>
    <w:lvl w:ilvl="0">
      <w:lvlJc w:val="left"/>
      <w:lvlText w:val="(%1)"/>
      <w:numFmt w:val="lowerLetter"/>
      <w:start w:val="1"/>
    </w:lvl>
    <w:lvl w:ilvl="1">
      <w:lvlJc w:val="left"/>
      <w:lvlText w:val="(%2)"/>
      <w:numFmt w:val="lowerRoman"/>
      <w:start w:val="1"/>
    </w:lvl>
  </w:abstractNum>
  <w:abstractNum w:abstractNumId="48">
    <w:nsid w:val="7FFFCA11"/>
    <w:multiLevelType w:val="hybridMultilevel"/>
    <w:lvl w:ilvl="0">
      <w:lvlJc w:val="left"/>
      <w:lvlText w:val="%1"/>
      <w:numFmt w:val="lowerLetter"/>
      <w:start w:val="1"/>
    </w:lvl>
    <w:lvl w:ilvl="1">
      <w:lvlJc w:val="left"/>
      <w:lvlText w:val="(%2)"/>
      <w:numFmt w:val="lowerRoman"/>
      <w:start w:val="9"/>
    </w:lvl>
    <w:lvl w:ilvl="2">
      <w:lvlJc w:val="left"/>
      <w:lvlText w:val="-"/>
      <w:numFmt w:val="bullet"/>
      <w:start w:val="1"/>
    </w:lvl>
  </w:abstractNum>
  <w:abstractNum w:abstractNumId="49">
    <w:nsid w:val="1A27709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0">
    <w:nsid w:val="71EA1109"/>
    <w:multiLevelType w:val="hybridMultilevel"/>
    <w:lvl w:ilvl="0">
      <w:lvlJc w:val="left"/>
      <w:lvlText w:val="(%1)"/>
      <w:numFmt w:val="lowerRoman"/>
      <w:start w:val="5"/>
    </w:lvl>
  </w:abstractNum>
  <w:abstractNum w:abstractNumId="51">
    <w:nsid w:val="100F59DC"/>
    <w:multiLevelType w:val="hybridMultilevel"/>
    <w:lvl w:ilvl="0">
      <w:lvlJc w:val="left"/>
      <w:lvlText w:val="(%1)"/>
      <w:numFmt w:val="lowerLetter"/>
      <w:start w:val="1"/>
    </w:lvl>
    <w:lvl w:ilvl="1">
      <w:lvlJc w:val="left"/>
      <w:lvlText w:val="-"/>
      <w:numFmt w:val="bullet"/>
      <w:start w:val="1"/>
    </w:lvl>
  </w:abstractNum>
  <w:abstractNum w:abstractNumId="52">
    <w:nsid w:val="7FB7E0AA"/>
    <w:multiLevelType w:val="hybridMultilevel"/>
    <w:lvl w:ilvl="0">
      <w:lvlJc w:val="left"/>
      <w:lvlText w:val="(%1)"/>
      <w:numFmt w:val="lowerLetter"/>
      <w:start w:val="2"/>
    </w:lvl>
    <w:lvl w:ilvl="1">
      <w:lvlJc w:val="left"/>
      <w:lvlText w:val="-"/>
      <w:numFmt w:val="bullet"/>
      <w:start w:val="1"/>
    </w:lvl>
  </w:abstractNum>
  <w:abstractNum w:abstractNumId="53">
    <w:nsid w:val="6EB5BD4"/>
    <w:multiLevelType w:val="hybridMultilevel"/>
    <w:lvl w:ilvl="0">
      <w:lvlJc w:val="left"/>
      <w:lvlText w:val="(%1)"/>
      <w:numFmt w:val="lowerLetter"/>
      <w:start w:val="6"/>
    </w:lvl>
    <w:lvl w:ilvl="1">
      <w:lvlJc w:val="left"/>
      <w:lvlText w:val="-"/>
      <w:numFmt w:val="bullet"/>
      <w:start w:val="1"/>
    </w:lvl>
  </w:abstractNum>
  <w:abstractNum w:abstractNumId="54">
    <w:nsid w:val="6F6DD9AC"/>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55">
    <w:nsid w:val="94211F2"/>
    <w:multiLevelType w:val="hybridMultilevel"/>
    <w:lvl w:ilvl="0">
      <w:lvlJc w:val="left"/>
      <w:lvlText w:val="(%1)"/>
      <w:numFmt w:val="lowerLetter"/>
      <w:start w:val="15"/>
    </w:lvl>
    <w:lvl w:ilvl="1">
      <w:lvlJc w:val="left"/>
      <w:lvlText w:val="-"/>
      <w:numFmt w:val="bullet"/>
      <w:start w:val="1"/>
    </w:lvl>
  </w:abstractNum>
  <w:abstractNum w:abstractNumId="56">
    <w:nsid w:val="885E1B"/>
    <w:multiLevelType w:val="hybridMultilevel"/>
    <w:lvl w:ilvl="0">
      <w:lvlJc w:val="left"/>
      <w:lvlText w:val="(%1)"/>
      <w:numFmt w:val="lowerLetter"/>
      <w:start w:val="20"/>
    </w:lvl>
    <w:lvl w:ilvl="1">
      <w:lvlJc w:val="left"/>
      <w:lvlText w:val="-"/>
      <w:numFmt w:val="bullet"/>
      <w:start w:val="1"/>
    </w:lvl>
  </w:abstractNum>
  <w:abstractNum w:abstractNumId="57">
    <w:nsid w:val="76272110"/>
    <w:multiLevelType w:val="hybridMultilevel"/>
    <w:lvl w:ilvl="0">
      <w:lvlJc w:val="left"/>
      <w:lvlText w:val="(%1)"/>
      <w:numFmt w:val="lowerRoman"/>
      <w:start w:val="10"/>
    </w:lvl>
    <w:lvl w:ilvl="1">
      <w:lvlJc w:val="left"/>
      <w:lvlText w:val="(%2)"/>
      <w:numFmt w:val="lowerRoman"/>
      <w:start w:val="1"/>
    </w:lvl>
  </w:abstractNum>
  <w:abstractNum w:abstractNumId="58">
    <w:nsid w:val="4C04A8AF"/>
    <w:multiLevelType w:val="hybridMultilevel"/>
    <w:lvl w:ilvl="0">
      <w:lvlJc w:val="left"/>
      <w:lvlText w:val="(%1)"/>
      <w:numFmt w:val="lowerLetter"/>
      <w:start w:val="25"/>
    </w:lvl>
  </w:abstractNum>
  <w:abstractNum w:abstractNumId="59">
    <w:nsid w:val="1716703B"/>
    <w:multiLevelType w:val="hybridMultilevel"/>
    <w:lvl w:ilvl="0">
      <w:lvlJc w:val="left"/>
      <w:lvlText w:val="(%1)"/>
      <w:numFmt w:val="lowerLetter"/>
      <w:start w:val="2"/>
    </w:lvl>
  </w:abstractNum>
  <w:abstractNum w:abstractNumId="60">
    <w:nsid w:val="14E17E33"/>
    <w:multiLevelType w:val="hybridMultilevel"/>
    <w:lvl w:ilvl="0">
      <w:lvlJc w:val="left"/>
      <w:lvlText w:val="(%1)"/>
      <w:numFmt w:val="lowerLetter"/>
      <w:start w:val="3"/>
    </w:lvl>
  </w:abstractNum>
  <w:abstractNum w:abstractNumId="61">
    <w:nsid w:val="3222E7CD"/>
    <w:multiLevelType w:val="hybridMultilevel"/>
    <w:lvl w:ilvl="0">
      <w:lvlJc w:val="left"/>
      <w:lvlText w:val="(%1)"/>
      <w:numFmt w:val="lowerRoman"/>
      <w:start w:val="2"/>
    </w:lvl>
    <w:lvl w:ilvl="1">
      <w:lvlJc w:val="left"/>
      <w:lvlText w:val="-"/>
      <w:numFmt w:val="bullet"/>
      <w:start w:val="1"/>
    </w:lvl>
  </w:abstractNum>
  <w:abstractNum w:abstractNumId="62">
    <w:nsid w:val="74DE0EE3"/>
    <w:multiLevelType w:val="hybridMultilevel"/>
    <w:lvl w:ilvl="0">
      <w:lvlJc w:val="left"/>
      <w:lvlText w:val="(%1)"/>
      <w:numFmt w:val="lowerLetter"/>
      <w:start w:val="2"/>
    </w:lvl>
  </w:abstractNum>
  <w:abstractNum w:abstractNumId="63">
    <w:nsid w:val="68EBC550"/>
    <w:multiLevelType w:val="hybridMultilevel"/>
    <w:lvl w:ilvl="0">
      <w:lvlJc w:val="left"/>
      <w:lvlText w:val="(%1)"/>
      <w:numFmt w:val="lowerLetter"/>
      <w:start w:val="1"/>
    </w:lvl>
    <w:lvl w:ilvl="1">
      <w:lvlJc w:val="left"/>
      <w:lvlText w:val="(%2)"/>
      <w:numFmt w:val="lowerLetter"/>
      <w:start w:val="24"/>
    </w:lvl>
  </w:abstractNum>
  <w:abstractNum w:abstractNumId="64">
    <w:nsid w:val="2DF6D648"/>
    <w:multiLevelType w:val="hybridMultilevel"/>
    <w:lvl w:ilvl="0">
      <w:lvlJc w:val="left"/>
      <w:lvlText w:val="(%1)"/>
      <w:numFmt w:val="lowerRoman"/>
      <w:start w:val="3"/>
    </w:lvl>
  </w:abstractNum>
  <w:abstractNum w:abstractNumId="65">
    <w:nsid w:val="46B7D447"/>
    <w:multiLevelType w:val="hybridMultilevel"/>
    <w:lvl w:ilvl="0">
      <w:lvlJc w:val="left"/>
      <w:lvlText w:val="(%1)"/>
      <w:numFmt w:val="lowerLetter"/>
      <w:start w:val="1"/>
    </w:lvl>
    <w:lvl w:ilvl="1">
      <w:lvlJc w:val="left"/>
      <w:lvlText w:val="-"/>
      <w:numFmt w:val="bullet"/>
      <w:start w:val="1"/>
    </w:lvl>
  </w:abstractNum>
  <w:abstractNum w:abstractNumId="66">
    <w:nsid w:val="4A2AC315"/>
    <w:multiLevelType w:val="hybridMultilevel"/>
    <w:lvl w:ilvl="0">
      <w:lvlJc w:val="left"/>
      <w:lvlText w:val="(%1)"/>
      <w:numFmt w:val="lowerLetter"/>
      <w:start w:val="3"/>
    </w:lvl>
    <w:lvl w:ilvl="1">
      <w:lvlJc w:val="left"/>
      <w:lvlText w:val="-"/>
      <w:numFmt w:val="bullet"/>
      <w:start w:val="1"/>
    </w:lvl>
  </w:abstractNum>
  <w:abstractNum w:abstractNumId="67">
    <w:nsid w:val="39EE015C"/>
    <w:multiLevelType w:val="hybridMultilevel"/>
    <w:lvl w:ilvl="0">
      <w:lvlJc w:val="left"/>
      <w:lvlText w:val="(%1)"/>
      <w:numFmt w:val="lowerLetter"/>
      <w:start w:val="11"/>
    </w:lvl>
  </w:abstractNum>
  <w:abstractNum w:abstractNumId="68">
    <w:nsid w:val="57FC4FBB"/>
    <w:multiLevelType w:val="hybridMultilevel"/>
    <w:lvl w:ilvl="0">
      <w:lvlJc w:val="left"/>
      <w:lvlText w:val="(%1)"/>
      <w:numFmt w:val="lowerLetter"/>
      <w:start w:val="1"/>
    </w:lvl>
    <w:lvl w:ilvl="1">
      <w:lvlJc w:val="left"/>
      <w:lvlText w:val="-"/>
      <w:numFmt w:val="bullet"/>
      <w:start w:val="1"/>
    </w:lvl>
  </w:abstractNum>
  <w:abstractNum w:abstractNumId="69">
    <w:nsid w:val="CC1016F"/>
    <w:multiLevelType w:val="hybridMultilevel"/>
    <w:lvl w:ilvl="0">
      <w:lvlJc w:val="left"/>
      <w:lvlText w:val="(%1)"/>
      <w:numFmt w:val="lowerLetter"/>
      <w:start w:val="2"/>
    </w:lvl>
  </w:abstractNum>
  <w:abstractNum w:abstractNumId="70">
    <w:nsid w:val="43F18422"/>
    <w:multiLevelType w:val="hybridMultilevel"/>
    <w:lvl w:ilvl="0">
      <w:lvlJc w:val="left"/>
      <w:lvlText w:val="(%1)"/>
      <w:numFmt w:val="lowerLetter"/>
      <w:start w:val="1"/>
    </w:lvl>
    <w:lvl w:ilvl="1">
      <w:lvlJc w:val="left"/>
      <w:lvlText w:val="-"/>
      <w:numFmt w:val="bullet"/>
      <w:start w:val="1"/>
    </w:lvl>
  </w:abstractNum>
  <w:abstractNum w:abstractNumId="71">
    <w:nsid w:val="60EF0119"/>
    <w:multiLevelType w:val="hybridMultilevel"/>
    <w:lvl w:ilvl="0">
      <w:lvlJc w:val="left"/>
      <w:lvlText w:val="(%1)"/>
      <w:numFmt w:val="lowerLetter"/>
      <w:start w:val="1"/>
    </w:lvl>
  </w:abstractNum>
  <w:abstractNum w:abstractNumId="72">
    <w:nsid w:val="26F324BA"/>
    <w:multiLevelType w:val="hybridMultilevel"/>
    <w:lvl w:ilvl="0">
      <w:lvlJc w:val="left"/>
      <w:lvlText w:val="(%1)"/>
      <w:numFmt w:val="lowerLetter"/>
      <w:start w:val="2"/>
    </w:lvl>
    <w:lvl w:ilvl="1">
      <w:lvlJc w:val="left"/>
      <w:lvlText w:val="-"/>
      <w:numFmt w:val="bullet"/>
      <w:start w:val="1"/>
    </w:lvl>
  </w:abstractNum>
  <w:abstractNum w:abstractNumId="73">
    <w:nsid w:val="7F01579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74">
    <w:nsid w:val="49DA307D"/>
    <w:multiLevelType w:val="hybridMultilevel"/>
    <w:lvl w:ilvl="0">
      <w:lvlJc w:val="left"/>
      <w:lvlText w:val="(%1)"/>
      <w:numFmt w:val="upperLetter"/>
      <w:start w:val="2"/>
    </w:lvl>
    <w:lvl w:ilvl="1">
      <w:lvlJc w:val="left"/>
      <w:lvlText w:val="(%2)"/>
      <w:numFmt w:val="lowerRoman"/>
      <w:start w:val="2"/>
    </w:lvl>
    <w:lvl w:ilvl="2">
      <w:lvlJc w:val="left"/>
      <w:lvlText w:val="-"/>
      <w:numFmt w:val="bullet"/>
      <w:start w:val="1"/>
    </w:lvl>
  </w:abstractNum>
  <w:abstractNum w:abstractNumId="75">
    <w:nsid w:val="7055A5F5"/>
    <w:multiLevelType w:val="hybridMultilevel"/>
    <w:lvl w:ilvl="0">
      <w:lvlJc w:val="left"/>
      <w:lvlText w:val="%1"/>
      <w:numFmt w:val="upperLetter"/>
      <w:start w:val="1"/>
    </w:lvl>
    <w:lvl w:ilvl="1">
      <w:lvlJc w:val="left"/>
      <w:lvlText w:val="(%2)"/>
      <w:numFmt w:val="lowerRoman"/>
      <w:start w:val="4"/>
    </w:lvl>
    <w:lvl w:ilvl="2">
      <w:lvlJc w:val="left"/>
      <w:lvlText w:val="-"/>
      <w:numFmt w:val="bullet"/>
      <w:start w:val="1"/>
    </w:lvl>
  </w:abstractNum>
  <w:abstractNum w:abstractNumId="76">
    <w:nsid w:val="5FB8370B"/>
    <w:multiLevelType w:val="hybridMultilevel"/>
    <w:lvl w:ilvl="0">
      <w:lvlJc w:val="left"/>
      <w:lvlText w:val="(%1)"/>
      <w:numFmt w:val="lowerLetter"/>
      <w:start w:val="1"/>
    </w:lvl>
  </w:abstractNum>
  <w:abstractNum w:abstractNumId="77">
    <w:nsid w:val="50801EE1"/>
    <w:multiLevelType w:val="hybridMultilevel"/>
    <w:lvl w:ilvl="0">
      <w:lvlJc w:val="left"/>
      <w:lvlText w:val="%1"/>
      <w:numFmt w:val="lowerLetter"/>
      <w:start w:val="1"/>
    </w:lvl>
    <w:lvl w:ilvl="1">
      <w:lvlJc w:val="left"/>
      <w:lvlText w:val="(%2)"/>
      <w:numFmt w:val="lowerLetter"/>
      <w:start w:val="1"/>
    </w:lvl>
  </w:abstractNum>
  <w:abstractNum w:abstractNumId="78">
    <w:nsid w:val="488AC1A"/>
    <w:multiLevelType w:val="hybridMultilevel"/>
    <w:lvl w:ilvl="0">
      <w:lvlJc w:val="left"/>
      <w:lvlText w:val="(%1)"/>
      <w:numFmt w:val="lowerLetter"/>
      <w:start w:val="9"/>
    </w:lvl>
    <w:lvl w:ilvl="1">
      <w:lvlJc w:val="left"/>
      <w:lvlText w:val="(%2)"/>
      <w:numFmt w:val="lowerLetter"/>
      <w:start w:val="2"/>
    </w:lvl>
  </w:abstractNum>
  <w:abstractNum w:abstractNumId="79">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0">
    <w:nsid w:val="6AA78F7F"/>
    <w:multiLevelType w:val="hybridMultilevel"/>
    <w:lvl w:ilvl="0">
      <w:lvlJc w:val="left"/>
      <w:lvlText w:val="(%1)"/>
      <w:numFmt w:val="decimal"/>
      <w:start w:val="5"/>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81">
    <w:nsid w:val="7672BD2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2">
    <w:nsid w:val="6FC75AF8"/>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83">
    <w:nsid w:val="6A5F7029"/>
    <w:multiLevelType w:val="hybridMultilevel"/>
    <w:lvl w:ilvl="0">
      <w:lvlJc w:val="left"/>
      <w:lvlText w:val="(%1)"/>
      <w:numFmt w:val="lowerLetter"/>
      <w:start w:val="61"/>
    </w:lvl>
    <w:lvl w:ilvl="1">
      <w:lvlJc w:val="left"/>
      <w:lvlText w:val="(%2)"/>
      <w:numFmt w:val="lowerLetter"/>
      <w:start w:val="6"/>
    </w:lvl>
    <w:lvl w:ilvl="2">
      <w:lvlJc w:val="left"/>
      <w:lvlText w:val="-"/>
      <w:numFmt w:val="bullet"/>
      <w:start w:val="1"/>
    </w:lvl>
  </w:abstractNum>
  <w:abstractNum w:abstractNumId="84">
    <w:nsid w:val="7D5E18F8"/>
    <w:multiLevelType w:val="hybridMultilevel"/>
    <w:lvl w:ilvl="0">
      <w:lvlJc w:val="left"/>
      <w:lvlText w:val="(%1)"/>
      <w:numFmt w:val="lowerLetter"/>
      <w:start w:val="10"/>
    </w:lvl>
    <w:lvl w:ilvl="1">
      <w:lvlJc w:val="left"/>
      <w:lvlText w:val="(%2)"/>
      <w:numFmt w:val="lowerRoman"/>
      <w:start w:val="1"/>
    </w:lvl>
  </w:abstractNum>
  <w:abstractNum w:abstractNumId="85">
    <w:nsid w:val="5F3534A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6">
    <w:nsid w:val="73A1821B"/>
    <w:multiLevelType w:val="hybridMultilevel"/>
    <w:lvl w:ilvl="0">
      <w:lvlJc w:val="left"/>
      <w:lvlText w:val="(%1)"/>
      <w:numFmt w:val="lowerLetter"/>
      <w:start w:val="2"/>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Letter"/>
      <w:start w:val="2"/>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decimal"/>
      <w:start w:val="10"/>
    </w:lvl>
  </w:abstractNum>
  <w:abstractNum w:abstractNumId="91">
    <w:nsid w:val="6A3DD3E8"/>
    <w:multiLevelType w:val="hybridMultilevel"/>
    <w:lvl w:ilvl="0">
      <w:lvlJc w:val="left"/>
      <w:lvlText w:val="(%1)"/>
      <w:numFmt w:val="lowerRoman"/>
      <w:start w:val="2"/>
    </w:lvl>
    <w:lvl w:ilvl="1">
      <w:lvlJc w:val="left"/>
      <w:lvlText w:val="-"/>
      <w:numFmt w:val="bullet"/>
      <w:start w:val="1"/>
    </w:lvl>
  </w:abstractNum>
  <w:abstractNum w:abstractNumId="92">
    <w:nsid w:val="71C91298"/>
    <w:multiLevelType w:val="hybridMultilevel"/>
    <w:lvl w:ilvl="0">
      <w:lvlJc w:val="left"/>
      <w:lvlText w:val="(%1)"/>
      <w:numFmt w:val="lowerLetter"/>
      <w:start w:val="1"/>
    </w:lvl>
    <w:lvl w:ilvl="1">
      <w:lvlJc w:val="left"/>
      <w:lvlText w:val="-"/>
      <w:numFmt w:val="bullet"/>
      <w:start w:val="1"/>
    </w:lvl>
  </w:abstractNum>
  <w:abstractNum w:abstractNumId="93">
    <w:nsid w:val="9DAF632"/>
    <w:multiLevelType w:val="hybridMultilevel"/>
    <w:lvl w:ilvl="0">
      <w:lvlJc w:val="left"/>
      <w:lvlText w:val="(%1)"/>
      <w:numFmt w:val="lowerLetter"/>
      <w:start w:val="2"/>
    </w:lvl>
  </w:abstractNum>
  <w:abstractNum w:abstractNumId="94">
    <w:nsid w:val="53299938"/>
    <w:multiLevelType w:val="hybridMultilevel"/>
    <w:lvl w:ilvl="0">
      <w:lvlJc w:val="left"/>
      <w:lvlText w:val="(%1)"/>
      <w:numFmt w:val="lowerLetter"/>
      <w:start w:val="1"/>
    </w:lvl>
    <w:lvl w:ilvl="1">
      <w:lvlJc w:val="left"/>
      <w:lvlText w:val="-"/>
      <w:numFmt w:val="bullet"/>
      <w:start w:val="1"/>
    </w:lvl>
  </w:abstractNum>
  <w:abstractNum w:abstractNumId="95">
    <w:nsid w:val="1FBFE8E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6">
    <w:nsid w:val="5092CA79"/>
    <w:multiLevelType w:val="hybridMultilevel"/>
    <w:lvl w:ilvl="0">
      <w:lvlJc w:val="left"/>
      <w:lvlText w:val="(%1)"/>
      <w:numFmt w:val="upperLetter"/>
      <w:start w:val="1"/>
    </w:lvl>
    <w:lvl w:ilvl="1">
      <w:lvlJc w:val="left"/>
      <w:lvlText w:val="-"/>
      <w:numFmt w:val="bullet"/>
      <w:start w:val="1"/>
    </w:lvl>
  </w:abstractNum>
  <w:abstractNum w:abstractNumId="97">
    <w:nsid w:val="1D545C4D"/>
    <w:multiLevelType w:val="hybridMultilevel"/>
    <w:lvl w:ilvl="0">
      <w:lvlJc w:val="left"/>
      <w:lvlText w:val="(%1)"/>
      <w:numFmt w:val="lowerRoman"/>
      <w:start w:val="4"/>
    </w:lvl>
  </w:abstractNum>
  <w:abstractNum w:abstractNumId="98">
    <w:nsid w:val="59ADEA3D"/>
    <w:multiLevelType w:val="hybridMultilevel"/>
    <w:lvl w:ilvl="0">
      <w:lvlJc w:val="left"/>
      <w:lvlText w:val="(%1)"/>
      <w:numFmt w:val="lowerLetter"/>
      <w:start w:val="3"/>
    </w:lvl>
    <w:lvl w:ilvl="1">
      <w:lvlJc w:val="left"/>
      <w:lvlText w:val="-"/>
      <w:numFmt w:val="bullet"/>
      <w:start w:val="1"/>
    </w:lvl>
  </w:abstractNum>
  <w:abstractNum w:abstractNumId="99">
    <w:nsid w:val="288F1A34"/>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100">
    <w:nsid w:val="2A155DBC"/>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101">
    <w:nsid w:val="1D9F6E5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2">
    <w:nsid w:val="97E1B4E"/>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03">
    <w:nsid w:val="51088277"/>
    <w:multiLevelType w:val="hybridMultilevel"/>
    <w:lvl w:ilvl="0">
      <w:lvlJc w:val="left"/>
      <w:lvlText w:val="(%1)"/>
      <w:numFmt w:val="lowerLetter"/>
      <w:start w:val="1"/>
    </w:lvl>
    <w:lvl w:ilvl="1">
      <w:lvlJc w:val="left"/>
      <w:lvlText w:val="-"/>
      <w:numFmt w:val="bullet"/>
      <w:start w:val="1"/>
    </w:lvl>
  </w:abstractNum>
  <w:abstractNum w:abstractNumId="104">
    <w:nsid w:val="1CA0C5F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05">
    <w:nsid w:val="53584BCB"/>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106">
    <w:nsid w:val="415E286C"/>
    <w:multiLevelType w:val="hybridMultilevel"/>
    <w:lvl w:ilvl="0">
      <w:lvlJc w:val="left"/>
      <w:lvlText w:val="(%1)"/>
      <w:numFmt w:val="lowerLetter"/>
      <w:start w:val="6"/>
    </w:lvl>
  </w:abstractNum>
  <w:abstractNum w:abstractNumId="107">
    <w:nsid w:val="7C58FD05"/>
    <w:multiLevelType w:val="hybridMultilevel"/>
    <w:lvl w:ilvl="0">
      <w:lvlJc w:val="left"/>
      <w:lvlText w:val="(%1)"/>
      <w:numFmt w:val="lowerLetter"/>
      <w:start w:val="1"/>
    </w:lvl>
    <w:lvl w:ilvl="1">
      <w:lvlJc w:val="left"/>
      <w:lvlText w:val="(%2)"/>
      <w:numFmt w:val="lowerRoman"/>
      <w:start w:val="1"/>
    </w:lvl>
  </w:abstractNum>
  <w:abstractNum w:abstractNumId="108">
    <w:nsid w:val="23D86AAC"/>
    <w:multiLevelType w:val="hybridMultilevel"/>
    <w:lvl w:ilvl="0">
      <w:lvlJc w:val="left"/>
      <w:lvlText w:val="(%1)"/>
      <w:numFmt w:val="lowerLetter"/>
      <w:start w:val="1"/>
    </w:lvl>
  </w:abstractNum>
  <w:abstractNum w:abstractNumId="109">
    <w:nsid w:val="45E6D486"/>
    <w:multiLevelType w:val="hybridMultilevel"/>
    <w:lvl w:ilvl="0">
      <w:lvlJc w:val="left"/>
      <w:lvlText w:val="(%1)"/>
      <w:numFmt w:val="lowerLetter"/>
      <w:start w:val="4"/>
    </w:lvl>
  </w:abstractNum>
  <w:abstractNum w:abstractNumId="110">
    <w:nsid w:val="5C10FE21"/>
    <w:multiLevelType w:val="hybridMultilevel"/>
    <w:lvl w:ilvl="0">
      <w:lvlJc w:val="left"/>
      <w:lvlText w:val="(%1)"/>
      <w:numFmt w:val="lowerLetter"/>
      <w:start w:val="2"/>
    </w:lvl>
  </w:abstractNum>
  <w:abstractNum w:abstractNumId="111">
    <w:nsid w:val="E7FFA2B"/>
    <w:multiLevelType w:val="hybridMultilevel"/>
    <w:lvl w:ilvl="0">
      <w:lvlJc w:val="left"/>
      <w:lvlText w:val="(%1)"/>
      <w:numFmt w:val="lowerLetter"/>
      <w:start w:val="3"/>
    </w:lvl>
  </w:abstractNum>
  <w:abstractNum w:abstractNumId="112">
    <w:nsid w:val="3C5991AA"/>
    <w:multiLevelType w:val="hybridMultilevel"/>
    <w:lvl w:ilvl="0">
      <w:lvlJc w:val="left"/>
      <w:lvlText w:val="(%1)"/>
      <w:numFmt w:val="lowerLetter"/>
      <w:start w:val="1"/>
    </w:lvl>
    <w:lvl w:ilvl="1">
      <w:lvlJc w:val="left"/>
      <w:lvlText w:val="(%2)"/>
      <w:numFmt w:val="lowerRoman"/>
      <w:start w:val="1"/>
    </w:lvl>
  </w:abstractNum>
  <w:abstractNum w:abstractNumId="113">
    <w:nsid w:val="4BD8591A"/>
    <w:multiLevelType w:val="hybridMultilevel"/>
    <w:lvl w:ilvl="0">
      <w:lvlJc w:val="left"/>
      <w:lvlText w:val="(%1)"/>
      <w:numFmt w:val="lowerRoman"/>
      <w:start w:val="3"/>
    </w:lvl>
  </w:abstractNum>
  <w:abstractNum w:abstractNumId="114">
    <w:nsid w:val="78DF6A55"/>
    <w:multiLevelType w:val="hybridMultilevel"/>
    <w:lvl w:ilvl="0">
      <w:lvlJc w:val="left"/>
      <w:lvlText w:val="(%1)"/>
      <w:numFmt w:val="lowerLetter"/>
      <w:start w:val="1"/>
    </w:lvl>
  </w:abstractNum>
  <w:abstractNum w:abstractNumId="115">
    <w:nsid w:val="39B7AAA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9" Type="http://schemas.openxmlformats.org/officeDocument/2006/relationships/hyperlink" Target="http://www.sec.gov/Archives/edgar/data/34903/000119312520080068/d861275ddef14a.htm#tx861275_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2020-05-06T15:56:14Z</dcterms:created>
  <dcterms:modified xsi:type="dcterms:W3CDTF">2020-05-06T15:56:14Z</dcterms:modified>
</cp:coreProperties>
</file>