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October 31, 2007, Federal Realty Investment Trust issued supplemental data pertaining to its operations, as well as a press release, to report its financial results for the year-to-date and quarter ended September 30, 2007. The supplemental data and press release are furnished as Exhibit 99.1 hereto.</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100" w:hanging="6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September 30, 2007 (including press release dated October 31, 2007)</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31, 2007</w:t>
      </w:r>
      <w:r>
        <w:rPr>
          <w:sz w:val="20"/>
          <w:szCs w:val="20"/>
          <w:color w:val="auto"/>
        </w:rPr>
        <w:tab/>
      </w:r>
      <w:r>
        <w:rPr>
          <w:rFonts w:ascii="Arial" w:cs="Arial" w:eastAsia="Arial" w:hAnsi="Arial"/>
          <w:sz w:val="16"/>
          <w:szCs w:val="16"/>
          <w:color w:val="auto"/>
        </w:rPr>
        <w:t>/s/ Larry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September 30, 2007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534"/>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216"/>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94"/>
              </w:rPr>
              <w:t>SUPPLEMENTAL INFORMATION</w:t>
            </w:r>
          </w:p>
        </w:tc>
        <w:tc>
          <w:tcPr>
            <w:tcW w:w="2440" w:type="dxa"/>
            <w:vAlign w:val="bottom"/>
          </w:tcPr>
          <w:p>
            <w:pPr>
              <w:spacing w:after="0"/>
              <w:rPr>
                <w:sz w:val="18"/>
                <w:szCs w:val="18"/>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7"/>
              </w:rPr>
              <w:t>September 30, 2007</w:t>
            </w:r>
          </w:p>
        </w:tc>
        <w:tc>
          <w:tcPr>
            <w:tcW w:w="2440" w:type="dxa"/>
            <w:vAlign w:val="bottom"/>
          </w:tcPr>
          <w:p>
            <w:pPr>
              <w:spacing w:after="0"/>
              <w:rPr>
                <w:sz w:val="19"/>
                <w:szCs w:val="19"/>
                <w:color w:val="auto"/>
              </w:rPr>
            </w:pPr>
          </w:p>
        </w:tc>
      </w:tr>
      <w:tr>
        <w:trPr>
          <w:trHeight w:val="378"/>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527"/>
        </w:trPr>
        <w:tc>
          <w:tcPr>
            <w:tcW w:w="8980" w:type="dxa"/>
            <w:vAlign w:val="bottom"/>
          </w:tcPr>
          <w:p>
            <w:pPr>
              <w:spacing w:after="0"/>
              <w:rPr>
                <w:sz w:val="20"/>
                <w:szCs w:val="20"/>
                <w:color w:val="auto"/>
              </w:rPr>
            </w:pPr>
            <w:r>
              <w:rPr>
                <w:rFonts w:ascii="Arial" w:cs="Arial" w:eastAsia="Arial" w:hAnsi="Arial"/>
                <w:sz w:val="18"/>
                <w:szCs w:val="18"/>
                <w:color w:val="auto"/>
              </w:rPr>
              <w:t>1.   Third Quarter 2007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Income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Market Data</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980" w:type="dxa"/>
            <w:vAlign w:val="bottom"/>
          </w:tcPr>
          <w:p>
            <w:pPr>
              <w:ind w:left="76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Outstanding Debt and Capital Lease Obligations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Debt Maturities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88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880" w:type="dxa"/>
            <w:vAlign w:val="bottom"/>
          </w:tcPr>
          <w:p>
            <w:pPr>
              <w:ind w:left="60"/>
              <w:spacing w:after="0"/>
              <w:rPr>
                <w:sz w:val="20"/>
                <w:szCs w:val="20"/>
                <w:color w:val="auto"/>
              </w:rPr>
            </w:pPr>
            <w:r>
              <w:rPr>
                <w:rFonts w:ascii="Arial" w:cs="Arial" w:eastAsia="Arial" w:hAnsi="Arial"/>
                <w:sz w:val="18"/>
                <w:szCs w:val="18"/>
                <w:color w:val="auto"/>
              </w:rPr>
              <w:t>2007 Significant Acquisitions and Dispositions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88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88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88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88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88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880" w:type="dxa"/>
            <w:vAlign w:val="bottom"/>
          </w:tcPr>
          <w:p>
            <w:pPr>
              <w:ind w:left="60"/>
              <w:spacing w:after="0"/>
              <w:rPr>
                <w:sz w:val="20"/>
                <w:szCs w:val="20"/>
                <w:color w:val="auto"/>
              </w:rPr>
            </w:pPr>
            <w:r>
              <w:rPr>
                <w:rFonts w:ascii="Arial" w:cs="Arial" w:eastAsia="Arial" w:hAnsi="Arial"/>
                <w:sz w:val="18"/>
                <w:szCs w:val="18"/>
                <w:color w:val="auto"/>
              </w:rPr>
              <w:t>Subsequent Event – Levin Transaction</w:t>
            </w:r>
          </w:p>
        </w:tc>
        <w:tc>
          <w:tcPr>
            <w:tcW w:w="3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88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88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26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Summarized Income Statements and Balance Sheets</w:t>
            </w:r>
          </w:p>
        </w:tc>
        <w:tc>
          <w:tcPr>
            <w:tcW w:w="3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Outstanding Debt and Debt Maturities</w:t>
            </w:r>
          </w:p>
        </w:tc>
        <w:tc>
          <w:tcPr>
            <w:tcW w:w="3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Current Year Acquisitions and Dispositions</w:t>
            </w:r>
          </w:p>
        </w:tc>
        <w:tc>
          <w:tcPr>
            <w:tcW w:w="3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28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Real Estate Status Report</w:t>
            </w:r>
          </w:p>
        </w:tc>
        <w:tc>
          <w:tcPr>
            <w:tcW w:w="3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788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2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i w:val="1"/>
          <w:iCs w:val="1"/>
          <w:color w:val="auto"/>
        </w:rPr>
      </w:pPr>
    </w:p>
    <w:p>
      <w:pPr>
        <w:ind w:left="900" w:right="300" w:hanging="325"/>
        <w:spacing w:after="0" w:line="332"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1, 2007.</w:t>
      </w:r>
    </w:p>
    <w:p>
      <w:pPr>
        <w:sectPr>
          <w:pgSz w:w="11900" w:h="16838" w:orient="portrait"/>
          <w:cols w:equalWidth="0" w:num="1">
            <w:col w:w="11360"/>
          </w:cols>
          <w:pgMar w:left="240" w:top="274"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5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4560" w:type="dxa"/>
            <w:vAlign w:val="bottom"/>
          </w:tcPr>
          <w:p>
            <w:pPr>
              <w:spacing w:after="0"/>
              <w:rPr>
                <w:sz w:val="19"/>
                <w:szCs w:val="19"/>
                <w:color w:val="auto"/>
              </w:rPr>
            </w:pPr>
          </w:p>
        </w:tc>
      </w:tr>
      <w:tr>
        <w:trPr>
          <w:trHeight w:val="380"/>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45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2240" w:type="dxa"/>
            <w:vAlign w:val="bottom"/>
          </w:tcPr>
          <w:p>
            <w:pPr>
              <w:spacing w:after="0"/>
              <w:rPr>
                <w:sz w:val="19"/>
                <w:szCs w:val="19"/>
                <w:color w:val="auto"/>
              </w:rPr>
            </w:pPr>
          </w:p>
        </w:tc>
        <w:tc>
          <w:tcPr>
            <w:tcW w:w="4560" w:type="dxa"/>
            <w:vAlign w:val="bottom"/>
          </w:tcPr>
          <w:p>
            <w:pPr>
              <w:ind w:left="1660"/>
              <w:spacing w:after="0"/>
              <w:rPr>
                <w:sz w:val="20"/>
                <w:szCs w:val="20"/>
                <w:color w:val="auto"/>
              </w:rPr>
            </w:pPr>
            <w:r>
              <w:rPr>
                <w:rFonts w:ascii="Arial" w:cs="Arial" w:eastAsia="Arial" w:hAnsi="Arial"/>
                <w:sz w:val="18"/>
                <w:szCs w:val="18"/>
                <w:color w:val="auto"/>
              </w:rPr>
              <w:t>Vikki Kayne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4560" w:type="dxa"/>
            <w:vAlign w:val="bottom"/>
          </w:tcPr>
          <w:p>
            <w:pPr>
              <w:ind w:left="1660"/>
              <w:spacing w:after="0"/>
              <w:rPr>
                <w:sz w:val="20"/>
                <w:szCs w:val="20"/>
                <w:color w:val="auto"/>
              </w:rPr>
            </w:pPr>
            <w:r>
              <w:rPr>
                <w:rFonts w:ascii="Arial" w:cs="Arial" w:eastAsia="Arial" w:hAnsi="Arial"/>
                <w:sz w:val="18"/>
                <w:szCs w:val="18"/>
                <w:color w:val="auto"/>
              </w:rPr>
              <w:t>Vice President,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Capital Markets &amp; Investor Relations</w:t>
            </w:r>
          </w:p>
        </w:tc>
        <w:tc>
          <w:tcPr>
            <w:tcW w:w="4560" w:type="dxa"/>
            <w:vAlign w:val="bottom"/>
          </w:tcPr>
          <w:p>
            <w:pPr>
              <w:ind w:left="1660"/>
              <w:spacing w:after="0"/>
              <w:rPr>
                <w:sz w:val="20"/>
                <w:szCs w:val="20"/>
                <w:color w:val="auto"/>
              </w:rPr>
            </w:pPr>
            <w:r>
              <w:rPr>
                <w:rFonts w:ascii="Arial" w:cs="Arial" w:eastAsia="Arial" w:hAnsi="Arial"/>
                <w:sz w:val="18"/>
                <w:szCs w:val="18"/>
                <w:color w:val="auto"/>
                <w:w w:val="89"/>
              </w:rPr>
              <w:t>Marketing &amp; 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2240" w:type="dxa"/>
            <w:vAlign w:val="bottom"/>
          </w:tcPr>
          <w:p>
            <w:pPr>
              <w:spacing w:after="0"/>
              <w:rPr>
                <w:sz w:val="18"/>
                <w:szCs w:val="18"/>
                <w:color w:val="auto"/>
              </w:rPr>
            </w:pPr>
          </w:p>
        </w:tc>
        <w:tc>
          <w:tcPr>
            <w:tcW w:w="4560" w:type="dxa"/>
            <w:vAlign w:val="bottom"/>
          </w:tcPr>
          <w:p>
            <w:pPr>
              <w:ind w:left="1660"/>
              <w:spacing w:after="0"/>
              <w:rPr>
                <w:sz w:val="20"/>
                <w:szCs w:val="20"/>
                <w:color w:val="auto"/>
              </w:rPr>
            </w:pPr>
            <w:r>
              <w:rPr>
                <w:rFonts w:ascii="Arial" w:cs="Arial" w:eastAsia="Arial" w:hAnsi="Arial"/>
                <w:sz w:val="18"/>
                <w:szCs w:val="18"/>
                <w:color w:val="auto"/>
              </w:rPr>
              <w:t>301/998-8178</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4560" w:type="dxa"/>
            <w:vAlign w:val="bottom"/>
          </w:tcPr>
          <w:p>
            <w:pPr>
              <w:ind w:left="1660"/>
              <w:spacing w:after="0"/>
              <w:rPr>
                <w:sz w:val="20"/>
                <w:szCs w:val="20"/>
                <w:color w:val="auto"/>
              </w:rPr>
            </w:pPr>
            <w:r>
              <w:rPr>
                <w:rFonts w:ascii="Arial" w:cs="Arial" w:eastAsia="Arial" w:hAnsi="Arial"/>
                <w:sz w:val="18"/>
                <w:szCs w:val="18"/>
                <w:i w:val="1"/>
                <w:iCs w:val="1"/>
                <w:color w:val="auto"/>
              </w:rPr>
              <w:t>vkayne@federalrealty.com</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ANNOUNCES THIRD QUARTER 2007 OPERATING RESULTS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ROCKVILLE, Md. (October 31, 2007) – Federal Realty Investment Trust (NYSE:FRT) today reported operating results for its third quarter ended September 30, 2007.</w:t>
      </w:r>
    </w:p>
    <w:p>
      <w:pPr>
        <w:spacing w:after="0" w:line="51" w:lineRule="exact"/>
        <w:rPr>
          <w:sz w:val="20"/>
          <w:szCs w:val="20"/>
          <w:color w:val="auto"/>
        </w:rPr>
      </w:pPr>
    </w:p>
    <w:p>
      <w:pPr>
        <w:ind w:left="900" w:right="1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Funds from operations available for common shareholders (FFO) per diluted share was $0.92 and earnings per diluted common share was $0.41 for the quarter ended September 30, 2007, versus $0.85 and $0.41, respectively, for third quarter 2006.</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FFO per diluted share was $2.71 and earnings per diluted common share was $1.30 for the nine months ended September 30, 2007, versus $2.49 and $1.60, respectively, for the nine months ended September 30, 2006.</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compared to third quarter 2006, same-center property operating income increased 4.5% including redevelopments and expansions, and 3.7% excluding redevelopments and expansions.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Rent increases on lease rollovers for retail space for which there was a prior tenant were 19% on a cash-basis and 31% on a GAAP-basis for the quarter ended September 30,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Trust’s portfolio was 96.4% leased and 95.1% occupied as of September 30,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Guidance for 2007 FFO per diluted share was narrowed to a range of $3.62 to $3.64.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 provided initial guidance for 2008 FFO per diluted share of $3.89 to $3.94.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For third quarter 2007, Federal Realty reported FFO of $52.5 million, or $0.92 per diluted share. This compares to FFO of $45.8 million, or $0.85 per diluted share, reported for third quarter 2006. For the nine months ended September 30, 2007, Federal Realty reported FFO of $154.0 million, or $2.71 per diluted share compared to FFO of $133.8 million, or $2.49 per diluted share, for the same nine-month period in 2006.</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available for common shareholders was $23.4 million and earnings per diluted common share was $0.41 for the quarter ended September 30, 2007, versus $22.1 million and $0.41, respectively, for third quarter 2006. Year-to-date, Federal Realty reported net income available for common shareholders of $73.1 million, or $1.30 per diluted common share. This compares to net income available for common shareholders of $85.7 million, or $1.60 per diluted common share, for the nine months ended September 30, 2006.</w:t>
      </w:r>
    </w:p>
    <w:p>
      <w:pPr>
        <w:sectPr>
          <w:pgSz w:w="11900" w:h="16838" w:orient="portrait"/>
          <w:cols w:equalWidth="0" w:num="1">
            <w:col w:w="11380"/>
          </w:cols>
          <w:pgMar w:left="240" w:top="144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 a same-center basis, including redevelopments and expansions, property operating income increased 4.5% over third quarter 2006. When redevelopments and expansions are excluded from the same-center results, property operating income increased 3.7% from third quarter 2006.</w:t>
      </w:r>
    </w:p>
    <w:p>
      <w:pPr>
        <w:spacing w:after="0" w:line="8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Overall, the Trust’s portfolio was 96.4% leased and 95.1% occupied as of September 30, 2007, compared to 97.3% and 95.6%, respectively, on September 30, 2006. Federal Realty’s same-center portfolio was 96.7% leased and 95.9% occupied on September 30, 2007, compared to 97.8% and 97.1%, respectively, on September 30, 2006.</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third quarter 2007, the Trust signed 80 leases for 443,000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410,000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19%. The average contractual rent on this comparable space for the first year of the new lease is $23.36 per square foot compared to the average contractual rent of $19.65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31% for third quarter 2007. As of September 30, 2007, Federal Realty’s average contractual, cash basis minimum rent for retail and commercial space in its portfolio is $19.73 per square foot.</w:t>
      </w:r>
    </w:p>
    <w:p>
      <w:pPr>
        <w:spacing w:after="0" w:line="118"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“Continued strong tenant demand for our properties coupled with the effective execution of our redevelopment pipeline resulted in another quarter of excellent operating performance,” commented Donald C. Wood, president and chief executive officer of Federal Realty Investment Trust. “We expect that our balanced operating strategy will produce consistent results, even if market conditions become more volatile.”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$0.61 per share on its common shares, resulting in an indicated annual rate of $2.44 per share. The regular common dividend will be payable on January 15, 2008, to common shareholders of record as of January 2, 2008.</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Federal Realty’s guidance for 2007 FFO per diluted share was narrowed to a range of $3.62 to $3.64, and its 2007 earnings per diluted common share guidance increased to a range of $3.49 to $3.51. In addition, the Trust provided initial earnings guidance for 2008 of $3.89 to $3.94 for FFO per diluted share, and $2.03 to $2.08 for earnings per diluted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900" w:right="80" w:hanging="325"/>
        <w:spacing w:after="0" w:line="29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October 31, 2007 – Acquired the fee interest in Mid-Pike Plaza in Rockville, Maryland, and Huntington Shopping Center in Huntington, New York in exchange for leasehold interests of six retail properties in New Jersey (Allwood, Blue Star, Brunswick, Clifton, Hamilton and Rutgers Shopping Centers) via a Section 1031 tax-deferred exchange and $17.2 million of cash. Due to Mid-Pike Plaza’s proximity to Metrorail, the Montgomery County conference center and the desirable, in-fill nature of the site at the intersections of Rockville Pike, the new Montrose Parkway and Old Georgetown Road, the Trust anticipates seeking to entitle the approximately 20 acre site for high-density, mixed-use development, consistent with Montgomery County’s Smart Growth initiatives. The fully leased Huntington Shopping Center boasts strong household incomes and population density, consistent with Federal Realty’s sector leading demographics, and strong projected NOI growth over the next several years.</w:t>
      </w:r>
    </w:p>
    <w:p>
      <w:pPr>
        <w:spacing w:after="0" w:line="37"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October 11, 2007 – Announced the sale of two retail buildings in Forest Hills, New York generating net proceeds of $32 million and a book gain of $19.0 million. The Trust took advantage of its acquisition of Shoppers’ World in Charlottesville, Virginia in May 2007 and executed a reverse Section 1031 tax-deferred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Federal Realty’s management team will present an in-depth discussion of the Trust’s operating performance on its third quarter 2007 earnings conference call, which is scheduled for November 1, 2007, at 12 p.m. Eastern Daylight Time. To participate, please call (866) 271-0675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November 30, 2007, by dialing (888) 286-8010 and entering the passcode 97573561.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w:t>
      </w:r>
    </w:p>
    <w:p>
      <w:pPr>
        <w:sectPr>
          <w:pgSz w:w="11900" w:h="16838" w:orient="portrait"/>
          <w:cols w:equalWidth="0" w:num="1">
            <w:col w:w="11340"/>
          </w:cols>
          <w:pgMar w:left="240" w:top="280"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properties) contains approximately 18.2 million square feet located primarily in strategic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96.4% leased to national, regional, and local retailers as of September 30, 2007, with no single tenant accounting for more than approximately 2.9% of annualized base rent. Federal Realty has paid quarterly dividends to its shareholders continuously since its founding in 1962, and has increased its dividend rate for 40 consecutive years, the longest record in the REIT industry. Shares of Federal Realty are traded on the NYSE under the symbol FRT.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1, 2007 and include the following:</w:t>
      </w:r>
    </w:p>
    <w:p>
      <w:pPr>
        <w:spacing w:after="0" w:line="6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March 1, 2007.</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3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8"/>
              </w:rPr>
              <w:t>Three months ended September 30,</w:t>
            </w:r>
          </w:p>
        </w:tc>
        <w:tc>
          <w:tcPr>
            <w:tcW w:w="100" w:type="dxa"/>
            <w:vAlign w:val="bottom"/>
          </w:tcPr>
          <w:p>
            <w:pPr>
              <w:spacing w:after="0"/>
              <w:rPr>
                <w:sz w:val="14"/>
                <w:szCs w:val="14"/>
                <w:color w:val="auto"/>
              </w:rPr>
            </w:pPr>
          </w:p>
        </w:tc>
        <w:tc>
          <w:tcPr>
            <w:tcW w:w="21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7"/>
          </w:tcPr>
          <w:p>
            <w:pPr>
              <w:spacing w:after="0" w:line="129" w:lineRule="exact"/>
              <w:rPr>
                <w:sz w:val="20"/>
                <w:szCs w:val="20"/>
                <w:color w:val="auto"/>
              </w:rPr>
            </w:pPr>
            <w:r>
              <w:rPr>
                <w:rFonts w:ascii="Arial" w:cs="Arial" w:eastAsia="Arial" w:hAnsi="Arial"/>
                <w:sz w:val="14"/>
                <w:szCs w:val="14"/>
                <w:b w:val="1"/>
                <w:bCs w:val="1"/>
                <w:color w:val="auto"/>
                <w:w w:val="95"/>
              </w:rPr>
              <w:t>(in thousands, except per share data)</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123,559</w:t>
            </w:r>
          </w:p>
        </w:tc>
        <w:tc>
          <w:tcPr>
            <w:tcW w:w="16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109,371</w:t>
            </w:r>
          </w:p>
        </w:tc>
        <w:tc>
          <w:tcPr>
            <w:tcW w:w="160" w:type="dxa"/>
            <w:vAlign w:val="bottom"/>
          </w:tcPr>
          <w:p>
            <w:pPr>
              <w:spacing w:after="0"/>
              <w:rPr>
                <w:sz w:val="18"/>
                <w:szCs w:val="18"/>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360,655</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319,673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209,136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164,550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(30,533)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(89,577)</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77,087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21"/>
        </w:trPr>
        <w:tc>
          <w:tcPr>
            <w:tcW w:w="68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72,778</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 of real estate from discontinued operations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42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73,369</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73,369</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4"/>
          </w:tcPr>
          <w:p>
            <w:pPr>
              <w:jc w:val="right"/>
              <w:ind w:right="513"/>
              <w:spacing w:after="0" w:line="129"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3,331,957</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3,025,210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Construction-in-progress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Assets held for sale (discontinued operations)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3,480,394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3,204,258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8"/>
                <w:szCs w:val="18"/>
                <w:color w:val="auto"/>
                <w:w w:val="95"/>
              </w:rPr>
              <w:t>(805,610)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(740,507)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2,674,784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2,463,751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2,929,859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Obligations under capital leases and mortgages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528,463</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460,398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including revolving credit facility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1,127,567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1,127,508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2,033,582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1,882,337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2,929,859</w:t>
            </w:r>
          </w:p>
        </w:tc>
        <w:tc>
          <w:tcPr>
            <w:tcW w:w="22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2,688,606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89"/>
              </w:rPr>
              <w:t>Three months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660" w:type="dxa"/>
            <w:vAlign w:val="bottom"/>
            <w:gridSpan w:val="4"/>
          </w:tcPr>
          <w:p>
            <w:pPr>
              <w:jc w:val="right"/>
              <w:ind w:right="133"/>
              <w:spacing w:after="0" w:line="142" w:lineRule="exact"/>
              <w:rPr>
                <w:sz w:val="20"/>
                <w:szCs w:val="20"/>
                <w:color w:val="auto"/>
              </w:rPr>
            </w:pPr>
            <w:r>
              <w:rPr>
                <w:rFonts w:ascii="Arial" w:cs="Arial" w:eastAsia="Arial" w:hAnsi="Arial"/>
                <w:sz w:val="14"/>
                <w:szCs w:val="14"/>
                <w:b w:val="1"/>
                <w:bCs w:val="1"/>
                <w:color w:val="auto"/>
                <w:w w:val="95"/>
              </w:rPr>
              <w:t>except per share data)</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 thousands,</w:t>
            </w:r>
          </w:p>
        </w:tc>
        <w:tc>
          <w:tcPr>
            <w:tcW w:w="1620" w:type="dxa"/>
            <w:vAlign w:val="bottom"/>
            <w:gridSpan w:val="4"/>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except 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right"/>
              <w:ind w:right="352"/>
              <w:spacing w:after="0"/>
              <w:rPr>
                <w:sz w:val="20"/>
                <w:szCs w:val="20"/>
                <w:color w:val="auto"/>
              </w:rPr>
            </w:pPr>
            <w:r>
              <w:rPr>
                <w:rFonts w:ascii="Arial" w:cs="Arial" w:eastAsia="Arial" w:hAnsi="Arial"/>
                <w:sz w:val="18"/>
                <w:szCs w:val="18"/>
                <w:color w:val="auto"/>
              </w:rPr>
              <w:t>23,515</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24,984</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332"/>
              <w:spacing w:after="0"/>
              <w:rPr>
                <w:sz w:val="20"/>
                <w:szCs w:val="20"/>
                <w:color w:val="auto"/>
              </w:rPr>
            </w:pPr>
            <w:r>
              <w:rPr>
                <w:rFonts w:ascii="Arial" w:cs="Arial" w:eastAsia="Arial" w:hAnsi="Arial"/>
                <w:sz w:val="18"/>
                <w:szCs w:val="18"/>
                <w:color w:val="auto"/>
              </w:rPr>
              <w:t>73,369</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94,271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(gain) on sale of real estate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2,900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1,051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23,651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21,570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71,910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1,945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6,122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Depreciation of real estate partnership assets</w:t>
            </w:r>
          </w:p>
        </w:tc>
        <w:tc>
          <w:tcPr>
            <w:tcW w:w="14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52,335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153,367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18"/>
                <w:szCs w:val="18"/>
                <w:color w:val="auto"/>
              </w:rPr>
            </w:pPr>
          </w:p>
        </w:tc>
        <w:tc>
          <w:tcPr>
            <w:tcW w:w="1160" w:type="dxa"/>
            <w:vAlign w:val="bottom"/>
            <w:gridSpan w:val="2"/>
          </w:tcPr>
          <w:p>
            <w:pPr>
              <w:jc w:val="right"/>
              <w:ind w:right="292"/>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(2,869)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92"/>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4"/>
            <w:vMerge w:val="restart"/>
          </w:tcPr>
          <w:p>
            <w:pPr>
              <w:ind w:left="420"/>
              <w:spacing w:after="0"/>
              <w:rPr>
                <w:sz w:val="20"/>
                <w:szCs w:val="20"/>
                <w:color w:val="auto"/>
              </w:rPr>
            </w:pPr>
            <w:r>
              <w:rPr>
                <w:rFonts w:ascii="Arial" w:cs="Arial" w:eastAsia="Arial" w:hAnsi="Arial"/>
                <w:sz w:val="18"/>
                <w:szCs w:val="18"/>
                <w:color w:val="auto"/>
              </w:rPr>
              <w:t>FFO</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4"/>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52,478</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45,822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153,983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133,841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FFO per diluted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0.92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2.71</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4"/>
            <w:vMerge w:val="restart"/>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57,148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54,066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56,885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Summary of Capital Expenditures</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Non-maintenance capital expenditures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Development, redevelopment and expansions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25,669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23,451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80,419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ind w:left="860"/>
              <w:spacing w:after="0"/>
              <w:rPr>
                <w:sz w:val="20"/>
                <w:szCs w:val="20"/>
                <w:color w:val="auto"/>
              </w:rPr>
            </w:pPr>
            <w:r>
              <w:rPr>
                <w:rFonts w:ascii="Arial" w:cs="Arial" w:eastAsia="Arial" w:hAnsi="Arial"/>
                <w:sz w:val="18"/>
                <w:szCs w:val="18"/>
                <w:color w:val="auto"/>
              </w:rPr>
              <w:t>Tenant improvements and incentives</w:t>
            </w:r>
          </w:p>
        </w:tc>
        <w:tc>
          <w:tcPr>
            <w:tcW w:w="14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3,788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4,491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10,522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29,457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90,941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ind w:left="420"/>
              <w:spacing w:after="0"/>
              <w:rPr>
                <w:sz w:val="20"/>
                <w:szCs w:val="20"/>
                <w:color w:val="auto"/>
              </w:rPr>
            </w:pPr>
            <w:r>
              <w:rPr>
                <w:rFonts w:ascii="Arial" w:cs="Arial" w:eastAsia="Arial" w:hAnsi="Arial"/>
                <w:sz w:val="18"/>
                <w:szCs w:val="18"/>
                <w:color w:val="auto"/>
              </w:rPr>
              <w:t>Maintenance capital expenditures</w:t>
            </w:r>
          </w:p>
        </w:tc>
        <w:tc>
          <w:tcPr>
            <w:tcW w:w="140" w:type="dxa"/>
            <w:vAlign w:val="bottom"/>
          </w:tcPr>
          <w:p>
            <w:pPr>
              <w:spacing w:after="0"/>
              <w:rPr>
                <w:sz w:val="18"/>
                <w:szCs w:val="18"/>
                <w:color w:val="auto"/>
              </w:rPr>
            </w:pPr>
          </w:p>
        </w:tc>
        <w:tc>
          <w:tcPr>
            <w:tcW w:w="1160" w:type="dxa"/>
            <w:vAlign w:val="bottom"/>
            <w:gridSpan w:val="2"/>
          </w:tcPr>
          <w:p>
            <w:pPr>
              <w:jc w:val="right"/>
              <w:ind w:right="352"/>
              <w:spacing w:after="0"/>
              <w:rPr>
                <w:sz w:val="20"/>
                <w:szCs w:val="20"/>
                <w:color w:val="auto"/>
              </w:rPr>
            </w:pPr>
            <w:r>
              <w:rPr>
                <w:rFonts w:ascii="Arial" w:cs="Arial" w:eastAsia="Arial" w:hAnsi="Arial"/>
                <w:sz w:val="18"/>
                <w:szCs w:val="18"/>
                <w:color w:val="auto"/>
              </w:rPr>
              <w:t>2,482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2,577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32"/>
              <w:spacing w:after="0"/>
              <w:rPr>
                <w:sz w:val="20"/>
                <w:szCs w:val="20"/>
                <w:color w:val="auto"/>
              </w:rPr>
            </w:pPr>
            <w:r>
              <w:rPr>
                <w:rFonts w:ascii="Arial" w:cs="Arial" w:eastAsia="Arial" w:hAnsi="Arial"/>
                <w:sz w:val="18"/>
                <w:szCs w:val="18"/>
                <w:color w:val="auto"/>
              </w:rPr>
              <w:t>6,173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31,939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30,519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97,114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76,948</w:t>
            </w:r>
          </w:p>
        </w:tc>
        <w:tc>
          <w:tcPr>
            <w:tcW w:w="0" w:type="dxa"/>
            <w:vAlign w:val="bottom"/>
          </w:tcPr>
          <w:p>
            <w:pPr>
              <w:spacing w:after="0"/>
              <w:rPr>
                <w:sz w:val="1"/>
                <w:szCs w:val="1"/>
                <w:color w:val="auto"/>
              </w:rPr>
            </w:pPr>
          </w:p>
        </w:tc>
      </w:tr>
      <w:tr>
        <w:trPr>
          <w:trHeight w:val="20"/>
        </w:trPr>
        <w:tc>
          <w:tcPr>
            <w:tcW w:w="5580" w:type="dxa"/>
            <w:vAlign w:val="bottom"/>
            <w:gridSpan w:val="5"/>
            <w:vMerge w:val="restart"/>
          </w:tcPr>
          <w:p>
            <w:pPr>
              <w:spacing w:after="0"/>
              <w:rPr>
                <w:sz w:val="20"/>
                <w:szCs w:val="20"/>
                <w:color w:val="auto"/>
              </w:rPr>
            </w:pPr>
            <w:r>
              <w:rPr>
                <w:rFonts w:ascii="Arial" w:cs="Arial" w:eastAsia="Arial" w:hAnsi="Arial"/>
                <w:sz w:val="18"/>
                <w:szCs w:val="18"/>
                <w:color w:val="auto"/>
              </w:rPr>
              <w:t>Dividends and Payout Ratios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34,523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31,768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99,328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8"/>
                <w:szCs w:val="18"/>
                <w:color w:val="auto"/>
              </w:rPr>
              <w:t>Special common dividends declared (2)</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Common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34,523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31,768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99,328</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101,256</w:t>
            </w:r>
          </w:p>
        </w:tc>
        <w:tc>
          <w:tcPr>
            <w:tcW w:w="0" w:type="dxa"/>
            <w:vAlign w:val="bottom"/>
          </w:tcPr>
          <w:p>
            <w:pPr>
              <w:spacing w:after="0"/>
              <w:rPr>
                <w:sz w:val="1"/>
                <w:szCs w:val="1"/>
                <w:color w:val="auto"/>
              </w:rPr>
            </w:pPr>
          </w:p>
        </w:tc>
      </w:tr>
      <w:tr>
        <w:trPr>
          <w:trHeight w:val="20"/>
        </w:trPr>
        <w:tc>
          <w:tcPr>
            <w:tcW w:w="5580" w:type="dxa"/>
            <w:vAlign w:val="bottom"/>
            <w:gridSpan w:val="5"/>
            <w:vMerge w:val="restart"/>
          </w:tcPr>
          <w:p>
            <w:pPr>
              <w:spacing w:after="0"/>
              <w:rPr>
                <w:sz w:val="20"/>
                <w:szCs w:val="20"/>
                <w:color w:val="auto"/>
              </w:rPr>
            </w:pPr>
            <w:r>
              <w:rPr>
                <w:rFonts w:ascii="Arial" w:cs="Arial" w:eastAsia="Arial" w:hAnsi="Arial"/>
                <w:sz w:val="18"/>
                <w:szCs w:val="18"/>
                <w:color w:val="auto"/>
              </w:rPr>
              <w:t>Dividend payout ratio as a percentage of FFO (excluding special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8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4"/>
          </w:tcPr>
          <w:p>
            <w:pPr>
              <w:ind w:left="200"/>
              <w:spacing w:after="0"/>
              <w:rPr>
                <w:sz w:val="20"/>
                <w:szCs w:val="20"/>
                <w:color w:val="auto"/>
              </w:rPr>
            </w:pPr>
            <w:r>
              <w:rPr>
                <w:rFonts w:ascii="Arial" w:cs="Arial" w:eastAsia="Arial" w:hAnsi="Arial"/>
                <w:sz w:val="18"/>
                <w:szCs w:val="18"/>
                <w:color w:val="auto"/>
              </w:rPr>
              <w:t>dividends) (2)</w:t>
            </w:r>
          </w:p>
        </w:tc>
        <w:tc>
          <w:tcPr>
            <w:tcW w:w="140" w:type="dxa"/>
            <w:vAlign w:val="bottom"/>
          </w:tcPr>
          <w:p>
            <w:pPr>
              <w:spacing w:after="0"/>
              <w:rPr>
                <w:sz w:val="19"/>
                <w:szCs w:val="19"/>
                <w:color w:val="auto"/>
              </w:rPr>
            </w:pPr>
          </w:p>
        </w:tc>
        <w:tc>
          <w:tcPr>
            <w:tcW w:w="1160" w:type="dxa"/>
            <w:vAlign w:val="bottom"/>
            <w:gridSpan w:val="2"/>
          </w:tcPr>
          <w:p>
            <w:pPr>
              <w:jc w:val="right"/>
              <w:ind w:right="212"/>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92"/>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 of condominiums at Santana Row resulted in special dividends in the first quarter of 2006.</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2007</w:t>
            </w:r>
          </w:p>
        </w:tc>
        <w:tc>
          <w:tcPr>
            <w:tcW w:w="8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2006</w:t>
            </w:r>
          </w:p>
        </w:tc>
        <w:tc>
          <w:tcPr>
            <w:tcW w:w="14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56,604</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55,280</w:t>
            </w: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140" w:type="dxa"/>
            <w:vAlign w:val="bottom"/>
            <w:shd w:val="clear" w:color="auto" w:fill="CCEEFF"/>
          </w:tcPr>
          <w:p>
            <w:pPr>
              <w:spacing w:after="0"/>
              <w:rPr>
                <w:sz w:val="18"/>
                <w:szCs w:val="18"/>
                <w:color w:val="auto"/>
              </w:rPr>
            </w:pPr>
          </w:p>
        </w:tc>
      </w:tr>
      <w:tr>
        <w:trPr>
          <w:trHeight w:val="222"/>
        </w:trPr>
        <w:tc>
          <w:tcPr>
            <w:tcW w:w="8160" w:type="dxa"/>
            <w:vAlign w:val="bottom"/>
          </w:tcPr>
          <w:p>
            <w:pPr>
              <w:ind w:left="88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5,015,114</w:t>
            </w:r>
          </w:p>
        </w:tc>
        <w:tc>
          <w:tcPr>
            <w:tcW w:w="8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4,107,304</w:t>
            </w:r>
          </w:p>
        </w:tc>
      </w:tr>
      <w:tr>
        <w:trPr>
          <w:trHeight w:val="116"/>
        </w:trPr>
        <w:tc>
          <w:tcPr>
            <w:tcW w:w="8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323"/>
        </w:trPr>
        <w:tc>
          <w:tcPr>
            <w:tcW w:w="8160" w:type="dxa"/>
            <w:vAlign w:val="bottom"/>
          </w:tcPr>
          <w:p>
            <w:pPr>
              <w:ind w:left="440"/>
              <w:spacing w:after="0"/>
              <w:rPr>
                <w:sz w:val="20"/>
                <w:szCs w:val="20"/>
                <w:color w:val="auto"/>
              </w:rPr>
            </w:pPr>
            <w:r>
              <w:rPr>
                <w:rFonts w:ascii="Arial" w:cs="Arial" w:eastAsia="Arial" w:hAnsi="Arial"/>
                <w:sz w:val="18"/>
                <w:szCs w:val="18"/>
                <w:color w:val="auto"/>
              </w:rPr>
              <w:t>Series B preferred shares outstanding (3)</w:t>
            </w:r>
          </w:p>
        </w:tc>
        <w:tc>
          <w:tcPr>
            <w:tcW w:w="260" w:type="dxa"/>
            <w:vAlign w:val="bottom"/>
          </w:tcPr>
          <w:p>
            <w:pPr>
              <w:spacing w:after="0"/>
              <w:rPr>
                <w:sz w:val="24"/>
                <w:szCs w:val="24"/>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5,400</w:t>
            </w:r>
          </w:p>
        </w:tc>
      </w:tr>
      <w:tr>
        <w:trPr>
          <w:trHeight w:val="217"/>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 price per Series B preferred share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40" w:type="dxa"/>
            <w:vAlign w:val="bottom"/>
            <w:shd w:val="clear" w:color="auto" w:fill="CCEEFF"/>
          </w:tcPr>
          <w:p>
            <w:pPr>
              <w:spacing w:after="0"/>
              <w:rPr>
                <w:sz w:val="18"/>
                <w:szCs w:val="18"/>
                <w:color w:val="auto"/>
              </w:rPr>
            </w:pPr>
          </w:p>
        </w:tc>
      </w:tr>
      <w:tr>
        <w:trPr>
          <w:trHeight w:val="230"/>
        </w:trPr>
        <w:tc>
          <w:tcPr>
            <w:tcW w:w="8160" w:type="dxa"/>
            <w:vAlign w:val="bottom"/>
          </w:tcPr>
          <w:p>
            <w:pPr>
              <w:ind w:left="880"/>
              <w:spacing w:after="0"/>
              <w:rPr>
                <w:sz w:val="20"/>
                <w:szCs w:val="20"/>
                <w:color w:val="auto"/>
              </w:rPr>
            </w:pPr>
            <w:r>
              <w:rPr>
                <w:rFonts w:ascii="Arial" w:cs="Arial" w:eastAsia="Arial" w:hAnsi="Arial"/>
                <w:sz w:val="18"/>
                <w:szCs w:val="18"/>
                <w:color w:val="auto"/>
              </w:rPr>
              <w:t>Series B preferred equity market capitalization</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137,430</w:t>
            </w:r>
          </w:p>
        </w:tc>
        <w:tc>
          <w:tcPr>
            <w:tcW w:w="140" w:type="dxa"/>
            <w:vAlign w:val="bottom"/>
          </w:tcPr>
          <w:p>
            <w:pPr>
              <w:spacing w:after="0"/>
              <w:rPr>
                <w:sz w:val="20"/>
                <w:szCs w:val="20"/>
                <w:color w:val="auto"/>
              </w:rPr>
            </w:pPr>
          </w:p>
        </w:tc>
      </w:tr>
      <w:tr>
        <w:trPr>
          <w:trHeight w:val="216"/>
        </w:trPr>
        <w:tc>
          <w:tcPr>
            <w:tcW w:w="8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Preferred equity market capitalization</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137,430</w:t>
            </w:r>
          </w:p>
        </w:tc>
        <w:tc>
          <w:tcPr>
            <w:tcW w:w="140" w:type="dxa"/>
            <w:vAlign w:val="bottom"/>
            <w:shd w:val="clear" w:color="auto" w:fill="CCEEFF"/>
          </w:tcPr>
          <w:p>
            <w:pPr>
              <w:spacing w:after="0"/>
              <w:rPr>
                <w:sz w:val="18"/>
                <w:szCs w:val="18"/>
                <w:color w:val="auto"/>
              </w:rPr>
            </w:pPr>
          </w:p>
        </w:tc>
      </w:tr>
      <w:tr>
        <w:trPr>
          <w:trHeight w:val="222"/>
        </w:trPr>
        <w:tc>
          <w:tcPr>
            <w:tcW w:w="8160" w:type="dxa"/>
            <w:vAlign w:val="bottom"/>
          </w:tcPr>
          <w:p>
            <w:pPr>
              <w:ind w:left="4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5,025,114</w:t>
            </w:r>
          </w:p>
        </w:tc>
        <w:tc>
          <w:tcPr>
            <w:tcW w:w="8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4,244,734</w:t>
            </w:r>
          </w:p>
        </w:tc>
      </w:tr>
      <w:tr>
        <w:trPr>
          <w:trHeight w:val="217"/>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(4)</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1,834,903</w:t>
            </w:r>
          </w:p>
        </w:tc>
        <w:tc>
          <w:tcPr>
            <w:tcW w:w="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1,513,496</w:t>
            </w:r>
          </w:p>
        </w:tc>
        <w:tc>
          <w:tcPr>
            <w:tcW w:w="140" w:type="dxa"/>
            <w:vAlign w:val="bottom"/>
            <w:shd w:val="clear" w:color="auto" w:fill="CCEEFF"/>
          </w:tcPr>
          <w:p>
            <w:pPr>
              <w:spacing w:after="0"/>
              <w:rPr>
                <w:sz w:val="18"/>
                <w:szCs w:val="18"/>
                <w:color w:val="auto"/>
              </w:rPr>
            </w:pPr>
          </w:p>
        </w:tc>
      </w:tr>
      <w:tr>
        <w:trPr>
          <w:trHeight w:val="222"/>
        </w:trPr>
        <w:tc>
          <w:tcPr>
            <w:tcW w:w="8160" w:type="dxa"/>
            <w:vAlign w:val="bottom"/>
          </w:tcPr>
          <w:p>
            <w:pPr>
              <w:ind w:left="440"/>
              <w:spacing w:after="0"/>
              <w:rPr>
                <w:sz w:val="20"/>
                <w:szCs w:val="20"/>
                <w:color w:val="auto"/>
              </w:rPr>
            </w:pPr>
            <w:r>
              <w:rPr>
                <w:rFonts w:ascii="Arial" w:cs="Arial" w:eastAsia="Arial" w:hAnsi="Arial"/>
                <w:sz w:val="18"/>
                <w:szCs w:val="18"/>
                <w:color w:val="auto"/>
              </w:rPr>
              <w:t>Total market capitalization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6,860,017</w:t>
            </w:r>
          </w:p>
        </w:tc>
        <w:tc>
          <w:tcPr>
            <w:tcW w:w="8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5,758,230</w:t>
            </w:r>
          </w:p>
        </w:tc>
      </w:tr>
      <w:tr>
        <w:trPr>
          <w:trHeight w:val="20"/>
        </w:trPr>
        <w:tc>
          <w:tcPr>
            <w:tcW w:w="8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322"/>
        </w:trPr>
        <w:tc>
          <w:tcPr>
            <w:tcW w:w="8160" w:type="dxa"/>
            <w:vAlign w:val="bottom"/>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$74.30</w:t>
            </w:r>
          </w:p>
        </w:tc>
        <w:tc>
          <w:tcPr>
            <w:tcW w:w="260" w:type="dxa"/>
            <w:vAlign w:val="bottom"/>
          </w:tcPr>
          <w:p>
            <w:pPr>
              <w:spacing w:after="0"/>
              <w:rPr>
                <w:sz w:val="24"/>
                <w:szCs w:val="24"/>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110"/>
        </w:trPr>
        <w:tc>
          <w:tcPr>
            <w:tcW w:w="8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26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8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jc w:val="both"/>
        <w:ind w:left="460" w:right="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58,091,319 shares issued net of 1,487,407 shares held in Treasury as of September 30, 2007. As of September 30, 2006, consists of 56,761,321 shares issued net of 1,481,194 shares held in Treasury. Amounts do not include 380,938 and 377,210 Operating Partnership Units outstanding at September 30, 2007 and 2006,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27, 2006, the Trust redeemed the Series B preferred shares.</w:t>
      </w:r>
    </w:p>
    <w:p>
      <w:pPr>
        <w:spacing w:after="0" w:line="9" w:lineRule="exact"/>
        <w:rPr>
          <w:rFonts w:ascii="Arial" w:cs="Arial" w:eastAsia="Arial" w:hAnsi="Arial"/>
          <w:sz w:val="18"/>
          <w:szCs w:val="18"/>
          <w:color w:val="auto"/>
        </w:rPr>
      </w:pPr>
    </w:p>
    <w:p>
      <w:pPr>
        <w:ind w:left="460" w:right="3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includes capital leases, mortgages payable, notes payable, senior notes and debentures, net of premiums and discounts from our consolidated balance sheet. It does not include the $24.5 million which is the Trust's 30% share of the total $81.6 million debt of the partnership with Clarion Lion Properties Fund.</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6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6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right"/>
              <w:ind w:right="295"/>
              <w:spacing w:after="0"/>
              <w:rPr>
                <w:sz w:val="20"/>
                <w:szCs w:val="20"/>
                <w:color w:val="auto"/>
              </w:rPr>
            </w:pPr>
            <w:r>
              <w:rPr>
                <w:rFonts w:ascii="Arial" w:cs="Arial" w:eastAsia="Arial" w:hAnsi="Arial"/>
                <w:sz w:val="12"/>
                <w:szCs w:val="12"/>
                <w:b w:val="1"/>
                <w:bCs w:val="1"/>
                <w:color w:val="auto"/>
                <w:w w:val="77"/>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315"/>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Retail and commercial properties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91,406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81,782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$ 269,015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$ 240,738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3,558</w:t>
            </w:r>
          </w:p>
        </w:tc>
        <w:tc>
          <w:tcPr>
            <w:tcW w:w="102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11,277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20,962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71,045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 rental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4,472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109,371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$ 360,655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$ 319,673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rents include $1.8 million and $1.5 million for the three months ended September 30, 2007 and 2006, respectively, and $6.5 million and $4.7 million for the nine months ended September 30, 2007 and 2006, respectively, to recognize minimum rents on a straight-line basis as required by GAAP. In addition, minimum rents include $0.8 million and $0.6 million for the three months ended September 30, 2007 and 2006, respectively, and $2.0 million and $1.6 million for the nine months ended September 30, 2007 and 2006, respectively, to recognize income from the amortization of in-place leases in accordance with SFAS 141.</w:t>
      </w:r>
    </w:p>
    <w:p>
      <w:pPr>
        <w:spacing w:after="0" w:line="2"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consist of the entire rental amounts at Rollingwood Apartments, the Crest at Congressional Apartments and the residential units at Santana Row.</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ind w:left="2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6"/>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effective rate at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Maturity date</w:t>
            </w: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 2007</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September 30, 2007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w w:val="86"/>
              </w:rPr>
              <w:t>September 30, 2007 (j)</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Mortgage loans (a)</w:t>
            </w: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10/01/08</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6.510%</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164 E Houston Street</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10/06/08</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White Marsh Other</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12/31/08</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Mercer Mall</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04/01/09</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8.375%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4,458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06/01/11</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33,803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Tysons Station</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09/01/11</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7.400%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6,255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White Marsh Plaza</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04/01/13</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6.040%</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Crow Canyon</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08/11/13</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5.400%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21,680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Melville Mall</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09/01/14</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5.250%</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25,250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THE AVENUE at White Marsh</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01/01/15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5.460%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61,281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11/01/15</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42,149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Hauppauge</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11/01/15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7.950%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15,889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11/01/15</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29,875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Wildwood</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11/01/15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7.950%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26,260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11/01/15</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30,446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Brick Plaza</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11/01/15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7.415%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31,257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01/31/21</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Mount Vernon</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04/15/28</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5.660%</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12,041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01/15/31</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7"/>
            <w:vMerge w:val="restart"/>
          </w:tcPr>
          <w:p>
            <w:pPr>
              <w:ind w:left="860"/>
              <w:spacing w:after="0"/>
              <w:rPr>
                <w:sz w:val="20"/>
                <w:szCs w:val="20"/>
                <w:color w:val="auto"/>
              </w:rPr>
            </w:pPr>
            <w:r>
              <w:rPr>
                <w:rFonts w:ascii="Arial" w:cs="Arial" w:eastAsia="Arial" w:hAnsi="Arial"/>
                <w:sz w:val="18"/>
                <w:szCs w:val="18"/>
                <w:color w:val="auto"/>
              </w:rPr>
              <w:t>Subtotal</w:t>
            </w: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7"/>
            <w:vMerge w:val="continue"/>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376,233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(632)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7"/>
            <w:vMerge w:val="restart"/>
          </w:tcPr>
          <w:p>
            <w:pPr>
              <w:ind w:left="860"/>
              <w:spacing w:after="0"/>
              <w:rPr>
                <w:sz w:val="20"/>
                <w:szCs w:val="20"/>
                <w:color w:val="auto"/>
              </w:rPr>
            </w:pPr>
            <w:r>
              <w:rPr>
                <w:rFonts w:ascii="Arial" w:cs="Arial" w:eastAsia="Arial" w:hAnsi="Arial"/>
                <w:sz w:val="18"/>
                <w:szCs w:val="18"/>
                <w:color w:val="auto"/>
              </w:rPr>
              <w:t>Total mortgage loans</w:t>
            </w: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8"/>
                <w:szCs w:val="18"/>
                <w:color w:val="auto"/>
                <w:w w:val="97"/>
              </w:rPr>
              <w:t>6.90%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7"/>
            <w:vMerge w:val="continue"/>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375,601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4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01/31/13</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07/27/10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LIBOR + .425%</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Escondido (municipal bonds)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10/01/16</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3.671%</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178,873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60" w:type="dxa"/>
            <w:vAlign w:val="bottom"/>
            <w:gridSpan w:val="8"/>
          </w:tcPr>
          <w:p>
            <w:pPr>
              <w:spacing w:after="0"/>
              <w:rPr>
                <w:sz w:val="20"/>
                <w:szCs w:val="20"/>
                <w:color w:val="auto"/>
              </w:rPr>
            </w:pPr>
            <w:r>
              <w:rPr>
                <w:rFonts w:ascii="Arial" w:cs="Arial" w:eastAsia="Arial" w:hAnsi="Arial"/>
                <w:sz w:val="18"/>
                <w:szCs w:val="18"/>
                <w:color w:val="auto"/>
              </w:rPr>
              <w:t>Senior notes and debentures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6.125% notes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11/15/07</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6.325%</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8.75% notes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12/01/09</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4.50% notes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02/15/11</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4.500%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6.00% notes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07/15/12</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5.40% notes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12/01/13</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5.400%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135,000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06/01/16</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6.20% notes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01/15/17</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6.200%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7.48% debentures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08/15/26</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7.480%</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6.82% medium term notes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08/01/27</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6.820%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tcPr>
          <w:p>
            <w:pPr>
              <w:ind w:left="420"/>
              <w:spacing w:after="0"/>
              <w:rPr>
                <w:sz w:val="20"/>
                <w:szCs w:val="20"/>
                <w:color w:val="auto"/>
              </w:rPr>
            </w:pPr>
            <w:r>
              <w:rPr>
                <w:rFonts w:ascii="Arial" w:cs="Arial" w:eastAsia="Arial" w:hAnsi="Arial"/>
                <w:sz w:val="18"/>
                <w:szCs w:val="18"/>
                <w:color w:val="auto"/>
              </w:rPr>
              <w:t>Net unamortized premium</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2,567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senior notes and debentures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1,127,567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60" w:type="dxa"/>
            <w:vAlign w:val="bottom"/>
            <w:gridSpan w:val="8"/>
          </w:tcPr>
          <w:p>
            <w:pPr>
              <w:spacing w:after="0" w:line="182" w:lineRule="exact"/>
              <w:rPr>
                <w:sz w:val="20"/>
                <w:szCs w:val="20"/>
                <w:color w:val="auto"/>
              </w:rPr>
            </w:pPr>
            <w:r>
              <w:rPr>
                <w:rFonts w:ascii="Arial" w:cs="Arial" w:eastAsia="Arial" w:hAnsi="Arial"/>
                <w:sz w:val="18"/>
                <w:szCs w:val="18"/>
                <w:color w:val="auto"/>
              </w:rPr>
              <w:t>Capital lease obligations</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Various</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Various</w:t>
            </w:r>
          </w:p>
        </w:tc>
        <w:tc>
          <w:tcPr>
            <w:tcW w:w="1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Various through 2106</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(i)</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152,862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80" w:type="dxa"/>
            <w:vAlign w:val="bottom"/>
            <w:gridSpan w:val="5"/>
          </w:tcPr>
          <w:p>
            <w:pPr>
              <w:ind w:left="640"/>
              <w:spacing w:after="0"/>
              <w:rPr>
                <w:sz w:val="20"/>
                <w:szCs w:val="20"/>
                <w:color w:val="auto"/>
              </w:rPr>
            </w:pPr>
            <w:r>
              <w:rPr>
                <w:rFonts w:ascii="Arial" w:cs="Arial" w:eastAsia="Arial" w:hAnsi="Arial"/>
                <w:sz w:val="18"/>
                <w:szCs w:val="18"/>
                <w:color w:val="auto"/>
              </w:rPr>
              <w:t>Total debt and capital lease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80" w:type="dxa"/>
            <w:vAlign w:val="bottom"/>
            <w:gridSpan w:val="3"/>
          </w:tcPr>
          <w:p>
            <w:pPr>
              <w:ind w:left="640"/>
              <w:spacing w:after="0"/>
              <w:rPr>
                <w:sz w:val="20"/>
                <w:szCs w:val="20"/>
                <w:color w:val="auto"/>
              </w:rPr>
            </w:pPr>
            <w:r>
              <w:rPr>
                <w:rFonts w:ascii="Arial" w:cs="Arial" w:eastAsia="Arial" w:hAnsi="Arial"/>
                <w:sz w:val="18"/>
                <w:szCs w:val="18"/>
                <w:color w:val="auto"/>
              </w:rPr>
              <w:t>obligations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1,834,903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480" w:type="dxa"/>
            <w:vAlign w:val="bottom"/>
            <w:gridSpan w:val="5"/>
            <w:shd w:val="clear" w:color="auto" w:fill="CCEEFF"/>
          </w:tcPr>
          <w:p>
            <w:pPr>
              <w:ind w:left="640"/>
              <w:spacing w:after="0" w:line="203" w:lineRule="exact"/>
              <w:rPr>
                <w:sz w:val="20"/>
                <w:szCs w:val="20"/>
                <w:color w:val="auto"/>
              </w:rPr>
            </w:pPr>
            <w:r>
              <w:rPr>
                <w:rFonts w:ascii="Arial" w:cs="Arial" w:eastAsia="Arial" w:hAnsi="Arial"/>
                <w:sz w:val="18"/>
                <w:szCs w:val="18"/>
                <w:color w:val="auto"/>
              </w:rPr>
              <w:t>Total fixed rate debt and capital</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480" w:type="dxa"/>
            <w:vAlign w:val="bottom"/>
            <w:gridSpan w:val="5"/>
            <w:shd w:val="clear" w:color="auto" w:fill="CCEEFF"/>
          </w:tcPr>
          <w:p>
            <w:pPr>
              <w:ind w:left="640"/>
              <w:spacing w:after="0"/>
              <w:rPr>
                <w:sz w:val="20"/>
                <w:szCs w:val="20"/>
                <w:color w:val="auto"/>
              </w:rPr>
            </w:pPr>
            <w:r>
              <w:rPr>
                <w:rFonts w:ascii="Arial" w:cs="Arial" w:eastAsia="Arial" w:hAnsi="Arial"/>
                <w:sz w:val="18"/>
                <w:szCs w:val="18"/>
                <w:color w:val="auto"/>
              </w:rPr>
              <w:t>lease obligations</w:t>
            </w:r>
          </w:p>
        </w:tc>
        <w:tc>
          <w:tcPr>
            <w:tcW w:w="4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1,657,503</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4"/>
              </w:rPr>
              <w:t>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80" w:type="dxa"/>
            <w:vAlign w:val="bottom"/>
            <w:gridSpan w:val="5"/>
          </w:tcPr>
          <w:p>
            <w:pPr>
              <w:ind w:left="640"/>
              <w:spacing w:after="0"/>
              <w:rPr>
                <w:sz w:val="20"/>
                <w:szCs w:val="20"/>
                <w:color w:val="auto"/>
              </w:rPr>
            </w:pPr>
            <w:r>
              <w:rPr>
                <w:rFonts w:ascii="Arial" w:cs="Arial" w:eastAsia="Arial" w:hAnsi="Arial"/>
                <w:sz w:val="18"/>
                <w:szCs w:val="18"/>
                <w:color w:val="auto"/>
              </w:rPr>
              <w:t>Total variable rate debt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177,400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4"/>
          </w:tcPr>
          <w:p>
            <w:pPr>
              <w:jc w:val="right"/>
              <w:ind w:right="240"/>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480" w:type="dxa"/>
            <w:vAlign w:val="bottom"/>
            <w:gridSpan w:val="5"/>
            <w:shd w:val="clear" w:color="auto" w:fill="CCEEFF"/>
          </w:tcPr>
          <w:p>
            <w:pPr>
              <w:ind w:left="640"/>
              <w:spacing w:after="0"/>
              <w:rPr>
                <w:sz w:val="20"/>
                <w:szCs w:val="20"/>
                <w:color w:val="auto"/>
              </w:rPr>
            </w:pPr>
            <w:r>
              <w:rPr>
                <w:rFonts w:ascii="Arial" w:cs="Arial" w:eastAsia="Arial" w:hAnsi="Arial"/>
                <w:sz w:val="18"/>
                <w:szCs w:val="18"/>
                <w:color w:val="auto"/>
              </w:rPr>
              <w:t>TOTAL DEBT AND CAPITAL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480" w:type="dxa"/>
            <w:vAlign w:val="bottom"/>
            <w:gridSpan w:val="5"/>
            <w:shd w:val="clear" w:color="auto" w:fill="CCEEFF"/>
          </w:tcPr>
          <w:p>
            <w:pPr>
              <w:ind w:left="640"/>
              <w:spacing w:after="0"/>
              <w:rPr>
                <w:sz w:val="20"/>
                <w:szCs w:val="20"/>
                <w:color w:val="auto"/>
              </w:rPr>
            </w:pPr>
            <w:r>
              <w:rPr>
                <w:rFonts w:ascii="Arial" w:cs="Arial" w:eastAsia="Arial" w:hAnsi="Arial"/>
                <w:sz w:val="18"/>
                <w:szCs w:val="18"/>
                <w:color w:val="auto"/>
              </w:rPr>
              <w:t>LEASES OBLIGATIONS</w:t>
            </w:r>
          </w:p>
        </w:tc>
        <w:tc>
          <w:tcPr>
            <w:tcW w:w="4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960" w:type="dxa"/>
            <w:vAlign w:val="bottom"/>
            <w:gridSpan w:val="8"/>
            <w:shd w:val="clear" w:color="auto" w:fill="CCEEFF"/>
          </w:tcPr>
          <w:p>
            <w:pPr>
              <w:jc w:val="right"/>
              <w:ind w:right="240"/>
              <w:spacing w:after="0"/>
              <w:rPr>
                <w:sz w:val="20"/>
                <w:szCs w:val="20"/>
                <w:color w:val="auto"/>
              </w:rPr>
            </w:pPr>
            <w:r>
              <w:rPr>
                <w:rFonts w:ascii="Arial" w:cs="Arial" w:eastAsia="Arial" w:hAnsi="Arial"/>
                <w:sz w:val="18"/>
                <w:szCs w:val="18"/>
                <w:color w:val="auto"/>
                <w:w w:val="86"/>
              </w:rPr>
              <w:t>1,834,903100%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7"/>
          </w:tcPr>
          <w:p>
            <w:pPr>
              <w:jc w:val="center"/>
              <w:ind w:left="32"/>
              <w:spacing w:after="0"/>
              <w:rPr>
                <w:sz w:val="20"/>
                <w:szCs w:val="20"/>
                <w:color w:val="auto"/>
              </w:rPr>
            </w:pPr>
            <w:r>
              <w:rPr>
                <w:rFonts w:ascii="Arial" w:cs="Arial" w:eastAsia="Arial" w:hAnsi="Arial"/>
                <w:sz w:val="14"/>
                <w:szCs w:val="14"/>
                <w:b w:val="1"/>
                <w:bCs w:val="1"/>
                <w:color w:val="auto"/>
                <w:w w:val="88"/>
              </w:rPr>
              <w:t>Three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5"/>
          </w:tcPr>
          <w:p>
            <w:pPr>
              <w:jc w:val="center"/>
              <w:ind w:right="172"/>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gridSpan w:val="7"/>
          </w:tcPr>
          <w:p>
            <w:pPr>
              <w:jc w:val="center"/>
              <w:ind w:left="32"/>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520" w:type="dxa"/>
            <w:vAlign w:val="bottom"/>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w w:val="86"/>
              </w:rPr>
              <w:t>Operational Statistics</w:t>
            </w:r>
          </w:p>
        </w:tc>
        <w:tc>
          <w:tcPr>
            <w:tcW w:w="2340" w:type="dxa"/>
            <w:vAlign w:val="bottom"/>
            <w:tcBorders>
              <w:bottom w:val="single" w:sz="8" w:color="CCEEFF"/>
            </w:tcBorders>
            <w:gridSpan w:val="3"/>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gridSpan w:val="12"/>
          </w:tcPr>
          <w:p>
            <w:pPr>
              <w:ind w:left="420"/>
              <w:spacing w:after="0"/>
              <w:rPr>
                <w:sz w:val="20"/>
                <w:szCs w:val="20"/>
                <w:color w:val="auto"/>
              </w:rPr>
            </w:pPr>
            <w:r>
              <w:rPr>
                <w:rFonts w:ascii="Arial" w:cs="Arial" w:eastAsia="Arial" w:hAnsi="Arial"/>
                <w:sz w:val="18"/>
                <w:szCs w:val="18"/>
                <w:color w:val="auto"/>
              </w:rPr>
              <w:t>Ratio of EBITDA to combined fixed charges and preferred share dividends (k)</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2.41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x</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88"/>
              </w:rPr>
              <w:t>x</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2.47</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2.73</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360" w:type="dxa"/>
            <w:vAlign w:val="bottom"/>
            <w:gridSpan w:val="6"/>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12"/>
            <w:shd w:val="clear" w:color="auto" w:fill="CCEEFF"/>
          </w:tcPr>
          <w:p>
            <w:pPr>
              <w:ind w:left="420"/>
              <w:spacing w:after="0"/>
              <w:rPr>
                <w:sz w:val="20"/>
                <w:szCs w:val="20"/>
                <w:color w:val="auto"/>
              </w:rPr>
            </w:pPr>
            <w:r>
              <w:rPr>
                <w:rFonts w:ascii="Arial" w:cs="Arial" w:eastAsia="Arial" w:hAnsi="Arial"/>
                <w:sz w:val="18"/>
                <w:szCs w:val="18"/>
                <w:color w:val="auto"/>
                <w:w w:val="99"/>
              </w:rPr>
              <w:t>Ratio of adjusted EBITDA to combined fixed charges and preferred share dividends (k)</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x</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88"/>
              </w:rPr>
              <w:t>x</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2.48</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($24.5 million) of the $81.6 million debt of the partnership with Clarion Lion Properties Fund.</w:t>
      </w:r>
    </w:p>
    <w:p>
      <w:pPr>
        <w:sectPr>
          <w:pgSz w:w="11900" w:h="16838" w:orient="portrait"/>
          <w:cols w:equalWidth="0" w:num="1">
            <w:col w:w="11420"/>
          </w:cols>
          <w:pgMar w:left="240" w:top="274" w:right="239" w:bottom="0" w:gutter="0" w:footer="0" w:header="0"/>
        </w:sectPr>
      </w:pPr>
    </w:p>
    <w:bookmarkStart w:id="15" w:name="page16"/>
    <w:bookmarkEnd w:id="15"/>
    <w:p>
      <w:pPr>
        <w:ind w:left="452" w:right="520" w:hanging="452"/>
        <w:spacing w:after="0" w:line="286"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stated interest rate represents the weighted average interest rate for two mortgage loans secured by this property. The loan balance represents an interest-only note of $4.35 million at a stated rate of 6.18% and the remaining balance at a stated rate of 5.96%.</w:t>
      </w:r>
    </w:p>
    <w:p>
      <w:pPr>
        <w:ind w:left="452" w:right="22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acquired control of Melville Mall through a 20 year master lease and secondary financing. Because the Trust controls this property and retains substantially all of the economic benefit and risk associated with it, this property is consolidated and the mortgage loan is reflected on the balance sheet though it is not a legal obligation of the Trust.</w:t>
      </w:r>
    </w:p>
    <w:p>
      <w:pPr>
        <w:spacing w:after="0" w:line="1" w:lineRule="exact"/>
        <w:rPr>
          <w:rFonts w:ascii="Arial" w:cs="Arial" w:eastAsia="Arial" w:hAnsi="Arial"/>
          <w:sz w:val="18"/>
          <w:szCs w:val="18"/>
          <w:color w:val="auto"/>
        </w:rPr>
      </w:pPr>
    </w:p>
    <w:p>
      <w:pPr>
        <w:ind w:left="452" w:right="20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52" w:right="54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effective rate, before amortization of debt fees, was 5.8% and 5.7% for the three and nine months ended September 30, 2007, respectively.</w:t>
      </w:r>
    </w:p>
    <w:p>
      <w:pPr>
        <w:ind w:left="452" w:hanging="452"/>
        <w:spacing w:after="0"/>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52" w:right="24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 We are currently in the process of obtaining new financing to finance the maturity of these notes.</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15, 2008, the debentures are redeemable by the holders thereof at the original purchase price of $1,000 per debenture.</w:t>
      </w:r>
    </w:p>
    <w:p>
      <w:pPr>
        <w:spacing w:after="0" w:line="9" w:lineRule="exact"/>
        <w:rPr>
          <w:rFonts w:ascii="Arial" w:cs="Arial" w:eastAsia="Arial" w:hAnsi="Arial"/>
          <w:sz w:val="18"/>
          <w:szCs w:val="18"/>
          <w:color w:val="auto"/>
        </w:rPr>
      </w:pPr>
    </w:p>
    <w:p>
      <w:pPr>
        <w:ind w:left="452" w:hanging="452"/>
        <w:spacing w:after="0" w:line="281"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average annualized interest rate on capital lease obligations for the nine months ended September 30, 2007 is 9.06% excluding performance-based rent and 12.50% including performance-based rent. Subsequent to September 30, 2007, capital lease obligations for eight properties were extinguished as part of acquisition and disposition transactions. Excluding these eight properties, the capital lease obligation balance as of September 30, 2007 is $76.4 million and has an annualized interest rate for the nine months ended September 30, 2007 of 7.85% excluding performance-based rent.</w:t>
      </w:r>
    </w:p>
    <w:p>
      <w:pPr>
        <w:spacing w:after="0" w:line="2" w:lineRule="exact"/>
        <w:rPr>
          <w:rFonts w:ascii="Arial" w:cs="Arial" w:eastAsia="Arial" w:hAnsi="Arial"/>
          <w:sz w:val="16"/>
          <w:szCs w:val="16"/>
          <w:color w:val="auto"/>
        </w:rPr>
      </w:pPr>
    </w:p>
    <w:p>
      <w:pPr>
        <w:ind w:left="452" w:right="14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discounts and premiums, if applicable, and excludes performance-based rent on capital lease obligations.</w:t>
      </w:r>
    </w:p>
    <w:p>
      <w:pPr>
        <w:ind w:left="452" w:right="80" w:hanging="452"/>
        <w:spacing w:after="0" w:line="254"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expense and the portion of rent expense representing an interest factor. EBITDA includes $2.9 and $1.1 million in loss on sale for the three and nine months ended September 30, 2007, respectively, and $0.1 million and $23.9 million in gain on sale for the three and nine months ended September 30, 2006, respectively. Adjusted EBITDA is reconciled to net income in the Glossary of Terms.</w:t>
      </w:r>
    </w:p>
    <w:p>
      <w:pPr>
        <w:sectPr>
          <w:pgSz w:w="11900" w:h="16838" w:orient="portrait"/>
          <w:cols w:equalWidth="0" w:num="1">
            <w:col w:w="11372"/>
          </w:cols>
          <w:pgMar w:left="248" w:top="13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Scheduled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8"/>
        </w:trPr>
        <w:tc>
          <w:tcPr>
            <w:tcW w:w="55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90"/>
              </w:rPr>
              <w:t>Maturities</w:t>
            </w:r>
          </w:p>
        </w:tc>
        <w:tc>
          <w:tcPr>
            <w:tcW w:w="80" w:type="dxa"/>
            <w:vAlign w:val="bottom"/>
          </w:tcPr>
          <w:p>
            <w:pPr>
              <w:spacing w:after="0"/>
              <w:rPr>
                <w:sz w:val="12"/>
                <w:szCs w:val="12"/>
                <w:color w:val="auto"/>
              </w:rPr>
            </w:pPr>
          </w:p>
        </w:tc>
        <w:tc>
          <w:tcPr>
            <w:tcW w:w="84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2"/>
                <w:szCs w:val="12"/>
                <w:color w:val="auto"/>
              </w:rPr>
            </w:pPr>
          </w:p>
        </w:tc>
        <w:tc>
          <w:tcPr>
            <w:tcW w:w="12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151,649</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2008</w:t>
            </w: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10,651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18,978</w:t>
            </w:r>
          </w:p>
        </w:tc>
        <w:tc>
          <w:tcPr>
            <w:tcW w:w="5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179,349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188,108</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2010</w:t>
            </w: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168,000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177,376</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112,252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121,848</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2012</w:t>
            </w: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184,849</w:t>
            </w:r>
          </w:p>
        </w:tc>
        <w:tc>
          <w:tcPr>
            <w:tcW w:w="5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163,045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172,856</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2014</w:t>
            </w: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20,127</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29,964</w:t>
            </w:r>
          </w:p>
        </w:tc>
        <w:tc>
          <w:tcPr>
            <w:tcW w:w="5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198,391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206,059</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2016</w:t>
            </w: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134,400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138,197</w:t>
            </w:r>
          </w:p>
        </w:tc>
        <w:tc>
          <w:tcPr>
            <w:tcW w:w="5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293,676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443,084</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auto"/>
              </w:rPr>
              <w:t>(2)</w:t>
            </w: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228,077</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1,604,891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1,832,968</w:t>
            </w:r>
          </w:p>
        </w:tc>
        <w:tc>
          <w:tcPr>
            <w:tcW w:w="540" w:type="dxa"/>
            <w:vAlign w:val="bottom"/>
            <w:vMerge w:val="continue"/>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Maturities in 2010 are $168.0 million drawn under the Trust's $300 million four-year revolving credit facility. This credit facility is subject to a one-year extension at our option.</w:t>
      </w:r>
    </w:p>
    <w:p>
      <w:pPr>
        <w:ind w:left="460" w:right="34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discount or premium on certain senior notes, debentures and mortgage payables.</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Projected</w:t>
            </w:r>
          </w:p>
        </w:tc>
        <w:tc>
          <w:tcPr>
            <w:tcW w:w="4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4"/>
              </w:rPr>
              <w:t>Projected</w:t>
            </w:r>
          </w:p>
        </w:tc>
        <w:tc>
          <w:tcPr>
            <w:tcW w:w="3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7"/>
              </w:rPr>
              <w:t>Cost to</w:t>
            </w:r>
          </w:p>
        </w:tc>
      </w:tr>
      <w:tr>
        <w:trPr>
          <w:trHeight w:val="168"/>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300" w:type="dxa"/>
            <w:vAlign w:val="bottom"/>
          </w:tcPr>
          <w:p>
            <w:pPr>
              <w:spacing w:after="0"/>
              <w:rPr>
                <w:sz w:val="14"/>
                <w:szCs w:val="14"/>
                <w:color w:val="auto"/>
              </w:rPr>
            </w:pP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4"/>
                <w:szCs w:val="14"/>
                <w:color w:val="auto"/>
              </w:rPr>
            </w:pPr>
          </w:p>
        </w:tc>
        <w:tc>
          <w:tcPr>
            <w:tcW w:w="434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Opportunity</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ROI (2)</w:t>
            </w:r>
          </w:p>
        </w:tc>
        <w:tc>
          <w:tcPr>
            <w:tcW w:w="4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(1)</w:t>
            </w:r>
          </w:p>
        </w:tc>
        <w:tc>
          <w:tcPr>
            <w:tcW w:w="30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Projects Anticipated to Stabilize in 2007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Rockville Town Square</w:t>
            </w:r>
          </w:p>
        </w:tc>
        <w:tc>
          <w:tcPr>
            <w:tcW w:w="1740" w:type="dxa"/>
            <w:vAlign w:val="bottom"/>
          </w:tcPr>
          <w:p>
            <w:pPr>
              <w:ind w:left="220"/>
              <w:spacing w:after="0"/>
              <w:rPr>
                <w:sz w:val="20"/>
                <w:szCs w:val="20"/>
                <w:color w:val="auto"/>
              </w:rPr>
            </w:pPr>
            <w:r>
              <w:rPr>
                <w:rFonts w:ascii="Arial" w:cs="Arial" w:eastAsia="Arial" w:hAnsi="Arial"/>
                <w:sz w:val="18"/>
                <w:szCs w:val="18"/>
                <w:color w:val="auto"/>
              </w:rPr>
              <w:t>Rockville, MD</w:t>
            </w:r>
          </w:p>
        </w:tc>
        <w:tc>
          <w:tcPr>
            <w:tcW w:w="4860" w:type="dxa"/>
            <w:vAlign w:val="bottom"/>
          </w:tcPr>
          <w:p>
            <w:pPr>
              <w:ind w:left="220"/>
              <w:spacing w:after="0"/>
              <w:rPr>
                <w:sz w:val="20"/>
                <w:szCs w:val="20"/>
                <w:color w:val="auto"/>
              </w:rPr>
            </w:pPr>
            <w:r>
              <w:rPr>
                <w:rFonts w:ascii="Arial" w:cs="Arial" w:eastAsia="Arial" w:hAnsi="Arial"/>
                <w:sz w:val="18"/>
                <w:szCs w:val="18"/>
                <w:color w:val="auto"/>
                <w:w w:val="98"/>
              </w:rPr>
              <w:t>Ground floor retail as part of urban mixed-use development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(by others)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Mercer Mall</w:t>
            </w:r>
          </w:p>
        </w:tc>
        <w:tc>
          <w:tcPr>
            <w:tcW w:w="1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Lawrenceville, NJ</w:t>
            </w: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Demolish, redevelop, re-tenanting plus acquisition and</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redevelopment of adjacent land parcel</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Willow Lawn</w:t>
            </w:r>
          </w:p>
        </w:tc>
        <w:tc>
          <w:tcPr>
            <w:tcW w:w="1740" w:type="dxa"/>
            <w:vAlign w:val="bottom"/>
          </w:tcPr>
          <w:p>
            <w:pPr>
              <w:ind w:left="220"/>
              <w:spacing w:after="0"/>
              <w:rPr>
                <w:sz w:val="20"/>
                <w:szCs w:val="20"/>
                <w:color w:val="auto"/>
              </w:rPr>
            </w:pPr>
            <w:r>
              <w:rPr>
                <w:rFonts w:ascii="Arial" w:cs="Arial" w:eastAsia="Arial" w:hAnsi="Arial"/>
                <w:sz w:val="18"/>
                <w:szCs w:val="18"/>
                <w:color w:val="auto"/>
              </w:rPr>
              <w:t>Richmond, VA</w:t>
            </w:r>
          </w:p>
        </w:tc>
        <w:tc>
          <w:tcPr>
            <w:tcW w:w="4860" w:type="dxa"/>
            <w:vAlign w:val="bottom"/>
          </w:tcPr>
          <w:p>
            <w:pPr>
              <w:ind w:left="220"/>
              <w:spacing w:after="0"/>
              <w:rPr>
                <w:sz w:val="20"/>
                <w:szCs w:val="20"/>
                <w:color w:val="auto"/>
              </w:rPr>
            </w:pPr>
            <w:r>
              <w:rPr>
                <w:rFonts w:ascii="Arial" w:cs="Arial" w:eastAsia="Arial" w:hAnsi="Arial"/>
                <w:sz w:val="18"/>
                <w:szCs w:val="18"/>
                <w:color w:val="auto"/>
              </w:rPr>
              <w:t>Anchor re-tenanting, small shop demolition, façade</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renovation, and site improvements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Loehmann's Plaza</w:t>
            </w:r>
          </w:p>
        </w:tc>
        <w:tc>
          <w:tcPr>
            <w:tcW w:w="1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Falls Church, VA</w:t>
            </w: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Grocer expansion, anchor relocation, façade renovation and</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site improvements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Village of Shirlington -Phase II</w:t>
            </w:r>
          </w:p>
        </w:tc>
        <w:tc>
          <w:tcPr>
            <w:tcW w:w="1740" w:type="dxa"/>
            <w:vAlign w:val="bottom"/>
          </w:tcPr>
          <w:p>
            <w:pPr>
              <w:ind w:left="220"/>
              <w:spacing w:after="0"/>
              <w:rPr>
                <w:sz w:val="20"/>
                <w:szCs w:val="20"/>
                <w:color w:val="auto"/>
              </w:rPr>
            </w:pPr>
            <w:r>
              <w:rPr>
                <w:rFonts w:ascii="Arial" w:cs="Arial" w:eastAsia="Arial" w:hAnsi="Arial"/>
                <w:sz w:val="18"/>
                <w:szCs w:val="18"/>
                <w:color w:val="auto"/>
              </w:rPr>
              <w:t>Arlington, VA</w:t>
            </w:r>
          </w:p>
        </w:tc>
        <w:tc>
          <w:tcPr>
            <w:tcW w:w="4860" w:type="dxa"/>
            <w:vAlign w:val="bottom"/>
          </w:tcPr>
          <w:p>
            <w:pPr>
              <w:ind w:left="220"/>
              <w:spacing w:after="0"/>
              <w:rPr>
                <w:sz w:val="20"/>
                <w:szCs w:val="20"/>
                <w:color w:val="auto"/>
              </w:rPr>
            </w:pPr>
            <w:r>
              <w:rPr>
                <w:rFonts w:ascii="Arial" w:cs="Arial" w:eastAsia="Arial" w:hAnsi="Arial"/>
                <w:sz w:val="18"/>
                <w:szCs w:val="18"/>
                <w:color w:val="auto"/>
              </w:rPr>
              <w:t>Ground floor retail and parking garage as part of urban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mixed-use development (by others)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Leesburg Plaza -Pads</w:t>
            </w:r>
          </w:p>
        </w:tc>
        <w:tc>
          <w:tcPr>
            <w:tcW w:w="1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Leesburg, VA</w:t>
            </w: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Two new retail buildings and a bank pad site will be added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3"/>
            <w:vMerge w:val="restart"/>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2007 (3) (4)</w:t>
            </w: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3"/>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60" w:type="dxa"/>
            <w:vAlign w:val="bottom"/>
            <w:vMerge w:val="continue"/>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Projects Anticipated to Stabilize in 2008 (3)</w:t>
            </w:r>
          </w:p>
        </w:tc>
        <w:tc>
          <w:tcPr>
            <w:tcW w:w="4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520" w:type="dxa"/>
            <w:vAlign w:val="bottom"/>
            <w:gridSpan w:val="2"/>
          </w:tcPr>
          <w:p>
            <w:pPr>
              <w:spacing w:after="0"/>
              <w:rPr>
                <w:sz w:val="20"/>
                <w:szCs w:val="20"/>
                <w:color w:val="auto"/>
              </w:rPr>
            </w:pPr>
            <w:r>
              <w:rPr>
                <w:rFonts w:ascii="Arial" w:cs="Arial" w:eastAsia="Arial" w:hAnsi="Arial"/>
                <w:sz w:val="18"/>
                <w:szCs w:val="18"/>
                <w:color w:val="auto"/>
              </w:rPr>
              <w:t>Arlington East</w:t>
            </w:r>
          </w:p>
        </w:tc>
        <w:tc>
          <w:tcPr>
            <w:tcW w:w="1740" w:type="dxa"/>
            <w:vAlign w:val="bottom"/>
          </w:tcPr>
          <w:p>
            <w:pPr>
              <w:ind w:left="220"/>
              <w:spacing w:after="0"/>
              <w:rPr>
                <w:sz w:val="20"/>
                <w:szCs w:val="20"/>
                <w:color w:val="auto"/>
              </w:rPr>
            </w:pPr>
            <w:r>
              <w:rPr>
                <w:rFonts w:ascii="Arial" w:cs="Arial" w:eastAsia="Arial" w:hAnsi="Arial"/>
                <w:sz w:val="18"/>
                <w:szCs w:val="18"/>
                <w:color w:val="auto"/>
              </w:rPr>
              <w:t>Bethesda, MD</w:t>
            </w:r>
          </w:p>
        </w:tc>
        <w:tc>
          <w:tcPr>
            <w:tcW w:w="4860" w:type="dxa"/>
            <w:vAlign w:val="bottom"/>
          </w:tcPr>
          <w:p>
            <w:pPr>
              <w:ind w:left="220"/>
              <w:spacing w:after="0"/>
              <w:rPr>
                <w:sz w:val="20"/>
                <w:szCs w:val="20"/>
                <w:color w:val="auto"/>
              </w:rPr>
            </w:pPr>
            <w:r>
              <w:rPr>
                <w:rFonts w:ascii="Arial" w:cs="Arial" w:eastAsia="Arial" w:hAnsi="Arial"/>
                <w:sz w:val="18"/>
                <w:szCs w:val="18"/>
                <w:color w:val="auto"/>
              </w:rPr>
              <w:t>Ground floor retail, four levels of residential units above</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retail, two levels of below grade parking</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Hollywood Galaxy Building</w:t>
            </w:r>
          </w:p>
        </w:tc>
        <w:tc>
          <w:tcPr>
            <w:tcW w:w="1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Hollywood, CA</w:t>
            </w: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Re-tenanting three level entertainment center and converting</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project into urban neighborhood community center</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8"/>
              </w:rPr>
              <w:t>Village of Shirlington - Phase III</w:t>
            </w:r>
          </w:p>
        </w:tc>
        <w:tc>
          <w:tcPr>
            <w:tcW w:w="1740" w:type="dxa"/>
            <w:vAlign w:val="bottom"/>
          </w:tcPr>
          <w:p>
            <w:pPr>
              <w:ind w:left="220"/>
              <w:spacing w:after="0"/>
              <w:rPr>
                <w:sz w:val="20"/>
                <w:szCs w:val="20"/>
                <w:color w:val="auto"/>
              </w:rPr>
            </w:pPr>
            <w:r>
              <w:rPr>
                <w:rFonts w:ascii="Arial" w:cs="Arial" w:eastAsia="Arial" w:hAnsi="Arial"/>
                <w:sz w:val="18"/>
                <w:szCs w:val="18"/>
                <w:color w:val="auto"/>
              </w:rPr>
              <w:t>Arlington, VA</w:t>
            </w:r>
          </w:p>
        </w:tc>
        <w:tc>
          <w:tcPr>
            <w:tcW w:w="4860" w:type="dxa"/>
            <w:vAlign w:val="bottom"/>
          </w:tcPr>
          <w:p>
            <w:pPr>
              <w:ind w:left="220"/>
              <w:spacing w:after="0"/>
              <w:rPr>
                <w:sz w:val="20"/>
                <w:szCs w:val="20"/>
                <w:color w:val="auto"/>
              </w:rPr>
            </w:pPr>
            <w:r>
              <w:rPr>
                <w:rFonts w:ascii="Arial" w:cs="Arial" w:eastAsia="Arial" w:hAnsi="Arial"/>
                <w:sz w:val="18"/>
                <w:szCs w:val="18"/>
                <w:color w:val="auto"/>
                <w:w w:val="95"/>
              </w:rPr>
              <w:t>Ground lease to hotel operator and ground floor retail as part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color w:val="auto"/>
              </w:rPr>
              <w:t>&amp; IV</w:t>
            </w:r>
          </w:p>
        </w:tc>
        <w:tc>
          <w:tcPr>
            <w:tcW w:w="1740" w:type="dxa"/>
            <w:vAlign w:val="bottom"/>
          </w:tcPr>
          <w:p>
            <w:pPr>
              <w:spacing w:after="0"/>
              <w:rPr>
                <w:sz w:val="19"/>
                <w:szCs w:val="19"/>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of office building development (by others)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2008 (3) (4)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4"/>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1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Total: Projects Anticipated to Stabilize in 2007 and 2008 (3) (4)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redevelopment pipeline includes (5):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5"/>
                <w:szCs w:val="15"/>
                <w:color w:val="auto"/>
              </w:rPr>
            </w:pP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5"/>
                <w:szCs w:val="15"/>
                <w:color w:val="auto"/>
              </w:rPr>
            </w:pPr>
          </w:p>
        </w:tc>
        <w:tc>
          <w:tcPr>
            <w:tcW w:w="7980" w:type="dxa"/>
            <w:vAlign w:val="bottom"/>
            <w:tcBorders>
              <w:bottom w:val="single" w:sz="8" w:color="auto"/>
            </w:tcBorders>
          </w:tcPr>
          <w:p>
            <w:pPr>
              <w:ind w:left="3620"/>
              <w:spacing w:after="0"/>
              <w:rPr>
                <w:sz w:val="20"/>
                <w:szCs w:val="20"/>
                <w:color w:val="auto"/>
              </w:rPr>
            </w:pPr>
            <w:r>
              <w:rPr>
                <w:rFonts w:ascii="Arial" w:cs="Arial" w:eastAsia="Arial" w:hAnsi="Arial"/>
                <w:sz w:val="14"/>
                <w:szCs w:val="14"/>
                <w:b w:val="1"/>
                <w:bCs w:val="1"/>
                <w:color w:val="auto"/>
              </w:rPr>
              <w:t>Opportunity</w:t>
            </w: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Assembly Square</w:t>
            </w:r>
          </w:p>
        </w:tc>
        <w:tc>
          <w:tcPr>
            <w:tcW w:w="220" w:type="dxa"/>
            <w:vAlign w:val="bottom"/>
          </w:tcPr>
          <w:p>
            <w:pPr>
              <w:spacing w:after="0"/>
              <w:rPr>
                <w:sz w:val="16"/>
                <w:szCs w:val="16"/>
                <w:color w:val="auto"/>
              </w:rPr>
            </w:pPr>
          </w:p>
        </w:tc>
        <w:tc>
          <w:tcPr>
            <w:tcW w:w="1520" w:type="dxa"/>
            <w:vAlign w:val="bottom"/>
          </w:tcPr>
          <w:p>
            <w:pPr>
              <w:spacing w:after="0" w:line="195" w:lineRule="exact"/>
              <w:rPr>
                <w:sz w:val="20"/>
                <w:szCs w:val="20"/>
                <w:color w:val="auto"/>
              </w:rPr>
            </w:pPr>
            <w:r>
              <w:rPr>
                <w:rFonts w:ascii="Arial" w:cs="Arial" w:eastAsia="Arial" w:hAnsi="Arial"/>
                <w:sz w:val="18"/>
                <w:szCs w:val="18"/>
                <w:color w:val="auto"/>
              </w:rPr>
              <w:t>Sommerville, MA</w:t>
            </w:r>
          </w:p>
        </w:tc>
        <w:tc>
          <w:tcPr>
            <w:tcW w:w="220" w:type="dxa"/>
            <w:vAlign w:val="bottom"/>
          </w:tcPr>
          <w:p>
            <w:pPr>
              <w:spacing w:after="0"/>
              <w:rPr>
                <w:sz w:val="16"/>
                <w:szCs w:val="16"/>
                <w:color w:val="auto"/>
              </w:rPr>
            </w:pPr>
          </w:p>
        </w:tc>
        <w:tc>
          <w:tcPr>
            <w:tcW w:w="7980" w:type="dxa"/>
            <w:vAlign w:val="bottom"/>
          </w:tcPr>
          <w:p>
            <w:pPr>
              <w:spacing w:after="0" w:line="195" w:lineRule="exact"/>
              <w:rPr>
                <w:sz w:val="20"/>
                <w:szCs w:val="20"/>
                <w:color w:val="auto"/>
              </w:rPr>
            </w:pPr>
            <w:r>
              <w:rPr>
                <w:rFonts w:ascii="Arial" w:cs="Arial" w:eastAsia="Arial" w:hAnsi="Arial"/>
                <w:sz w:val="18"/>
                <w:szCs w:val="18"/>
                <w:color w:val="auto"/>
              </w:rPr>
              <w:t>Potential substantial transit oriented mixed-use development</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Bala Cynwyd</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Bala Cynwyd, PA</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Redevelopment of nine acres of land for a transit oriented mixed-use project or retail center</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Bethesda Row</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Bethesda, MD</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Anchor re-tenanting and modifications of recently acquired building on Hampden Lane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5"/>
              </w:rPr>
              <w:t>Courthouse Center</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Rockville, MD</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Center redevelopment adjacent to Rockville Town Square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Eastgate</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Chapel Hill, NC</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Center redevelopment including new grocery anchor, façade renovation and site improvements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Flourtown</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Flourtown, PA</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Anchor re-tenanting, small shop demolition, new retail building, façade renovation, and site improvements</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Linden Square</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Wellesley, MA</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Additional phases of infill redevelopment</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Mid-Pike Plaza</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Rockville, MD</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Co-terminus leases create potential for retail redevelopment or transit oriented mixed-use development</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Pike 7</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Vienna, VA</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Co-terminus leases create potential for retail redevelopment or transit oriented mixed-use development</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Santana Row</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San Jose, CA</w:t>
            </w: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Future phases of mixed-use development</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Westgate</w:t>
            </w:r>
          </w:p>
        </w:tc>
        <w:tc>
          <w:tcPr>
            <w:tcW w:w="2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San Jose, CA</w:t>
            </w: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Center redevelopment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5" w:lineRule="exact"/>
        <w:rPr>
          <w:sz w:val="20"/>
          <w:szCs w:val="20"/>
          <w:color w:val="auto"/>
        </w:rPr>
      </w:pPr>
    </w:p>
    <w:p>
      <w:pPr>
        <w:jc w:val="both"/>
        <w:ind w:left="460" w:right="20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Mercer Mall (property acquired on the basis of redevelopment potential) is calculated as the increase in POI between acquisition and stabilization divided by the increase in cost basis between acquisition and stabilization.</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Significant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Realty Investment Trust Acquisitions (1)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20" w:type="dxa"/>
            <w:vAlign w:val="bottom"/>
            <w:gridSpan w:val="2"/>
          </w:tcPr>
          <w:p>
            <w:pPr>
              <w:ind w:left="56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3120" w:type="dxa"/>
            <w:vAlign w:val="bottom"/>
            <w:gridSpan w:val="2"/>
          </w:tcPr>
          <w:p>
            <w:pPr>
              <w:ind w:left="132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1560" w:type="dxa"/>
            <w:vAlign w:val="bottom"/>
          </w:tcPr>
          <w:p>
            <w:pPr>
              <w:ind w:left="460"/>
              <w:spacing w:after="0"/>
              <w:rPr>
                <w:sz w:val="20"/>
                <w:szCs w:val="20"/>
                <w:color w:val="auto"/>
              </w:rPr>
            </w:pPr>
            <w:r>
              <w:rPr>
                <w:rFonts w:ascii="Arial" w:cs="Arial" w:eastAsia="Arial" w:hAnsi="Arial"/>
                <w:sz w:val="14"/>
                <w:szCs w:val="14"/>
                <w:b w:val="1"/>
                <w:bCs w:val="1"/>
                <w:color w:val="auto"/>
              </w:rPr>
              <w:t>City / State</w:t>
            </w:r>
          </w:p>
        </w:tc>
        <w:tc>
          <w:tcPr>
            <w:tcW w:w="120" w:type="dxa"/>
            <w:vAlign w:val="bottom"/>
          </w:tcPr>
          <w:p>
            <w:pPr>
              <w:spacing w:after="0"/>
              <w:rPr>
                <w:sz w:val="14"/>
                <w:szCs w:val="14"/>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9"/>
              </w:rPr>
              <w:t>Purchase price</w:t>
            </w:r>
          </w:p>
        </w:tc>
        <w:tc>
          <w:tcPr>
            <w:tcW w:w="160" w:type="dxa"/>
            <w:vAlign w:val="bottom"/>
          </w:tcPr>
          <w:p>
            <w:pPr>
              <w:spacing w:after="0"/>
              <w:rPr>
                <w:sz w:val="14"/>
                <w:szCs w:val="14"/>
                <w:color w:val="auto"/>
              </w:rPr>
            </w:pPr>
          </w:p>
        </w:tc>
        <w:tc>
          <w:tcPr>
            <w:tcW w:w="3100" w:type="dxa"/>
            <w:vAlign w:val="bottom"/>
          </w:tcPr>
          <w:p>
            <w:pPr>
              <w:ind w:left="110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February 28, 2007</w:t>
            </w:r>
          </w:p>
        </w:tc>
        <w:tc>
          <w:tcPr>
            <w:tcW w:w="3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Crow Canyon Crest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San Ramon, CA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440" w:type="dxa"/>
            <w:vAlign w:val="bottom"/>
            <w:gridSpan w:val="3"/>
          </w:tcPr>
          <w:p>
            <w:pPr>
              <w:spacing w:after="0"/>
              <w:rPr>
                <w:sz w:val="20"/>
                <w:szCs w:val="20"/>
                <w:color w:val="auto"/>
              </w:rPr>
            </w:pPr>
            <w:r>
              <w:rPr>
                <w:rFonts w:ascii="Arial" w:cs="Arial" w:eastAsia="Arial" w:hAnsi="Arial"/>
                <w:sz w:val="18"/>
                <w:szCs w:val="18"/>
                <w:color w:val="auto"/>
              </w:rPr>
              <w:t>March 8, 2007</w:t>
            </w:r>
          </w:p>
        </w:tc>
        <w:tc>
          <w:tcPr>
            <w:tcW w:w="3220" w:type="dxa"/>
            <w:vAlign w:val="bottom"/>
            <w:gridSpan w:val="3"/>
          </w:tcPr>
          <w:p>
            <w:pPr>
              <w:ind w:left="100"/>
              <w:spacing w:after="0"/>
              <w:rPr>
                <w:sz w:val="20"/>
                <w:szCs w:val="20"/>
                <w:color w:val="auto"/>
              </w:rPr>
            </w:pPr>
            <w:r>
              <w:rPr>
                <w:rFonts w:ascii="Arial" w:cs="Arial" w:eastAsia="Arial" w:hAnsi="Arial"/>
                <w:sz w:val="18"/>
                <w:szCs w:val="18"/>
                <w:color w:val="auto"/>
              </w:rPr>
              <w:t>White Marsh Portfolio:</w:t>
            </w:r>
          </w:p>
        </w:tc>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White Marsh, MD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4"/>
          </w:tcPr>
          <w:p>
            <w:pPr>
              <w:ind w:left="360"/>
              <w:spacing w:after="0"/>
              <w:rPr>
                <w:sz w:val="20"/>
                <w:szCs w:val="20"/>
                <w:color w:val="auto"/>
              </w:rPr>
            </w:pPr>
            <w:r>
              <w:rPr>
                <w:rFonts w:ascii="Arial" w:cs="Arial" w:eastAsia="Arial" w:hAnsi="Arial"/>
                <w:sz w:val="18"/>
                <w:szCs w:val="18"/>
                <w:color w:val="auto"/>
                <w:w w:val="99"/>
              </w:rPr>
              <w:t>189.4(2)  AMC Loews Theatre, Barnes &amp; Noble,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w w:val="89"/>
              </w:rPr>
              <w:t>A.C. Moore, Old Navy, Staples, Giant Food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AVENUE at White Marsh</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White Marsh Plaza</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Shoppes at Nottingham Square</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White Marsh Other</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2007</w:t>
            </w:r>
          </w:p>
        </w:tc>
        <w:tc>
          <w:tcPr>
            <w:tcW w:w="3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Shoppers' World</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Whole Foods, Advance Auto, Staples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gridSpan w:val="3"/>
            <w:vMerge w:val="restart"/>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800,000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227.5</w:t>
            </w:r>
          </w:p>
        </w:tc>
        <w:tc>
          <w:tcPr>
            <w:tcW w:w="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6"/>
            <w:vMerge w:val="restart"/>
          </w:tcPr>
          <w:p>
            <w:pPr>
              <w:spacing w:after="0"/>
              <w:rPr>
                <w:sz w:val="20"/>
                <w:szCs w:val="20"/>
                <w:color w:val="auto"/>
              </w:rPr>
            </w:pPr>
            <w:r>
              <w:rPr>
                <w:rFonts w:ascii="Arial" w:cs="Arial" w:eastAsia="Arial" w:hAnsi="Arial"/>
                <w:sz w:val="18"/>
                <w:szCs w:val="18"/>
                <w:color w:val="auto"/>
              </w:rPr>
              <w:t>Federal Realty Investment Trust Dispositions (3)</w:t>
            </w: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66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Borders>
              <w:top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ind w:left="1320"/>
              <w:spacing w:after="0"/>
              <w:rPr>
                <w:sz w:val="20"/>
                <w:szCs w:val="20"/>
                <w:color w:val="auto"/>
              </w:rPr>
            </w:pPr>
            <w:r>
              <w:rPr>
                <w:rFonts w:ascii="Arial" w:cs="Arial" w:eastAsia="Arial" w:hAnsi="Arial"/>
                <w:sz w:val="14"/>
                <w:szCs w:val="14"/>
                <w:b w:val="1"/>
                <w:bCs w:val="1"/>
                <w:color w:val="auto"/>
                <w:w w:val="97"/>
              </w:rPr>
              <w:t>Property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ind w:left="460"/>
              <w:spacing w:after="0"/>
              <w:rPr>
                <w:sz w:val="20"/>
                <w:szCs w:val="20"/>
                <w:color w:val="auto"/>
              </w:rPr>
            </w:pPr>
            <w:r>
              <w:rPr>
                <w:rFonts w:ascii="Arial" w:cs="Arial" w:eastAsia="Arial" w:hAnsi="Arial"/>
                <w:sz w:val="14"/>
                <w:szCs w:val="14"/>
                <w:b w:val="1"/>
                <w:bCs w:val="1"/>
                <w:color w:val="auto"/>
              </w:rPr>
              <w:t>City / State</w:t>
            </w:r>
          </w:p>
        </w:tc>
        <w:tc>
          <w:tcPr>
            <w:tcW w:w="120" w:type="dxa"/>
            <w:vAlign w:val="bottom"/>
          </w:tcPr>
          <w:p>
            <w:pPr>
              <w:spacing w:after="0"/>
              <w:rPr>
                <w:sz w:val="24"/>
                <w:szCs w:val="24"/>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Sales price</w:t>
            </w: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 2007</w:t>
            </w:r>
          </w:p>
        </w:tc>
        <w:tc>
          <w:tcPr>
            <w:tcW w:w="3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Bath Shopping Center</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Bath, 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440" w:type="dxa"/>
            <w:vAlign w:val="bottom"/>
            <w:gridSpan w:val="3"/>
          </w:tcPr>
          <w:p>
            <w:pPr>
              <w:spacing w:after="0"/>
              <w:rPr>
                <w:sz w:val="20"/>
                <w:szCs w:val="20"/>
                <w:color w:val="auto"/>
              </w:rPr>
            </w:pPr>
            <w:r>
              <w:rPr>
                <w:rFonts w:ascii="Arial" w:cs="Arial" w:eastAsia="Arial" w:hAnsi="Arial"/>
                <w:sz w:val="18"/>
                <w:szCs w:val="18"/>
                <w:color w:val="auto"/>
              </w:rPr>
              <w:t>June 20, 2007</w:t>
            </w:r>
          </w:p>
        </w:tc>
        <w:tc>
          <w:tcPr>
            <w:tcW w:w="3220" w:type="dxa"/>
            <w:vAlign w:val="bottom"/>
            <w:gridSpan w:val="3"/>
          </w:tcPr>
          <w:p>
            <w:pPr>
              <w:ind w:left="100"/>
              <w:spacing w:after="0"/>
              <w:rPr>
                <w:sz w:val="20"/>
                <w:szCs w:val="20"/>
                <w:color w:val="auto"/>
              </w:rPr>
            </w:pPr>
            <w:r>
              <w:rPr>
                <w:rFonts w:ascii="Arial" w:cs="Arial" w:eastAsia="Arial" w:hAnsi="Arial"/>
                <w:sz w:val="18"/>
                <w:szCs w:val="18"/>
                <w:color w:val="auto"/>
              </w:rPr>
              <w:t>Key Road Plaza</w:t>
            </w:r>
          </w:p>
        </w:tc>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Keene, NH</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 2007</w:t>
            </w:r>
          </w:p>
        </w:tc>
        <w:tc>
          <w:tcPr>
            <w:tcW w:w="3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Riverside Plaza</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Keene, NH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20" w:type="dxa"/>
            <w:vAlign w:val="bottom"/>
            <w:gridSpan w:val="3"/>
            <w:vMerge w:val="restart"/>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82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October 26, 2007, we acquired the fee interest in Mid-Pike Plaza located in Rockville, Maryland and Huntington Shopping Center located in Huntington, New York.</w:t>
      </w:r>
    </w:p>
    <w:p>
      <w:pPr>
        <w:ind w:left="460" w:right="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also included ground leases covering approximately 50,000 square feet of office space and a hotel, which are not included in the GLA. The White Marsh portfolio was purchased using a combination of common and convertible preferred stock, down REIT units, and the assumption of fixed rate debt through a merger with Nottingham Properties, Inc.</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October 11, 2007, we sold two properties in Forest Hills, New York. In addition, on October 26, 2007 we sold our leasehold interest in six properties (Allwood, Blue Star, Brunswick, Clifton, Hamilton and Rutgers shopping centers) located in New Jersey.</w:t>
      </w:r>
    </w:p>
    <w:p>
      <w:pPr>
        <w:sectPr>
          <w:pgSz w:w="11900" w:h="16838" w:orient="portrait"/>
          <w:cols w:equalWidth="0" w:num="1">
            <w:col w:w="11420"/>
          </w:cols>
          <w:pgMar w:left="240" w:top="274" w:right="239" w:bottom="1440" w:gutter="0" w:footer="0" w:header="0"/>
        </w:sectPr>
      </w:pPr>
    </w:p>
    <w:bookmarkStart w:id="19" w:name="page20"/>
    <w:bookmarkEnd w:id="19"/>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Mortgage or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Grocery</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Real Estate</w:t>
            </w:r>
          </w:p>
        </w:tc>
        <w:tc>
          <w:tcPr>
            <w:tcW w:w="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Capital Lease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Anchor</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gridSpan w:val="7"/>
          </w:tcPr>
          <w:p>
            <w:pPr>
              <w:spacing w:after="0"/>
              <w:rPr>
                <w:sz w:val="20"/>
                <w:szCs w:val="20"/>
                <w:color w:val="auto"/>
              </w:rPr>
            </w:pPr>
            <w:r>
              <w:rPr>
                <w:rFonts w:ascii="Arial" w:cs="Arial" w:eastAsia="Arial" w:hAnsi="Arial"/>
                <w:sz w:val="14"/>
                <w:szCs w:val="14"/>
                <w:b w:val="1"/>
                <w:bCs w:val="1"/>
                <w:color w:val="auto"/>
              </w:rPr>
              <w:t>Property Name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Acquired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at Cost</w:t>
            </w: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Obligation (1)</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GLA (2)</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 Leased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(3)</w:t>
            </w:r>
          </w:p>
        </w:tc>
        <w:tc>
          <w:tcPr>
            <w:tcW w:w="8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w w:val="92"/>
              </w:rPr>
              <w:t>Grocery Anchor (3)</w:t>
            </w:r>
          </w:p>
        </w:tc>
        <w:tc>
          <w:tcPr>
            <w:tcW w:w="8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East Region</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88"/>
              </w:rPr>
              <w:t>Washington Metropolitan Area</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1" w:lineRule="exact"/>
              <w:rPr>
                <w:sz w:val="20"/>
                <w:szCs w:val="20"/>
                <w:color w:val="auto"/>
              </w:rPr>
            </w:pPr>
            <w:r>
              <w:rPr>
                <w:rFonts w:ascii="Arial" w:cs="Arial" w:eastAsia="Arial" w:hAnsi="Arial"/>
                <w:sz w:val="14"/>
                <w:szCs w:val="14"/>
                <w:color w:val="auto"/>
              </w:rPr>
              <w:t>Bethesda Row</w:t>
            </w:r>
          </w:p>
        </w:tc>
        <w:tc>
          <w:tcPr>
            <w:tcW w:w="440" w:type="dxa"/>
            <w:vAlign w:val="bottom"/>
            <w:gridSpan w:val="2"/>
            <w:shd w:val="clear" w:color="auto" w:fill="CCEEFF"/>
          </w:tcPr>
          <w:p>
            <w:pPr>
              <w:jc w:val="center"/>
              <w:ind w:left="12"/>
              <w:spacing w:after="0" w:line="131" w:lineRule="exact"/>
              <w:rPr>
                <w:sz w:val="20"/>
                <w:szCs w:val="20"/>
                <w:color w:val="auto"/>
              </w:rPr>
            </w:pPr>
            <w:r>
              <w:rPr>
                <w:rFonts w:ascii="Arial" w:cs="Arial" w:eastAsia="Arial" w:hAnsi="Arial"/>
                <w:sz w:val="14"/>
                <w:szCs w:val="14"/>
                <w:color w:val="auto"/>
                <w:w w:val="93"/>
              </w:rPr>
              <w:t>(4)</w:t>
            </w:r>
          </w:p>
        </w:tc>
        <w:tc>
          <w:tcPr>
            <w:tcW w:w="142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w w:val="98"/>
              </w:rPr>
              <w:t>1993-2006</w:t>
            </w:r>
          </w:p>
        </w:tc>
        <w:tc>
          <w:tcPr>
            <w:tcW w:w="1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142,391</w:t>
            </w:r>
          </w:p>
        </w:tc>
        <w:tc>
          <w:tcPr>
            <w:tcW w:w="34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12,576</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477,000</w:t>
            </w:r>
          </w:p>
        </w:tc>
        <w:tc>
          <w:tcPr>
            <w:tcW w:w="78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40,000</w:t>
            </w:r>
          </w:p>
        </w:tc>
        <w:tc>
          <w:tcPr>
            <w:tcW w:w="134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Giant Food</w:t>
            </w:r>
          </w:p>
        </w:tc>
        <w:tc>
          <w:tcPr>
            <w:tcW w:w="204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Barnes &amp; Noble / Landmark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1"/>
              </w:rPr>
              <w:t>Theater / Washington Sports Club</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Congressional Plaza</w:t>
            </w:r>
          </w:p>
        </w:tc>
        <w:tc>
          <w:tcPr>
            <w:tcW w:w="44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93"/>
              </w:rPr>
              <w:t>(5)</w:t>
            </w: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1965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68,139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338,000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91%</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28,000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Whole Foods</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8"/>
              </w:rPr>
              <w:t>Buy Buy Baby / Container Store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Courthouse Center</w:t>
            </w:r>
          </w:p>
        </w:tc>
        <w:tc>
          <w:tcPr>
            <w:tcW w:w="440" w:type="dxa"/>
            <w:vAlign w:val="bottom"/>
            <w:gridSpan w:val="2"/>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93"/>
              </w:rPr>
              <w:t>(6)</w:t>
            </w: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4,604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37,000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w w:val="96"/>
              </w:rPr>
              <w:t>Falls Plaza/Falls Plaza-East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w w:val="98"/>
              </w:rPr>
              <w:t>1967-1972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11,637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144,000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51,000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Giant Food</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Federal Plaza</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62,149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33,803</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248,000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TJ Maxx / Micro Center / Ross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Friendship Center</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2001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33,319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119,000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Borders / Linens 'n Things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Gaithersburg Square</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23,827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209,000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Bed, Bath &amp; Beyond / Borders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Idylwood Plaza</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15,532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73,000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30,000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Whole Foods</w:t>
            </w: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Laurel</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46,283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386,000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61,000</w:t>
            </w:r>
          </w:p>
        </w:tc>
        <w:tc>
          <w:tcPr>
            <w:tcW w:w="13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Giant Food</w:t>
            </w: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Marshalls / Toys R 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Leesburg Plaza</w:t>
            </w:r>
          </w:p>
        </w:tc>
        <w:tc>
          <w:tcPr>
            <w:tcW w:w="44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93"/>
              </w:rPr>
              <w:t>(6)</w:t>
            </w: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33,579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9,665</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235,000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55,000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Giant Food</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1"/>
              </w:rPr>
              <w:t>Petsmart / Pier One / Office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Loehmann's Plaza</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30,584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269,000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Bally's / Loehmann's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Mid-Pike Plaza</w:t>
            </w:r>
          </w:p>
        </w:tc>
        <w:tc>
          <w:tcPr>
            <w:tcW w:w="44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94"/>
              </w:rPr>
              <w:t>(7) (8)</w:t>
            </w: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1982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17,968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10,041</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309,000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Linens 'n Things / Toys R Us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Bally's / AC Moore / Filene's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Basement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Mount Vernon/South</w:t>
            </w:r>
          </w:p>
        </w:tc>
        <w:tc>
          <w:tcPr>
            <w:tcW w:w="440" w:type="dxa"/>
            <w:vAlign w:val="bottom"/>
            <w:gridSpan w:val="2"/>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93"/>
              </w:rPr>
              <w:t>(6)</w:t>
            </w: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w w:val="98"/>
              </w:rPr>
              <w:t>2003-2006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76,658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12,041</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566,000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62,000</w:t>
            </w:r>
          </w:p>
        </w:tc>
        <w:tc>
          <w:tcPr>
            <w:tcW w:w="13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Shoppers Food</w:t>
            </w: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Bed, Bath &amp; Beyond / Michaels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Valley/7770 Richmond</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Warehouse</w:t>
            </w:r>
          </w:p>
        </w:tc>
        <w:tc>
          <w:tcPr>
            <w:tcW w:w="2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Home Depot / TJ Maxx / Gold's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Hwy</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Gym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Old Keene Mill</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1976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5,542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92,000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24,000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Whole Foods</w:t>
            </w: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Pan Am</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27,765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227,000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63,000</w:t>
            </w:r>
          </w:p>
        </w:tc>
        <w:tc>
          <w:tcPr>
            <w:tcW w:w="13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Safeway</w:t>
            </w: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Pentagon Row</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87,797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296,000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45,000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Harris Teeter</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Bally's / 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DSW / Cost Plus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Pike 7</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34,278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164,000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Staples / 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Quince Orchard</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20,221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253,000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24,000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Magruders</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Circuit City / Staples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Rockville Town Square</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w w:val="98"/>
              </w:rPr>
              <w:t>2006-2007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25,634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182,000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Rollingwood Apartments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1971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6,894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Sam's Park &amp; Shop</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12,222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49,000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Tower</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19,753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112,000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73%</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Tyson's Station</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1978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3,496</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6,255</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49,000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Village at Shirlington</w:t>
            </w:r>
          </w:p>
        </w:tc>
        <w:tc>
          <w:tcPr>
            <w:tcW w:w="44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93"/>
              </w:rPr>
              <w:t>(4)</w:t>
            </w: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45,289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6,265</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217,000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5"/>
              </w:rPr>
              <w:t>AMC Loews /Carlyle Grand Café</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Wildwood</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Washington, DC-MD-</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1969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17,494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26,260</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85,000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20,000</w:t>
            </w:r>
          </w:p>
        </w:tc>
        <w:tc>
          <w:tcPr>
            <w:tcW w:w="13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Balducci's</w:t>
            </w: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VA</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Total Washington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873,055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w w:val="83"/>
              </w:rPr>
              <w:t>5,136,000</w:t>
            </w:r>
          </w:p>
        </w:tc>
        <w:tc>
          <w:tcPr>
            <w:tcW w:w="7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Metropolitan Area</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160" w:type="dxa"/>
            <w:vAlign w:val="bottom"/>
            <w:tcBorders>
              <w:bottom w:val="single" w:sz="8" w:color="CCEEFF"/>
            </w:tcBorders>
            <w:gridSpan w:val="2"/>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9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gridSpan w:val="6"/>
          </w:tcPr>
          <w:p>
            <w:pPr>
              <w:spacing w:after="0" w:line="142" w:lineRule="exact"/>
              <w:rPr>
                <w:sz w:val="20"/>
                <w:szCs w:val="20"/>
                <w:color w:val="auto"/>
              </w:rPr>
            </w:pPr>
            <w:r>
              <w:rPr>
                <w:rFonts w:ascii="Arial" w:cs="Arial" w:eastAsia="Arial" w:hAnsi="Arial"/>
                <w:sz w:val="14"/>
                <w:szCs w:val="14"/>
                <w:color w:val="auto"/>
              </w:rPr>
              <w:t>Allwood</w:t>
            </w:r>
          </w:p>
        </w:tc>
        <w:tc>
          <w:tcPr>
            <w:tcW w:w="440" w:type="dxa"/>
            <w:vAlign w:val="bottom"/>
            <w:gridSpan w:val="2"/>
          </w:tcPr>
          <w:p>
            <w:pPr>
              <w:jc w:val="center"/>
              <w:ind w:left="12"/>
              <w:spacing w:after="0" w:line="142" w:lineRule="exact"/>
              <w:rPr>
                <w:sz w:val="20"/>
                <w:szCs w:val="20"/>
                <w:color w:val="auto"/>
              </w:rPr>
            </w:pPr>
            <w:r>
              <w:rPr>
                <w:rFonts w:ascii="Arial" w:cs="Arial" w:eastAsia="Arial" w:hAnsi="Arial"/>
                <w:sz w:val="14"/>
                <w:szCs w:val="14"/>
                <w:color w:val="auto"/>
                <w:w w:val="94"/>
              </w:rPr>
              <w:t>(7) (9)</w:t>
            </w:r>
          </w:p>
        </w:tc>
        <w:tc>
          <w:tcPr>
            <w:tcW w:w="14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Bergen-Passaic, NJ</w:t>
            </w:r>
          </w:p>
        </w:tc>
        <w:tc>
          <w:tcPr>
            <w:tcW w:w="72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1988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3,885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3,036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50,000</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50,000</w:t>
            </w:r>
          </w:p>
        </w:tc>
        <w:tc>
          <w:tcPr>
            <w:tcW w:w="13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Stop &amp; Shop</w:t>
            </w: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Blue Star</w:t>
            </w:r>
          </w:p>
        </w:tc>
        <w:tc>
          <w:tcPr>
            <w:tcW w:w="440" w:type="dxa"/>
            <w:vAlign w:val="bottom"/>
            <w:gridSpan w:val="2"/>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94"/>
              </w:rPr>
              <w:t>(7) (9)</w:t>
            </w: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Middlesex-Somerset-</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37,784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23,174</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410,000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43,000</w:t>
            </w:r>
          </w:p>
        </w:tc>
        <w:tc>
          <w:tcPr>
            <w:tcW w:w="13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Shop Rite</w:t>
            </w: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Kohl's / Michaels / Toys R Us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Hunterdon, NJ</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Brick Plaza</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6"/>
              </w:rPr>
              <w:t>Monmouth-Ocean, NJ</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55,991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31,257</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409,000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66,000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A&amp;P</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AMC Loews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Brunswick</w:t>
            </w:r>
          </w:p>
        </w:tc>
        <w:tc>
          <w:tcPr>
            <w:tcW w:w="440" w:type="dxa"/>
            <w:vAlign w:val="bottom"/>
            <w:gridSpan w:val="2"/>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94"/>
              </w:rPr>
              <w:t>(7) (9)</w:t>
            </w: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Middlesex-Somerset-</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22,858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9,647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303,000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13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A&amp;P</w:t>
            </w: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A.J. Wright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Hunterdon, NJ</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tcPr>
          <w:p>
            <w:pPr>
              <w:spacing w:after="0" w:line="149" w:lineRule="exact"/>
              <w:rPr>
                <w:sz w:val="20"/>
                <w:szCs w:val="20"/>
                <w:color w:val="auto"/>
              </w:rPr>
            </w:pPr>
            <w:r>
              <w:rPr>
                <w:rFonts w:ascii="Arial" w:cs="Arial" w:eastAsia="Arial" w:hAnsi="Arial"/>
                <w:sz w:val="14"/>
                <w:szCs w:val="14"/>
                <w:color w:val="auto"/>
              </w:rPr>
              <w:t>Clifton</w:t>
            </w:r>
          </w:p>
        </w:tc>
        <w:tc>
          <w:tcPr>
            <w:tcW w:w="44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4"/>
              </w:rPr>
              <w:t>(7) (9)</w:t>
            </w: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Bergen-Passaic, NJ</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5,168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2,824</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Drug Fair / Dollar Express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Forest Hills</w:t>
            </w:r>
          </w:p>
        </w:tc>
        <w:tc>
          <w:tcPr>
            <w:tcW w:w="440" w:type="dxa"/>
            <w:vAlign w:val="bottom"/>
            <w:gridSpan w:val="2"/>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96"/>
              </w:rPr>
              <w:t>(17)</w:t>
            </w: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New York, NY</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24,055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85,000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4"/>
              </w:rPr>
              <w:t>Midway Theatre / Duane Reade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Fresh Meadows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New York, NY</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68,073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403,000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15,000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Associated Food</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3"/>
              </w:rPr>
              <w:t>Filene's Basement / Kohl's / AMC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Stores</w:t>
            </w:r>
          </w:p>
        </w:tc>
        <w:tc>
          <w:tcPr>
            <w:tcW w:w="2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Hamilton</w:t>
            </w:r>
          </w:p>
        </w:tc>
        <w:tc>
          <w:tcPr>
            <w:tcW w:w="44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4"/>
              </w:rPr>
              <w:t>(7) (9)</w:t>
            </w:r>
          </w:p>
        </w:tc>
        <w:tc>
          <w:tcPr>
            <w:tcW w:w="1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Trenton, NJ</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w:t>
            </w:r>
          </w:p>
        </w:tc>
        <w:tc>
          <w:tcPr>
            <w:tcW w:w="1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Shop Rite</w:t>
            </w:r>
          </w:p>
        </w:tc>
        <w:tc>
          <w:tcPr>
            <w:tcW w:w="2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tcPr>
          <w:p>
            <w:pPr>
              <w:spacing w:after="0" w:line="149" w:lineRule="exact"/>
              <w:rPr>
                <w:sz w:val="20"/>
                <w:szCs w:val="20"/>
                <w:color w:val="auto"/>
              </w:rPr>
            </w:pPr>
            <w:r>
              <w:rPr>
                <w:rFonts w:ascii="Arial" w:cs="Arial" w:eastAsia="Arial" w:hAnsi="Arial"/>
                <w:sz w:val="14"/>
                <w:szCs w:val="14"/>
                <w:color w:val="auto"/>
              </w:rPr>
              <w:t>Hauppauge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Nassau-Suffolk, NY</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27,478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15,889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61,000</w:t>
            </w: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Shop Rite</w:t>
            </w:r>
          </w:p>
        </w:tc>
        <w:tc>
          <w:tcPr>
            <w:tcW w:w="2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Huntington</w:t>
            </w:r>
          </w:p>
        </w:tc>
        <w:tc>
          <w:tcPr>
            <w:tcW w:w="440" w:type="dxa"/>
            <w:vAlign w:val="bottom"/>
            <w:gridSpan w:val="2"/>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94"/>
              </w:rPr>
              <w:t>(7) (8)</w:t>
            </w: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Nassau-Suffolk, NY</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21,260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12,388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279,000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4"/>
              </w:rPr>
              <w:t>Buy Buy Baby / Toys R Us / Bed,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5"/>
              </w:rPr>
              <w:t>Bath &amp; Beyond / 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tcPr>
          <w:p>
            <w:pPr>
              <w:spacing w:after="0" w:line="149" w:lineRule="exact"/>
              <w:rPr>
                <w:sz w:val="20"/>
                <w:szCs w:val="20"/>
                <w:color w:val="auto"/>
              </w:rPr>
            </w:pPr>
            <w:r>
              <w:rPr>
                <w:rFonts w:ascii="Arial" w:cs="Arial" w:eastAsia="Arial" w:hAnsi="Arial"/>
                <w:sz w:val="14"/>
                <w:szCs w:val="14"/>
                <w:color w:val="auto"/>
              </w:rPr>
              <w:t>Melville Mall</w:t>
            </w:r>
          </w:p>
        </w:tc>
        <w:tc>
          <w:tcPr>
            <w:tcW w:w="44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6"/>
              </w:rPr>
              <w:t>(10)</w:t>
            </w: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Nassau-Suffolk, NY</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68,504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25,250</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54,000</w:t>
            </w: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Waldbaum's</w:t>
            </w:r>
          </w:p>
        </w:tc>
        <w:tc>
          <w:tcPr>
            <w:tcW w:w="2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Kohl's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Mercer Mall</w:t>
            </w:r>
          </w:p>
        </w:tc>
        <w:tc>
          <w:tcPr>
            <w:tcW w:w="440" w:type="dxa"/>
            <w:vAlign w:val="bottom"/>
            <w:gridSpan w:val="2"/>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93"/>
              </w:rPr>
              <w:t>(7)</w:t>
            </w: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Trenton, NJ</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2003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103,459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57,100</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501,000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8"/>
              </w:rPr>
              <w:t>Bed, Bath &amp; Beyond / DSW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Maxx / Raymour &amp; Flanigan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tcPr>
          <w:p>
            <w:pPr>
              <w:spacing w:after="0" w:line="138" w:lineRule="exact"/>
              <w:rPr>
                <w:sz w:val="20"/>
                <w:szCs w:val="20"/>
                <w:color w:val="auto"/>
              </w:rPr>
            </w:pPr>
            <w:r>
              <w:rPr>
                <w:rFonts w:ascii="Arial" w:cs="Arial" w:eastAsia="Arial" w:hAnsi="Arial"/>
                <w:sz w:val="14"/>
                <w:szCs w:val="14"/>
                <w:color w:val="auto"/>
              </w:rPr>
              <w:t>Rutgers</w:t>
            </w:r>
          </w:p>
        </w:tc>
        <w:tc>
          <w:tcPr>
            <w:tcW w:w="440" w:type="dxa"/>
            <w:vAlign w:val="bottom"/>
            <w:gridSpan w:val="2"/>
          </w:tcPr>
          <w:p>
            <w:pPr>
              <w:jc w:val="center"/>
              <w:ind w:left="12"/>
              <w:spacing w:after="0" w:line="138" w:lineRule="exact"/>
              <w:rPr>
                <w:sz w:val="20"/>
                <w:szCs w:val="20"/>
                <w:color w:val="auto"/>
              </w:rPr>
            </w:pPr>
            <w:r>
              <w:rPr>
                <w:rFonts w:ascii="Arial" w:cs="Arial" w:eastAsia="Arial" w:hAnsi="Arial"/>
                <w:sz w:val="14"/>
                <w:szCs w:val="14"/>
                <w:color w:val="auto"/>
                <w:w w:val="94"/>
              </w:rPr>
              <w:t>(7) (9)</w:t>
            </w:r>
          </w:p>
        </w:tc>
        <w:tc>
          <w:tcPr>
            <w:tcW w:w="142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Middlesex-Somerset-</w:t>
            </w:r>
          </w:p>
        </w:tc>
        <w:tc>
          <w:tcPr>
            <w:tcW w:w="7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17,563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11,176</w:t>
            </w: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267,000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91%</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74,000</w:t>
            </w:r>
          </w:p>
        </w:tc>
        <w:tc>
          <w:tcPr>
            <w:tcW w:w="13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Stop &amp; Shop</w:t>
            </w:r>
          </w:p>
        </w:tc>
        <w:tc>
          <w:tcPr>
            <w:tcW w:w="20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Hunterdon, NJ</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Troy</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Newark, NJ</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w:t>
            </w:r>
          </w:p>
        </w:tc>
        <w:tc>
          <w:tcPr>
            <w:tcW w:w="1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Pathmark</w:t>
            </w:r>
          </w:p>
        </w:tc>
        <w:tc>
          <w:tcPr>
            <w:tcW w:w="2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AC Moore / Toys R 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3"/>
              </w:rPr>
              <w:t>Total New York / New</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485,343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w w:val="83"/>
              </w:rPr>
              <w:t>3,565,000</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Jersey</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w w:val="94"/>
              </w:rPr>
              <w:t>Philadelphia Metropolitan</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rPr>
              <w:t>Area</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00" w:type="dxa"/>
            <w:vAlign w:val="bottom"/>
            <w:gridSpan w:val="6"/>
          </w:tcPr>
          <w:p>
            <w:pPr>
              <w:spacing w:after="0" w:line="142" w:lineRule="exact"/>
              <w:rPr>
                <w:sz w:val="20"/>
                <w:szCs w:val="20"/>
                <w:color w:val="auto"/>
              </w:rPr>
            </w:pPr>
            <w:r>
              <w:rPr>
                <w:rFonts w:ascii="Arial" w:cs="Arial" w:eastAsia="Arial" w:hAnsi="Arial"/>
                <w:sz w:val="14"/>
                <w:szCs w:val="14"/>
                <w:color w:val="auto"/>
              </w:rPr>
              <w:t>Andorra</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Philadelphia, PA-NJ</w:t>
            </w:r>
          </w:p>
        </w:tc>
        <w:tc>
          <w:tcPr>
            <w:tcW w:w="72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1988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23,027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267,000</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24,000</w:t>
            </w:r>
          </w:p>
        </w:tc>
        <w:tc>
          <w:tcPr>
            <w:tcW w:w="13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Acme Markets</w:t>
            </w:r>
          </w:p>
        </w:tc>
        <w:tc>
          <w:tcPr>
            <w:tcW w:w="20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Kohl's / Staples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Bala Cynwyd</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1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Acme Markets</w:t>
            </w:r>
          </w:p>
        </w:tc>
        <w:tc>
          <w:tcPr>
            <w:tcW w:w="2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Lord &amp; Taylor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tcPr>
          <w:p>
            <w:pPr>
              <w:spacing w:after="0" w:line="149" w:lineRule="exact"/>
              <w:rPr>
                <w:sz w:val="20"/>
                <w:szCs w:val="20"/>
                <w:color w:val="auto"/>
              </w:rPr>
            </w:pPr>
            <w:r>
              <w:rPr>
                <w:rFonts w:ascii="Arial" w:cs="Arial" w:eastAsia="Arial" w:hAnsi="Arial"/>
                <w:sz w:val="14"/>
                <w:szCs w:val="14"/>
                <w:color w:val="auto"/>
              </w:rPr>
              <w:t>Ellisburg Circle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27,127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47,000</w:t>
            </w: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Genuardi's</w:t>
            </w:r>
          </w:p>
        </w:tc>
        <w:tc>
          <w:tcPr>
            <w:tcW w:w="2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Feasterville</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w:t>
            </w:r>
          </w:p>
        </w:tc>
        <w:tc>
          <w:tcPr>
            <w:tcW w:w="1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Genuardi's</w:t>
            </w:r>
          </w:p>
        </w:tc>
        <w:tc>
          <w:tcPr>
            <w:tcW w:w="2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tcPr>
          <w:p>
            <w:pPr>
              <w:spacing w:after="0" w:line="149" w:lineRule="exact"/>
              <w:rPr>
                <w:sz w:val="20"/>
                <w:szCs w:val="20"/>
                <w:color w:val="auto"/>
              </w:rPr>
            </w:pPr>
            <w:r>
              <w:rPr>
                <w:rFonts w:ascii="Arial" w:cs="Arial" w:eastAsia="Arial" w:hAnsi="Arial"/>
                <w:sz w:val="14"/>
                <w:szCs w:val="14"/>
                <w:color w:val="auto"/>
              </w:rPr>
              <w:t>Flourtown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10,371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42,000</w:t>
            </w: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Genuardi's</w:t>
            </w: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Langhorne Square</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Philadelphia, PA-NJ</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18,535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216,000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13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4"/>
              </w:rPr>
              <w:t>Redner's Warehouse</w:t>
            </w: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Mkts.</w:t>
            </w: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tcPr>
          <w:p>
            <w:pPr>
              <w:spacing w:after="0" w:line="149" w:lineRule="exact"/>
              <w:rPr>
                <w:sz w:val="20"/>
                <w:szCs w:val="20"/>
                <w:color w:val="auto"/>
              </w:rPr>
            </w:pPr>
            <w:r>
              <w:rPr>
                <w:rFonts w:ascii="Arial" w:cs="Arial" w:eastAsia="Arial" w:hAnsi="Arial"/>
                <w:sz w:val="14"/>
                <w:szCs w:val="14"/>
                <w:color w:val="auto"/>
              </w:rPr>
              <w:t>Lawrence Park</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29,050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29,875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353,000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Acme Markets</w:t>
            </w:r>
          </w:p>
        </w:tc>
        <w:tc>
          <w:tcPr>
            <w:tcW w:w="2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CHI / TJ Maxx / HomeGoods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Northeast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7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21,472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287,000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6"/>
          </w:tcPr>
          <w:p>
            <w:pPr>
              <w:spacing w:after="0" w:line="149" w:lineRule="exact"/>
              <w:rPr>
                <w:sz w:val="20"/>
                <w:szCs w:val="20"/>
                <w:color w:val="auto"/>
              </w:rPr>
            </w:pPr>
            <w:r>
              <w:rPr>
                <w:rFonts w:ascii="Arial" w:cs="Arial" w:eastAsia="Arial" w:hAnsi="Arial"/>
                <w:sz w:val="14"/>
                <w:szCs w:val="14"/>
                <w:color w:val="auto"/>
                <w:w w:val="98"/>
              </w:rPr>
              <w:t>Town Center of New Britain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Philadelphia, PA-NJ</w:t>
            </w:r>
          </w:p>
        </w:tc>
        <w:tc>
          <w:tcPr>
            <w:tcW w:w="7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13,932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125,000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Giant Food</w:t>
            </w:r>
          </w:p>
        </w:tc>
        <w:tc>
          <w:tcPr>
            <w:tcW w:w="2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0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Willow Grove</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Philadelphia, PA-NJ</w:t>
            </w:r>
          </w:p>
        </w:tc>
        <w:tc>
          <w:tcPr>
            <w:tcW w:w="72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26,794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215,000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1"/>
              </w:rPr>
              <w:t>Barnes &amp; Noble / Marshalls / Toys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 Us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gridSpan w:val="6"/>
          </w:tcPr>
          <w:p>
            <w:pPr>
              <w:spacing w:after="0"/>
              <w:rPr>
                <w:sz w:val="20"/>
                <w:szCs w:val="20"/>
                <w:color w:val="auto"/>
              </w:rPr>
            </w:pPr>
            <w:r>
              <w:rPr>
                <w:rFonts w:ascii="Arial" w:cs="Arial" w:eastAsia="Arial" w:hAnsi="Arial"/>
                <w:sz w:val="14"/>
                <w:szCs w:val="14"/>
                <w:color w:val="auto"/>
              </w:rPr>
              <w:t>Wynnewood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color w:val="auto"/>
              </w:rPr>
              <w:t>Philadelphia, PA-NJ</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1996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35,983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30,446</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255,000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97%</w:t>
            </w:r>
          </w:p>
        </w:tc>
        <w:tc>
          <w:tcPr>
            <w:tcW w:w="480" w:type="dxa"/>
            <w:vAlign w:val="bottom"/>
          </w:tcPr>
          <w:p>
            <w:pPr>
              <w:jc w:val="right"/>
              <w:spacing w:after="0"/>
              <w:rPr>
                <w:sz w:val="20"/>
                <w:szCs w:val="20"/>
                <w:color w:val="auto"/>
              </w:rPr>
            </w:pPr>
            <w:r>
              <w:rPr>
                <w:rFonts w:ascii="Arial" w:cs="Arial" w:eastAsia="Arial" w:hAnsi="Arial"/>
                <w:sz w:val="14"/>
                <w:szCs w:val="14"/>
                <w:color w:val="auto"/>
              </w:rPr>
              <w:t>98,000</w:t>
            </w: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Genuardi's</w:t>
            </w:r>
          </w:p>
        </w:tc>
        <w:tc>
          <w:tcPr>
            <w:tcW w:w="2040" w:type="dxa"/>
            <w:vAlign w:val="bottom"/>
            <w:gridSpan w:val="2"/>
          </w:tcPr>
          <w:p>
            <w:pPr>
              <w:ind w:left="80"/>
              <w:spacing w:after="0"/>
              <w:rPr>
                <w:sz w:val="20"/>
                <w:szCs w:val="20"/>
                <w:color w:val="auto"/>
              </w:rPr>
            </w:pPr>
            <w:r>
              <w:rPr>
                <w:rFonts w:ascii="Arial" w:cs="Arial" w:eastAsia="Arial" w:hAnsi="Arial"/>
                <w:sz w:val="14"/>
                <w:szCs w:val="14"/>
                <w:color w:val="auto"/>
                <w:w w:val="99"/>
              </w:rPr>
              <w:t>Bed, Bath &amp; Beyond / Borders /</w:t>
            </w:r>
          </w:p>
        </w:tc>
        <w:tc>
          <w:tcPr>
            <w:tcW w:w="0" w:type="dxa"/>
            <w:vAlign w:val="bottom"/>
          </w:tcPr>
          <w:p>
            <w:pPr>
              <w:spacing w:after="0"/>
              <w:rPr>
                <w:sz w:val="1"/>
                <w:szCs w:val="1"/>
                <w:color w:val="auto"/>
              </w:rPr>
            </w:pPr>
          </w:p>
        </w:tc>
      </w:tr>
    </w:tbl>
    <w:p>
      <w:pPr>
        <w:sectPr>
          <w:pgSz w:w="11900" w:h="16935" w:orient="portrait"/>
          <w:cols w:equalWidth="0" w:num="1">
            <w:col w:w="11420"/>
          </w:cols>
          <w:pgMar w:left="240" w:top="274"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Old Navy</w:t>
            </w:r>
          </w:p>
        </w:tc>
      </w:tr>
      <w:tr>
        <w:trPr>
          <w:trHeight w:val="136"/>
        </w:trPr>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0" w:type="dxa"/>
            <w:vAlign w:val="bottom"/>
            <w:shd w:val="clear" w:color="auto" w:fill="CCEEFF"/>
          </w:tcPr>
          <w:p>
            <w:pPr>
              <w:ind w:left="340"/>
              <w:spacing w:after="0" w:line="136" w:lineRule="exact"/>
              <w:rPr>
                <w:sz w:val="20"/>
                <w:szCs w:val="20"/>
                <w:color w:val="auto"/>
              </w:rPr>
            </w:pPr>
            <w:r>
              <w:rPr>
                <w:rFonts w:ascii="Arial" w:cs="Arial" w:eastAsia="Arial" w:hAnsi="Arial"/>
                <w:sz w:val="14"/>
                <w:szCs w:val="14"/>
                <w:b w:val="1"/>
                <w:bCs w:val="1"/>
                <w:color w:val="auto"/>
              </w:rPr>
              <w:t>Total Philadelphia</w:t>
            </w: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244,287</w:t>
            </w:r>
          </w:p>
        </w:tc>
        <w:tc>
          <w:tcPr>
            <w:tcW w:w="16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2,557,000</w:t>
            </w:r>
          </w:p>
        </w:tc>
        <w:tc>
          <w:tcPr>
            <w:tcW w:w="7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4"/>
                <w:szCs w:val="14"/>
                <w:color w:val="auto"/>
              </w:rPr>
              <w:t>97%</w:t>
            </w:r>
          </w:p>
        </w:tc>
        <w:tc>
          <w:tcPr>
            <w:tcW w:w="5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r>
      <w:tr>
        <w:trPr>
          <w:trHeight w:val="161"/>
        </w:trPr>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Metropolitan Area</w:t>
            </w: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r>
      <w:tr>
        <w:trPr>
          <w:trHeight w:val="243"/>
        </w:trPr>
        <w:tc>
          <w:tcPr>
            <w:tcW w:w="22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New England</w:t>
            </w:r>
          </w:p>
        </w:tc>
        <w:tc>
          <w:tcPr>
            <w:tcW w:w="1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31"/>
        </w:trPr>
        <w:tc>
          <w:tcPr>
            <w:tcW w:w="190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Assembly Square/Sturtevant</w:t>
            </w:r>
          </w:p>
        </w:tc>
        <w:tc>
          <w:tcPr>
            <w:tcW w:w="1600" w:type="dxa"/>
            <w:vAlign w:val="bottom"/>
            <w:shd w:val="clear" w:color="auto" w:fill="CCEEFF"/>
          </w:tcPr>
          <w:p>
            <w:pPr>
              <w:ind w:left="340"/>
              <w:spacing w:after="0" w:line="131" w:lineRule="exact"/>
              <w:rPr>
                <w:sz w:val="20"/>
                <w:szCs w:val="20"/>
                <w:color w:val="auto"/>
              </w:rPr>
            </w:pPr>
            <w:r>
              <w:rPr>
                <w:rFonts w:ascii="Arial" w:cs="Arial" w:eastAsia="Arial" w:hAnsi="Arial"/>
                <w:sz w:val="14"/>
                <w:szCs w:val="14"/>
                <w:color w:val="auto"/>
              </w:rPr>
              <w:t>Boston-Cambridge-</w:t>
            </w:r>
          </w:p>
        </w:tc>
        <w:tc>
          <w:tcPr>
            <w:tcW w:w="8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2005-2006</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120,480</w:t>
            </w:r>
          </w:p>
        </w:tc>
        <w:tc>
          <w:tcPr>
            <w:tcW w:w="162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554,000</w:t>
            </w:r>
          </w:p>
        </w:tc>
        <w:tc>
          <w:tcPr>
            <w:tcW w:w="78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100%</w:t>
            </w:r>
          </w:p>
        </w:tc>
        <w:tc>
          <w:tcPr>
            <w:tcW w:w="5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10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w w:val="92"/>
              </w:rPr>
              <w:t>AC Moore / Bed, Bath &amp; Beyond /</w:t>
            </w:r>
          </w:p>
        </w:tc>
      </w:tr>
      <w:tr>
        <w:trPr>
          <w:trHeight w:val="149"/>
        </w:trPr>
        <w:tc>
          <w:tcPr>
            <w:tcW w:w="2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Street</w:t>
            </w:r>
          </w:p>
        </w:tc>
        <w:tc>
          <w:tcPr>
            <w:tcW w:w="16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Quincy, MA-NH</w:t>
            </w: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1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Christmas Tree Shops / Kmart /</w:t>
            </w:r>
          </w:p>
        </w:tc>
      </w:tr>
      <w:tr>
        <w:trPr>
          <w:trHeight w:val="149"/>
        </w:trPr>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1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Staples / Sports Authority / TJ</w:t>
            </w:r>
          </w:p>
        </w:tc>
      </w:tr>
      <w:tr>
        <w:trPr>
          <w:trHeight w:val="159"/>
        </w:trPr>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1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Maxx</w:t>
            </w:r>
          </w:p>
        </w:tc>
      </w:tr>
      <w:tr>
        <w:trPr>
          <w:trHeight w:val="138"/>
        </w:trPr>
        <w:tc>
          <w:tcPr>
            <w:tcW w:w="1900" w:type="dxa"/>
            <w:vAlign w:val="bottom"/>
            <w:gridSpan w:val="3"/>
          </w:tcPr>
          <w:p>
            <w:pPr>
              <w:spacing w:after="0" w:line="138" w:lineRule="exact"/>
              <w:rPr>
                <w:sz w:val="20"/>
                <w:szCs w:val="20"/>
                <w:color w:val="auto"/>
              </w:rPr>
            </w:pPr>
            <w:r>
              <w:rPr>
                <w:rFonts w:ascii="Arial" w:cs="Arial" w:eastAsia="Arial" w:hAnsi="Arial"/>
                <w:sz w:val="14"/>
                <w:szCs w:val="14"/>
                <w:color w:val="auto"/>
              </w:rPr>
              <w:t>Chelsea Commons</w:t>
            </w:r>
          </w:p>
        </w:tc>
        <w:tc>
          <w:tcPr>
            <w:tcW w:w="1600" w:type="dxa"/>
            <w:vAlign w:val="bottom"/>
          </w:tcPr>
          <w:p>
            <w:pPr>
              <w:ind w:left="340"/>
              <w:spacing w:after="0" w:line="138" w:lineRule="exact"/>
              <w:rPr>
                <w:sz w:val="20"/>
                <w:szCs w:val="20"/>
                <w:color w:val="auto"/>
              </w:rPr>
            </w:pPr>
            <w:r>
              <w:rPr>
                <w:rFonts w:ascii="Arial" w:cs="Arial" w:eastAsia="Arial" w:hAnsi="Arial"/>
                <w:sz w:val="14"/>
                <w:szCs w:val="14"/>
                <w:color w:val="auto"/>
              </w:rPr>
              <w:t>Boston-Cambridge-</w:t>
            </w: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2006-2007</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20,639</w:t>
            </w:r>
          </w:p>
        </w:tc>
        <w:tc>
          <w:tcPr>
            <w:tcW w:w="16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8,285   196,000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91%</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16,000</w:t>
            </w:r>
          </w:p>
        </w:tc>
        <w:tc>
          <w:tcPr>
            <w:tcW w:w="1240" w:type="dxa"/>
            <w:vAlign w:val="bottom"/>
          </w:tcPr>
          <w:p>
            <w:pPr>
              <w:ind w:left="40"/>
              <w:spacing w:after="0" w:line="138" w:lineRule="exact"/>
              <w:rPr>
                <w:sz w:val="20"/>
                <w:szCs w:val="20"/>
                <w:color w:val="auto"/>
              </w:rPr>
            </w:pPr>
            <w:r>
              <w:rPr>
                <w:rFonts w:ascii="Arial" w:cs="Arial" w:eastAsia="Arial" w:hAnsi="Arial"/>
                <w:sz w:val="14"/>
                <w:szCs w:val="14"/>
                <w:color w:val="auto"/>
              </w:rPr>
              <w:t>Sav-A-Lot</w:t>
            </w:r>
          </w:p>
        </w:tc>
        <w:tc>
          <w:tcPr>
            <w:tcW w:w="2100" w:type="dxa"/>
            <w:vAlign w:val="bottom"/>
          </w:tcPr>
          <w:p>
            <w:pPr>
              <w:ind w:left="140"/>
              <w:spacing w:after="0" w:line="138" w:lineRule="exact"/>
              <w:rPr>
                <w:sz w:val="20"/>
                <w:szCs w:val="20"/>
                <w:color w:val="auto"/>
              </w:rPr>
            </w:pPr>
            <w:r>
              <w:rPr>
                <w:rFonts w:ascii="Arial" w:cs="Arial" w:eastAsia="Arial" w:hAnsi="Arial"/>
                <w:sz w:val="14"/>
                <w:szCs w:val="14"/>
                <w:color w:val="auto"/>
              </w:rPr>
              <w:t>Home Depot</w:t>
            </w:r>
          </w:p>
        </w:tc>
      </w:tr>
      <w:tr>
        <w:trPr>
          <w:trHeight w:val="159"/>
        </w:trPr>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ind w:left="340"/>
              <w:spacing w:after="0" w:line="159" w:lineRule="exact"/>
              <w:rPr>
                <w:sz w:val="20"/>
                <w:szCs w:val="20"/>
                <w:color w:val="auto"/>
              </w:rPr>
            </w:pPr>
            <w:r>
              <w:rPr>
                <w:rFonts w:ascii="Arial" w:cs="Arial" w:eastAsia="Arial" w:hAnsi="Arial"/>
                <w:sz w:val="14"/>
                <w:szCs w:val="14"/>
                <w:color w:val="auto"/>
              </w:rPr>
              <w:t>Quincy, MA-NH</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38"/>
        </w:trPr>
        <w:tc>
          <w:tcPr>
            <w:tcW w:w="19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Dedham Plaza</w:t>
            </w:r>
          </w:p>
        </w:tc>
        <w:tc>
          <w:tcPr>
            <w:tcW w:w="160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Boston-Cambridge-</w:t>
            </w:r>
          </w:p>
        </w:tc>
        <w:tc>
          <w:tcPr>
            <w:tcW w:w="8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1993</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29,938</w:t>
            </w:r>
          </w:p>
        </w:tc>
        <w:tc>
          <w:tcPr>
            <w:tcW w:w="16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242,000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91%</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80,000</w:t>
            </w:r>
          </w:p>
        </w:tc>
        <w:tc>
          <w:tcPr>
            <w:tcW w:w="124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Star Market</w:t>
            </w:r>
          </w:p>
        </w:tc>
        <w:tc>
          <w:tcPr>
            <w:tcW w:w="2100" w:type="dxa"/>
            <w:vAlign w:val="bottom"/>
            <w:shd w:val="clear" w:color="auto" w:fill="CCEEFF"/>
          </w:tcPr>
          <w:p>
            <w:pPr>
              <w:spacing w:after="0"/>
              <w:rPr>
                <w:sz w:val="11"/>
                <w:szCs w:val="11"/>
                <w:color w:val="auto"/>
              </w:rPr>
            </w:pPr>
          </w:p>
        </w:tc>
      </w:tr>
      <w:tr>
        <w:trPr>
          <w:trHeight w:val="159"/>
        </w:trPr>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Quincy, MA-NH</w:t>
            </w: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r>
      <w:tr>
        <w:trPr>
          <w:trHeight w:val="138"/>
        </w:trPr>
        <w:tc>
          <w:tcPr>
            <w:tcW w:w="1900" w:type="dxa"/>
            <w:vAlign w:val="bottom"/>
            <w:gridSpan w:val="3"/>
          </w:tcPr>
          <w:p>
            <w:pPr>
              <w:spacing w:after="0" w:line="138" w:lineRule="exact"/>
              <w:rPr>
                <w:sz w:val="20"/>
                <w:szCs w:val="20"/>
                <w:color w:val="auto"/>
              </w:rPr>
            </w:pPr>
            <w:r>
              <w:rPr>
                <w:rFonts w:ascii="Arial" w:cs="Arial" w:eastAsia="Arial" w:hAnsi="Arial"/>
                <w:sz w:val="14"/>
                <w:szCs w:val="14"/>
                <w:color w:val="auto"/>
              </w:rPr>
              <w:t>Linden Square</w:t>
            </w:r>
          </w:p>
        </w:tc>
        <w:tc>
          <w:tcPr>
            <w:tcW w:w="1600" w:type="dxa"/>
            <w:vAlign w:val="bottom"/>
          </w:tcPr>
          <w:p>
            <w:pPr>
              <w:ind w:left="340"/>
              <w:spacing w:after="0" w:line="138" w:lineRule="exact"/>
              <w:rPr>
                <w:sz w:val="20"/>
                <w:szCs w:val="20"/>
                <w:color w:val="auto"/>
              </w:rPr>
            </w:pPr>
            <w:r>
              <w:rPr>
                <w:rFonts w:ascii="Arial" w:cs="Arial" w:eastAsia="Arial" w:hAnsi="Arial"/>
                <w:sz w:val="14"/>
                <w:szCs w:val="14"/>
                <w:color w:val="auto"/>
              </w:rPr>
              <w:t>Boston-Cambridge-</w:t>
            </w: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2006-2007</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128,230</w:t>
            </w:r>
          </w:p>
        </w:tc>
        <w:tc>
          <w:tcPr>
            <w:tcW w:w="16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153,000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96%</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33,000</w:t>
            </w:r>
          </w:p>
        </w:tc>
        <w:tc>
          <w:tcPr>
            <w:tcW w:w="1240" w:type="dxa"/>
            <w:vAlign w:val="bottom"/>
          </w:tcPr>
          <w:p>
            <w:pPr>
              <w:ind w:left="40"/>
              <w:spacing w:after="0" w:line="138" w:lineRule="exact"/>
              <w:rPr>
                <w:sz w:val="20"/>
                <w:szCs w:val="20"/>
                <w:color w:val="auto"/>
              </w:rPr>
            </w:pPr>
            <w:r>
              <w:rPr>
                <w:rFonts w:ascii="Arial" w:cs="Arial" w:eastAsia="Arial" w:hAnsi="Arial"/>
                <w:sz w:val="14"/>
                <w:szCs w:val="14"/>
                <w:color w:val="auto"/>
              </w:rPr>
              <w:t>Roche Brothers</w:t>
            </w:r>
          </w:p>
        </w:tc>
        <w:tc>
          <w:tcPr>
            <w:tcW w:w="2100" w:type="dxa"/>
            <w:vAlign w:val="bottom"/>
          </w:tcPr>
          <w:p>
            <w:pPr>
              <w:ind w:left="140"/>
              <w:spacing w:after="0" w:line="138" w:lineRule="exact"/>
              <w:rPr>
                <w:sz w:val="20"/>
                <w:szCs w:val="20"/>
                <w:color w:val="auto"/>
              </w:rPr>
            </w:pPr>
            <w:r>
              <w:rPr>
                <w:rFonts w:ascii="Arial" w:cs="Arial" w:eastAsia="Arial" w:hAnsi="Arial"/>
                <w:sz w:val="14"/>
                <w:szCs w:val="14"/>
                <w:color w:val="auto"/>
                <w:w w:val="97"/>
              </w:rPr>
              <w:t>CVS / Fitness Club for Women /</w:t>
            </w:r>
          </w:p>
        </w:tc>
      </w:tr>
      <w:tr>
        <w:trPr>
          <w:trHeight w:val="159"/>
        </w:trPr>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ind w:left="340"/>
              <w:spacing w:after="0" w:line="159" w:lineRule="exact"/>
              <w:rPr>
                <w:sz w:val="20"/>
                <w:szCs w:val="20"/>
                <w:color w:val="auto"/>
              </w:rPr>
            </w:pPr>
            <w:r>
              <w:rPr>
                <w:rFonts w:ascii="Arial" w:cs="Arial" w:eastAsia="Arial" w:hAnsi="Arial"/>
                <w:sz w:val="14"/>
                <w:szCs w:val="14"/>
                <w:color w:val="auto"/>
              </w:rPr>
              <w:t>Quincy, MA-NH</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ind w:left="40"/>
              <w:spacing w:after="0" w:line="159" w:lineRule="exact"/>
              <w:rPr>
                <w:sz w:val="20"/>
                <w:szCs w:val="20"/>
                <w:color w:val="auto"/>
              </w:rPr>
            </w:pPr>
            <w:r>
              <w:rPr>
                <w:rFonts w:ascii="Arial" w:cs="Arial" w:eastAsia="Arial" w:hAnsi="Arial"/>
                <w:sz w:val="14"/>
                <w:szCs w:val="14"/>
                <w:color w:val="auto"/>
              </w:rPr>
              <w:t>Supermarkets</w:t>
            </w:r>
          </w:p>
        </w:tc>
        <w:tc>
          <w:tcPr>
            <w:tcW w:w="2100" w:type="dxa"/>
            <w:vAlign w:val="bottom"/>
          </w:tcPr>
          <w:p>
            <w:pPr>
              <w:ind w:left="140"/>
              <w:spacing w:after="0" w:line="159" w:lineRule="exact"/>
              <w:rPr>
                <w:sz w:val="20"/>
                <w:szCs w:val="20"/>
                <w:color w:val="auto"/>
              </w:rPr>
            </w:pPr>
            <w:r>
              <w:rPr>
                <w:rFonts w:ascii="Arial" w:cs="Arial" w:eastAsia="Arial" w:hAnsi="Arial"/>
                <w:sz w:val="14"/>
                <w:szCs w:val="14"/>
                <w:color w:val="auto"/>
              </w:rPr>
              <w:t>Wellesley Volkswagen, Buick</w:t>
            </w:r>
          </w:p>
        </w:tc>
      </w:tr>
      <w:tr>
        <w:trPr>
          <w:trHeight w:val="138"/>
        </w:trPr>
        <w:tc>
          <w:tcPr>
            <w:tcW w:w="19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North Dartmouth</w:t>
            </w:r>
          </w:p>
        </w:tc>
        <w:tc>
          <w:tcPr>
            <w:tcW w:w="160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Boston-Cambridge-</w:t>
            </w:r>
          </w:p>
        </w:tc>
        <w:tc>
          <w:tcPr>
            <w:tcW w:w="8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2006</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27,214</w:t>
            </w:r>
          </w:p>
        </w:tc>
        <w:tc>
          <w:tcPr>
            <w:tcW w:w="16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183,000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48,000</w:t>
            </w:r>
          </w:p>
        </w:tc>
        <w:tc>
          <w:tcPr>
            <w:tcW w:w="124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Stop &amp; Shop</w:t>
            </w:r>
          </w:p>
        </w:tc>
        <w:tc>
          <w:tcPr>
            <w:tcW w:w="21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Lowe's Home Center</w:t>
            </w:r>
          </w:p>
        </w:tc>
      </w:tr>
      <w:tr>
        <w:trPr>
          <w:trHeight w:val="159"/>
        </w:trPr>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Quincy, MA-NH</w:t>
            </w: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r>
      <w:tr>
        <w:trPr>
          <w:trHeight w:val="138"/>
        </w:trPr>
        <w:tc>
          <w:tcPr>
            <w:tcW w:w="1900" w:type="dxa"/>
            <w:vAlign w:val="bottom"/>
            <w:gridSpan w:val="3"/>
          </w:tcPr>
          <w:p>
            <w:pPr>
              <w:spacing w:after="0" w:line="138" w:lineRule="exact"/>
              <w:rPr>
                <w:sz w:val="20"/>
                <w:szCs w:val="20"/>
                <w:color w:val="auto"/>
              </w:rPr>
            </w:pPr>
            <w:r>
              <w:rPr>
                <w:rFonts w:ascii="Arial" w:cs="Arial" w:eastAsia="Arial" w:hAnsi="Arial"/>
                <w:sz w:val="14"/>
                <w:szCs w:val="14"/>
                <w:color w:val="auto"/>
              </w:rPr>
              <w:t>Queen Anne Plaza</w:t>
            </w:r>
          </w:p>
        </w:tc>
        <w:tc>
          <w:tcPr>
            <w:tcW w:w="1600" w:type="dxa"/>
            <w:vAlign w:val="bottom"/>
          </w:tcPr>
          <w:p>
            <w:pPr>
              <w:ind w:left="340"/>
              <w:spacing w:after="0" w:line="138" w:lineRule="exact"/>
              <w:rPr>
                <w:sz w:val="20"/>
                <w:szCs w:val="20"/>
                <w:color w:val="auto"/>
              </w:rPr>
            </w:pPr>
            <w:r>
              <w:rPr>
                <w:rFonts w:ascii="Arial" w:cs="Arial" w:eastAsia="Arial" w:hAnsi="Arial"/>
                <w:sz w:val="14"/>
                <w:szCs w:val="14"/>
                <w:color w:val="auto"/>
              </w:rPr>
              <w:t>Boston-Cambridge-</w:t>
            </w:r>
          </w:p>
        </w:tc>
        <w:tc>
          <w:tcPr>
            <w:tcW w:w="8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1994</w:t>
            </w:r>
          </w:p>
        </w:tc>
        <w:tc>
          <w:tcPr>
            <w:tcW w:w="820" w:type="dxa"/>
            <w:vAlign w:val="bottom"/>
          </w:tcPr>
          <w:p>
            <w:pPr>
              <w:jc w:val="right"/>
              <w:spacing w:after="0" w:line="138" w:lineRule="exact"/>
              <w:rPr>
                <w:sz w:val="20"/>
                <w:szCs w:val="20"/>
                <w:color w:val="auto"/>
              </w:rPr>
            </w:pPr>
            <w:r>
              <w:rPr>
                <w:rFonts w:ascii="Arial" w:cs="Arial" w:eastAsia="Arial" w:hAnsi="Arial"/>
                <w:sz w:val="14"/>
                <w:szCs w:val="14"/>
                <w:color w:val="auto"/>
              </w:rPr>
              <w:t>15,021</w:t>
            </w:r>
          </w:p>
        </w:tc>
        <w:tc>
          <w:tcPr>
            <w:tcW w:w="16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149,000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50,000</w:t>
            </w:r>
          </w:p>
        </w:tc>
        <w:tc>
          <w:tcPr>
            <w:tcW w:w="1240" w:type="dxa"/>
            <w:vAlign w:val="bottom"/>
          </w:tcPr>
          <w:p>
            <w:pPr>
              <w:ind w:left="40"/>
              <w:spacing w:after="0" w:line="138" w:lineRule="exact"/>
              <w:rPr>
                <w:sz w:val="20"/>
                <w:szCs w:val="20"/>
                <w:color w:val="auto"/>
              </w:rPr>
            </w:pPr>
            <w:r>
              <w:rPr>
                <w:rFonts w:ascii="Arial" w:cs="Arial" w:eastAsia="Arial" w:hAnsi="Arial"/>
                <w:sz w:val="14"/>
                <w:szCs w:val="14"/>
                <w:color w:val="auto"/>
              </w:rPr>
              <w:t>Hannaford</w:t>
            </w:r>
          </w:p>
        </w:tc>
        <w:tc>
          <w:tcPr>
            <w:tcW w:w="2100" w:type="dxa"/>
            <w:vAlign w:val="bottom"/>
          </w:tcPr>
          <w:p>
            <w:pPr>
              <w:ind w:left="140"/>
              <w:spacing w:after="0" w:line="138" w:lineRule="exact"/>
              <w:rPr>
                <w:sz w:val="20"/>
                <w:szCs w:val="20"/>
                <w:color w:val="auto"/>
              </w:rPr>
            </w:pPr>
            <w:r>
              <w:rPr>
                <w:rFonts w:ascii="Arial" w:cs="Arial" w:eastAsia="Arial" w:hAnsi="Arial"/>
                <w:sz w:val="14"/>
                <w:szCs w:val="14"/>
                <w:color w:val="auto"/>
              </w:rPr>
              <w:t>TJ Maxx</w:t>
            </w:r>
          </w:p>
        </w:tc>
      </w:tr>
      <w:tr>
        <w:trPr>
          <w:trHeight w:val="159"/>
        </w:trPr>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ind w:left="340"/>
              <w:spacing w:after="0" w:line="159" w:lineRule="exact"/>
              <w:rPr>
                <w:sz w:val="20"/>
                <w:szCs w:val="20"/>
                <w:color w:val="auto"/>
              </w:rPr>
            </w:pPr>
            <w:r>
              <w:rPr>
                <w:rFonts w:ascii="Arial" w:cs="Arial" w:eastAsia="Arial" w:hAnsi="Arial"/>
                <w:sz w:val="14"/>
                <w:szCs w:val="14"/>
                <w:color w:val="auto"/>
              </w:rPr>
              <w:t>Quincy, MA-NH</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38"/>
        </w:trPr>
        <w:tc>
          <w:tcPr>
            <w:tcW w:w="19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160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Boston-Cambridge-</w:t>
            </w:r>
          </w:p>
        </w:tc>
        <w:tc>
          <w:tcPr>
            <w:tcW w:w="8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1996</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13,606</w:t>
            </w:r>
          </w:p>
        </w:tc>
        <w:tc>
          <w:tcPr>
            <w:tcW w:w="16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171,000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94%</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124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98"/>
              </w:rPr>
              <w:t>Super Stop &amp; Shop</w:t>
            </w:r>
          </w:p>
        </w:tc>
        <w:tc>
          <w:tcPr>
            <w:tcW w:w="21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Kmart</w:t>
            </w:r>
          </w:p>
        </w:tc>
      </w:tr>
      <w:tr>
        <w:trPr>
          <w:trHeight w:val="159"/>
        </w:trPr>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Quincy, MA-NH</w:t>
            </w:r>
          </w:p>
        </w:tc>
        <w:tc>
          <w:tcPr>
            <w:tcW w:w="8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r>
      <w:tr>
        <w:trPr>
          <w:trHeight w:val="169"/>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ind w:left="340"/>
              <w:spacing w:after="0"/>
              <w:rPr>
                <w:sz w:val="20"/>
                <w:szCs w:val="20"/>
                <w:color w:val="auto"/>
              </w:rPr>
            </w:pPr>
            <w:r>
              <w:rPr>
                <w:rFonts w:ascii="Arial" w:cs="Arial" w:eastAsia="Arial" w:hAnsi="Arial"/>
                <w:sz w:val="14"/>
                <w:szCs w:val="14"/>
                <w:b w:val="1"/>
                <w:bCs w:val="1"/>
                <w:color w:val="auto"/>
                <w:w w:val="98"/>
              </w:rPr>
              <w:t>Total New England</w:t>
            </w:r>
          </w:p>
        </w:tc>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355,128</w:t>
            </w:r>
          </w:p>
        </w:tc>
        <w:tc>
          <w:tcPr>
            <w:tcW w:w="1620" w:type="dxa"/>
            <w:vAlign w:val="bottom"/>
            <w:gridSpan w:val="3"/>
          </w:tcPr>
          <w:p>
            <w:pPr>
              <w:jc w:val="right"/>
              <w:ind w:right="80"/>
              <w:spacing w:after="0"/>
              <w:rPr>
                <w:sz w:val="20"/>
                <w:szCs w:val="20"/>
                <w:color w:val="auto"/>
              </w:rPr>
            </w:pPr>
            <w:r>
              <w:rPr>
                <w:rFonts w:ascii="Arial" w:cs="Arial" w:eastAsia="Arial" w:hAnsi="Arial"/>
                <w:sz w:val="14"/>
                <w:szCs w:val="14"/>
                <w:color w:val="auto"/>
              </w:rPr>
              <w:t>1,648,000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97%</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00" w:type="dxa"/>
            <w:vAlign w:val="bottom"/>
          </w:tcPr>
          <w:p>
            <w:pPr>
              <w:spacing w:after="0"/>
              <w:rPr>
                <w:sz w:val="14"/>
                <w:szCs w:val="14"/>
                <w:color w:val="auto"/>
              </w:rPr>
            </w:pPr>
          </w:p>
        </w:tc>
      </w:tr>
    </w:tbl>
    <w:p>
      <w:pPr>
        <w:sectPr>
          <w:pgSz w:w="11900" w:h="16838" w:orient="portrait"/>
          <w:cols w:equalWidth="0" w:num="1">
            <w:col w:w="11420"/>
          </w:cols>
          <w:pgMar w:left="240" w:top="127" w:right="2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86"/>
              </w:rPr>
              <w:t>Baltimore</w:t>
            </w:r>
          </w:p>
        </w:tc>
        <w:tc>
          <w:tcPr>
            <w:tcW w:w="1020" w:type="dxa"/>
            <w:vAlign w:val="bottom"/>
            <w:tcBorders>
              <w:bottom w:val="single" w:sz="8" w:color="CCEEFF"/>
            </w:tcBorders>
            <w:gridSpan w:val="5"/>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gridSpan w:val="9"/>
          </w:tcPr>
          <w:p>
            <w:pPr>
              <w:spacing w:after="0" w:line="142" w:lineRule="exact"/>
              <w:rPr>
                <w:sz w:val="20"/>
                <w:szCs w:val="20"/>
                <w:color w:val="auto"/>
              </w:rPr>
            </w:pPr>
            <w:r>
              <w:rPr>
                <w:rFonts w:ascii="Arial" w:cs="Arial" w:eastAsia="Arial" w:hAnsi="Arial"/>
                <w:sz w:val="14"/>
                <w:szCs w:val="14"/>
                <w:color w:val="auto"/>
              </w:rPr>
              <w:t>Governor Plaza</w:t>
            </w:r>
          </w:p>
        </w:tc>
        <w:tc>
          <w:tcPr>
            <w:tcW w:w="460" w:type="dxa"/>
            <w:vAlign w:val="bottom"/>
          </w:tcPr>
          <w:p>
            <w:pPr>
              <w:spacing w:after="0"/>
              <w:rPr>
                <w:sz w:val="12"/>
                <w:szCs w:val="12"/>
                <w:color w:val="auto"/>
              </w:rPr>
            </w:pPr>
          </w:p>
        </w:tc>
        <w:tc>
          <w:tcPr>
            <w:tcW w:w="1720" w:type="dxa"/>
            <w:vAlign w:val="bottom"/>
          </w:tcPr>
          <w:p>
            <w:pPr>
              <w:ind w:left="100"/>
              <w:spacing w:after="0" w:line="142" w:lineRule="exact"/>
              <w:rPr>
                <w:sz w:val="20"/>
                <w:szCs w:val="20"/>
                <w:color w:val="auto"/>
              </w:rPr>
            </w:pPr>
            <w:r>
              <w:rPr>
                <w:rFonts w:ascii="Arial" w:cs="Arial" w:eastAsia="Arial" w:hAnsi="Arial"/>
                <w:sz w:val="14"/>
                <w:szCs w:val="14"/>
                <w:color w:val="auto"/>
              </w:rPr>
              <w:t>Baltimore, MD</w:t>
            </w:r>
          </w:p>
        </w:tc>
        <w:tc>
          <w:tcPr>
            <w:tcW w:w="8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1985</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20,861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269,000</w:t>
            </w:r>
          </w:p>
        </w:tc>
        <w:tc>
          <w:tcPr>
            <w:tcW w:w="5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91%</w:t>
            </w: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7"/>
              </w:rPr>
              <w:t>16,500</w:t>
            </w:r>
          </w:p>
        </w:tc>
        <w:tc>
          <w:tcPr>
            <w:tcW w:w="1440" w:type="dxa"/>
            <w:vAlign w:val="bottom"/>
          </w:tcPr>
          <w:p>
            <w:pPr>
              <w:ind w:left="60"/>
              <w:spacing w:after="0" w:line="142" w:lineRule="exact"/>
              <w:rPr>
                <w:sz w:val="20"/>
                <w:szCs w:val="20"/>
                <w:color w:val="auto"/>
              </w:rPr>
            </w:pPr>
            <w:r>
              <w:rPr>
                <w:rFonts w:ascii="Arial" w:cs="Arial" w:eastAsia="Arial" w:hAnsi="Arial"/>
                <w:sz w:val="14"/>
                <w:szCs w:val="14"/>
                <w:color w:val="auto"/>
              </w:rPr>
              <w:t>Aldi</w:t>
            </w:r>
          </w:p>
        </w:tc>
        <w:tc>
          <w:tcPr>
            <w:tcW w:w="2020" w:type="dxa"/>
            <w:vAlign w:val="bottom"/>
          </w:tcPr>
          <w:p>
            <w:pPr>
              <w:ind w:left="80"/>
              <w:spacing w:after="0" w:line="142" w:lineRule="exact"/>
              <w:rPr>
                <w:sz w:val="20"/>
                <w:szCs w:val="20"/>
                <w:color w:val="auto"/>
              </w:rPr>
            </w:pPr>
            <w:r>
              <w:rPr>
                <w:rFonts w:ascii="Arial" w:cs="Arial" w:eastAsia="Arial" w:hAnsi="Arial"/>
                <w:sz w:val="14"/>
                <w:szCs w:val="14"/>
                <w:color w:val="auto"/>
              </w:rPr>
              <w:t>Bally's / Office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Perring Plaza</w:t>
            </w:r>
          </w:p>
        </w:tc>
        <w:tc>
          <w:tcPr>
            <w:tcW w:w="46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Baltimore, MD</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1985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26,412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402,000</w:t>
            </w:r>
          </w:p>
        </w:tc>
        <w:tc>
          <w:tcPr>
            <w:tcW w:w="5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7"/>
              </w:rPr>
              <w:t>58,000</w:t>
            </w:r>
          </w:p>
        </w:tc>
        <w:tc>
          <w:tcPr>
            <w:tcW w:w="14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Shoppers Food</w:t>
            </w:r>
          </w:p>
        </w:tc>
        <w:tc>
          <w:tcPr>
            <w:tcW w:w="20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Home Depot / 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Warehouse</w:t>
            </w:r>
          </w:p>
        </w:tc>
        <w:tc>
          <w:tcPr>
            <w:tcW w:w="20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Factory / 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w w:val="94"/>
              </w:rPr>
              <w:t>THE AVENUE at White Marsh</w:t>
            </w:r>
          </w:p>
        </w:tc>
        <w:tc>
          <w:tcPr>
            <w:tcW w:w="460" w:type="dxa"/>
            <w:vAlign w:val="bottom"/>
          </w:tcPr>
          <w:p>
            <w:pPr>
              <w:ind w:left="120"/>
              <w:spacing w:after="0" w:line="138" w:lineRule="exact"/>
              <w:rPr>
                <w:sz w:val="20"/>
                <w:szCs w:val="20"/>
                <w:color w:val="auto"/>
              </w:rPr>
            </w:pPr>
            <w:r>
              <w:rPr>
                <w:rFonts w:ascii="Arial" w:cs="Arial" w:eastAsia="Arial" w:hAnsi="Arial"/>
                <w:sz w:val="14"/>
                <w:szCs w:val="14"/>
                <w:color w:val="auto"/>
              </w:rPr>
              <w:t>(11)</w:t>
            </w: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rPr>
              <w:t>Baltimore, MD</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2007</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93,297</w:t>
            </w:r>
          </w:p>
        </w:tc>
        <w:tc>
          <w:tcPr>
            <w:tcW w:w="60" w:type="dxa"/>
            <w:vAlign w:val="bottom"/>
          </w:tcPr>
          <w:p>
            <w:pPr>
              <w:spacing w:after="0"/>
              <w:rPr>
                <w:sz w:val="11"/>
                <w:szCs w:val="11"/>
                <w:color w:val="auto"/>
              </w:rPr>
            </w:pPr>
          </w:p>
        </w:tc>
        <w:tc>
          <w:tcPr>
            <w:tcW w:w="6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61,281</w:t>
            </w: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295,000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20" w:type="dxa"/>
            <w:vAlign w:val="bottom"/>
          </w:tcPr>
          <w:p>
            <w:pPr>
              <w:ind w:left="80"/>
              <w:spacing w:after="0" w:line="138" w:lineRule="exact"/>
              <w:rPr>
                <w:sz w:val="20"/>
                <w:szCs w:val="20"/>
                <w:color w:val="auto"/>
              </w:rPr>
            </w:pPr>
            <w:r>
              <w:rPr>
                <w:rFonts w:ascii="Arial" w:cs="Arial" w:eastAsia="Arial" w:hAnsi="Arial"/>
                <w:sz w:val="14"/>
                <w:szCs w:val="14"/>
                <w:color w:val="auto"/>
                <w:w w:val="95"/>
              </w:rPr>
              <w:t>AMC Loews / Old Navy / Barnes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ind w:left="80"/>
              <w:spacing w:after="0" w:line="159" w:lineRule="exact"/>
              <w:rPr>
                <w:sz w:val="20"/>
                <w:szCs w:val="20"/>
                <w:color w:val="auto"/>
              </w:rPr>
            </w:pPr>
            <w:r>
              <w:rPr>
                <w:rFonts w:ascii="Arial" w:cs="Arial" w:eastAsia="Arial" w:hAnsi="Arial"/>
                <w:sz w:val="14"/>
                <w:szCs w:val="14"/>
                <w:color w:val="auto"/>
              </w:rPr>
              <w:t>&amp; Noble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The Shoppes at Nottingham</w:t>
            </w:r>
          </w:p>
        </w:tc>
        <w:tc>
          <w:tcPr>
            <w:tcW w:w="46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Baltimore, MD</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2007</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15,783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186,000</w:t>
            </w:r>
          </w:p>
        </w:tc>
        <w:tc>
          <w:tcPr>
            <w:tcW w:w="5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Lowe's Home Center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Square</w:t>
            </w:r>
          </w:p>
        </w:tc>
        <w:tc>
          <w:tcPr>
            <w:tcW w:w="4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tcPr>
          <w:p>
            <w:pPr>
              <w:spacing w:after="0" w:line="149" w:lineRule="exact"/>
              <w:rPr>
                <w:sz w:val="20"/>
                <w:szCs w:val="20"/>
                <w:color w:val="auto"/>
              </w:rPr>
            </w:pPr>
            <w:r>
              <w:rPr>
                <w:rFonts w:ascii="Arial" w:cs="Arial" w:eastAsia="Arial" w:hAnsi="Arial"/>
                <w:sz w:val="14"/>
                <w:szCs w:val="14"/>
                <w:color w:val="auto"/>
              </w:rPr>
              <w:t>White Marsh Plaza</w:t>
            </w:r>
          </w:p>
        </w:tc>
        <w:tc>
          <w:tcPr>
            <w:tcW w:w="46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24,897</w:t>
            </w:r>
          </w:p>
        </w:tc>
        <w:tc>
          <w:tcPr>
            <w:tcW w:w="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10,410</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w:t>
            </w:r>
          </w:p>
        </w:tc>
        <w:tc>
          <w:tcPr>
            <w:tcW w:w="5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54,000</w:t>
            </w:r>
          </w:p>
        </w:tc>
        <w:tc>
          <w:tcPr>
            <w:tcW w:w="1440" w:type="dxa"/>
            <w:vAlign w:val="bottom"/>
          </w:tcPr>
          <w:p>
            <w:pPr>
              <w:ind w:left="60"/>
              <w:spacing w:after="0" w:line="149" w:lineRule="exact"/>
              <w:rPr>
                <w:sz w:val="20"/>
                <w:szCs w:val="20"/>
                <w:color w:val="auto"/>
              </w:rPr>
            </w:pPr>
            <w:r>
              <w:rPr>
                <w:rFonts w:ascii="Arial" w:cs="Arial" w:eastAsia="Arial" w:hAnsi="Arial"/>
                <w:sz w:val="14"/>
                <w:szCs w:val="14"/>
                <w:color w:val="auto"/>
              </w:rPr>
              <w:t>Giant Food</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White Marsh Other</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Baltimore, MD</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2007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63,736</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100%</w:t>
            </w: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Baltimore</w:t>
            </w: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244,986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1,284,000</w:t>
            </w:r>
          </w:p>
        </w:tc>
        <w:tc>
          <w:tcPr>
            <w:tcW w:w="12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gridSpan w:val="8"/>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Chicago</w:t>
            </w:r>
          </w:p>
        </w:tc>
        <w:tc>
          <w:tcPr>
            <w:tcW w:w="4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7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Crossroads</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1993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173,000</w:t>
            </w: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Golfsmith / Guitar Center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tcPr>
          <w:p>
            <w:pPr>
              <w:spacing w:after="0" w:line="149" w:lineRule="exact"/>
              <w:rPr>
                <w:sz w:val="20"/>
                <w:szCs w:val="20"/>
                <w:color w:val="auto"/>
              </w:rPr>
            </w:pPr>
            <w:r>
              <w:rPr>
                <w:rFonts w:ascii="Arial" w:cs="Arial" w:eastAsia="Arial" w:hAnsi="Arial"/>
                <w:sz w:val="14"/>
                <w:szCs w:val="14"/>
                <w:color w:val="auto"/>
              </w:rPr>
              <w:t>Finley Square</w:t>
            </w:r>
          </w:p>
        </w:tc>
        <w:tc>
          <w:tcPr>
            <w:tcW w:w="46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1995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29,179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315,000</w:t>
            </w:r>
          </w:p>
        </w:tc>
        <w:tc>
          <w:tcPr>
            <w:tcW w:w="5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w w:val="99"/>
              </w:rPr>
              <w:t>Bed, Bath &amp; Beyond /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Garden Market</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1994</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11,280</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w:t>
            </w: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63,000</w:t>
            </w:r>
          </w:p>
        </w:tc>
        <w:tc>
          <w:tcPr>
            <w:tcW w:w="1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Dominick's</w:t>
            </w: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tcPr>
          <w:p>
            <w:pPr>
              <w:spacing w:after="0" w:line="149" w:lineRule="exact"/>
              <w:rPr>
                <w:sz w:val="20"/>
                <w:szCs w:val="20"/>
                <w:color w:val="auto"/>
              </w:rPr>
            </w:pPr>
            <w:r>
              <w:rPr>
                <w:rFonts w:ascii="Arial" w:cs="Arial" w:eastAsia="Arial" w:hAnsi="Arial"/>
                <w:sz w:val="14"/>
                <w:szCs w:val="14"/>
                <w:color w:val="auto"/>
              </w:rPr>
              <w:t>North Lake Commons</w:t>
            </w:r>
          </w:p>
        </w:tc>
        <w:tc>
          <w:tcPr>
            <w:tcW w:w="460" w:type="dxa"/>
            <w:vAlign w:val="bottom"/>
          </w:tcPr>
          <w:p>
            <w:pPr>
              <w:spacing w:after="0"/>
              <w:rPr>
                <w:sz w:val="12"/>
                <w:szCs w:val="12"/>
                <w:color w:val="auto"/>
              </w:rPr>
            </w:pP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Chicago, IL</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1994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13,281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129,000</w:t>
            </w:r>
          </w:p>
        </w:tc>
        <w:tc>
          <w:tcPr>
            <w:tcW w:w="1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77,000</w:t>
            </w:r>
          </w:p>
        </w:tc>
        <w:tc>
          <w:tcPr>
            <w:tcW w:w="1440" w:type="dxa"/>
            <w:vAlign w:val="bottom"/>
          </w:tcPr>
          <w:p>
            <w:pPr>
              <w:ind w:left="60"/>
              <w:spacing w:after="0" w:line="149" w:lineRule="exact"/>
              <w:rPr>
                <w:sz w:val="20"/>
                <w:szCs w:val="20"/>
                <w:color w:val="auto"/>
              </w:rPr>
            </w:pPr>
            <w:r>
              <w:rPr>
                <w:rFonts w:ascii="Arial" w:cs="Arial" w:eastAsia="Arial" w:hAnsi="Arial"/>
                <w:sz w:val="14"/>
                <w:szCs w:val="14"/>
                <w:color w:val="auto"/>
              </w:rPr>
              <w:t>Dominick's</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Total Chicago</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76,581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8"/>
          </w:tcPr>
          <w:p>
            <w:pPr>
              <w:spacing w:after="0"/>
              <w:rPr>
                <w:sz w:val="20"/>
                <w:szCs w:val="20"/>
                <w:color w:val="auto"/>
              </w:rPr>
            </w:pPr>
            <w:r>
              <w:rPr>
                <w:rFonts w:ascii="Arial" w:cs="Arial" w:eastAsia="Arial" w:hAnsi="Arial"/>
                <w:sz w:val="14"/>
                <w:szCs w:val="14"/>
                <w:b w:val="1"/>
                <w:bCs w:val="1"/>
                <w:color w:val="auto"/>
              </w:rPr>
              <w:t>East Region—Other</w:t>
            </w: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rPr>
              <w:t>Barracks Road</w:t>
            </w:r>
          </w:p>
        </w:tc>
        <w:tc>
          <w:tcPr>
            <w:tcW w:w="460" w:type="dxa"/>
            <w:vAlign w:val="bottom"/>
          </w:tcPr>
          <w:p>
            <w:pPr>
              <w:spacing w:after="0"/>
              <w:rPr>
                <w:sz w:val="11"/>
                <w:szCs w:val="11"/>
                <w:color w:val="auto"/>
              </w:rPr>
            </w:pP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rPr>
              <w:t>Charlottesville, VA</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1985</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43,239</w:t>
            </w:r>
          </w:p>
        </w:tc>
        <w:tc>
          <w:tcPr>
            <w:tcW w:w="60" w:type="dxa"/>
            <w:vAlign w:val="bottom"/>
          </w:tcPr>
          <w:p>
            <w:pPr>
              <w:spacing w:after="0"/>
              <w:rPr>
                <w:sz w:val="11"/>
                <w:szCs w:val="11"/>
                <w:color w:val="auto"/>
              </w:rPr>
            </w:pPr>
          </w:p>
        </w:tc>
        <w:tc>
          <w:tcPr>
            <w:tcW w:w="6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42,149</w:t>
            </w: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488,000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7"/>
              </w:rPr>
              <w:t>99,000</w:t>
            </w:r>
          </w:p>
        </w:tc>
        <w:tc>
          <w:tcPr>
            <w:tcW w:w="1440" w:type="dxa"/>
            <w:vAlign w:val="bottom"/>
          </w:tcPr>
          <w:p>
            <w:pPr>
              <w:ind w:left="60"/>
              <w:spacing w:after="0" w:line="138" w:lineRule="exact"/>
              <w:rPr>
                <w:sz w:val="20"/>
                <w:szCs w:val="20"/>
                <w:color w:val="auto"/>
              </w:rPr>
            </w:pPr>
            <w:r>
              <w:rPr>
                <w:rFonts w:ascii="Arial" w:cs="Arial" w:eastAsia="Arial" w:hAnsi="Arial"/>
                <w:sz w:val="14"/>
                <w:szCs w:val="14"/>
                <w:color w:val="auto"/>
              </w:rPr>
              <w:t>Harris Teeter / Kroger</w:t>
            </w:r>
          </w:p>
        </w:tc>
        <w:tc>
          <w:tcPr>
            <w:tcW w:w="2020" w:type="dxa"/>
            <w:vAlign w:val="bottom"/>
          </w:tcPr>
          <w:p>
            <w:pPr>
              <w:ind w:left="80"/>
              <w:spacing w:after="0" w:line="138" w:lineRule="exact"/>
              <w:rPr>
                <w:sz w:val="20"/>
                <w:szCs w:val="20"/>
                <w:color w:val="auto"/>
              </w:rPr>
            </w:pPr>
            <w:r>
              <w:rPr>
                <w:rFonts w:ascii="Arial" w:cs="Arial" w:eastAsia="Arial" w:hAnsi="Arial"/>
                <w:sz w:val="14"/>
                <w:szCs w:val="14"/>
                <w:color w:val="auto"/>
                <w:w w:val="98"/>
              </w:rPr>
              <w:t>Bed, Bath &amp; Beyond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ind w:left="80"/>
              <w:spacing w:after="0" w:line="159" w:lineRule="exact"/>
              <w:rPr>
                <w:sz w:val="20"/>
                <w:szCs w:val="20"/>
                <w:color w:val="auto"/>
              </w:rPr>
            </w:pPr>
            <w:r>
              <w:rPr>
                <w:rFonts w:ascii="Arial" w:cs="Arial" w:eastAsia="Arial" w:hAnsi="Arial"/>
                <w:sz w:val="14"/>
                <w:szCs w:val="14"/>
                <w:color w:val="auto"/>
              </w:rPr>
              <w:t>Noble / 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Bristol Plaza</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Hartford, CT</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1995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24,450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273,000</w:t>
            </w: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74,000</w:t>
            </w:r>
          </w:p>
        </w:tc>
        <w:tc>
          <w:tcPr>
            <w:tcW w:w="1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Stop &amp; Shop</w:t>
            </w: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rPr>
              <w:t>Eastgate</w:t>
            </w:r>
          </w:p>
        </w:tc>
        <w:tc>
          <w:tcPr>
            <w:tcW w:w="460" w:type="dxa"/>
            <w:vAlign w:val="bottom"/>
          </w:tcPr>
          <w:p>
            <w:pPr>
              <w:spacing w:after="0"/>
              <w:rPr>
                <w:sz w:val="11"/>
                <w:szCs w:val="11"/>
                <w:color w:val="auto"/>
              </w:rPr>
            </w:pP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rPr>
              <w:t>Raleigh-Durham-Chapel</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1986</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20,175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159,000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92%</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20" w:type="dxa"/>
            <w:vAlign w:val="bottom"/>
          </w:tcPr>
          <w:p>
            <w:pPr>
              <w:ind w:left="80"/>
              <w:spacing w:after="0" w:line="138"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ind w:left="100"/>
              <w:spacing w:after="0" w:line="159" w:lineRule="exact"/>
              <w:rPr>
                <w:sz w:val="20"/>
                <w:szCs w:val="20"/>
                <w:color w:val="auto"/>
              </w:rPr>
            </w:pPr>
            <w:r>
              <w:rPr>
                <w:rFonts w:ascii="Arial" w:cs="Arial" w:eastAsia="Arial" w:hAnsi="Arial"/>
                <w:sz w:val="14"/>
                <w:szCs w:val="14"/>
                <w:color w:val="auto"/>
              </w:rPr>
              <w:t>Hill, NC</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46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Detroit, MI</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1973</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18,061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217,000</w:t>
            </w:r>
          </w:p>
        </w:tc>
        <w:tc>
          <w:tcPr>
            <w:tcW w:w="5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7"/>
              </w:rPr>
              <w:t>69,000</w:t>
            </w:r>
          </w:p>
        </w:tc>
        <w:tc>
          <w:tcPr>
            <w:tcW w:w="14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Farmer Jacks</w:t>
            </w:r>
          </w:p>
        </w:tc>
        <w:tc>
          <w:tcPr>
            <w:tcW w:w="20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Bed, Bath &amp; Beyond / Best Buy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rPr>
              <w:t>Greenwich Avenue</w:t>
            </w:r>
          </w:p>
        </w:tc>
        <w:tc>
          <w:tcPr>
            <w:tcW w:w="460" w:type="dxa"/>
            <w:vAlign w:val="bottom"/>
          </w:tcPr>
          <w:p>
            <w:pPr>
              <w:spacing w:after="0"/>
              <w:rPr>
                <w:sz w:val="11"/>
                <w:szCs w:val="11"/>
                <w:color w:val="auto"/>
              </w:rPr>
            </w:pP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rPr>
              <w:t>New Haven-Bridgeport-</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1995</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15,998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42,000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20" w:type="dxa"/>
            <w:vAlign w:val="bottom"/>
          </w:tcPr>
          <w:p>
            <w:pPr>
              <w:ind w:left="80"/>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ind w:left="100"/>
              <w:spacing w:after="0" w:line="159" w:lineRule="exact"/>
              <w:rPr>
                <w:sz w:val="20"/>
                <w:szCs w:val="20"/>
                <w:color w:val="auto"/>
              </w:rPr>
            </w:pPr>
            <w:r>
              <w:rPr>
                <w:rFonts w:ascii="Arial" w:cs="Arial" w:eastAsia="Arial" w:hAnsi="Arial"/>
                <w:sz w:val="14"/>
                <w:szCs w:val="14"/>
                <w:color w:val="auto"/>
              </w:rPr>
              <w:t>Stamford-Waterbury</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(7)</w:t>
            </w: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Lancaster, PA</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4,907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107,000</w:t>
            </w: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39,000</w:t>
            </w:r>
          </w:p>
        </w:tc>
        <w:tc>
          <w:tcPr>
            <w:tcW w:w="1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Giant Food</w:t>
            </w: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tcPr>
          <w:p>
            <w:pPr>
              <w:spacing w:after="0" w:line="149" w:lineRule="exact"/>
              <w:rPr>
                <w:sz w:val="20"/>
                <w:szCs w:val="20"/>
                <w:color w:val="auto"/>
              </w:rPr>
            </w:pPr>
            <w:r>
              <w:rPr>
                <w:rFonts w:ascii="Arial" w:cs="Arial" w:eastAsia="Arial" w:hAnsi="Arial"/>
                <w:sz w:val="14"/>
                <w:szCs w:val="14"/>
                <w:color w:val="auto"/>
              </w:rPr>
              <w:t>Shoppers' World</w:t>
            </w:r>
          </w:p>
        </w:tc>
        <w:tc>
          <w:tcPr>
            <w:tcW w:w="460" w:type="dxa"/>
            <w:vAlign w:val="bottom"/>
          </w:tcPr>
          <w:p>
            <w:pPr>
              <w:ind w:left="120"/>
              <w:spacing w:after="0" w:line="149" w:lineRule="exact"/>
              <w:rPr>
                <w:sz w:val="20"/>
                <w:szCs w:val="20"/>
                <w:color w:val="auto"/>
              </w:rPr>
            </w:pPr>
            <w:r>
              <w:rPr>
                <w:rFonts w:ascii="Arial" w:cs="Arial" w:eastAsia="Arial" w:hAnsi="Arial"/>
                <w:sz w:val="14"/>
                <w:szCs w:val="14"/>
                <w:color w:val="auto"/>
              </w:rPr>
              <w:t>(12)</w:t>
            </w: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Charlottesville, VA</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28,038</w:t>
            </w:r>
          </w:p>
        </w:tc>
        <w:tc>
          <w:tcPr>
            <w:tcW w:w="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6,010</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170,000</w:t>
            </w:r>
          </w:p>
        </w:tc>
        <w:tc>
          <w:tcPr>
            <w:tcW w:w="5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28,000</w:t>
            </w:r>
          </w:p>
        </w:tc>
        <w:tc>
          <w:tcPr>
            <w:tcW w:w="1440" w:type="dxa"/>
            <w:vAlign w:val="bottom"/>
          </w:tcPr>
          <w:p>
            <w:pPr>
              <w:ind w:left="60"/>
              <w:spacing w:after="0" w:line="149" w:lineRule="exact"/>
              <w:rPr>
                <w:sz w:val="20"/>
                <w:szCs w:val="20"/>
                <w:color w:val="auto"/>
              </w:rPr>
            </w:pPr>
            <w:r>
              <w:rPr>
                <w:rFonts w:ascii="Arial" w:cs="Arial" w:eastAsia="Arial" w:hAnsi="Arial"/>
                <w:sz w:val="14"/>
                <w:szCs w:val="14"/>
                <w:color w:val="auto"/>
              </w:rPr>
              <w:t>Whole Foods</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Shops at Willow Lawn</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Richmond-Petersburg, VA</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1983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74,604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60,000</w:t>
            </w:r>
          </w:p>
        </w:tc>
        <w:tc>
          <w:tcPr>
            <w:tcW w:w="1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Kroger</w:t>
            </w: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Old Navy / Staples / Ross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Total East Region - Other</w:t>
            </w: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235,365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1,932,000</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96%</w:t>
            </w: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Total East Region</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2,514,745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16,879,000</w:t>
            </w: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820" w:type="dxa"/>
            <w:vAlign w:val="bottom"/>
            <w:gridSpan w:val="10"/>
          </w:tcPr>
          <w:p>
            <w:pPr>
              <w:spacing w:after="0"/>
              <w:rPr>
                <w:sz w:val="20"/>
                <w:szCs w:val="20"/>
                <w:color w:val="auto"/>
              </w:rPr>
            </w:pPr>
            <w:r>
              <w:rPr>
                <w:rFonts w:ascii="Arial" w:cs="Arial" w:eastAsia="Arial" w:hAnsi="Arial"/>
                <w:sz w:val="14"/>
                <w:szCs w:val="14"/>
                <w:b w:val="1"/>
                <w:bCs w:val="1"/>
                <w:color w:val="auto"/>
              </w:rPr>
              <w:t>West Region</w:t>
            </w: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8"/>
          </w:tcPr>
          <w:p>
            <w:pPr>
              <w:spacing w:after="0"/>
              <w:rPr>
                <w:sz w:val="20"/>
                <w:szCs w:val="20"/>
                <w:color w:val="auto"/>
              </w:rPr>
            </w:pPr>
            <w:r>
              <w:rPr>
                <w:rFonts w:ascii="Arial" w:cs="Arial" w:eastAsia="Arial" w:hAnsi="Arial"/>
                <w:sz w:val="14"/>
                <w:szCs w:val="14"/>
                <w:b w:val="1"/>
                <w:bCs w:val="1"/>
                <w:color w:val="auto"/>
              </w:rPr>
              <w:t>California</w:t>
            </w: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rPr>
              <w:t>Colorado Blvd</w:t>
            </w:r>
          </w:p>
        </w:tc>
        <w:tc>
          <w:tcPr>
            <w:tcW w:w="460" w:type="dxa"/>
            <w:vAlign w:val="bottom"/>
          </w:tcPr>
          <w:p>
            <w:pPr>
              <w:spacing w:after="0"/>
              <w:rPr>
                <w:sz w:val="11"/>
                <w:szCs w:val="11"/>
                <w:color w:val="auto"/>
              </w:rPr>
            </w:pP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w w:val="99"/>
              </w:rPr>
              <w:t>Los Angeles-Long Beach,</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1996-1998</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16,669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69,000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20" w:type="dxa"/>
            <w:vAlign w:val="bottom"/>
          </w:tcPr>
          <w:p>
            <w:pPr>
              <w:ind w:left="80"/>
              <w:spacing w:after="0" w:line="138" w:lineRule="exact"/>
              <w:rPr>
                <w:sz w:val="20"/>
                <w:szCs w:val="20"/>
                <w:color w:val="auto"/>
              </w:rPr>
            </w:pPr>
            <w:r>
              <w:rPr>
                <w:rFonts w:ascii="Arial" w:cs="Arial" w:eastAsia="Arial" w:hAnsi="Arial"/>
                <w:sz w:val="14"/>
                <w:szCs w:val="14"/>
                <w:color w:val="auto"/>
                <w:w w:val="97"/>
              </w:rPr>
              <w:t>Pottery Barn / Banana Republic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ind w:left="100"/>
              <w:spacing w:after="0" w:line="159" w:lineRule="exact"/>
              <w:rPr>
                <w:sz w:val="20"/>
                <w:szCs w:val="20"/>
                <w:color w:val="auto"/>
              </w:rPr>
            </w:pPr>
            <w:r>
              <w:rPr>
                <w:rFonts w:ascii="Arial" w:cs="Arial" w:eastAsia="Arial" w:hAnsi="Arial"/>
                <w:sz w:val="14"/>
                <w:szCs w:val="14"/>
                <w:color w:val="auto"/>
              </w:rPr>
              <w:t>CA</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San Ramon, CA</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2005-2007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63,925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21,680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242,000</w:t>
            </w: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58,000</w:t>
            </w:r>
          </w:p>
        </w:tc>
        <w:tc>
          <w:tcPr>
            <w:tcW w:w="14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Albertson's</w:t>
            </w: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tcPr>
          <w:p>
            <w:pPr>
              <w:spacing w:after="0" w:line="149" w:lineRule="exact"/>
              <w:rPr>
                <w:sz w:val="20"/>
                <w:szCs w:val="20"/>
                <w:color w:val="auto"/>
              </w:rPr>
            </w:pPr>
            <w:r>
              <w:rPr>
                <w:rFonts w:ascii="Arial" w:cs="Arial" w:eastAsia="Arial" w:hAnsi="Arial"/>
                <w:sz w:val="14"/>
                <w:szCs w:val="14"/>
                <w:color w:val="auto"/>
              </w:rPr>
              <w:t>Escondido</w:t>
            </w:r>
          </w:p>
        </w:tc>
        <w:tc>
          <w:tcPr>
            <w:tcW w:w="460" w:type="dxa"/>
            <w:vAlign w:val="bottom"/>
          </w:tcPr>
          <w:p>
            <w:pPr>
              <w:ind w:left="120"/>
              <w:spacing w:after="0" w:line="149" w:lineRule="exact"/>
              <w:rPr>
                <w:sz w:val="20"/>
                <w:szCs w:val="20"/>
                <w:color w:val="auto"/>
              </w:rPr>
            </w:pPr>
            <w:r>
              <w:rPr>
                <w:rFonts w:ascii="Arial" w:cs="Arial" w:eastAsia="Arial" w:hAnsi="Arial"/>
                <w:sz w:val="14"/>
                <w:szCs w:val="14"/>
                <w:color w:val="auto"/>
              </w:rPr>
              <w:t>(13)</w:t>
            </w: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San Diego, CA</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1996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27,777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222,000</w:t>
            </w:r>
          </w:p>
        </w:tc>
        <w:tc>
          <w:tcPr>
            <w:tcW w:w="5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w w:val="95"/>
              </w:rPr>
              <w:t>Cost Plus / TJ Maxx / 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(14)</w:t>
            </w: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San Diego, CA</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1996-1997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rPr>
              <w:t>Hermosa Ave</w:t>
            </w:r>
          </w:p>
        </w:tc>
        <w:tc>
          <w:tcPr>
            <w:tcW w:w="460" w:type="dxa"/>
            <w:vAlign w:val="bottom"/>
          </w:tcPr>
          <w:p>
            <w:pPr>
              <w:ind w:left="120"/>
              <w:spacing w:after="0" w:line="138" w:lineRule="exact"/>
              <w:rPr>
                <w:sz w:val="20"/>
                <w:szCs w:val="20"/>
                <w:color w:val="auto"/>
              </w:rPr>
            </w:pPr>
            <w:r>
              <w:rPr>
                <w:rFonts w:ascii="Arial" w:cs="Arial" w:eastAsia="Arial" w:hAnsi="Arial"/>
                <w:sz w:val="14"/>
                <w:szCs w:val="14"/>
                <w:color w:val="auto"/>
              </w:rPr>
              <w:t>(15)</w:t>
            </w: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w w:val="99"/>
              </w:rPr>
              <w:t>Los Angeles-Long Beach,</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1997</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4,741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22,000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ind w:left="100"/>
              <w:spacing w:after="0" w:line="159" w:lineRule="exact"/>
              <w:rPr>
                <w:sz w:val="20"/>
                <w:szCs w:val="20"/>
                <w:color w:val="auto"/>
              </w:rPr>
            </w:pPr>
            <w:r>
              <w:rPr>
                <w:rFonts w:ascii="Arial" w:cs="Arial" w:eastAsia="Arial" w:hAnsi="Arial"/>
                <w:sz w:val="14"/>
                <w:szCs w:val="14"/>
                <w:color w:val="auto"/>
              </w:rPr>
              <w:t>CA</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4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(15)</w:t>
            </w:r>
          </w:p>
        </w:tc>
        <w:tc>
          <w:tcPr>
            <w:tcW w:w="17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Los Angeles-Long Beach,</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1999</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36,593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w:t>
            </w:r>
          </w:p>
        </w:tc>
        <w:tc>
          <w:tcPr>
            <w:tcW w:w="5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85%</w:t>
            </w:r>
          </w:p>
        </w:tc>
        <w:tc>
          <w:tcPr>
            <w:tcW w:w="5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DSW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2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CA</w:t>
            </w: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tcPr>
          <w:p>
            <w:pPr>
              <w:spacing w:after="0" w:line="149" w:lineRule="exact"/>
              <w:rPr>
                <w:sz w:val="20"/>
                <w:szCs w:val="20"/>
                <w:color w:val="auto"/>
              </w:rPr>
            </w:pPr>
            <w:r>
              <w:rPr>
                <w:rFonts w:ascii="Arial" w:cs="Arial" w:eastAsia="Arial" w:hAnsi="Arial"/>
                <w:sz w:val="14"/>
                <w:szCs w:val="14"/>
                <w:color w:val="auto"/>
              </w:rPr>
              <w:t>Kings Court</w:t>
            </w:r>
          </w:p>
        </w:tc>
        <w:tc>
          <w:tcPr>
            <w:tcW w:w="460" w:type="dxa"/>
            <w:vAlign w:val="bottom"/>
          </w:tcPr>
          <w:p>
            <w:pPr>
              <w:ind w:left="120"/>
              <w:spacing w:after="0" w:line="149" w:lineRule="exact"/>
              <w:rPr>
                <w:sz w:val="20"/>
                <w:szCs w:val="20"/>
                <w:color w:val="auto"/>
              </w:rPr>
            </w:pPr>
            <w:r>
              <w:rPr>
                <w:rFonts w:ascii="Arial" w:cs="Arial" w:eastAsia="Arial" w:hAnsi="Arial"/>
                <w:sz w:val="14"/>
                <w:szCs w:val="14"/>
                <w:color w:val="auto"/>
              </w:rPr>
              <w:t>(6)</w:t>
            </w:r>
          </w:p>
        </w:tc>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San Jose, CA</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1998</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11,517</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79,000</w:t>
            </w:r>
          </w:p>
        </w:tc>
        <w:tc>
          <w:tcPr>
            <w:tcW w:w="5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25,000</w:t>
            </w:r>
          </w:p>
        </w:tc>
        <w:tc>
          <w:tcPr>
            <w:tcW w:w="1440" w:type="dxa"/>
            <w:vAlign w:val="bottom"/>
          </w:tcPr>
          <w:p>
            <w:pPr>
              <w:ind w:left="60"/>
              <w:spacing w:after="0" w:line="149" w:lineRule="exact"/>
              <w:rPr>
                <w:sz w:val="20"/>
                <w:szCs w:val="20"/>
                <w:color w:val="auto"/>
              </w:rPr>
            </w:pPr>
            <w:r>
              <w:rPr>
                <w:rFonts w:ascii="Arial" w:cs="Arial" w:eastAsia="Arial" w:hAnsi="Arial"/>
                <w:sz w:val="14"/>
                <w:szCs w:val="14"/>
                <w:color w:val="auto"/>
                <w:w w:val="94"/>
              </w:rPr>
              <w:t>Lunardi's Super Market</w:t>
            </w: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Longs Drug Store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460" w:type="dxa"/>
            <w:vAlign w:val="bottom"/>
            <w:shd w:val="clear" w:color="auto" w:fill="CCEEFF"/>
          </w:tcPr>
          <w:p>
            <w:pPr>
              <w:spacing w:after="0"/>
              <w:rPr>
                <w:sz w:val="11"/>
                <w:szCs w:val="11"/>
                <w:color w:val="auto"/>
              </w:rPr>
            </w:pPr>
          </w:p>
        </w:tc>
        <w:tc>
          <w:tcPr>
            <w:tcW w:w="17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San Jose, CA</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1997</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33,621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95,000</w:t>
            </w:r>
          </w:p>
        </w:tc>
        <w:tc>
          <w:tcPr>
            <w:tcW w:w="5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96%</w:t>
            </w:r>
          </w:p>
        </w:tc>
        <w:tc>
          <w:tcPr>
            <w:tcW w:w="5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Borders / Gap Kids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rPr>
              <w:t>Santana Row</w:t>
            </w:r>
          </w:p>
        </w:tc>
        <w:tc>
          <w:tcPr>
            <w:tcW w:w="460" w:type="dxa"/>
            <w:vAlign w:val="bottom"/>
          </w:tcPr>
          <w:p>
            <w:pPr>
              <w:spacing w:after="0"/>
              <w:rPr>
                <w:sz w:val="11"/>
                <w:szCs w:val="11"/>
                <w:color w:val="auto"/>
              </w:rPr>
            </w:pP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rPr>
              <w:t>San Jose, CA</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1997</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469,040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563,000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20" w:type="dxa"/>
            <w:vAlign w:val="bottom"/>
          </w:tcPr>
          <w:p>
            <w:pPr>
              <w:ind w:left="80"/>
              <w:spacing w:after="0" w:line="138" w:lineRule="exact"/>
              <w:rPr>
                <w:sz w:val="20"/>
                <w:szCs w:val="20"/>
                <w:color w:val="auto"/>
              </w:rPr>
            </w:pPr>
            <w:r>
              <w:rPr>
                <w:rFonts w:ascii="Arial" w:cs="Arial" w:eastAsia="Arial" w:hAnsi="Arial"/>
                <w:sz w:val="14"/>
                <w:szCs w:val="14"/>
                <w:color w:val="auto"/>
                <w:w w:val="93"/>
              </w:rPr>
              <w:t>Crate &amp; Barrel / Container Store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Best Buy / Borders / CineArts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Theatre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0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Third St Promenade</w:t>
            </w:r>
          </w:p>
        </w:tc>
        <w:tc>
          <w:tcPr>
            <w:tcW w:w="4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(16)</w:t>
            </w:r>
          </w:p>
        </w:tc>
        <w:tc>
          <w:tcPr>
            <w:tcW w:w="17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Los Angeles-Long Beach,</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1996-2000</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73,948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211,000</w:t>
            </w:r>
          </w:p>
        </w:tc>
        <w:tc>
          <w:tcPr>
            <w:tcW w:w="5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2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J. Crew / Banana Republic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2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CA</w:t>
            </w: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2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Navy / Abercrombie &amp; 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gridSpan w:val="9"/>
          </w:tcPr>
          <w:p>
            <w:pPr>
              <w:spacing w:after="0" w:line="138" w:lineRule="exact"/>
              <w:rPr>
                <w:sz w:val="20"/>
                <w:szCs w:val="20"/>
                <w:color w:val="auto"/>
              </w:rPr>
            </w:pPr>
            <w:r>
              <w:rPr>
                <w:rFonts w:ascii="Arial" w:cs="Arial" w:eastAsia="Arial" w:hAnsi="Arial"/>
                <w:sz w:val="14"/>
                <w:szCs w:val="14"/>
                <w:color w:val="auto"/>
              </w:rPr>
              <w:t>Westgate</w:t>
            </w:r>
          </w:p>
        </w:tc>
        <w:tc>
          <w:tcPr>
            <w:tcW w:w="460" w:type="dxa"/>
            <w:vAlign w:val="bottom"/>
          </w:tcPr>
          <w:p>
            <w:pPr>
              <w:spacing w:after="0"/>
              <w:rPr>
                <w:sz w:val="11"/>
                <w:szCs w:val="11"/>
                <w:color w:val="auto"/>
              </w:rPr>
            </w:pPr>
          </w:p>
        </w:tc>
        <w:tc>
          <w:tcPr>
            <w:tcW w:w="1720" w:type="dxa"/>
            <w:vAlign w:val="bottom"/>
          </w:tcPr>
          <w:p>
            <w:pPr>
              <w:ind w:left="100"/>
              <w:spacing w:after="0" w:line="138" w:lineRule="exact"/>
              <w:rPr>
                <w:sz w:val="20"/>
                <w:szCs w:val="20"/>
                <w:color w:val="auto"/>
              </w:rPr>
            </w:pPr>
            <w:r>
              <w:rPr>
                <w:rFonts w:ascii="Arial" w:cs="Arial" w:eastAsia="Arial" w:hAnsi="Arial"/>
                <w:sz w:val="14"/>
                <w:szCs w:val="14"/>
                <w:color w:val="auto"/>
              </w:rPr>
              <w:t>San Jose, CA</w:t>
            </w:r>
          </w:p>
        </w:tc>
        <w:tc>
          <w:tcPr>
            <w:tcW w:w="8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115,710</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645,000</w:t>
            </w:r>
          </w:p>
        </w:tc>
        <w:tc>
          <w:tcPr>
            <w:tcW w:w="5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99%</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7"/>
              </w:rPr>
              <w:t>38,000</w:t>
            </w:r>
          </w:p>
        </w:tc>
        <w:tc>
          <w:tcPr>
            <w:tcW w:w="1440" w:type="dxa"/>
            <w:vAlign w:val="bottom"/>
          </w:tcPr>
          <w:p>
            <w:pPr>
              <w:ind w:left="60"/>
              <w:spacing w:after="0" w:line="138" w:lineRule="exact"/>
              <w:rPr>
                <w:sz w:val="20"/>
                <w:szCs w:val="20"/>
                <w:color w:val="auto"/>
              </w:rPr>
            </w:pPr>
            <w:r>
              <w:rPr>
                <w:rFonts w:ascii="Arial" w:cs="Arial" w:eastAsia="Arial" w:hAnsi="Arial"/>
                <w:sz w:val="14"/>
                <w:szCs w:val="14"/>
                <w:color w:val="auto"/>
              </w:rPr>
              <w:t>Safeway</w:t>
            </w:r>
          </w:p>
        </w:tc>
        <w:tc>
          <w:tcPr>
            <w:tcW w:w="2020" w:type="dxa"/>
            <w:vAlign w:val="bottom"/>
          </w:tcPr>
          <w:p>
            <w:pPr>
              <w:ind w:left="80"/>
              <w:spacing w:after="0" w:line="138" w:lineRule="exact"/>
              <w:rPr>
                <w:sz w:val="20"/>
                <w:szCs w:val="20"/>
                <w:color w:val="auto"/>
              </w:rPr>
            </w:pPr>
            <w:r>
              <w:rPr>
                <w:rFonts w:ascii="Arial" w:cs="Arial" w:eastAsia="Arial" w:hAnsi="Arial"/>
                <w:sz w:val="14"/>
                <w:szCs w:val="14"/>
                <w:color w:val="auto"/>
                <w:w w:val="92"/>
              </w:rPr>
              <w:t>Target / Burlington Coat Factory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20" w:type="dxa"/>
            <w:vAlign w:val="bottom"/>
          </w:tcPr>
          <w:p>
            <w:pPr>
              <w:ind w:left="80"/>
              <w:spacing w:after="0" w:line="159" w:lineRule="exact"/>
              <w:rPr>
                <w:sz w:val="20"/>
                <w:szCs w:val="20"/>
                <w:color w:val="auto"/>
              </w:rPr>
            </w:pPr>
            <w:r>
              <w:rPr>
                <w:rFonts w:ascii="Arial" w:cs="Arial" w:eastAsia="Arial" w:hAnsi="Arial"/>
                <w:sz w:val="14"/>
                <w:szCs w:val="14"/>
                <w:color w:val="auto"/>
              </w:rPr>
              <w:t>Barnes &amp; Noble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150 Post Street</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San Francisco, CA</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1997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37,122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California</w:t>
            </w: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903,383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2,451,000</w:t>
            </w:r>
          </w:p>
        </w:tc>
        <w:tc>
          <w:tcPr>
            <w:tcW w:w="12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gridSpan w:val="8"/>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West Region—Other</w:t>
            </w:r>
          </w:p>
        </w:tc>
        <w:tc>
          <w:tcPr>
            <w:tcW w:w="4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7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Houston St</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San Antonio, TX</w:t>
            </w: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1998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62,266</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West Region</w:t>
            </w: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965,649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2,628,000</w:t>
            </w:r>
          </w:p>
        </w:tc>
        <w:tc>
          <w:tcPr>
            <w:tcW w:w="120" w:type="dxa"/>
            <w:vAlign w:val="bottom"/>
          </w:tcPr>
          <w:p>
            <w:pPr>
              <w:spacing w:after="0"/>
              <w:rPr>
                <w:sz w:val="14"/>
                <w:szCs w:val="14"/>
                <w:color w:val="auto"/>
              </w:rPr>
            </w:pPr>
          </w:p>
        </w:tc>
        <w:tc>
          <w:tcPr>
            <w:tcW w:w="4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95%</w:t>
            </w: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9"/>
          </w:tcPr>
          <w:p>
            <w:pPr>
              <w:spacing w:after="0" w:line="149" w:lineRule="exact"/>
              <w:rPr>
                <w:sz w:val="20"/>
                <w:szCs w:val="20"/>
                <w:color w:val="auto"/>
              </w:rPr>
            </w:pPr>
            <w:r>
              <w:rPr>
                <w:rFonts w:ascii="Arial" w:cs="Arial" w:eastAsia="Arial" w:hAnsi="Arial"/>
                <w:sz w:val="14"/>
                <w:szCs w:val="14"/>
                <w:b w:val="1"/>
                <w:bCs w:val="1"/>
                <w:color w:val="auto"/>
              </w:rPr>
              <w:t>Grand Total</w:t>
            </w:r>
          </w:p>
        </w:tc>
        <w:tc>
          <w:tcPr>
            <w:tcW w:w="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$ 3,480,394</w:t>
            </w:r>
          </w:p>
        </w:tc>
        <w:tc>
          <w:tcPr>
            <w:tcW w:w="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$ 529,095</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19,507,000</w:t>
            </w:r>
          </w:p>
        </w:tc>
        <w:tc>
          <w:tcPr>
            <w:tcW w:w="5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96%</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auto"/>
        </w:rPr>
        <w:t>Notes:</w:t>
      </w: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newly created redevelopment square footage not yet in service, as well as residential and hotel square footage.</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Grocery anchor is defined as a grocery tenant leasing 15,000 square feet or more.</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Portion of property subject to capital lease obligation.</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Total investment includes dollars associated with the 146 units of The Crest at Congressional. The Trust has a 64.1% ownership interest in the property.</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Property owned in a "downreit" partnership, of which a wholly owned subsidiary of the Trust is the sole general partner, with third party partners holding operating partnership units.</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Property subject to capital lease obligation.</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Trust acquired the fee interest in this property subsequent to September 30, 2007. The capital lease obligation was extinguished with the acquisition.</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Trust sold its interest in this property subsequent to September 30, 2007.</w:t>
      </w:r>
    </w:p>
    <w:p>
      <w:pPr>
        <w:ind w:left="340" w:right="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340" w:right="28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50% of the ownership of this property is in a "downreit" partnership, of which a wholly owned subsidiary of the Trust is the sole general partner, with third party partners holding operating partnership units.</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preliminary allocation of the purchase price has been made and will be finalized after various valuation studies are complete.</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Trust has a 70% ownership interest in the property.</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four properties, three owned 100% by the Trust and one in which the Trust has a 90% ownership interest.</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Trust has a 90% ownership interest in the property.</w:t>
      </w:r>
    </w:p>
    <w:p>
      <w:pPr>
        <w:ind w:left="340" w:hanging="332"/>
        <w:spacing w:after="0" w:line="22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nine properties, eight owned 100% by the Trust and one in which the Trust has a 90% ownership interest.</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Trust sold its interest in 2 out of 3 buildings at this project subsequent to September 30, 2007.</w:t>
      </w:r>
    </w:p>
    <w:p>
      <w:pPr>
        <w:sectPr>
          <w:pgSz w:w="11900" w:h="16838" w:orient="portrait"/>
          <w:cols w:equalWidth="0" w:num="1">
            <w:col w:w="11420"/>
          </w:cols>
          <w:pgMar w:left="240" w:top="262" w:right="239" w:bottom="1440" w:gutter="0" w:footer="0" w:header="0"/>
        </w:sectPr>
      </w:pPr>
    </w:p>
    <w:bookmarkStart w:id="22" w:name="page23"/>
    <w:bookmarkEnd w:id="2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Cash Basis</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 of Comparable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 Increase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Basis % Increase</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8"/>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1"/>
              </w:rPr>
              <w:t>Leases Signed</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3"/>
              </w:rPr>
              <w:t>Leases Signed</w:t>
            </w:r>
          </w:p>
        </w:tc>
        <w:tc>
          <w:tcPr>
            <w:tcW w:w="72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4"/>
                <w:szCs w:val="14"/>
                <w:color w:val="auto"/>
              </w:rPr>
            </w:pPr>
          </w:p>
        </w:tc>
        <w:tc>
          <w:tcPr>
            <w:tcW w:w="840" w:type="dxa"/>
            <w:vAlign w:val="bottom"/>
            <w:gridSpan w:val="5"/>
          </w:tcPr>
          <w:p>
            <w:pPr>
              <w:ind w:left="80"/>
              <w:spacing w:after="0"/>
              <w:rPr>
                <w:sz w:val="20"/>
                <w:szCs w:val="20"/>
                <w:color w:val="auto"/>
              </w:rPr>
            </w:pPr>
            <w:r>
              <w:rPr>
                <w:rFonts w:ascii="Arial" w:cs="Arial" w:eastAsia="Arial" w:hAnsi="Arial"/>
                <w:sz w:val="14"/>
                <w:szCs w:val="14"/>
                <w:b w:val="1"/>
                <w:bCs w:val="1"/>
                <w:color w:val="auto"/>
              </w:rPr>
              <w:t>Per Sq. Ft.</w:t>
            </w:r>
          </w:p>
        </w:tc>
        <w:tc>
          <w:tcPr>
            <w:tcW w:w="20" w:type="dxa"/>
            <w:vAlign w:val="bottom"/>
          </w:tcPr>
          <w:p>
            <w:pPr>
              <w:spacing w:after="0"/>
              <w:rPr>
                <w:sz w:val="14"/>
                <w:szCs w:val="14"/>
                <w:color w:val="auto"/>
              </w:rPr>
            </w:pPr>
          </w:p>
        </w:tc>
        <w:tc>
          <w:tcPr>
            <w:tcW w:w="2160" w:type="dxa"/>
            <w:vAlign w:val="bottom"/>
            <w:gridSpan w:val="8"/>
          </w:tcPr>
          <w:p>
            <w:pPr>
              <w:ind w:left="20"/>
              <w:spacing w:after="0"/>
              <w:rPr>
                <w:sz w:val="20"/>
                <w:szCs w:val="20"/>
                <w:color w:val="auto"/>
              </w:rPr>
            </w:pPr>
            <w:r>
              <w:rPr>
                <w:rFonts w:ascii="Arial" w:cs="Arial" w:eastAsia="Arial" w:hAnsi="Arial"/>
                <w:sz w:val="14"/>
                <w:szCs w:val="14"/>
                <w:b w:val="1"/>
                <w:bCs w:val="1"/>
                <w:color w:val="auto"/>
                <w:w w:val="98"/>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Lease Term (5)</w:t>
            </w:r>
          </w:p>
        </w:tc>
        <w:tc>
          <w:tcPr>
            <w:tcW w:w="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0"/>
              </w:rPr>
              <w:t>&amp; Incentives (6)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3rd</w:t>
            </w: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410,312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23.36</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1,519,764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3,071,510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340,579</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26.70</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22.52</w:t>
            </w:r>
          </w:p>
        </w:tc>
        <w:tc>
          <w:tcPr>
            <w:tcW w:w="4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1,423,650</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4,799,408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1st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333,563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29.18</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1,532,269</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2,988,801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4th</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2006</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304,036</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w:t>
            </w:r>
            <w:r>
              <w:rPr>
                <w:rFonts w:ascii="Arial" w:cs="Arial" w:eastAsia="Arial" w:hAnsi="Arial"/>
                <w:sz w:val="18"/>
                <w:szCs w:val="18"/>
                <w:u w:val="single" w:color="auto"/>
                <w:color w:val="auto"/>
                <w:w w:val="97"/>
              </w:rPr>
              <w:t>72</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22.80</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1,192,428</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985,306</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Total—12</w:t>
            </w: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months</w:t>
            </w:r>
          </w:p>
        </w:tc>
        <w:tc>
          <w:tcPr>
            <w:tcW w:w="8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1,388,490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w:t>
            </w:r>
            <w:r>
              <w:rPr>
                <w:rFonts w:ascii="Arial" w:cs="Arial" w:eastAsia="Arial" w:hAnsi="Arial"/>
                <w:sz w:val="18"/>
                <w:szCs w:val="18"/>
                <w:u w:val="single" w:color="auto"/>
                <w:color w:val="auto"/>
                <w:w w:val="97"/>
              </w:rPr>
              <w:t>31</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5,668,111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$ 11,845,025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060" w:type="dxa"/>
            <w:vAlign w:val="bottom"/>
            <w:gridSpan w:val="13"/>
          </w:tcPr>
          <w:p>
            <w:pPr>
              <w:spacing w:after="0"/>
              <w:rPr>
                <w:sz w:val="20"/>
                <w:szCs w:val="20"/>
                <w:color w:val="auto"/>
              </w:rPr>
            </w:pPr>
            <w:r>
              <w:rPr>
                <w:rFonts w:ascii="Arial" w:cs="Arial" w:eastAsia="Arial" w:hAnsi="Arial"/>
                <w:sz w:val="18"/>
                <w:szCs w:val="18"/>
                <w:b w:val="1"/>
                <w:bCs w:val="1"/>
                <w:color w:val="auto"/>
                <w:w w:val="92"/>
              </w:rPr>
              <w:t>New Lease Summary—Comparable (2)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Cash Basis</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 of Comparable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 Increase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Basis % Increase</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8"/>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1"/>
              </w:rPr>
              <w:t>Leases Signed</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3"/>
              </w:rPr>
              <w:t>Leases Signed</w:t>
            </w:r>
          </w:p>
        </w:tc>
        <w:tc>
          <w:tcPr>
            <w:tcW w:w="72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4"/>
                <w:szCs w:val="14"/>
                <w:color w:val="auto"/>
              </w:rPr>
            </w:pPr>
          </w:p>
        </w:tc>
        <w:tc>
          <w:tcPr>
            <w:tcW w:w="840" w:type="dxa"/>
            <w:vAlign w:val="bottom"/>
            <w:gridSpan w:val="5"/>
          </w:tcPr>
          <w:p>
            <w:pPr>
              <w:ind w:left="80"/>
              <w:spacing w:after="0"/>
              <w:rPr>
                <w:sz w:val="20"/>
                <w:szCs w:val="20"/>
                <w:color w:val="auto"/>
              </w:rPr>
            </w:pPr>
            <w:r>
              <w:rPr>
                <w:rFonts w:ascii="Arial" w:cs="Arial" w:eastAsia="Arial" w:hAnsi="Arial"/>
                <w:sz w:val="14"/>
                <w:szCs w:val="14"/>
                <w:b w:val="1"/>
                <w:bCs w:val="1"/>
                <w:color w:val="auto"/>
              </w:rPr>
              <w:t>Per Sq. Ft.</w:t>
            </w:r>
          </w:p>
        </w:tc>
        <w:tc>
          <w:tcPr>
            <w:tcW w:w="20" w:type="dxa"/>
            <w:vAlign w:val="bottom"/>
          </w:tcPr>
          <w:p>
            <w:pPr>
              <w:spacing w:after="0"/>
              <w:rPr>
                <w:sz w:val="14"/>
                <w:szCs w:val="14"/>
                <w:color w:val="auto"/>
              </w:rPr>
            </w:pPr>
          </w:p>
        </w:tc>
        <w:tc>
          <w:tcPr>
            <w:tcW w:w="2160" w:type="dxa"/>
            <w:vAlign w:val="bottom"/>
            <w:gridSpan w:val="8"/>
          </w:tcPr>
          <w:p>
            <w:pPr>
              <w:ind w:left="20"/>
              <w:spacing w:after="0"/>
              <w:rPr>
                <w:sz w:val="20"/>
                <w:szCs w:val="20"/>
                <w:color w:val="auto"/>
              </w:rPr>
            </w:pPr>
            <w:r>
              <w:rPr>
                <w:rFonts w:ascii="Arial" w:cs="Arial" w:eastAsia="Arial" w:hAnsi="Arial"/>
                <w:sz w:val="14"/>
                <w:szCs w:val="14"/>
                <w:b w:val="1"/>
                <w:bCs w:val="1"/>
                <w:color w:val="auto"/>
                <w:w w:val="98"/>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Lease Term (5)</w:t>
            </w:r>
          </w:p>
        </w:tc>
        <w:tc>
          <w:tcPr>
            <w:tcW w:w="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0"/>
              </w:rPr>
              <w:t>&amp; Incentives (6)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3rd</w:t>
            </w: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199,685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21.79</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578,760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3,038,080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194,278</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24.01</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19.81</w:t>
            </w:r>
          </w:p>
        </w:tc>
        <w:tc>
          <w:tcPr>
            <w:tcW w:w="4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815,119</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4,774,408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1st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160,286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32.46</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997,918</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2,937,651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4th</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2006</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99,787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w:t>
            </w:r>
            <w:r>
              <w:rPr>
                <w:rFonts w:ascii="Arial" w:cs="Arial" w:eastAsia="Arial" w:hAnsi="Arial"/>
                <w:sz w:val="18"/>
                <w:szCs w:val="18"/>
                <w:u w:val="single" w:color="auto"/>
                <w:color w:val="auto"/>
                <w:w w:val="97"/>
              </w:rPr>
              <w:t>58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21.73</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383,822</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973,406</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Total—12</w:t>
            </w: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months</w:t>
            </w:r>
          </w:p>
        </w:tc>
        <w:tc>
          <w:tcPr>
            <w:tcW w:w="8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654,036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w:t>
            </w:r>
            <w:r>
              <w:rPr>
                <w:rFonts w:ascii="Arial" w:cs="Arial" w:eastAsia="Arial" w:hAnsi="Arial"/>
                <w:sz w:val="18"/>
                <w:szCs w:val="18"/>
                <w:u w:val="single" w:color="auto"/>
                <w:color w:val="auto"/>
                <w:w w:val="97"/>
              </w:rPr>
              <w:t>64</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2,775,619</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$ 11,723,545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660" w:type="dxa"/>
            <w:vAlign w:val="bottom"/>
            <w:gridSpan w:val="16"/>
          </w:tcPr>
          <w:p>
            <w:pPr>
              <w:spacing w:after="0"/>
              <w:rPr>
                <w:sz w:val="20"/>
                <w:szCs w:val="20"/>
                <w:color w:val="auto"/>
              </w:rPr>
            </w:pPr>
            <w:r>
              <w:rPr>
                <w:rFonts w:ascii="Arial" w:cs="Arial" w:eastAsia="Arial" w:hAnsi="Arial"/>
                <w:sz w:val="18"/>
                <w:szCs w:val="18"/>
                <w:b w:val="1"/>
                <w:bCs w:val="1"/>
                <w:color w:val="auto"/>
                <w:w w:val="92"/>
              </w:rPr>
              <w:t>Renewal Lease Summary—Comparable (2) (7)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Cash Basis</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 of Comparable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 Increase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Basis% Increase</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8"/>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1"/>
              </w:rPr>
              <w:t>Leases Signed</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3"/>
              </w:rPr>
              <w:t>Leases Signed</w:t>
            </w:r>
          </w:p>
        </w:tc>
        <w:tc>
          <w:tcPr>
            <w:tcW w:w="72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4"/>
                <w:szCs w:val="14"/>
                <w:color w:val="auto"/>
              </w:rPr>
            </w:pPr>
          </w:p>
        </w:tc>
        <w:tc>
          <w:tcPr>
            <w:tcW w:w="840" w:type="dxa"/>
            <w:vAlign w:val="bottom"/>
            <w:gridSpan w:val="5"/>
          </w:tcPr>
          <w:p>
            <w:pPr>
              <w:ind w:left="80"/>
              <w:spacing w:after="0"/>
              <w:rPr>
                <w:sz w:val="20"/>
                <w:szCs w:val="20"/>
                <w:color w:val="auto"/>
              </w:rPr>
            </w:pPr>
            <w:r>
              <w:rPr>
                <w:rFonts w:ascii="Arial" w:cs="Arial" w:eastAsia="Arial" w:hAnsi="Arial"/>
                <w:sz w:val="14"/>
                <w:szCs w:val="14"/>
                <w:b w:val="1"/>
                <w:bCs w:val="1"/>
                <w:color w:val="auto"/>
              </w:rPr>
              <w:t>Per Sq. Ft.</w:t>
            </w:r>
          </w:p>
        </w:tc>
        <w:tc>
          <w:tcPr>
            <w:tcW w:w="20" w:type="dxa"/>
            <w:vAlign w:val="bottom"/>
          </w:tcPr>
          <w:p>
            <w:pPr>
              <w:spacing w:after="0"/>
              <w:rPr>
                <w:sz w:val="14"/>
                <w:szCs w:val="14"/>
                <w:color w:val="auto"/>
              </w:rPr>
            </w:pPr>
          </w:p>
        </w:tc>
        <w:tc>
          <w:tcPr>
            <w:tcW w:w="2160" w:type="dxa"/>
            <w:vAlign w:val="bottom"/>
            <w:gridSpan w:val="8"/>
          </w:tcPr>
          <w:p>
            <w:pPr>
              <w:ind w:left="20"/>
              <w:spacing w:after="0"/>
              <w:rPr>
                <w:sz w:val="20"/>
                <w:szCs w:val="20"/>
                <w:color w:val="auto"/>
              </w:rPr>
            </w:pPr>
            <w:r>
              <w:rPr>
                <w:rFonts w:ascii="Arial" w:cs="Arial" w:eastAsia="Arial" w:hAnsi="Arial"/>
                <w:sz w:val="14"/>
                <w:szCs w:val="14"/>
                <w:b w:val="1"/>
                <w:bCs w:val="1"/>
                <w:color w:val="auto"/>
                <w:w w:val="98"/>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Lease Term (5)</w:t>
            </w:r>
          </w:p>
        </w:tc>
        <w:tc>
          <w:tcPr>
            <w:tcW w:w="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0"/>
              </w:rPr>
              <w:t>&amp; Incentives (6)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3rd</w:t>
            </w: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210,627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24.85</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941,004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33,430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146,301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30.27</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26.11</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608,531</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1st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173,277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26.15</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534,351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51,150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4th</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85"/>
              </w:rPr>
              <w:t>Quarter</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2006</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204,249</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w:t>
            </w:r>
            <w:r>
              <w:rPr>
                <w:rFonts w:ascii="Arial" w:cs="Arial" w:eastAsia="Arial" w:hAnsi="Arial"/>
                <w:sz w:val="18"/>
                <w:szCs w:val="18"/>
                <w:u w:val="single" w:color="auto"/>
                <w:color w:val="auto"/>
                <w:w w:val="97"/>
              </w:rPr>
              <w:t>28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23.33</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808,606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11,900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Total—12</w:t>
            </w: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months</w:t>
            </w:r>
          </w:p>
        </w:tc>
        <w:tc>
          <w:tcPr>
            <w:tcW w:w="8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734,454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w:t>
            </w:r>
            <w:r>
              <w:rPr>
                <w:rFonts w:ascii="Arial" w:cs="Arial" w:eastAsia="Arial" w:hAnsi="Arial"/>
                <w:sz w:val="18"/>
                <w:szCs w:val="18"/>
                <w:u w:val="single" w:color="auto"/>
                <w:color w:val="auto"/>
                <w:w w:val="97"/>
              </w:rPr>
              <w:t>91</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2,892,492</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121,480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20" w:type="dxa"/>
            <w:vAlign w:val="bottom"/>
            <w:gridSpan w:val="22"/>
          </w:tcPr>
          <w:p>
            <w:pPr>
              <w:spacing w:after="0"/>
              <w:rPr>
                <w:sz w:val="20"/>
                <w:szCs w:val="20"/>
                <w:color w:val="auto"/>
              </w:rPr>
            </w:pPr>
            <w:r>
              <w:rPr>
                <w:rFonts w:ascii="Arial" w:cs="Arial" w:eastAsia="Arial" w:hAnsi="Arial"/>
                <w:sz w:val="18"/>
                <w:szCs w:val="18"/>
                <w:b w:val="1"/>
                <w:bCs w:val="1"/>
                <w:color w:val="auto"/>
                <w:w w:val="92"/>
              </w:rPr>
              <w:t>Total Lease Summary—Comparable and Non-comparable (2)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7"/>
              </w:rPr>
              <w:t>Tenant</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120" w:type="dxa"/>
            <w:vAlign w:val="bottom"/>
          </w:tcPr>
          <w:p>
            <w:pPr>
              <w:spacing w:after="0"/>
              <w:rPr>
                <w:sz w:val="12"/>
                <w:szCs w:val="12"/>
                <w:color w:val="auto"/>
              </w:rPr>
            </w:pPr>
          </w:p>
        </w:tc>
        <w:tc>
          <w:tcPr>
            <w:tcW w:w="152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Rent (3)</w:t>
            </w: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92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120" w:type="dxa"/>
            <w:vAlign w:val="bottom"/>
          </w:tcPr>
          <w:p>
            <w:pPr>
              <w:spacing w:after="0"/>
              <w:rPr>
                <w:sz w:val="12"/>
                <w:szCs w:val="12"/>
                <w:color w:val="auto"/>
              </w:rPr>
            </w:pPr>
          </w:p>
        </w:tc>
        <w:tc>
          <w:tcPr>
            <w:tcW w:w="152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79"/>
              </w:rPr>
              <w:t>Leases Signed</w:t>
            </w: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2"/>
              </w:rPr>
              <w:t>GLA Signed</w:t>
            </w:r>
          </w:p>
        </w:tc>
        <w:tc>
          <w:tcPr>
            <w:tcW w:w="80" w:type="dxa"/>
            <w:vAlign w:val="bottom"/>
          </w:tcPr>
          <w:p>
            <w:pPr>
              <w:spacing w:after="0"/>
              <w:rPr>
                <w:sz w:val="14"/>
                <w:szCs w:val="14"/>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Per Sq. Ft.</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Lease Term (5)</w:t>
            </w:r>
          </w:p>
        </w:tc>
        <w:tc>
          <w:tcPr>
            <w:tcW w:w="140" w:type="dxa"/>
            <w:vAlign w:val="bottom"/>
          </w:tcPr>
          <w:p>
            <w:pPr>
              <w:spacing w:after="0"/>
              <w:rPr>
                <w:sz w:val="14"/>
                <w:szCs w:val="14"/>
                <w:color w:val="auto"/>
              </w:rPr>
            </w:pPr>
          </w:p>
        </w:tc>
        <w:tc>
          <w:tcPr>
            <w:tcW w:w="920" w:type="dxa"/>
            <w:vAlign w:val="bottom"/>
            <w:gridSpan w:val="6"/>
          </w:tcPr>
          <w:p>
            <w:pPr>
              <w:spacing w:after="0"/>
              <w:rPr>
                <w:sz w:val="20"/>
                <w:szCs w:val="20"/>
                <w:color w:val="auto"/>
              </w:rPr>
            </w:pPr>
            <w:r>
              <w:rPr>
                <w:rFonts w:ascii="Arial" w:cs="Arial" w:eastAsia="Arial" w:hAnsi="Arial"/>
                <w:sz w:val="14"/>
                <w:szCs w:val="14"/>
                <w:b w:val="1"/>
                <w:bCs w:val="1"/>
                <w:color w:val="auto"/>
                <w:w w:val="86"/>
              </w:rPr>
              <w:t>&amp; Incentives (6)</w:t>
            </w:r>
          </w:p>
        </w:tc>
        <w:tc>
          <w:tcPr>
            <w:tcW w:w="120" w:type="dxa"/>
            <w:vAlign w:val="bottom"/>
          </w:tcPr>
          <w:p>
            <w:pPr>
              <w:spacing w:after="0"/>
              <w:rPr>
                <w:sz w:val="14"/>
                <w:szCs w:val="14"/>
                <w:color w:val="auto"/>
              </w:rPr>
            </w:pPr>
          </w:p>
        </w:tc>
        <w:tc>
          <w:tcPr>
            <w:tcW w:w="15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9"/>
              </w:rPr>
              <w:t>Per Sq. Ft.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3rd Quarter 2007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442,942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24.35</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1"/>
              </w:rPr>
              <w:t>7.6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4,613,426</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rPr>
              <w:t>2nd Quarter 2007</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378,337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28.39</w:t>
            </w:r>
          </w:p>
        </w:tc>
        <w:tc>
          <w:tcPr>
            <w:tcW w:w="4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1"/>
              </w:rPr>
              <w:t>7.3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99"/>
              </w:rPr>
              <w:t>6,752,914</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1st Quarter 2007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394,695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29.04</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1"/>
              </w:rPr>
              <w:t>7.1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9"/>
              </w:rPr>
              <w:t>4,358,045</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w w:val="98"/>
              </w:rPr>
              <w:t>4th Quarter 2006</w:t>
            </w:r>
          </w:p>
        </w:tc>
        <w:tc>
          <w:tcPr>
            <w:tcW w:w="320" w:type="dxa"/>
            <w:vAlign w:val="bottom"/>
            <w:gridSpan w:val="2"/>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320,655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27.36</w:t>
            </w:r>
          </w:p>
        </w:tc>
        <w:tc>
          <w:tcPr>
            <w:tcW w:w="4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1"/>
              </w:rPr>
              <w:t>6.3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99"/>
              </w:rPr>
              <w:t>2,198,145</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7"/>
              </w:rPr>
              <w:t>1,536,629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27.18</w:t>
            </w:r>
          </w:p>
        </w:tc>
        <w:tc>
          <w:tcPr>
            <w:tcW w:w="4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1"/>
              </w:rPr>
              <w:t>7.1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8"/>
              </w:rPr>
              <w:t>17,922,530</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4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80"/>
          </w:cols>
          <w:pgMar w:left="240" w:top="274" w:right="179" w:bottom="0" w:gutter="0" w:footer="0" w:header="0"/>
        </w:sectPr>
      </w:pPr>
    </w:p>
    <w:bookmarkStart w:id="23" w:name="page24"/>
    <w:bookmarkEnd w:id="23"/>
    <w:p>
      <w:pPr>
        <w:ind w:left="220"/>
        <w:spacing w:after="0"/>
        <w:rPr>
          <w:sz w:val="20"/>
          <w:szCs w:val="20"/>
          <w:color w:val="auto"/>
        </w:rPr>
      </w:pPr>
      <w:r>
        <w:rPr>
          <w:rFonts w:ascii="Arial" w:cs="Arial" w:eastAsia="Arial" w:hAnsi="Arial"/>
          <w:sz w:val="18"/>
          <w:szCs w:val="18"/>
          <w:color w:val="auto"/>
        </w:rPr>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434784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6000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Prior rent represents minimum rent and percentage rent, if any, paid by the prior tenant in the final 12 months of the term.</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Renewal leases represent expiring leases rolling over with the same tenant in the same location. All other leases are categorized as new.</w:t>
      </w:r>
    </w:p>
    <w:p>
      <w:pPr>
        <w:sectPr>
          <w:pgSz w:w="11900" w:h="16838" w:orient="portrait"/>
          <w:cols w:equalWidth="0" w:num="1">
            <w:col w:w="10219"/>
          </w:cols>
          <w:pgMar w:left="240" w:top="131"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Anchor Tenants (1)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Year</w:t>
            </w:r>
          </w:p>
        </w:tc>
        <w:tc>
          <w:tcPr>
            <w:tcW w:w="24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Expiring SF</w:t>
            </w:r>
          </w:p>
        </w:tc>
        <w:tc>
          <w:tcPr>
            <w:tcW w:w="2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Anchor SF</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9"/>
              </w:rPr>
              <w:t>PSF (2)</w:t>
            </w: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Expiring SF</w:t>
            </w:r>
          </w:p>
        </w:tc>
        <w:tc>
          <w:tcPr>
            <w:tcW w:w="7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2008</w:t>
            </w:r>
          </w:p>
        </w:tc>
        <w:tc>
          <w:tcPr>
            <w:tcW w:w="780" w:type="dxa"/>
            <w:vAlign w:val="bottom"/>
          </w:tcPr>
          <w:p>
            <w:pPr>
              <w:jc w:val="right"/>
              <w:spacing w:after="0"/>
              <w:rPr>
                <w:sz w:val="20"/>
                <w:szCs w:val="20"/>
                <w:color w:val="auto"/>
              </w:rPr>
            </w:pPr>
            <w:r>
              <w:rPr>
                <w:rFonts w:ascii="Arial" w:cs="Arial" w:eastAsia="Arial" w:hAnsi="Arial"/>
                <w:sz w:val="18"/>
                <w:szCs w:val="18"/>
                <w:color w:val="auto"/>
              </w:rPr>
              <w:t>695,000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820,000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22.85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1,515,000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1,143,000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1,069,000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2,212,000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2010</w:t>
            </w:r>
          </w:p>
        </w:tc>
        <w:tc>
          <w:tcPr>
            <w:tcW w:w="780" w:type="dxa"/>
            <w:vAlign w:val="bottom"/>
          </w:tcPr>
          <w:p>
            <w:pPr>
              <w:jc w:val="right"/>
              <w:spacing w:after="0"/>
              <w:rPr>
                <w:sz w:val="20"/>
                <w:szCs w:val="20"/>
                <w:color w:val="auto"/>
              </w:rPr>
            </w:pPr>
            <w:r>
              <w:rPr>
                <w:rFonts w:ascii="Arial" w:cs="Arial" w:eastAsia="Arial" w:hAnsi="Arial"/>
                <w:sz w:val="18"/>
                <w:szCs w:val="18"/>
                <w:color w:val="auto"/>
              </w:rPr>
              <w:t>644,000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965,000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26.89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1,609,000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1,188,000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1,850,000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1,170,000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11.17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990,000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29.93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2,161,000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1,483,000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2014</w:t>
            </w:r>
          </w:p>
        </w:tc>
        <w:tc>
          <w:tcPr>
            <w:tcW w:w="780" w:type="dxa"/>
            <w:vAlign w:val="bottom"/>
          </w:tcPr>
          <w:p>
            <w:pPr>
              <w:jc w:val="right"/>
              <w:spacing w:after="0"/>
              <w:rPr>
                <w:sz w:val="20"/>
                <w:szCs w:val="20"/>
                <w:color w:val="auto"/>
              </w:rPr>
            </w:pPr>
            <w:r>
              <w:rPr>
                <w:rFonts w:ascii="Arial" w:cs="Arial" w:eastAsia="Arial" w:hAnsi="Arial"/>
                <w:sz w:val="18"/>
                <w:szCs w:val="18"/>
                <w:color w:val="auto"/>
              </w:rPr>
              <w:t>861,000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18.25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347,000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35.47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1,208,000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367,000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jc w:val="right"/>
              <w:spacing w:after="0"/>
              <w:rPr>
                <w:sz w:val="20"/>
                <w:szCs w:val="20"/>
                <w:color w:val="auto"/>
              </w:rPr>
            </w:pPr>
            <w:r>
              <w:rPr>
                <w:rFonts w:ascii="Arial" w:cs="Arial" w:eastAsia="Arial" w:hAnsi="Arial"/>
                <w:sz w:val="18"/>
                <w:szCs w:val="18"/>
                <w:color w:val="auto"/>
              </w:rPr>
              <w:t>388,000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18.68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485,000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28.67</w:t>
            </w:r>
          </w:p>
        </w:tc>
        <w:tc>
          <w:tcPr>
            <w:tcW w:w="780" w:type="dxa"/>
            <w:vAlign w:val="bottom"/>
          </w:tcPr>
          <w:p>
            <w:pPr>
              <w:jc w:val="right"/>
              <w:spacing w:after="0"/>
              <w:rPr>
                <w:sz w:val="20"/>
                <w:szCs w:val="20"/>
                <w:color w:val="auto"/>
              </w:rPr>
            </w:pPr>
            <w:r>
              <w:rPr>
                <w:rFonts w:ascii="Arial" w:cs="Arial" w:eastAsia="Arial" w:hAnsi="Arial"/>
                <w:sz w:val="18"/>
                <w:szCs w:val="18"/>
                <w:color w:val="auto"/>
              </w:rPr>
              <w:t>873,000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1520"/>
              <w:spacing w:after="0"/>
              <w:rPr>
                <w:sz w:val="20"/>
                <w:szCs w:val="20"/>
                <w:color w:val="auto"/>
              </w:rPr>
            </w:pPr>
            <w:r>
              <w:rPr>
                <w:rFonts w:ascii="Arial" w:cs="Arial" w:eastAsia="Arial" w:hAnsi="Arial"/>
                <w:sz w:val="18"/>
                <w:szCs w:val="18"/>
                <w:b w:val="1"/>
                <w:bCs w:val="1"/>
                <w:color w:val="auto"/>
                <w:w w:val="88"/>
              </w:rPr>
              <w:t>Thereafter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3,510,000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4,219,000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gridSpan w:val="3"/>
            <w:vMerge w:val="restart"/>
          </w:tcPr>
          <w:p>
            <w:pPr>
              <w:jc w:val="right"/>
              <w:ind w:right="1520"/>
              <w:spacing w:after="0"/>
              <w:rPr>
                <w:sz w:val="20"/>
                <w:szCs w:val="20"/>
                <w:color w:val="auto"/>
              </w:rPr>
            </w:pPr>
            <w:r>
              <w:rPr>
                <w:rFonts w:ascii="Arial" w:cs="Arial" w:eastAsia="Arial" w:hAnsi="Arial"/>
                <w:sz w:val="18"/>
                <w:szCs w:val="18"/>
                <w:b w:val="1"/>
                <w:bCs w:val="1"/>
                <w:color w:val="auto"/>
              </w:rPr>
              <w:t>Total (3)</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10,697,000</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7,752,000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27.95</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18,449,000</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120" w:type="dxa"/>
            <w:vAlign w:val="bottom"/>
            <w:gridSpan w:val="5"/>
          </w:tcPr>
          <w:p>
            <w:pPr>
              <w:jc w:val="right"/>
              <w:ind w:right="134"/>
              <w:spacing w:after="0"/>
              <w:rPr>
                <w:sz w:val="20"/>
                <w:szCs w:val="20"/>
                <w:color w:val="auto"/>
              </w:rPr>
            </w:pPr>
            <w:r>
              <w:rPr>
                <w:rFonts w:ascii="Arial" w:cs="Arial" w:eastAsia="Arial" w:hAnsi="Arial"/>
                <w:sz w:val="18"/>
                <w:szCs w:val="18"/>
                <w:b w:val="1"/>
                <w:bCs w:val="1"/>
                <w:color w:val="auto"/>
                <w:w w:val="83"/>
              </w:rPr>
              <w:t>Assumes all lease options are exercised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Anchor Tenants (1)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Year</w:t>
            </w:r>
          </w:p>
        </w:tc>
        <w:tc>
          <w:tcPr>
            <w:tcW w:w="240" w:type="dxa"/>
            <w:vAlign w:val="bottom"/>
            <w:vMerge w:val="restart"/>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Expiring SF</w:t>
            </w:r>
          </w:p>
        </w:tc>
        <w:tc>
          <w:tcPr>
            <w:tcW w:w="2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Anchor SF</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9"/>
              </w:rPr>
              <w:t>PSF (2)</w:t>
            </w: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Expiring SF</w:t>
            </w:r>
          </w:p>
        </w:tc>
        <w:tc>
          <w:tcPr>
            <w:tcW w:w="7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220,000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2008</w:t>
            </w:r>
          </w:p>
        </w:tc>
        <w:tc>
          <w:tcPr>
            <w:tcW w:w="780" w:type="dxa"/>
            <w:vAlign w:val="bottom"/>
          </w:tcPr>
          <w:p>
            <w:pPr>
              <w:jc w:val="right"/>
              <w:spacing w:after="0"/>
              <w:rPr>
                <w:sz w:val="20"/>
                <w:szCs w:val="20"/>
                <w:color w:val="auto"/>
              </w:rPr>
            </w:pPr>
            <w:r>
              <w:rPr>
                <w:rFonts w:ascii="Arial" w:cs="Arial" w:eastAsia="Arial" w:hAnsi="Arial"/>
                <w:sz w:val="18"/>
                <w:szCs w:val="18"/>
                <w:color w:val="auto"/>
              </w:rPr>
              <w:t>361,000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563,000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23.04</w:t>
            </w:r>
          </w:p>
        </w:tc>
        <w:tc>
          <w:tcPr>
            <w:tcW w:w="780" w:type="dxa"/>
            <w:vAlign w:val="bottom"/>
          </w:tcPr>
          <w:p>
            <w:pPr>
              <w:jc w:val="right"/>
              <w:spacing w:after="0"/>
              <w:rPr>
                <w:sz w:val="20"/>
                <w:szCs w:val="20"/>
                <w:color w:val="auto"/>
              </w:rPr>
            </w:pPr>
            <w:r>
              <w:rPr>
                <w:rFonts w:ascii="Arial" w:cs="Arial" w:eastAsia="Arial" w:hAnsi="Arial"/>
                <w:sz w:val="18"/>
                <w:szCs w:val="18"/>
                <w:color w:val="auto"/>
              </w:rPr>
              <w:t>924,000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2010</w:t>
            </w:r>
          </w:p>
        </w:tc>
        <w:tc>
          <w:tcPr>
            <w:tcW w:w="780" w:type="dxa"/>
            <w:vAlign w:val="bottom"/>
          </w:tcPr>
          <w:p>
            <w:pPr>
              <w:jc w:val="right"/>
              <w:spacing w:after="0"/>
              <w:rPr>
                <w:sz w:val="20"/>
                <w:szCs w:val="20"/>
                <w:color w:val="auto"/>
              </w:rPr>
            </w:pPr>
            <w:r>
              <w:rPr>
                <w:rFonts w:ascii="Arial" w:cs="Arial" w:eastAsia="Arial" w:hAnsi="Arial"/>
                <w:sz w:val="18"/>
                <w:szCs w:val="18"/>
                <w:color w:val="auto"/>
              </w:rPr>
              <w:t>119,000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8.68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506,000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29.33</w:t>
            </w:r>
          </w:p>
        </w:tc>
        <w:tc>
          <w:tcPr>
            <w:tcW w:w="780" w:type="dxa"/>
            <w:vAlign w:val="bottom"/>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jc w:val="right"/>
              <w:spacing w:after="0"/>
              <w:rPr>
                <w:sz w:val="20"/>
                <w:szCs w:val="20"/>
                <w:color w:val="auto"/>
              </w:rPr>
            </w:pPr>
            <w:r>
              <w:rPr>
                <w:rFonts w:ascii="Arial" w:cs="Arial" w:eastAsia="Arial" w:hAnsi="Arial"/>
                <w:sz w:val="18"/>
                <w:szCs w:val="18"/>
                <w:color w:val="auto"/>
              </w:rPr>
              <w:t>256,000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607,000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30.36</w:t>
            </w:r>
          </w:p>
        </w:tc>
        <w:tc>
          <w:tcPr>
            <w:tcW w:w="780" w:type="dxa"/>
            <w:vAlign w:val="bottom"/>
          </w:tcPr>
          <w:p>
            <w:pPr>
              <w:jc w:val="right"/>
              <w:spacing w:after="0"/>
              <w:rPr>
                <w:sz w:val="20"/>
                <w:szCs w:val="20"/>
                <w:color w:val="auto"/>
              </w:rPr>
            </w:pPr>
            <w:r>
              <w:rPr>
                <w:rFonts w:ascii="Arial" w:cs="Arial" w:eastAsia="Arial" w:hAnsi="Arial"/>
                <w:sz w:val="18"/>
                <w:szCs w:val="18"/>
                <w:color w:val="auto"/>
              </w:rPr>
              <w:t>863,000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2014</w:t>
            </w:r>
          </w:p>
        </w:tc>
        <w:tc>
          <w:tcPr>
            <w:tcW w:w="780" w:type="dxa"/>
            <w:vAlign w:val="bottom"/>
          </w:tcPr>
          <w:p>
            <w:pPr>
              <w:jc w:val="right"/>
              <w:spacing w:after="0"/>
              <w:rPr>
                <w:sz w:val="20"/>
                <w:szCs w:val="20"/>
                <w:color w:val="auto"/>
              </w:rPr>
            </w:pPr>
            <w:r>
              <w:rPr>
                <w:rFonts w:ascii="Arial" w:cs="Arial" w:eastAsia="Arial" w:hAnsi="Arial"/>
                <w:sz w:val="18"/>
                <w:szCs w:val="18"/>
                <w:color w:val="auto"/>
              </w:rPr>
              <w:t>304,000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14.74</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475,000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29.31</w:t>
            </w:r>
          </w:p>
        </w:tc>
        <w:tc>
          <w:tcPr>
            <w:tcW w:w="780" w:type="dxa"/>
            <w:vAlign w:val="bottom"/>
          </w:tcPr>
          <w:p>
            <w:pPr>
              <w:jc w:val="right"/>
              <w:spacing w:after="0"/>
              <w:rPr>
                <w:sz w:val="20"/>
                <w:szCs w:val="20"/>
                <w:color w:val="auto"/>
              </w:rPr>
            </w:pPr>
            <w:r>
              <w:rPr>
                <w:rFonts w:ascii="Arial" w:cs="Arial" w:eastAsia="Arial" w:hAnsi="Arial"/>
                <w:sz w:val="18"/>
                <w:szCs w:val="18"/>
                <w:color w:val="auto"/>
              </w:rPr>
              <w:t>779,000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456,000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jc w:val="right"/>
              <w:spacing w:after="0"/>
              <w:rPr>
                <w:sz w:val="20"/>
                <w:szCs w:val="20"/>
                <w:color w:val="auto"/>
              </w:rPr>
            </w:pPr>
            <w:r>
              <w:rPr>
                <w:rFonts w:ascii="Arial" w:cs="Arial" w:eastAsia="Arial" w:hAnsi="Arial"/>
                <w:sz w:val="18"/>
                <w:szCs w:val="18"/>
                <w:color w:val="auto"/>
              </w:rPr>
              <w:t>146,000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19.87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441,000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29.63</w:t>
            </w:r>
          </w:p>
        </w:tc>
        <w:tc>
          <w:tcPr>
            <w:tcW w:w="780" w:type="dxa"/>
            <w:vAlign w:val="bottom"/>
          </w:tcPr>
          <w:p>
            <w:pPr>
              <w:jc w:val="right"/>
              <w:spacing w:after="0"/>
              <w:rPr>
                <w:sz w:val="20"/>
                <w:szCs w:val="20"/>
                <w:color w:val="auto"/>
              </w:rPr>
            </w:pPr>
            <w:r>
              <w:rPr>
                <w:rFonts w:ascii="Arial" w:cs="Arial" w:eastAsia="Arial" w:hAnsi="Arial"/>
                <w:sz w:val="18"/>
                <w:szCs w:val="18"/>
                <w:color w:val="auto"/>
              </w:rPr>
              <w:t>587,000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jc w:val="right"/>
              <w:ind w:right="1520"/>
              <w:spacing w:after="0"/>
              <w:rPr>
                <w:sz w:val="20"/>
                <w:szCs w:val="20"/>
                <w:color w:val="auto"/>
              </w:rPr>
            </w:pPr>
            <w:r>
              <w:rPr>
                <w:rFonts w:ascii="Arial" w:cs="Arial" w:eastAsia="Arial" w:hAnsi="Arial"/>
                <w:sz w:val="18"/>
                <w:szCs w:val="18"/>
                <w:b w:val="1"/>
                <w:bCs w:val="1"/>
                <w:color w:val="auto"/>
                <w:w w:val="88"/>
              </w:rPr>
              <w:t>Thereafter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8,872,000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14.03</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2,844,000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28.94</w:t>
            </w:r>
          </w:p>
        </w:tc>
        <w:tc>
          <w:tcPr>
            <w:tcW w:w="10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11,715,000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gridSpan w:val="3"/>
            <w:vMerge w:val="restart"/>
          </w:tcPr>
          <w:p>
            <w:pPr>
              <w:jc w:val="right"/>
              <w:ind w:right="1520"/>
              <w:spacing w:after="0"/>
              <w:rPr>
                <w:sz w:val="20"/>
                <w:szCs w:val="20"/>
                <w:color w:val="auto"/>
              </w:rPr>
            </w:pPr>
            <w:r>
              <w:rPr>
                <w:rFonts w:ascii="Arial" w:cs="Arial" w:eastAsia="Arial" w:hAnsi="Arial"/>
                <w:sz w:val="18"/>
                <w:szCs w:val="18"/>
                <w:b w:val="1"/>
                <w:bCs w:val="1"/>
                <w:color w:val="auto"/>
              </w:rPr>
              <w:t>Total (3)</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10,697,000</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7,752,000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27.95</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18,449,000</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September 30,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occupied square footage as of September 30, 2007.</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2"/>
              </w:rPr>
              <w:t>At September 30, 2007</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2"/>
              </w:rPr>
              <w:t>At September 30, 2006</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4"/>
            <w:vMerge w:val="continue"/>
          </w:tcPr>
          <w:p>
            <w:pPr>
              <w:spacing w:after="0"/>
              <w:rPr>
                <w:sz w:val="12"/>
                <w:szCs w:val="12"/>
                <w:color w:val="auto"/>
              </w:rPr>
            </w:pPr>
          </w:p>
        </w:tc>
        <w:tc>
          <w:tcPr>
            <w:tcW w:w="100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Size</w:t>
            </w: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5"/>
              </w:rPr>
              <w:t>Leased%</w:t>
            </w: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Leased%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19,507,000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18,808,000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18,550,000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18,049,000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412"/>
        </w:trPr>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w w:val="92"/>
              </w:rPr>
              <w:t>At September 30, 2007</w:t>
            </w: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w w:val="92"/>
              </w:rPr>
              <w:t>At September 30, 2006</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20" w:type="dxa"/>
            <w:vAlign w:val="bottom"/>
            <w:tcBorders>
              <w:bottom w:val="single" w:sz="8" w:color="auto"/>
            </w:tcBorders>
            <w:gridSpan w:val="4"/>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Borders>
              <w:bottom w:val="single" w:sz="8" w:color="auto"/>
            </w:tcBorders>
            <w:gridSpan w:val="4"/>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80" w:type="dxa"/>
            <w:vAlign w:val="bottom"/>
            <w:gridSpan w:val="4"/>
            <w:vMerge w:val="continue"/>
          </w:tcPr>
          <w:p>
            <w:pPr>
              <w:spacing w:after="0"/>
              <w:rPr>
                <w:sz w:val="12"/>
                <w:szCs w:val="12"/>
                <w:color w:val="auto"/>
              </w:rPr>
            </w:pPr>
          </w:p>
        </w:tc>
        <w:tc>
          <w:tcPr>
            <w:tcW w:w="100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Size</w:t>
            </w: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5"/>
              </w:rPr>
              <w:t>Leased%</w:t>
            </w: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Leased%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15,221,000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14,714,000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15,196,000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14,857,000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80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36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Overall portfolio statistics at September 30, 2007 and 2006 include Rollingwood, The Crest at Congressional and the residential rental units at Santana Row. Same center statistics at September 30, 2007 and 2006 include Rollingwood and The Crest at Congressional.</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Percentage of</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Tenant Name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32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Base Rent</w:t>
            </w: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Base Rent</w:t>
            </w: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Tenant GLA</w:t>
            </w: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Ahold USA, Inc.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10,362,000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752,000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Bed, Bath &amp; Beyond,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8,655,000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581,000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2.98%</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Gap, Inc., The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7,211,000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241,000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TJX Companies, The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6,820,000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1.87%</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589,000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3.02%</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Safeway,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481,000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Barnes &amp; Noble,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4,671,000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201,000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CVS Corporation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OPNET Technologies,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3,539,000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0.97%</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83,000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Staples,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0.94%</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Best Buy Stores, L.P.</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3,394,000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0.93%</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97,000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Kohl's Corporation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0.91%</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448,000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L.A. Fitness International LLC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3,212,000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0.88%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191,000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Supervalu (Acme/Sav-A-Lot/Star Mkt/Shoppers Food)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0.88%</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338,000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Wakefern Food Corporation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3,114,000</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0.86%</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232,000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Atlantic &amp; Pacific Tea Co</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0.83%</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277,000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Dollar Tree Stores,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2,966,000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0.81%</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211,000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Michaels Stores,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0.79%</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Home Depot,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2,832,000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0.78%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335,000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DSW</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0.76%</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Borders Group,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2,759,000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0.76%</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129,000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0.66%</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 Moore,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Wachovia Corporation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2,476,000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0.68%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58,000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0.30%</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Depot, Inc.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Ross Stores,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2,432,000</w:t>
            </w:r>
          </w:p>
        </w:tc>
        <w:tc>
          <w:tcPr>
            <w:tcW w:w="5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0.67%</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149,000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0.76%</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 Store, Inc., The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2,354,000</w:t>
            </w:r>
          </w:p>
        </w:tc>
        <w:tc>
          <w:tcPr>
            <w:tcW w:w="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0.65%</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Totals—Top 25 Tenants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101,644,000</w:t>
            </w:r>
          </w:p>
        </w:tc>
        <w:tc>
          <w:tcPr>
            <w:tcW w:w="56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27.94%</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6,409,000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32.88%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364,034,000(2)</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19,507,000(3)</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amounts related to leases these tenants have with our partnership with Clarion Lion Properties Fund.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September 30,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Event—Levin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1982 and 1988, Federal Realty entered into long-term participating master leases with Levin Properties. On October 26, 2007, Federal Realty completed a transaction with Levin related to these properties. A summary of this transaction follows. This information is presented to reflect the impact on our consolidated statement of financial position. Certain financial information has been presented taking into account that all of the Levin capital lease obligations have been terminated. As the Levin transaction has already occurred, Federal Realty believes this information is helpful to our investors in understanding the impact of the Levin transaction.</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Realty sold Levin the leasehold interests in six properties: Allwood, Blue Star, Brunswick, Clifton, Hamilton and Rutgers.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Realty acquired the fee interest in Mid-Pike Plaza and Huntington.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 completed by executing a 1031 tax-deferred exchange and Federal Realty paid Levin $17.2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 simplifies Federal Realty's balance sheet by eliminating $76.5 million of high interest rate capital lease obligations, thereby decreasing our leverage and improving our fixed charge coverage ratios.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5"/>
              </w:rPr>
              <w:t>As of</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September 30, 2007</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30"/>
        </w:trPr>
        <w:tc>
          <w:tcPr>
            <w:tcW w:w="96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6"/>
              </w:rPr>
              <w:t>Total Company</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9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Excluding</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Eight Levin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9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6"/>
              </w:rPr>
              <w:t>Properties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Difference</w:t>
            </w:r>
          </w:p>
        </w:tc>
        <w:tc>
          <w:tcPr>
            <w:tcW w:w="14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and debt information: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152,862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76,391</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$ 76,471</w:t>
            </w: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Weighted average effective interest rate on capital leases—including participation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431"/>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Total debt and capital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1,834,903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1,758,432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$ 76,471</w:t>
            </w:r>
          </w:p>
        </w:tc>
      </w:tr>
      <w:tr>
        <w:trPr>
          <w:trHeight w:val="217"/>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Weighted average effective interest rate on debt and capital leases—including participation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352"/>
        </w:trPr>
        <w:tc>
          <w:tcPr>
            <w:tcW w:w="9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6"/>
              </w:rPr>
              <w:t>Nine months ended</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1"/>
        </w:trPr>
        <w:tc>
          <w:tcPr>
            <w:tcW w:w="9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September 30, 2007</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96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Total Company</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9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Excluding</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Levin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9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Company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Amounts(b)</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Difference</w:t>
            </w: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Statistics: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dividends(a)</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2.47x</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2.64x</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0.17</w:t>
            </w:r>
          </w:p>
        </w:tc>
      </w:tr>
      <w:tr>
        <w:trPr>
          <w:trHeight w:val="210"/>
        </w:trPr>
        <w:tc>
          <w:tcPr>
            <w:tcW w:w="9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dividends(a)</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2.65x</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r>
      <w:tr>
        <w:trPr>
          <w:trHeight w:val="108"/>
        </w:trPr>
        <w:tc>
          <w:tcPr>
            <w:tcW w:w="960" w:type="dxa"/>
            <w:vAlign w:val="bottom"/>
            <w:tcBorders>
              <w:bottom w:val="single" w:sz="8" w:color="auto"/>
            </w:tcBorders>
          </w:tcPr>
          <w:p>
            <w:pPr>
              <w:spacing w:after="0"/>
              <w:rPr>
                <w:sz w:val="9"/>
                <w:szCs w:val="9"/>
                <w:color w:val="auto"/>
              </w:rPr>
            </w:pPr>
          </w:p>
        </w:tc>
        <w:tc>
          <w:tcPr>
            <w:tcW w:w="6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5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the portion of rent expense representing an interest factor. EBITDA includes $1.1 million in loss on sale of real estate for the nine months ended September 30, 2007. Adjusted EBITDA is reconciled to net income in the Glossary of Terms.</w:t>
      </w:r>
    </w:p>
    <w:p>
      <w:pPr>
        <w:spacing w:after="0" w:line="1"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the property operating income of the six Levin properties sold and the interest expense associated with all eight Levin capital lease obligations which were terminated.</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6"/>
              </w:rPr>
              <w:t>2007 Guidance</w:t>
            </w:r>
          </w:p>
        </w:tc>
      </w:tr>
      <w:tr>
        <w:trPr>
          <w:trHeight w:val="129"/>
        </w:trPr>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1360" w:type="dxa"/>
            <w:vAlign w:val="bottom"/>
            <w:tcBorders>
              <w:top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86"/>
              </w:rPr>
              <w:t>($ millions except per</w:t>
            </w:r>
          </w:p>
        </w:tc>
        <w:tc>
          <w:tcPr>
            <w:tcW w:w="6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6"/>
              </w:rPr>
              <w:t>share amounts) (1)</w:t>
            </w:r>
          </w:p>
        </w:tc>
      </w:tr>
      <w:tr>
        <w:trPr>
          <w:trHeight w:val="216"/>
        </w:trPr>
        <w:tc>
          <w:tcPr>
            <w:tcW w:w="46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Gain on sale of real estate (2)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6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9540" w:type="dxa"/>
            <w:vAlign w:val="bottom"/>
            <w:gridSpan w:val="3"/>
          </w:tcPr>
          <w:p>
            <w:pPr>
              <w:ind w:left="460"/>
              <w:spacing w:after="0"/>
              <w:rPr>
                <w:sz w:val="20"/>
                <w:szCs w:val="20"/>
                <w:color w:val="auto"/>
              </w:rPr>
            </w:pPr>
            <w:r>
              <w:rPr>
                <w:rFonts w:ascii="Arial" w:cs="Arial" w:eastAsia="Arial" w:hAnsi="Arial"/>
                <w:sz w:val="18"/>
                <w:szCs w:val="18"/>
                <w:color w:val="auto"/>
              </w:rPr>
              <w:t>Funds from operations available for common shareholders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$ 206</w:t>
            </w:r>
          </w:p>
        </w:tc>
        <w:tc>
          <w:tcPr>
            <w:tcW w:w="12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540" w:type="dxa"/>
            <w:vAlign w:val="bottom"/>
            <w:gridSpan w:val="3"/>
          </w:tcPr>
          <w:p>
            <w:pPr>
              <w:ind w:left="46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$ 3.62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3.64</w:t>
            </w:r>
          </w:p>
        </w:tc>
        <w:tc>
          <w:tcPr>
            <w:tcW w:w="60" w:type="dxa"/>
            <w:vAlign w:val="bottom"/>
          </w:tcPr>
          <w:p>
            <w:pPr>
              <w:spacing w:after="0"/>
              <w:rPr>
                <w:sz w:val="19"/>
                <w:szCs w:val="19"/>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5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includes a preliminary estimate for the gain on sale of real estate from properties sold in October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left="116"/>
              <w:spacing w:after="0"/>
              <w:rPr>
                <w:sz w:val="20"/>
                <w:szCs w:val="20"/>
                <w:color w:val="auto"/>
              </w:rPr>
            </w:pPr>
            <w:r>
              <w:rPr>
                <w:rFonts w:ascii="Arial" w:cs="Arial" w:eastAsia="Arial" w:hAnsi="Arial"/>
                <w:sz w:val="14"/>
                <w:szCs w:val="14"/>
                <w:b w:val="1"/>
                <w:bCs w:val="1"/>
                <w:color w:val="auto"/>
                <w:w w:val="86"/>
              </w:rPr>
              <w:t>2008 Guidance</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660" w:type="dxa"/>
            <w:vAlign w:val="bottom"/>
            <w:gridSpan w:val="7"/>
          </w:tcPr>
          <w:p>
            <w:pPr>
              <w:jc w:val="center"/>
              <w:spacing w:after="0" w:line="129" w:lineRule="exact"/>
              <w:rPr>
                <w:sz w:val="20"/>
                <w:szCs w:val="20"/>
                <w:color w:val="auto"/>
              </w:rPr>
            </w:pPr>
            <w:r>
              <w:rPr>
                <w:rFonts w:ascii="Arial" w:cs="Arial" w:eastAsia="Arial" w:hAnsi="Arial"/>
                <w:sz w:val="14"/>
                <w:szCs w:val="14"/>
                <w:b w:val="1"/>
                <w:bCs w:val="1"/>
                <w:color w:val="auto"/>
                <w:w w:val="85"/>
              </w:rPr>
              <w:t>($ millions except per 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5"/>
          </w:tcPr>
          <w:p>
            <w:pPr>
              <w:jc w:val="center"/>
              <w:ind w:left="96"/>
              <w:spacing w:after="0"/>
              <w:rPr>
                <w:sz w:val="20"/>
                <w:szCs w:val="20"/>
                <w:color w:val="auto"/>
              </w:rPr>
            </w:pPr>
            <w:r>
              <w:rPr>
                <w:rFonts w:ascii="Arial" w:cs="Arial" w:eastAsia="Arial" w:hAnsi="Arial"/>
                <w:sz w:val="14"/>
                <w:szCs w:val="14"/>
                <w:b w:val="1"/>
                <w:bCs w:val="1"/>
                <w:color w:val="auto"/>
                <w:w w:val="85"/>
              </w:rPr>
              <w:t>amounts) (1)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ind w:left="460"/>
              <w:spacing w:after="0"/>
              <w:rPr>
                <w:sz w:val="20"/>
                <w:szCs w:val="20"/>
                <w:color w:val="auto"/>
              </w:rPr>
            </w:pPr>
            <w:r>
              <w:rPr>
                <w:rFonts w:ascii="Arial" w:cs="Arial" w:eastAsia="Arial" w:hAnsi="Arial"/>
                <w:sz w:val="18"/>
                <w:szCs w:val="18"/>
                <w:color w:val="auto"/>
              </w:rPr>
              <w:t>Funds from operations available for common shareholders</w:t>
            </w: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vMerge w:val="restart"/>
          </w:tcPr>
          <w:p>
            <w:pPr>
              <w:ind w:left="80"/>
              <w:spacing w:after="0"/>
              <w:rPr>
                <w:sz w:val="20"/>
                <w:szCs w:val="20"/>
                <w:color w:val="auto"/>
              </w:rPr>
            </w:pPr>
            <w:r>
              <w:rPr>
                <w:rFonts w:ascii="Arial" w:cs="Arial" w:eastAsia="Arial" w:hAnsi="Arial"/>
                <w:sz w:val="18"/>
                <w:szCs w:val="18"/>
                <w:color w:val="auto"/>
              </w:rPr>
              <w:t>to</w:t>
            </w: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3"/>
            <w:vMerge w:val="continue"/>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3"/>
          </w:tcPr>
          <w:p>
            <w:pPr>
              <w:ind w:left="46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Individual items may not add up to total due to rounding.</w:t>
      </w:r>
    </w:p>
    <w:p>
      <w:pPr>
        <w:sectPr>
          <w:pgSz w:w="11900" w:h="16838" w:orient="portrait"/>
          <w:cols w:equalWidth="0" w:num="1">
            <w:col w:w="10960"/>
          </w:cols>
          <w:pgMar w:left="240" w:top="274" w:right="6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Clarion Lion Properties Fund</w:t>
      </w:r>
    </w:p>
    <w:p>
      <w:pPr>
        <w:sectPr>
          <w:pgSz w:w="11900" w:h="16838" w:orient="portrait"/>
          <w:cols w:equalWidth="0" w:num="1">
            <w:col w:w="10219"/>
          </w:cols>
          <w:pgMar w:left="24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5"/>
              </w:rPr>
              <w:t>Three months ended 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6"/>
              </w:rPr>
              <w:t>thousands)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4,849</w:t>
            </w:r>
          </w:p>
        </w:tc>
        <w:tc>
          <w:tcPr>
            <w:tcW w:w="200" w:type="dxa"/>
            <w:vAlign w:val="bottom"/>
          </w:tcPr>
          <w:p>
            <w:pPr>
              <w:spacing w:after="0"/>
              <w:rPr>
                <w:sz w:val="18"/>
                <w:szCs w:val="18"/>
                <w:color w:val="auto"/>
              </w:rPr>
            </w:pP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3,058</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12,667</w:t>
            </w:r>
          </w:p>
        </w:tc>
        <w:tc>
          <w:tcPr>
            <w:tcW w:w="3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(3,343)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3,124</w:t>
            </w:r>
          </w:p>
        </w:tc>
        <w:tc>
          <w:tcPr>
            <w:tcW w:w="3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540" w:type="dxa"/>
            <w:vAlign w:val="bottom"/>
            <w:gridSpan w:val="3"/>
            <w:vMerge w:val="continue"/>
          </w:tcPr>
          <w:p>
            <w:pPr>
              <w:spacing w:after="0"/>
              <w:rPr>
                <w:sz w:val="24"/>
                <w:szCs w:val="24"/>
                <w:color w:val="auto"/>
              </w:rPr>
            </w:pPr>
          </w:p>
        </w:tc>
        <w:tc>
          <w:tcPr>
            <w:tcW w:w="1160" w:type="dxa"/>
            <w:vAlign w:val="bottom"/>
            <w:gridSpan w:val="3"/>
            <w:vMerge w:val="restart"/>
          </w:tcPr>
          <w:p>
            <w:pPr>
              <w:jc w:val="center"/>
              <w:ind w:right="152"/>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24"/>
                <w:szCs w:val="24"/>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36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spacing w:after="0" w:line="130" w:lineRule="exact"/>
              <w:rPr>
                <w:sz w:val="20"/>
                <w:szCs w:val="20"/>
                <w:color w:val="auto"/>
              </w:rPr>
            </w:pPr>
            <w:r>
              <w:rPr>
                <w:rFonts w:ascii="Arial" w:cs="Arial" w:eastAsia="Arial" w:hAnsi="Arial"/>
                <w:sz w:val="14"/>
                <w:szCs w:val="14"/>
                <w:b w:val="1"/>
                <w:bCs w:val="1"/>
                <w:color w:val="auto"/>
                <w:w w:val="74"/>
              </w:rPr>
              <w:t>thousands)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32"/>
              <w:spacing w:after="0"/>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201,300</w:t>
            </w:r>
          </w:p>
        </w:tc>
        <w:tc>
          <w:tcPr>
            <w:tcW w:w="200" w:type="dxa"/>
            <w:vAlign w:val="bottom"/>
          </w:tcPr>
          <w:p>
            <w:pPr>
              <w:spacing w:after="0"/>
              <w:rPr>
                <w:sz w:val="18"/>
                <w:szCs w:val="18"/>
                <w:color w:val="auto"/>
              </w:rPr>
            </w:pP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128,946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(8,736)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(5,468)</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202,348</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81,582</w:t>
            </w:r>
          </w:p>
        </w:tc>
        <w:tc>
          <w:tcPr>
            <w:tcW w:w="200" w:type="dxa"/>
            <w:vAlign w:val="bottom"/>
          </w:tcPr>
          <w:p>
            <w:pPr>
              <w:spacing w:after="0"/>
              <w:rPr>
                <w:sz w:val="18"/>
                <w:szCs w:val="18"/>
                <w:color w:val="auto"/>
              </w:rPr>
            </w:pP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90,322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84,141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202,348</w:t>
            </w:r>
          </w:p>
        </w:tc>
        <w:tc>
          <w:tcPr>
            <w:tcW w:w="200" w:type="dxa"/>
            <w:vAlign w:val="bottom"/>
          </w:tcPr>
          <w:p>
            <w:pPr>
              <w:spacing w:after="0"/>
              <w:rPr>
                <w:sz w:val="19"/>
                <w:szCs w:val="19"/>
                <w:color w:val="auto"/>
              </w:rPr>
            </w:pP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129,658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4"/>
              </w:rPr>
              <w:t>Stated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5"/>
              </w:rPr>
              <w:t>September 30, 2007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6"/>
                <w:szCs w:val="16"/>
                <w:color w:val="auto"/>
                <w:w w:val="96"/>
              </w:rPr>
              <w:t>Mortgage Loans</w:t>
            </w:r>
          </w:p>
        </w:tc>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920" w:type="dxa"/>
            <w:vAlign w:val="bottom"/>
            <w:shd w:val="clear" w:color="auto" w:fill="CCEEFF"/>
          </w:tcPr>
          <w:p>
            <w:pPr>
              <w:ind w:left="1760"/>
              <w:spacing w:after="0"/>
              <w:rPr>
                <w:sz w:val="20"/>
                <w:szCs w:val="20"/>
                <w:color w:val="auto"/>
              </w:rPr>
            </w:pPr>
            <w:r>
              <w:rPr>
                <w:rFonts w:ascii="Arial" w:cs="Arial" w:eastAsia="Arial" w:hAnsi="Arial"/>
                <w:sz w:val="18"/>
                <w:szCs w:val="18"/>
                <w:i w:val="1"/>
                <w:iCs w:val="1"/>
                <w:color w:val="auto"/>
              </w:rPr>
              <w:t>Secured Fixed Rate</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ind w:left="1760"/>
              <w:spacing w:after="0"/>
              <w:rPr>
                <w:sz w:val="20"/>
                <w:szCs w:val="20"/>
                <w:color w:val="auto"/>
              </w:rPr>
            </w:pPr>
            <w:r>
              <w:rPr>
                <w:rFonts w:ascii="Arial" w:cs="Arial" w:eastAsia="Arial" w:hAnsi="Arial"/>
                <w:sz w:val="18"/>
                <w:szCs w:val="18"/>
                <w:color w:val="auto"/>
              </w:rPr>
              <w:t>Campus Plaza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3"/>
          </w:tcPr>
          <w:p>
            <w:pPr>
              <w:jc w:val="center"/>
              <w:ind w:right="12"/>
              <w:spacing w:after="0"/>
              <w:rPr>
                <w:sz w:val="20"/>
                <w:szCs w:val="20"/>
                <w:color w:val="auto"/>
              </w:rPr>
            </w:pPr>
            <w:r>
              <w:rPr>
                <w:rFonts w:ascii="Arial" w:cs="Arial" w:eastAsia="Arial" w:hAnsi="Arial"/>
                <w:sz w:val="18"/>
                <w:szCs w:val="18"/>
                <w:color w:val="auto"/>
                <w:w w:val="88"/>
              </w:rPr>
              <w:t>12/01/09</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3"/>
          </w:tcPr>
          <w:p>
            <w:pPr>
              <w:ind w:left="320"/>
              <w:spacing w:after="0"/>
              <w:rPr>
                <w:sz w:val="20"/>
                <w:szCs w:val="20"/>
                <w:color w:val="auto"/>
              </w:rPr>
            </w:pPr>
            <w:r>
              <w:rPr>
                <w:rFonts w:ascii="Arial" w:cs="Arial" w:eastAsia="Arial" w:hAnsi="Arial"/>
                <w:sz w:val="18"/>
                <w:szCs w:val="18"/>
                <w:color w:val="auto"/>
              </w:rPr>
              <w:t>4.530%(a)</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Pleasant Shops</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2"/>
              <w:spacing w:after="0"/>
              <w:rPr>
                <w:sz w:val="20"/>
                <w:szCs w:val="20"/>
                <w:color w:val="auto"/>
              </w:rPr>
            </w:pPr>
            <w:r>
              <w:rPr>
                <w:rFonts w:ascii="Arial" w:cs="Arial" w:eastAsia="Arial" w:hAnsi="Arial"/>
                <w:sz w:val="18"/>
                <w:szCs w:val="18"/>
                <w:color w:val="auto"/>
                <w:w w:val="88"/>
              </w:rPr>
              <w:t>12/01/09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4.530%(a)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tcPr>
          <w:p>
            <w:pPr>
              <w:ind w:left="1760"/>
              <w:spacing w:after="0"/>
              <w:rPr>
                <w:sz w:val="20"/>
                <w:szCs w:val="20"/>
                <w:color w:val="auto"/>
              </w:rPr>
            </w:pPr>
            <w:r>
              <w:rPr>
                <w:rFonts w:ascii="Arial" w:cs="Arial" w:eastAsia="Arial" w:hAnsi="Arial"/>
                <w:sz w:val="18"/>
                <w:szCs w:val="18"/>
                <w:color w:val="auto"/>
              </w:rPr>
              <w:t>Plaza del Mercado</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3"/>
          </w:tcPr>
          <w:p>
            <w:pPr>
              <w:jc w:val="center"/>
              <w:ind w:right="12"/>
              <w:spacing w:after="0"/>
              <w:rPr>
                <w:sz w:val="20"/>
                <w:szCs w:val="20"/>
                <w:color w:val="auto"/>
              </w:rPr>
            </w:pPr>
            <w:r>
              <w:rPr>
                <w:rFonts w:ascii="Arial" w:cs="Arial" w:eastAsia="Arial" w:hAnsi="Arial"/>
                <w:sz w:val="18"/>
                <w:szCs w:val="18"/>
                <w:color w:val="auto"/>
                <w:w w:val="88"/>
              </w:rPr>
              <w:t>07/05/14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3"/>
          </w:tcPr>
          <w:p>
            <w:pPr>
              <w:ind w:left="320"/>
              <w:spacing w:after="0"/>
              <w:rPr>
                <w:sz w:val="20"/>
                <w:szCs w:val="20"/>
                <w:color w:val="auto"/>
              </w:rPr>
            </w:pPr>
            <w:r>
              <w:rPr>
                <w:rFonts w:ascii="Arial" w:cs="Arial" w:eastAsia="Arial" w:hAnsi="Arial"/>
                <w:sz w:val="18"/>
                <w:szCs w:val="18"/>
                <w:color w:val="auto"/>
              </w:rPr>
              <w:t>5.770%(b)</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Atlantic Plaza</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2"/>
              <w:spacing w:after="0"/>
              <w:rPr>
                <w:sz w:val="20"/>
                <w:szCs w:val="20"/>
                <w:color w:val="auto"/>
              </w:rPr>
            </w:pPr>
            <w:r>
              <w:rPr>
                <w:rFonts w:ascii="Arial" w:cs="Arial" w:eastAsia="Arial" w:hAnsi="Arial"/>
                <w:sz w:val="18"/>
                <w:szCs w:val="18"/>
                <w:color w:val="auto"/>
                <w:w w:val="88"/>
              </w:rPr>
              <w:t>12/01/14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5.120%(a)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tcPr>
          <w:p>
            <w:pPr>
              <w:ind w:left="1760"/>
              <w:spacing w:after="0"/>
              <w:rPr>
                <w:sz w:val="20"/>
                <w:szCs w:val="20"/>
                <w:color w:val="auto"/>
              </w:rPr>
            </w:pPr>
            <w:r>
              <w:rPr>
                <w:rFonts w:ascii="Arial" w:cs="Arial" w:eastAsia="Arial" w:hAnsi="Arial"/>
                <w:sz w:val="18"/>
                <w:szCs w:val="18"/>
                <w:color w:val="auto"/>
              </w:rPr>
              <w:t>Barcroft Plaza</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gridSpan w:val="3"/>
          </w:tcPr>
          <w:p>
            <w:pPr>
              <w:jc w:val="center"/>
              <w:ind w:right="12"/>
              <w:spacing w:after="0"/>
              <w:rPr>
                <w:sz w:val="20"/>
                <w:szCs w:val="20"/>
                <w:color w:val="auto"/>
              </w:rPr>
            </w:pPr>
            <w:r>
              <w:rPr>
                <w:rFonts w:ascii="Arial" w:cs="Arial" w:eastAsia="Arial" w:hAnsi="Arial"/>
                <w:sz w:val="18"/>
                <w:szCs w:val="18"/>
                <w:color w:val="auto"/>
                <w:w w:val="88"/>
              </w:rPr>
              <w:t>07/01/16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3"/>
          </w:tcPr>
          <w:p>
            <w:pPr>
              <w:ind w:left="320"/>
              <w:spacing w:after="0"/>
              <w:rPr>
                <w:sz w:val="20"/>
                <w:szCs w:val="20"/>
                <w:color w:val="auto"/>
              </w:rPr>
            </w:pPr>
            <w:r>
              <w:rPr>
                <w:rFonts w:ascii="Arial" w:cs="Arial" w:eastAsia="Arial" w:hAnsi="Arial"/>
                <w:sz w:val="18"/>
                <w:szCs w:val="18"/>
                <w:color w:val="auto"/>
              </w:rPr>
              <w:t>5.990%(a)(c)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Greenlawn Plaza</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2"/>
              <w:spacing w:after="0"/>
              <w:rPr>
                <w:sz w:val="20"/>
                <w:szCs w:val="20"/>
                <w:color w:val="auto"/>
              </w:rPr>
            </w:pPr>
            <w:r>
              <w:rPr>
                <w:rFonts w:ascii="Arial" w:cs="Arial" w:eastAsia="Arial" w:hAnsi="Arial"/>
                <w:sz w:val="18"/>
                <w:szCs w:val="18"/>
                <w:color w:val="auto"/>
                <w:w w:val="88"/>
              </w:rPr>
              <w:t>07/01/16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5.900%(a)</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60" w:type="dxa"/>
            <w:vAlign w:val="bottom"/>
            <w:gridSpan w:val="8"/>
          </w:tcPr>
          <w:p>
            <w:pPr>
              <w:ind w:left="160"/>
              <w:spacing w:after="0"/>
              <w:rPr>
                <w:sz w:val="20"/>
                <w:szCs w:val="20"/>
                <w:color w:val="auto"/>
              </w:rPr>
            </w:pPr>
            <w:r>
              <w:rPr>
                <w:rFonts w:ascii="Arial" w:cs="Arial" w:eastAsia="Arial" w:hAnsi="Arial"/>
                <w:sz w:val="18"/>
                <w:szCs w:val="18"/>
                <w:color w:val="auto"/>
              </w:rPr>
              <w:t>Total Fixed Rate Debt</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81,582</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vMerge w:val="restart"/>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Debt Maturities</w:t>
            </w:r>
          </w:p>
        </w:tc>
        <w:tc>
          <w:tcPr>
            <w:tcW w:w="3960" w:type="dxa"/>
            <w:vAlign w:val="bottom"/>
            <w:tcBorders>
              <w:bottom w:val="single" w:sz="8" w:color="CCEEFF"/>
            </w:tcBorders>
            <w:gridSpan w:val="2"/>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vMerge w:val="restart"/>
          </w:tcPr>
          <w:p>
            <w:pPr>
              <w:jc w:val="center"/>
              <w:ind w:right="1054"/>
              <w:spacing w:after="0"/>
              <w:rPr>
                <w:sz w:val="20"/>
                <w:szCs w:val="20"/>
                <w:color w:val="auto"/>
              </w:rPr>
            </w:pPr>
            <w:r>
              <w:rPr>
                <w:rFonts w:ascii="Arial" w:cs="Arial" w:eastAsia="Arial" w:hAnsi="Arial"/>
                <w:sz w:val="14"/>
                <w:szCs w:val="14"/>
                <w:b w:val="1"/>
                <w:bCs w:val="1"/>
                <w:color w:val="auto"/>
                <w:w w:val="85"/>
              </w:rPr>
              <w:t>Year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Scheduled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6"/>
              </w:rPr>
              <w:t>Amortization</w:t>
            </w:r>
          </w:p>
        </w:tc>
        <w:tc>
          <w:tcPr>
            <w:tcW w:w="46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0"/>
              </w:rPr>
              <w:t>Maturities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52"/>
              <w:spacing w:after="0" w:line="148"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3"/>
          </w:tcPr>
          <w:p>
            <w:pPr>
              <w:jc w:val="right"/>
              <w:ind w:right="620"/>
              <w:spacing w:after="0" w:line="148" w:lineRule="exact"/>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4"/>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jc w:val="center"/>
              <w:spacing w:after="0"/>
              <w:rPr>
                <w:sz w:val="20"/>
                <w:szCs w:val="20"/>
                <w:color w:val="auto"/>
              </w:rPr>
            </w:pPr>
            <w:r>
              <w:rPr>
                <w:rFonts w:ascii="Arial" w:cs="Arial" w:eastAsia="Arial" w:hAnsi="Arial"/>
                <w:sz w:val="18"/>
                <w:szCs w:val="18"/>
                <w:color w:val="auto"/>
                <w:w w:val="84"/>
              </w:rPr>
              <w:t>2008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1920" w:type="dxa"/>
            <w:vAlign w:val="bottom"/>
            <w:gridSpan w:val="4"/>
          </w:tcPr>
          <w:p>
            <w:pPr>
              <w:jc w:val="right"/>
              <w:ind w:right="46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23,585</w:t>
            </w:r>
          </w:p>
        </w:tc>
        <w:tc>
          <w:tcPr>
            <w:tcW w:w="1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jc w:val="center"/>
              <w:spacing w:after="0"/>
              <w:rPr>
                <w:sz w:val="20"/>
                <w:szCs w:val="20"/>
                <w:color w:val="auto"/>
              </w:rPr>
            </w:pPr>
            <w:r>
              <w:rPr>
                <w:rFonts w:ascii="Arial" w:cs="Arial" w:eastAsia="Arial" w:hAnsi="Arial"/>
                <w:sz w:val="18"/>
                <w:szCs w:val="18"/>
                <w:color w:val="auto"/>
                <w:w w:val="84"/>
              </w:rPr>
              <w:t>2010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196</w:t>
            </w:r>
          </w:p>
        </w:tc>
        <w:tc>
          <w:tcPr>
            <w:tcW w:w="1920" w:type="dxa"/>
            <w:vAlign w:val="bottom"/>
            <w:gridSpan w:val="4"/>
          </w:tcPr>
          <w:p>
            <w:pPr>
              <w:jc w:val="right"/>
              <w:ind w:right="46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1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jc w:val="center"/>
              <w:spacing w:after="0"/>
              <w:rPr>
                <w:sz w:val="20"/>
                <w:szCs w:val="20"/>
                <w:color w:val="auto"/>
              </w:rPr>
            </w:pPr>
            <w:r>
              <w:rPr>
                <w:rFonts w:ascii="Arial" w:cs="Arial" w:eastAsia="Arial" w:hAnsi="Arial"/>
                <w:sz w:val="18"/>
                <w:szCs w:val="18"/>
                <w:color w:val="auto"/>
                <w:w w:val="84"/>
              </w:rPr>
              <w:t>2012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c>
          <w:tcPr>
            <w:tcW w:w="1920" w:type="dxa"/>
            <w:vAlign w:val="bottom"/>
            <w:gridSpan w:val="4"/>
          </w:tcPr>
          <w:p>
            <w:pPr>
              <w:jc w:val="right"/>
              <w:ind w:right="46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1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jc w:val="center"/>
              <w:spacing w:after="0"/>
              <w:rPr>
                <w:sz w:val="20"/>
                <w:szCs w:val="20"/>
                <w:color w:val="auto"/>
              </w:rPr>
            </w:pPr>
            <w:r>
              <w:rPr>
                <w:rFonts w:ascii="Arial" w:cs="Arial" w:eastAsia="Arial" w:hAnsi="Arial"/>
                <w:sz w:val="18"/>
                <w:szCs w:val="18"/>
                <w:color w:val="auto"/>
                <w:w w:val="84"/>
              </w:rPr>
              <w:t>2014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22,396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22,538</w:t>
            </w:r>
          </w:p>
        </w:tc>
        <w:tc>
          <w:tcPr>
            <w:tcW w:w="1920" w:type="dxa"/>
            <w:vAlign w:val="bottom"/>
            <w:gridSpan w:val="4"/>
          </w:tcPr>
          <w:p>
            <w:pPr>
              <w:jc w:val="right"/>
              <w:ind w:right="46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4"/>
              </w:rPr>
              <w:t>2015</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tcPr>
          <w:p>
            <w:pPr>
              <w:jc w:val="center"/>
              <w:spacing w:after="0"/>
              <w:rPr>
                <w:sz w:val="20"/>
                <w:szCs w:val="20"/>
                <w:color w:val="auto"/>
              </w:rPr>
            </w:pPr>
            <w:r>
              <w:rPr>
                <w:rFonts w:ascii="Arial" w:cs="Arial" w:eastAsia="Arial" w:hAnsi="Arial"/>
                <w:sz w:val="18"/>
                <w:szCs w:val="18"/>
                <w:color w:val="auto"/>
                <w:w w:val="84"/>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34,385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34,385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920" w:type="dxa"/>
            <w:vAlign w:val="bottom"/>
            <w:shd w:val="clear" w:color="auto" w:fill="CCEEFF"/>
          </w:tcPr>
          <w:p>
            <w:pPr>
              <w:jc w:val="center"/>
              <w:ind w:right="1074"/>
              <w:spacing w:after="0"/>
              <w:rPr>
                <w:sz w:val="20"/>
                <w:szCs w:val="20"/>
                <w:color w:val="auto"/>
              </w:rPr>
            </w:pPr>
            <w:r>
              <w:rPr>
                <w:rFonts w:ascii="Arial" w:cs="Arial" w:eastAsia="Arial" w:hAnsi="Arial"/>
                <w:sz w:val="18"/>
                <w:szCs w:val="18"/>
                <w:color w:val="auto"/>
                <w:w w:val="89"/>
              </w:rPr>
              <w:t>Total</w:t>
            </w: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80,181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81,582</w:t>
            </w:r>
          </w:p>
        </w:tc>
        <w:tc>
          <w:tcPr>
            <w:tcW w:w="1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 Acquisitions and Dispositions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Venture Acquisitions - Unconsolidated (30% owned)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31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City /State</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Purchase price</w:t>
            </w:r>
          </w:p>
        </w:tc>
        <w:tc>
          <w:tcPr>
            <w:tcW w:w="220" w:type="dxa"/>
            <w:vAlign w:val="bottom"/>
          </w:tcPr>
          <w:p>
            <w:pPr>
              <w:spacing w:after="0"/>
              <w:rPr>
                <w:sz w:val="14"/>
                <w:szCs w:val="14"/>
                <w:color w:val="auto"/>
              </w:rPr>
            </w:pPr>
          </w:p>
        </w:tc>
        <w:tc>
          <w:tcPr>
            <w:tcW w:w="29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Anchor tenants</w:t>
            </w:r>
          </w:p>
        </w:tc>
      </w:tr>
      <w:tr>
        <w:trPr>
          <w:trHeight w:val="149"/>
        </w:trPr>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2"/>
                <w:szCs w:val="12"/>
                <w:color w:val="auto"/>
              </w:rPr>
            </w:pPr>
          </w:p>
        </w:tc>
        <w:tc>
          <w:tcPr>
            <w:tcW w:w="2900" w:type="dxa"/>
            <w:vAlign w:val="bottom"/>
          </w:tcPr>
          <w:p>
            <w:pPr>
              <w:spacing w:after="0"/>
              <w:rPr>
                <w:sz w:val="12"/>
                <w:szCs w:val="12"/>
                <w:color w:val="auto"/>
              </w:rPr>
            </w:pPr>
          </w:p>
        </w:tc>
      </w:tr>
      <w:tr>
        <w:trPr>
          <w:trHeight w:val="208"/>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February 15, 2007</w:t>
            </w: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Freestate Shopping Center</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Bowie, MD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8"/>
              </w:rPr>
              <w:t>Super Giant, Ross, AMF Bowling, TJ</w:t>
            </w:r>
          </w:p>
        </w:tc>
      </w:tr>
      <w:tr>
        <w:trPr>
          <w:trHeight w:val="224"/>
        </w:trPr>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Maxx, Office Depot</w:t>
            </w:r>
          </w:p>
        </w:tc>
      </w:tr>
      <w:tr>
        <w:trPr>
          <w:trHeight w:val="331"/>
        </w:trPr>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20, 2007</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Lake Barcroft Shopping Center (1)</w:t>
            </w:r>
          </w:p>
        </w:tc>
        <w:tc>
          <w:tcPr>
            <w:tcW w:w="2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Falls Church, VA</w:t>
            </w:r>
          </w:p>
        </w:tc>
        <w:tc>
          <w:tcPr>
            <w:tcW w:w="20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Bank of America</w:t>
            </w:r>
          </w:p>
        </w:tc>
      </w:tr>
      <w:tr>
        <w:trPr>
          <w:trHeight w:val="216"/>
        </w:trPr>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0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Lake Barcroft Shopping Center is adjacent to and operated as part of Barcroft Plaza.</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Real Estate</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Mortgage or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Grocery</w:t>
            </w:r>
          </w:p>
        </w:tc>
        <w:tc>
          <w:tcPr>
            <w:tcW w:w="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7"/>
              </w:rPr>
              <w:t>Capital Lease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7"/>
              </w:rPr>
              <w:t>Anchor</w:t>
            </w:r>
          </w:p>
        </w:tc>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00" w:type="dxa"/>
            <w:vAlign w:val="bottom"/>
            <w:gridSpan w:val="9"/>
          </w:tcPr>
          <w:p>
            <w:pPr>
              <w:spacing w:after="0"/>
              <w:rPr>
                <w:sz w:val="20"/>
                <w:szCs w:val="20"/>
                <w:color w:val="auto"/>
              </w:rPr>
            </w:pPr>
            <w:r>
              <w:rPr>
                <w:rFonts w:ascii="Arial" w:cs="Arial" w:eastAsia="Arial" w:hAnsi="Arial"/>
                <w:sz w:val="14"/>
                <w:szCs w:val="14"/>
                <w:b w:val="1"/>
                <w:bCs w:val="1"/>
                <w:color w:val="auto"/>
              </w:rPr>
              <w:t>Property Name</w:t>
            </w:r>
          </w:p>
        </w:tc>
        <w:tc>
          <w:tcPr>
            <w:tcW w:w="100" w:type="dxa"/>
            <w:vAlign w:val="bottom"/>
          </w:tcPr>
          <w:p>
            <w:pPr>
              <w:spacing w:after="0"/>
              <w:rPr>
                <w:sz w:val="14"/>
                <w:szCs w:val="14"/>
                <w:color w:val="auto"/>
              </w:rPr>
            </w:pPr>
          </w:p>
        </w:tc>
        <w:tc>
          <w:tcPr>
            <w:tcW w:w="1880" w:type="dxa"/>
            <w:vAlign w:val="bottom"/>
          </w:tcPr>
          <w:p>
            <w:pPr>
              <w:ind w:left="44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at Cost</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Obligation</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GLA</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 Leased</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GLA (1)</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Anchor (1)</w:t>
            </w:r>
          </w:p>
        </w:tc>
        <w:tc>
          <w:tcPr>
            <w:tcW w:w="100" w:type="dxa"/>
            <w:vAlign w:val="bottom"/>
          </w:tcPr>
          <w:p>
            <w:pPr>
              <w:spacing w:after="0"/>
              <w:rPr>
                <w:sz w:val="14"/>
                <w:szCs w:val="14"/>
                <w:color w:val="auto"/>
              </w:rPr>
            </w:pPr>
          </w:p>
        </w:tc>
        <w:tc>
          <w:tcPr>
            <w:tcW w:w="2000" w:type="dxa"/>
            <w:vAlign w:val="bottom"/>
          </w:tcPr>
          <w:p>
            <w:pPr>
              <w:ind w:left="30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780" w:type="dxa"/>
            <w:vAlign w:val="bottom"/>
            <w:tcBorders>
              <w:bottom w:val="single" w:sz="8" w:color="CCEEFF"/>
            </w:tcBorders>
            <w:gridSpan w:val="5"/>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700" w:type="dxa"/>
            <w:vAlign w:val="bottom"/>
            <w:gridSpan w:val="9"/>
          </w:tcPr>
          <w:p>
            <w:pPr>
              <w:spacing w:after="0"/>
              <w:rPr>
                <w:sz w:val="20"/>
                <w:szCs w:val="20"/>
                <w:color w:val="auto"/>
              </w:rPr>
            </w:pPr>
            <w:r>
              <w:rPr>
                <w:rFonts w:ascii="Arial" w:cs="Arial" w:eastAsia="Arial" w:hAnsi="Arial"/>
                <w:sz w:val="18"/>
                <w:szCs w:val="18"/>
                <w:b w:val="1"/>
                <w:bCs w:val="1"/>
                <w:color w:val="auto"/>
              </w:rPr>
              <w:t>Washington</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9"/>
          </w:tcPr>
          <w:p>
            <w:pPr>
              <w:spacing w:after="0" w:line="196" w:lineRule="exact"/>
              <w:rPr>
                <w:sz w:val="20"/>
                <w:szCs w:val="20"/>
                <w:color w:val="auto"/>
              </w:rPr>
            </w:pPr>
            <w:r>
              <w:rPr>
                <w:rFonts w:ascii="Arial" w:cs="Arial" w:eastAsia="Arial" w:hAnsi="Arial"/>
                <w:sz w:val="18"/>
                <w:szCs w:val="18"/>
                <w:b w:val="1"/>
                <w:bCs w:val="1"/>
                <w:color w:val="auto"/>
              </w:rPr>
              <w:t>Metropolitan Area</w:t>
            </w: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6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Barcroft Plaza</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5"/>
              </w:rPr>
              <w:t>Washington, DC-MD-VA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20,785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46,000</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Harris Teeter</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auto"/>
              </w:rPr>
              <w:t>Free State Shopping</w:t>
            </w:r>
          </w:p>
        </w:tc>
        <w:tc>
          <w:tcPr>
            <w:tcW w:w="1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5"/>
              </w:rPr>
              <w:t>Washington, DC-MD-VA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65,514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279,000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0"/>
              </w:rPr>
              <w:t>73,000</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Giant Food</w:t>
            </w:r>
          </w:p>
        </w:tc>
        <w:tc>
          <w:tcPr>
            <w:tcW w:w="10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TJ Maxx / Ross / Office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80" w:type="dxa"/>
            <w:vAlign w:val="bottom"/>
            <w:gridSpan w:val="8"/>
          </w:tcPr>
          <w:p>
            <w:pPr>
              <w:ind w:left="200"/>
              <w:spacing w:after="0"/>
              <w:rPr>
                <w:sz w:val="20"/>
                <w:szCs w:val="20"/>
                <w:color w:val="auto"/>
              </w:rPr>
            </w:pPr>
            <w:r>
              <w:rPr>
                <w:rFonts w:ascii="Arial" w:cs="Arial" w:eastAsia="Arial" w:hAnsi="Arial"/>
                <w:sz w:val="18"/>
                <w:szCs w:val="18"/>
                <w:color w:val="auto"/>
              </w:rPr>
              <w:t>Center</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Depot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Plaza del Mercado</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5"/>
              </w:rPr>
              <w:t>Washington, DC-MD-VA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25,000</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Giant Food</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Total Washington</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120,192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475,000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b w:val="1"/>
                <w:bCs w:val="1"/>
                <w:color w:val="auto"/>
              </w:rPr>
              <w:t>Metropolitan Area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New York / New</w:t>
            </w: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Jersey</w:t>
            </w:r>
          </w:p>
        </w:tc>
        <w:tc>
          <w:tcPr>
            <w:tcW w:w="4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auto"/>
              </w:rPr>
              <w:t>Greenlawn Plaza</w:t>
            </w:r>
          </w:p>
        </w:tc>
        <w:tc>
          <w:tcPr>
            <w:tcW w:w="1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Nassau-Suffolk, NY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19,971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0"/>
              </w:rPr>
              <w:t>46,000</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w w:val="99"/>
              </w:rPr>
              <w:t>Waldbaum's</w:t>
            </w:r>
          </w:p>
        </w:tc>
        <w:tc>
          <w:tcPr>
            <w:tcW w:w="10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Tuesday Morning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New York / New</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19,971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86"/>
              </w:rPr>
              <w:t>106,000</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Jersey</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700" w:type="dxa"/>
            <w:vAlign w:val="bottom"/>
            <w:gridSpan w:val="9"/>
          </w:tcPr>
          <w:p>
            <w:pPr>
              <w:spacing w:after="0"/>
              <w:rPr>
                <w:sz w:val="20"/>
                <w:szCs w:val="20"/>
                <w:color w:val="auto"/>
              </w:rPr>
            </w:pPr>
            <w:r>
              <w:rPr>
                <w:rFonts w:ascii="Arial" w:cs="Arial" w:eastAsia="Arial" w:hAnsi="Arial"/>
                <w:sz w:val="18"/>
                <w:szCs w:val="18"/>
                <w:b w:val="1"/>
                <w:bCs w:val="1"/>
                <w:color w:val="auto"/>
              </w:rPr>
              <w:t>New England</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6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Boston-Worcester-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63,000</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Shaw's</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Lawrence-Lowell-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Supermarket</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Brockton, MA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auto"/>
              </w:rPr>
              <w:t>Campus Plaza</w:t>
            </w:r>
          </w:p>
        </w:tc>
        <w:tc>
          <w:tcPr>
            <w:tcW w:w="1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Boston-Worcester-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22,101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0"/>
              </w:rPr>
              <w:t>46,000</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Roche</w:t>
            </w:r>
          </w:p>
        </w:tc>
        <w:tc>
          <w:tcPr>
            <w:tcW w:w="10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Burlington Coat Factory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Lawrence-Lowell-</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Brothers</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Brockton, MA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Boston-Worcester-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38,000</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Foodmaster</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Lawrence-Lowell-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Brockton, MA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b w:val="1"/>
                <w:bCs w:val="1"/>
                <w:color w:val="auto"/>
              </w:rPr>
              <w:t>Total New England</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61,137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369,000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East Region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950,000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gridSpan w:val="9"/>
            <w:vMerge w:val="restart"/>
          </w:tcPr>
          <w:p>
            <w:pPr>
              <w:spacing w:after="0"/>
              <w:rPr>
                <w:sz w:val="20"/>
                <w:szCs w:val="20"/>
                <w:color w:val="auto"/>
              </w:rPr>
            </w:pPr>
            <w:r>
              <w:rPr>
                <w:rFonts w:ascii="Arial" w:cs="Arial" w:eastAsia="Arial" w:hAnsi="Arial"/>
                <w:sz w:val="18"/>
                <w:szCs w:val="18"/>
                <w:color w:val="auto"/>
              </w:rPr>
              <w:t>Grand Totals</w:t>
            </w: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700" w:type="dxa"/>
            <w:vAlign w:val="bottom"/>
            <w:gridSpan w:val="9"/>
            <w:vMerge w:val="continue"/>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201,300</w:t>
            </w:r>
          </w:p>
        </w:tc>
        <w:tc>
          <w:tcPr>
            <w:tcW w:w="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81,582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950,000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is a non-GAAP measure that means net income or loss plus depreciation and amortization, net interest expense,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taxes,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and nine months ended September 30, 2007 and 2006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For the Three Months Ended</w:t>
            </w:r>
          </w:p>
        </w:tc>
        <w:tc>
          <w:tcPr>
            <w:tcW w:w="100" w:type="dxa"/>
            <w:vAlign w:val="bottom"/>
          </w:tcPr>
          <w:p>
            <w:pPr>
              <w:spacing w:after="0"/>
              <w:rPr>
                <w:sz w:val="14"/>
                <w:szCs w:val="14"/>
                <w:color w:val="auto"/>
              </w:rPr>
            </w:pPr>
          </w:p>
        </w:tc>
        <w:tc>
          <w:tcPr>
            <w:tcW w:w="17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6"/>
              </w:rPr>
              <w:t>For the Nine Months Ended</w:t>
            </w: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4"/>
          </w:tcPr>
          <w:p>
            <w:pPr>
              <w:jc w:val="right"/>
              <w:ind w:right="395"/>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23,515</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80" w:type="dxa"/>
            <w:vAlign w:val="bottom"/>
            <w:gridSpan w:val="2"/>
          </w:tcPr>
          <w:p>
            <w:pPr>
              <w:jc w:val="right"/>
              <w:ind w:right="212"/>
              <w:spacing w:after="0"/>
              <w:rPr>
                <w:sz w:val="20"/>
                <w:szCs w:val="20"/>
                <w:color w:val="auto"/>
              </w:rPr>
            </w:pPr>
            <w:r>
              <w:rPr>
                <w:rFonts w:ascii="Arial" w:cs="Arial" w:eastAsia="Arial" w:hAnsi="Arial"/>
                <w:sz w:val="18"/>
                <w:szCs w:val="18"/>
                <w:color w:val="auto"/>
              </w:rPr>
              <w:t>26,071</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23,979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8"/>
                <w:szCs w:val="18"/>
                <w:color w:val="auto"/>
              </w:rPr>
              <w:t>79,457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72,318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30,533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89,752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 interest income</w:t>
            </w:r>
          </w:p>
        </w:tc>
        <w:tc>
          <w:tcPr>
            <w:tcW w:w="180" w:type="dxa"/>
            <w:vAlign w:val="bottom"/>
          </w:tcPr>
          <w:p>
            <w:pPr>
              <w:spacing w:after="0"/>
              <w:rPr>
                <w:sz w:val="19"/>
                <w:szCs w:val="19"/>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(1,506)</w:t>
            </w:r>
          </w:p>
        </w:tc>
        <w:tc>
          <w:tcPr>
            <w:tcW w:w="100" w:type="dxa"/>
            <w:vAlign w:val="bottom"/>
          </w:tcPr>
          <w:p>
            <w:pPr>
              <w:spacing w:after="0"/>
              <w:rPr>
                <w:sz w:val="19"/>
                <w:szCs w:val="19"/>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(2,127)</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79,804</w:t>
            </w: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73,606</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241,574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239,645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Loss (gain) on sale of real estate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(23,866)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82,704</w:t>
            </w: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73,511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215,779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October 31,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Attn: Filing Room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herewith, via Edgar, Federal Realty Investment Trust’s current report on Form 8-K. Manual signatures are on file at the Trust’s offices. No filing fee is due herewith.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3"/>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2"/>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2019-12-13T00:58:32Z</dcterms:created>
  <dcterms:modified xsi:type="dcterms:W3CDTF">2019-12-13T00:58:32Z</dcterms:modified>
</cp:coreProperties>
</file>