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3,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333-239351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333-147081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8" w:lineRule="exact"/>
        <w:rPr>
          <w:sz w:val="24"/>
          <w:szCs w:val="24"/>
          <w:color w:val="auto"/>
        </w:rPr>
      </w:pPr>
    </w:p>
    <w:p>
      <w:pPr>
        <w:ind w:left="1580"/>
        <w:spacing w:after="0"/>
        <w:rPr>
          <w:sz w:val="20"/>
          <w:szCs w:val="20"/>
          <w:color w:val="auto"/>
        </w:rPr>
      </w:pPr>
      <w:r>
        <w:rPr>
          <w:rFonts w:ascii="Arial" w:cs="Arial" w:eastAsia="Arial" w:hAnsi="Arial"/>
          <w:sz w:val="22"/>
          <w:szCs w:val="22"/>
          <w:b w:val="1"/>
          <w:bCs w:val="1"/>
          <w:color w:val="auto"/>
        </w:rPr>
        <w:t>Post-Effective Amendment No. 1 to Registration Statement on Form S-8 (333-239351)</w:t>
      </w:r>
    </w:p>
    <w:p>
      <w:pPr>
        <w:spacing w:after="0" w:line="14" w:lineRule="exact"/>
        <w:rPr>
          <w:sz w:val="24"/>
          <w:szCs w:val="24"/>
          <w:color w:val="auto"/>
        </w:rPr>
      </w:pPr>
    </w:p>
    <w:p>
      <w:pPr>
        <w:ind w:left="1560"/>
        <w:spacing w:after="0"/>
        <w:rPr>
          <w:sz w:val="20"/>
          <w:szCs w:val="20"/>
          <w:color w:val="auto"/>
        </w:rPr>
      </w:pPr>
      <w:r>
        <w:rPr>
          <w:rFonts w:ascii="Arial" w:cs="Arial" w:eastAsia="Arial" w:hAnsi="Arial"/>
          <w:sz w:val="22"/>
          <w:szCs w:val="22"/>
          <w:b w:val="1"/>
          <w:bCs w:val="1"/>
          <w:color w:val="auto"/>
        </w:rPr>
        <w:t>Post-Effective Amendment No. 1 to Registration Statement on Form S-8 (333-147081)</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150495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6"/>
              </w:rPr>
              <w:t>Maryland</w:t>
            </w:r>
          </w:p>
        </w:tc>
        <w:tc>
          <w:tcPr>
            <w:tcW w:w="3020" w:type="dxa"/>
            <w:vAlign w:val="bottom"/>
          </w:tcPr>
          <w:p>
            <w:pPr>
              <w:jc w:val="right"/>
              <w:ind w:right="41"/>
              <w:spacing w:after="0"/>
              <w:rPr>
                <w:sz w:val="20"/>
                <w:szCs w:val="20"/>
                <w:color w:val="auto"/>
              </w:rPr>
            </w:pPr>
            <w:r>
              <w:rPr>
                <w:rFonts w:ascii="Arial" w:cs="Arial" w:eastAsia="Arial" w:hAnsi="Arial"/>
                <w:sz w:val="18"/>
                <w:szCs w:val="18"/>
                <w:b w:val="1"/>
                <w:bCs w:val="1"/>
                <w:color w:val="auto"/>
              </w:rPr>
              <w:t>87-3916363</w:t>
            </w:r>
          </w:p>
        </w:tc>
      </w:tr>
      <w:tr>
        <w:trPr>
          <w:trHeight w:val="148"/>
        </w:trPr>
        <w:tc>
          <w:tcPr>
            <w:tcW w:w="430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incorporation or organization)</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8"/>
              </w:rPr>
              <w:t>909 Rose Ave., Suite 200</w:t>
            </w:r>
          </w:p>
        </w:tc>
        <w:tc>
          <w:tcPr>
            <w:tcW w:w="3020" w:type="dxa"/>
            <w:vAlign w:val="bottom"/>
          </w:tcPr>
          <w:p>
            <w:pPr>
              <w:spacing w:after="0"/>
              <w:rPr>
                <w:sz w:val="24"/>
                <w:szCs w:val="24"/>
                <w:color w:val="auto"/>
              </w:rPr>
            </w:pPr>
          </w:p>
        </w:tc>
      </w:tr>
      <w:tr>
        <w:trPr>
          <w:trHeight w:val="225"/>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2"/>
              </w:rPr>
              <w:t>North Bethesda, Maryland</w:t>
            </w:r>
          </w:p>
        </w:tc>
        <w:tc>
          <w:tcPr>
            <w:tcW w:w="3020" w:type="dxa"/>
            <w:vAlign w:val="bottom"/>
          </w:tcPr>
          <w:p>
            <w:pPr>
              <w:jc w:val="right"/>
              <w:ind w:right="261"/>
              <w:spacing w:after="0"/>
              <w:rPr>
                <w:sz w:val="20"/>
                <w:szCs w:val="20"/>
                <w:color w:val="auto"/>
              </w:rPr>
            </w:pPr>
            <w:r>
              <w:rPr>
                <w:rFonts w:ascii="Arial" w:cs="Arial" w:eastAsia="Arial" w:hAnsi="Arial"/>
                <w:sz w:val="18"/>
                <w:szCs w:val="18"/>
                <w:b w:val="1"/>
                <w:bCs w:val="1"/>
                <w:color w:val="auto"/>
              </w:rPr>
              <w:t>20852</w:t>
            </w:r>
          </w:p>
        </w:tc>
      </w:tr>
      <w:tr>
        <w:trPr>
          <w:trHeight w:val="186"/>
        </w:trPr>
        <w:tc>
          <w:tcPr>
            <w:tcW w:w="43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2020 Performance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2007 Employee Share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of agent for service)</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Justin Bintrim,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151765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6"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116205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660" w:firstLine="440"/>
        <w:spacing w:after="0" w:line="259" w:lineRule="auto"/>
        <w:rPr>
          <w:sz w:val="20"/>
          <w:szCs w:val="20"/>
          <w:color w:val="auto"/>
        </w:rPr>
      </w:pPr>
      <w:r>
        <w:rPr>
          <w:rFonts w:ascii="Arial" w:cs="Arial" w:eastAsia="Arial" w:hAnsi="Arial"/>
          <w:sz w:val="18"/>
          <w:szCs w:val="18"/>
          <w:color w:val="auto"/>
        </w:rPr>
        <w:t>Federal Realty Investment Trust, a Maryland real estate investment trust (the “Company” or the “Registrant”), files these Post-Effective Amendments to the Registration Statements on Form S-8 filed with the Securities and Exchange Commission on June 22, 2020 (Registration No. 333-239351) and November 1, 2007 (Registration No. 333-147081) (the “Initial Registration Statements”) as the successor registrant to the Predecessor (as defined below).</w:t>
      </w:r>
    </w:p>
    <w:p>
      <w:pPr>
        <w:spacing w:after="0" w:line="187"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On December 2, 2021, the Predecessor, which was at that time named Federal Realty Investment Trust, announced that it intended to implement a corporate reorganization into a new holding company structure commonly referred to as an Umbrella Partnership Real Estate Investment Trust, or UPREIT (the “Reorganization”). Also on December 2, 2021, in connection with such intended Reorganization, the Predecessor entered into a Merger Agreement and Plan of Reorganization (the “Merger Agreement”) with the Registrant, which was at that time named FRT Holdco REIT and was a wholly-owned subsidiary of the Predecessor, and FRT Merger Sub REIT (“Merger Sub”), which was at that time a wholly-owned subsidiary of the Registrant. Effective as of 12:00 a.m. on January 1, 2022, pursuant to the terms of the Merger Agreement, Merger Sub merged with and into the Predecessor, with the Predecessor being the surviving entity and becoming a wholly-owned subsidiary of the Registrant (the “Merger”). At the effective time of the Merger, each outstanding capital share of the Predecessor was converted on a one-for-one basis into an equivalent capital share of the Registrant. In connection with the Merger, the Registrant changed its name to Federal Realty Investment Trust, the former name of the Predecessor.</w:t>
      </w:r>
    </w:p>
    <w:p>
      <w:pPr>
        <w:spacing w:after="0" w:line="16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Following the Merger, the Registrant is the successor issuer to the Predecessor pursuant to Rule 414 under the Securities Act of 1933, as amended (the “Securities Act”), and Rule 12g-3(a) under the Securities Exchange Act of 1934, as amended (the “Exchange Act”). Accordingly, the Registrant’s common shares of beneficial interest, par value $.01 per share (the “Common Shares”), are deemed to be registered under Section 12(b) of the Exchange Act and will trade on the New York Stock Exchange under the symbol “FRT.” In connection with the Reorganization, the Registrant assumed the Predecessor’s obligations under the Federal Realty Investment Trust 2020 Performance Incentive Plan (the “2020 Plan”) and the Federal Realty Investment Trust 2007 Employee Share Purchase Plan (the “2007 ESPP”).</w:t>
      </w:r>
    </w:p>
    <w:p>
      <w:pPr>
        <w:spacing w:after="0" w:line="17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In accordance with paragraph (d) of Rule 414 under the Securities Act, the Company hereby expressly adopts the Initial Registration Statements as its own registration statements (except as specifically amended by these Post-Effective Amendments) for all purposes of the Securities Act and the Exchange Act. The information contained in these Post-Effective Amendments sets forth additional information necessary to reflect any material changes made in connection with or resulting from the Reorganization, or necessary to keep the Initial Registration Statements from being misleading in any material respect.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jc w:val="both"/>
        <w:ind w:right="140" w:firstLine="440"/>
        <w:spacing w:after="0" w:line="311" w:lineRule="auto"/>
        <w:rPr>
          <w:sz w:val="20"/>
          <w:szCs w:val="20"/>
          <w:color w:val="auto"/>
        </w:rPr>
      </w:pPr>
      <w:r>
        <w:rPr>
          <w:rFonts w:ascii="Arial" w:cs="Arial" w:eastAsia="Arial" w:hAnsi="Arial"/>
          <w:sz w:val="16"/>
          <w:szCs w:val="16"/>
          <w:color w:val="auto"/>
        </w:rPr>
        <w:t>The information specified in Item 1 and Item 2 of Part I of the Initial Registration Statements is omitted from this filing in accordance with the provisions of Rule 428 under the Securities Act, and the introductory note to Part I of the Initial Registration Statements. The information required by Part I is included in documents sent or given to participants in the 2020 Plan and the 2007 ESPP pursuant to Rule 428(b)(1) under the Securities Act.</w:t>
      </w: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Registrant is subject to the informational and reporting requirements of Sections 13(a), 14 and 15(d) of the Exchange Act, and in accordance therewith files reports, proxy statements and other information with the Securities and Exchange Commission (the “Commission”). The following documents, which are on file with the Commission, are incorporated herein by reference:</w:t>
      </w:r>
    </w:p>
    <w:p>
      <w:pPr>
        <w:spacing w:after="0" w:line="76" w:lineRule="exact"/>
        <w:rPr>
          <w:sz w:val="20"/>
          <w:szCs w:val="20"/>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 xml:space="preserve">(a) the Predecessor’s Annual Report on </w:t>
      </w:r>
      <w:hyperlink r:id="rId18">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2020, filed with the Commission on February 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03" w:lineRule="exact"/>
        <w:rPr>
          <w:sz w:val="20"/>
          <w:szCs w:val="20"/>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 xml:space="preserve">(b) the Predecessor’s </w:t>
      </w:r>
      <w:hyperlink r:id="rId19">
        <w:r>
          <w:rPr>
            <w:rFonts w:ascii="Arial" w:cs="Arial" w:eastAsia="Arial" w:hAnsi="Arial"/>
            <w:sz w:val="16"/>
            <w:szCs w:val="16"/>
            <w:u w:val="single" w:color="auto"/>
            <w:color w:val="0000EE"/>
          </w:rPr>
          <w:t>Definitive Proxy Statement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its 2021 Annual Meeting of Shareholders, filed with the Commission on March 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03" w:lineRule="exact"/>
        <w:rPr>
          <w:sz w:val="20"/>
          <w:szCs w:val="20"/>
          <w:color w:val="auto"/>
        </w:rPr>
      </w:pPr>
    </w:p>
    <w:p>
      <w:pPr>
        <w:ind w:right="260" w:firstLine="987"/>
        <w:spacing w:after="0" w:line="277" w:lineRule="auto"/>
        <w:tabs>
          <w:tab w:leader="none" w:pos="1236"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Predecessor’s Quarterly Reports on Form 10-Q for the fiscal quarters ended March 31, 2021, June 30, 2021 and September 30, 2021, filed with the Commission on </w:t>
      </w:r>
      <w:hyperlink r:id="rId20">
        <w:r>
          <w:rPr>
            <w:rFonts w:ascii="Arial" w:cs="Arial" w:eastAsia="Arial" w:hAnsi="Arial"/>
            <w:sz w:val="18"/>
            <w:szCs w:val="18"/>
            <w:u w:val="single" w:color="auto"/>
            <w:color w:val="0000EE"/>
          </w:rPr>
          <w:t>May 5, 2021</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August 4,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2">
        <w:r>
          <w:rPr>
            <w:rFonts w:ascii="Arial" w:cs="Arial" w:eastAsia="Arial" w:hAnsi="Arial"/>
            <w:sz w:val="18"/>
            <w:szCs w:val="18"/>
            <w:u w:val="single" w:color="auto"/>
            <w:color w:val="0000EE"/>
          </w:rPr>
          <w:t>November 4, 2021</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360" w:firstLine="987"/>
        <w:spacing w:after="0" w:line="277" w:lineRule="auto"/>
        <w:tabs>
          <w:tab w:leader="none" w:pos="1246" w:val="left"/>
        </w:tabs>
        <w:numPr>
          <w:ilvl w:val="0"/>
          <w:numId w:val="1"/>
        </w:numPr>
        <w:rPr>
          <w:rFonts w:ascii="Arial" w:cs="Arial" w:eastAsia="Arial" w:hAnsi="Arial"/>
          <w:sz w:val="18"/>
          <w:szCs w:val="18"/>
          <w:color w:val="0000EE"/>
        </w:rPr>
      </w:pPr>
      <w:hyperlink r:id="rId23">
        <w:r>
          <w:rPr>
            <w:rFonts w:ascii="Arial" w:cs="Arial" w:eastAsia="Arial" w:hAnsi="Arial"/>
            <w:sz w:val="18"/>
            <w:szCs w:val="18"/>
            <w:color w:val="auto"/>
          </w:rPr>
          <w:t xml:space="preserve">the Predecessor’s Current Reports on Form 8-K filed with the Commission on </w:t>
        </w:r>
        <w:r>
          <w:rPr>
            <w:rFonts w:ascii="Arial" w:cs="Arial" w:eastAsia="Arial" w:hAnsi="Arial"/>
            <w:sz w:val="18"/>
            <w:szCs w:val="18"/>
            <w:u w:val="single" w:color="auto"/>
            <w:color w:val="0000EE"/>
          </w:rPr>
          <w:t>February 12,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24,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19,</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4">
        <w:r>
          <w:rPr>
            <w:rFonts w:ascii="Arial" w:cs="Arial" w:eastAsia="Arial" w:hAnsi="Arial"/>
            <w:sz w:val="18"/>
            <w:szCs w:val="18"/>
            <w:u w:val="single" w:color="auto"/>
            <w:color w:val="0000EE"/>
          </w:rPr>
          <w:t>May 6, 2021</w:t>
        </w:r>
      </w:hyperlink>
      <w:hyperlink r:id="rId2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5">
        <w:r>
          <w:rPr>
            <w:rFonts w:ascii="Arial" w:cs="Arial" w:eastAsia="Arial" w:hAnsi="Arial"/>
            <w:sz w:val="18"/>
            <w:szCs w:val="18"/>
            <w:u w:val="single" w:color="auto"/>
            <w:color w:val="0000EE"/>
          </w:rPr>
          <w:t>May 7, 2021</w:t>
        </w:r>
      </w:hyperlink>
      <w:hyperlink r:id="rId2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6">
        <w:r>
          <w:rPr>
            <w:rFonts w:ascii="Arial" w:cs="Arial" w:eastAsia="Arial" w:hAnsi="Arial"/>
            <w:sz w:val="18"/>
            <w:szCs w:val="18"/>
            <w:u w:val="single" w:color="auto"/>
            <w:color w:val="0000EE"/>
          </w:rPr>
          <w:t>August 5, 2021</w:t>
        </w:r>
      </w:hyperlink>
      <w:hyperlink r:id="rId2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7">
        <w:r>
          <w:rPr>
            <w:rFonts w:ascii="Arial" w:cs="Arial" w:eastAsia="Arial" w:hAnsi="Arial"/>
            <w:sz w:val="18"/>
            <w:szCs w:val="18"/>
            <w:u w:val="single" w:color="auto"/>
            <w:color w:val="0000EE"/>
          </w:rPr>
          <w:t xml:space="preserve">December 2, 2021 </w:t>
        </w:r>
      </w:hyperlink>
      <w:hyperlink r:id="rId23">
        <w:r>
          <w:rPr>
            <w:rFonts w:ascii="Arial" w:cs="Arial" w:eastAsia="Arial" w:hAnsi="Arial"/>
            <w:sz w:val="18"/>
            <w:szCs w:val="18"/>
            <w:color w:val="000000"/>
          </w:rPr>
          <w:t>and January 3, 2022; and</w:t>
        </w:r>
      </w:hyperlink>
    </w:p>
    <w:p>
      <w:pPr>
        <w:spacing w:after="0" w:line="62" w:lineRule="exact"/>
        <w:rPr>
          <w:rFonts w:ascii="Arial" w:cs="Arial" w:eastAsia="Arial" w:hAnsi="Arial"/>
          <w:sz w:val="18"/>
          <w:szCs w:val="18"/>
          <w:color w:val="0000EE"/>
        </w:rPr>
      </w:pPr>
    </w:p>
    <w:p>
      <w:pPr>
        <w:ind w:right="480" w:firstLine="987"/>
        <w:spacing w:after="0" w:line="277" w:lineRule="auto"/>
        <w:tabs>
          <w:tab w:leader="none" w:pos="1236"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Common Shares contained in </w:t>
      </w:r>
      <w:hyperlink r:id="rId28">
        <w:r>
          <w:rPr>
            <w:rFonts w:ascii="Arial" w:cs="Arial" w:eastAsia="Arial" w:hAnsi="Arial"/>
            <w:sz w:val="18"/>
            <w:szCs w:val="18"/>
            <w:u w:val="single" w:color="auto"/>
            <w:color w:val="0000EE"/>
          </w:rPr>
          <w:t>Exhibit 4.8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Annual Report on Form 10-K filed with the Commission on February 10, 2020.</w:t>
      </w:r>
    </w:p>
    <w:p>
      <w:pPr>
        <w:spacing w:after="0" w:line="170" w:lineRule="exact"/>
        <w:rPr>
          <w:rFonts w:ascii="Arial" w:cs="Arial" w:eastAsia="Arial" w:hAnsi="Arial"/>
          <w:sz w:val="18"/>
          <w:szCs w:val="18"/>
          <w:color w:val="0000EE"/>
        </w:rPr>
      </w:pPr>
    </w:p>
    <w:p>
      <w:pPr>
        <w:ind w:firstLine="440"/>
        <w:spacing w:after="0" w:line="286" w:lineRule="auto"/>
        <w:rPr>
          <w:sz w:val="20"/>
          <w:szCs w:val="20"/>
          <w:color w:val="auto"/>
        </w:rPr>
      </w:pPr>
      <w:r>
        <w:rPr>
          <w:rFonts w:ascii="Arial" w:cs="Arial" w:eastAsia="Arial" w:hAnsi="Arial"/>
          <w:sz w:val="16"/>
          <w:szCs w:val="16"/>
          <w:color w:val="auto"/>
        </w:rPr>
        <w:t>All documents subsequently filed by the Registrant pursuant to Sections 13(a), 13(c), 14 and 15(d) of the Exchange Act prior to the filing of a post-effective amendment which indicates that all Common Shares offered hereby have been sold or which deregisters all Common Shares then remaining unsold, shall be deemed to be incorporated herein by reference and to be a part hereof from the date of filing of such documents; except as to any portion of any future annual or quarterly report to stockholders or document or current report furnished under current Items 2.02 or 7.01</w:t>
      </w:r>
    </w:p>
    <w:p>
      <w:pPr>
        <w:spacing w:after="0" w:line="1" w:lineRule="exact"/>
        <w:rPr>
          <w:rFonts w:ascii="Arial" w:cs="Arial" w:eastAsia="Arial" w:hAnsi="Arial"/>
          <w:sz w:val="18"/>
          <w:szCs w:val="18"/>
          <w:color w:val="0000EE"/>
        </w:rPr>
      </w:pPr>
    </w:p>
    <w:p>
      <w:pPr>
        <w:ind w:right="40"/>
        <w:spacing w:after="0" w:line="253" w:lineRule="auto"/>
        <w:rPr>
          <w:sz w:val="20"/>
          <w:szCs w:val="20"/>
          <w:color w:val="auto"/>
        </w:rPr>
      </w:pPr>
      <w:r>
        <w:rPr>
          <w:rFonts w:ascii="Arial" w:cs="Arial" w:eastAsia="Arial" w:hAnsi="Arial"/>
          <w:sz w:val="18"/>
          <w:szCs w:val="18"/>
          <w:color w:val="auto"/>
        </w:rPr>
        <w:t>of Form 8-K that is not deemed filed under such provisions. Any statement contained in a document incorporated or deemed to be incorporated by reference herein shall be deemed to be modified or superseded for the purposes of these Registration Statements to the extent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these Registration Statements.</w:t>
      </w:r>
    </w:p>
    <w:p>
      <w:pPr>
        <w:spacing w:after="0" w:line="295"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8"/>
          <w:szCs w:val="18"/>
          <w:color w:val="0000EE"/>
        </w:rPr>
      </w:pPr>
    </w:p>
    <w:p>
      <w:pPr>
        <w:ind w:left="440"/>
        <w:spacing w:after="0"/>
        <w:rPr>
          <w:sz w:val="20"/>
          <w:szCs w:val="20"/>
          <w:color w:val="auto"/>
        </w:rPr>
      </w:pPr>
      <w:r>
        <w:rPr>
          <w:rFonts w:ascii="Arial" w:cs="Arial" w:eastAsia="Arial" w:hAnsi="Arial"/>
          <w:sz w:val="18"/>
          <w:szCs w:val="18"/>
          <w:color w:val="auto"/>
        </w:rPr>
        <w:t>Not Applicable.</w:t>
      </w:r>
    </w:p>
    <w:p>
      <w:pPr>
        <w:spacing w:after="0" w:line="158" w:lineRule="exact"/>
        <w:rPr>
          <w:rFonts w:ascii="Arial" w:cs="Arial" w:eastAsia="Arial" w:hAnsi="Arial"/>
          <w:sz w:val="18"/>
          <w:szCs w:val="18"/>
          <w:color w:val="0000EE"/>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0" w:right="5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 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Trustees and Officers.</w:t>
      </w:r>
    </w:p>
    <w:p>
      <w:pPr>
        <w:spacing w:after="0" w:line="12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78"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7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4" w:name="page5"/>
    <w:bookmarkEnd w:id="4"/>
    <w:p>
      <w:pPr>
        <w:ind w:left="4"/>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64"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Exhibits.</w:t>
      </w:r>
    </w:p>
    <w:p>
      <w:pPr>
        <w:spacing w:after="0" w:line="256" w:lineRule="exact"/>
        <w:rPr>
          <w:sz w:val="20"/>
          <w:szCs w:val="20"/>
          <w:color w:val="auto"/>
        </w:rPr>
      </w:pPr>
    </w:p>
    <w:p>
      <w:pPr>
        <w:ind w:left="724" w:right="200" w:hanging="714"/>
        <w:spacing w:after="0" w:line="277" w:lineRule="auto"/>
        <w:tabs>
          <w:tab w:leader="none" w:pos="704"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31">
        <w:r>
          <w:rPr>
            <w:rFonts w:ascii="Arial" w:cs="Arial" w:eastAsia="Arial" w:hAnsi="Arial"/>
            <w:sz w:val="18"/>
            <w:szCs w:val="18"/>
            <w:u w:val="single" w:color="auto"/>
            <w:color w:val="0000EE"/>
          </w:rPr>
          <w:t>Amended and Restated Declaration of Trust of Federal Realty Investment Trust effective January 1, 2022 (previously filed as Exhibit 3.1 to</w:t>
        </w:r>
      </w:hyperlink>
      <w:r>
        <w:rPr>
          <w:rFonts w:ascii="Arial" w:cs="Arial" w:eastAsia="Arial" w:hAnsi="Arial"/>
          <w:sz w:val="18"/>
          <w:szCs w:val="18"/>
          <w:u w:val="single" w:color="auto"/>
          <w:color w:val="0000EE"/>
        </w:rPr>
        <w:t xml:space="preserve"> </w:t>
      </w:r>
      <w:hyperlink r:id="rId31">
        <w:r>
          <w:rPr>
            <w:rFonts w:ascii="Arial" w:cs="Arial" w:eastAsia="Arial" w:hAnsi="Arial"/>
            <w:sz w:val="18"/>
            <w:szCs w:val="18"/>
            <w:u w:val="single" w:color="auto"/>
            <w:color w:val="0000EE"/>
          </w:rPr>
          <w:t>the Current Report on Form 8-K filed by the Registrant on January 3, 2022 and incorporated herein by reference)</w:t>
        </w:r>
      </w:hyperlink>
    </w:p>
    <w:p>
      <w:pPr>
        <w:spacing w:after="0" w:line="62" w:lineRule="exact"/>
        <w:rPr>
          <w:sz w:val="20"/>
          <w:szCs w:val="20"/>
          <w:color w:val="auto"/>
        </w:rPr>
      </w:pPr>
    </w:p>
    <w:p>
      <w:pPr>
        <w:ind w:left="724" w:right="480" w:hanging="714"/>
        <w:spacing w:after="0" w:line="263" w:lineRule="auto"/>
        <w:tabs>
          <w:tab w:leader="none" w:pos="704"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32">
        <w:r>
          <w:rPr>
            <w:rFonts w:ascii="Arial" w:cs="Arial" w:eastAsia="Arial" w:hAnsi="Arial"/>
            <w:sz w:val="18"/>
            <w:szCs w:val="18"/>
            <w:u w:val="single" w:color="auto"/>
            <w:color w:val="0000EE"/>
          </w:rPr>
          <w:t>Articles of Amendment to Amended and Restated Declaration of Trust of Federal Realty Investment Trust effective January 1, 2022</w:t>
        </w:r>
      </w:hyperlink>
      <w:r>
        <w:rPr>
          <w:rFonts w:ascii="Arial" w:cs="Arial" w:eastAsia="Arial" w:hAnsi="Arial"/>
          <w:sz w:val="18"/>
          <w:szCs w:val="18"/>
          <w:u w:val="single" w:color="auto"/>
          <w:color w:val="0000EE"/>
        </w:rPr>
        <w:t xml:space="preserve"> </w:t>
      </w:r>
      <w:hyperlink r:id="rId32">
        <w:r>
          <w:rPr>
            <w:rFonts w:ascii="Arial" w:cs="Arial" w:eastAsia="Arial" w:hAnsi="Arial"/>
            <w:sz w:val="18"/>
            <w:szCs w:val="18"/>
            <w:u w:val="single" w:color="auto"/>
            <w:color w:val="0000EE"/>
          </w:rPr>
          <w:t>(previously filed as Exhibit 3.2 to the Current Report on Form 8-K filed by the Company on January 3, 2022 and incorporated herein by</w:t>
        </w:r>
      </w:hyperlink>
      <w:r>
        <w:rPr>
          <w:rFonts w:ascii="Arial" w:cs="Arial" w:eastAsia="Arial" w:hAnsi="Arial"/>
          <w:sz w:val="18"/>
          <w:szCs w:val="18"/>
          <w:u w:val="single" w:color="auto"/>
          <w:color w:val="0000EE"/>
        </w:rPr>
        <w:t xml:space="preserve"> </w:t>
      </w:r>
      <w:hyperlink r:id="rId32">
        <w:r>
          <w:rPr>
            <w:rFonts w:ascii="Arial" w:cs="Arial" w:eastAsia="Arial" w:hAnsi="Arial"/>
            <w:sz w:val="18"/>
            <w:szCs w:val="18"/>
            <w:u w:val="single" w:color="auto"/>
            <w:color w:val="0000EE"/>
          </w:rPr>
          <w:t>reference)</w:t>
        </w:r>
      </w:hyperlink>
    </w:p>
    <w:p>
      <w:pPr>
        <w:spacing w:after="0" w:line="76" w:lineRule="exact"/>
        <w:rPr>
          <w:rFonts w:ascii="Arial" w:cs="Arial" w:eastAsia="Arial" w:hAnsi="Arial"/>
          <w:sz w:val="18"/>
          <w:szCs w:val="18"/>
          <w:u w:val="single" w:color="auto"/>
          <w:color w:val="0000EE"/>
        </w:rPr>
      </w:pPr>
    </w:p>
    <w:p>
      <w:pPr>
        <w:ind w:left="724" w:right="120" w:hanging="714"/>
        <w:spacing w:after="0" w:line="277" w:lineRule="auto"/>
        <w:tabs>
          <w:tab w:leader="none" w:pos="704"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33">
        <w:r>
          <w:rPr>
            <w:rFonts w:ascii="Arial" w:cs="Arial" w:eastAsia="Arial" w:hAnsi="Arial"/>
            <w:sz w:val="18"/>
            <w:szCs w:val="18"/>
            <w:u w:val="single" w:color="auto"/>
            <w:color w:val="0000EE"/>
          </w:rPr>
          <w:t>Bylaws of Federal Realty Investment Trust effective January 1, 2022 (previously filed as Exhibit 3.3 to the Current Report on Form 8-K filed</w:t>
        </w:r>
      </w:hyperlink>
      <w:r>
        <w:rPr>
          <w:rFonts w:ascii="Arial" w:cs="Arial" w:eastAsia="Arial" w:hAnsi="Arial"/>
          <w:sz w:val="18"/>
          <w:szCs w:val="18"/>
          <w:u w:val="single" w:color="auto"/>
          <w:color w:val="0000EE"/>
        </w:rPr>
        <w:t xml:space="preserve"> </w:t>
      </w:r>
      <w:hyperlink r:id="rId33">
        <w:r>
          <w:rPr>
            <w:rFonts w:ascii="Arial" w:cs="Arial" w:eastAsia="Arial" w:hAnsi="Arial"/>
            <w:sz w:val="18"/>
            <w:szCs w:val="18"/>
            <w:u w:val="single" w:color="auto"/>
            <w:color w:val="0000EE"/>
          </w:rPr>
          <w:t>by the Company on January 3, 2022 and incorporated herein by reference)</w:t>
        </w:r>
      </w:hyperlink>
    </w:p>
    <w:p>
      <w:pPr>
        <w:spacing w:after="0" w:line="62" w:lineRule="exact"/>
        <w:rPr>
          <w:sz w:val="20"/>
          <w:szCs w:val="20"/>
          <w:color w:val="auto"/>
        </w:rPr>
      </w:pPr>
    </w:p>
    <w:p>
      <w:pPr>
        <w:ind w:left="4"/>
        <w:spacing w:after="0"/>
        <w:tabs>
          <w:tab w:leader="none" w:pos="704"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8">
        <w:r>
          <w:rPr>
            <w:rFonts w:ascii="Arial" w:cs="Arial" w:eastAsia="Arial" w:hAnsi="Arial"/>
            <w:sz w:val="16"/>
            <w:szCs w:val="16"/>
            <w:u w:val="single" w:color="auto"/>
            <w:color w:val="0000EE"/>
          </w:rPr>
          <w:t>Opinion of Pillsbury Winthrop Shaw Pittman LLP regarding the legality of the securities being registered</w:t>
        </w:r>
      </w:hyperlink>
    </w:p>
    <w:p>
      <w:pPr>
        <w:spacing w:after="0" w:line="117" w:lineRule="exact"/>
        <w:rPr>
          <w:sz w:val="20"/>
          <w:szCs w:val="20"/>
          <w:color w:val="auto"/>
        </w:rPr>
      </w:pPr>
    </w:p>
    <w:p>
      <w:pPr>
        <w:ind w:left="4"/>
        <w:spacing w:after="0"/>
        <w:tabs>
          <w:tab w:leader="none" w:pos="704"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0">
        <w:r>
          <w:rPr>
            <w:rFonts w:ascii="Arial" w:cs="Arial" w:eastAsia="Arial" w:hAnsi="Arial"/>
            <w:sz w:val="16"/>
            <w:szCs w:val="16"/>
            <w:u w:val="single" w:color="auto"/>
            <w:color w:val="0000EE"/>
          </w:rPr>
          <w:t>Consent of Grant Thornton LLP</w:t>
        </w:r>
      </w:hyperlink>
    </w:p>
    <w:p>
      <w:pPr>
        <w:spacing w:after="0" w:line="117" w:lineRule="exact"/>
        <w:rPr>
          <w:sz w:val="20"/>
          <w:szCs w:val="20"/>
          <w:color w:val="auto"/>
        </w:rPr>
      </w:pPr>
    </w:p>
    <w:p>
      <w:pPr>
        <w:ind w:left="4"/>
        <w:spacing w:after="0"/>
        <w:tabs>
          <w:tab w:leader="none" w:pos="704"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8">
        <w:r>
          <w:rPr>
            <w:rFonts w:ascii="Arial" w:cs="Arial" w:eastAsia="Arial" w:hAnsi="Arial"/>
            <w:sz w:val="16"/>
            <w:szCs w:val="16"/>
            <w:u w:val="single" w:color="auto"/>
            <w:color w:val="0000EE"/>
          </w:rPr>
          <w:t>Consent of Pillsbury Winthrop Shaw Pittman LLP (included in Exhibit 5.1)</w:t>
        </w:r>
      </w:hyperlink>
    </w:p>
    <w:p>
      <w:pPr>
        <w:spacing w:after="0" w:line="117" w:lineRule="exact"/>
        <w:rPr>
          <w:sz w:val="20"/>
          <w:szCs w:val="20"/>
          <w:color w:val="auto"/>
        </w:rPr>
      </w:pPr>
    </w:p>
    <w:p>
      <w:pPr>
        <w:ind w:left="4"/>
        <w:spacing w:after="0"/>
        <w:tabs>
          <w:tab w:leader="none" w:pos="704"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(previously filed as Exhibit 24.1 to the Initial Registration Statements filed with respect to the 2020 Plan (Registration No.</w:t>
      </w:r>
    </w:p>
    <w:p>
      <w:pPr>
        <w:spacing w:after="0" w:line="23" w:lineRule="exact"/>
        <w:rPr>
          <w:sz w:val="20"/>
          <w:szCs w:val="20"/>
          <w:color w:val="auto"/>
        </w:rPr>
      </w:pPr>
    </w:p>
    <w:p>
      <w:pPr>
        <w:ind w:left="724"/>
        <w:spacing w:after="0"/>
        <w:rPr>
          <w:rFonts w:ascii="Arial" w:cs="Arial" w:eastAsia="Arial" w:hAnsi="Arial"/>
          <w:sz w:val="18"/>
          <w:szCs w:val="18"/>
          <w:color w:val="0000EE"/>
        </w:rPr>
      </w:pPr>
      <w:hyperlink r:id="rId34">
        <w:r>
          <w:rPr>
            <w:rFonts w:ascii="Arial" w:cs="Arial" w:eastAsia="Arial" w:hAnsi="Arial"/>
            <w:sz w:val="18"/>
            <w:szCs w:val="18"/>
            <w:u w:val="single" w:color="auto"/>
            <w:color w:val="0000EE"/>
          </w:rPr>
          <w:t>333-239351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 the 2007 ESPP (Registration No.</w:t>
      </w:r>
      <w:r>
        <w:rPr>
          <w:rFonts w:ascii="Arial" w:cs="Arial" w:eastAsia="Arial" w:hAnsi="Arial"/>
          <w:sz w:val="18"/>
          <w:szCs w:val="18"/>
          <w:color w:val="0000EE"/>
        </w:rPr>
        <w:t xml:space="preserve"> </w:t>
      </w:r>
      <w:hyperlink r:id="rId35">
        <w:r>
          <w:rPr>
            <w:rFonts w:ascii="Arial" w:cs="Arial" w:eastAsia="Arial" w:hAnsi="Arial"/>
            <w:sz w:val="18"/>
            <w:szCs w:val="18"/>
            <w:u w:val="single" w:color="auto"/>
            <w:color w:val="0000EE"/>
          </w:rPr>
          <w:t>333-147081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 incorporated herein by reference).</w:t>
      </w:r>
    </w:p>
    <w:p>
      <w:pPr>
        <w:spacing w:after="0" w:line="211" w:lineRule="exact"/>
        <w:rPr>
          <w:sz w:val="20"/>
          <w:szCs w:val="20"/>
          <w:color w:val="auto"/>
        </w:rPr>
      </w:pPr>
    </w:p>
    <w:p>
      <w:pPr>
        <w:ind w:left="724" w:hanging="724"/>
        <w:spacing w:after="0"/>
        <w:tabs>
          <w:tab w:leader="none" w:pos="72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Included with this filing.</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684" w:hanging="244"/>
        <w:spacing w:after="0"/>
        <w:tabs>
          <w:tab w:leader="none" w:pos="68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604" w:hanging="212"/>
        <w:spacing w:after="0"/>
        <w:tabs>
          <w:tab w:leader="none" w:pos="160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5" w:name="page6"/>
    <w:bookmarkEnd w:id="5"/>
    <w:p>
      <w:pPr>
        <w:ind w:left="940" w:firstLine="408"/>
        <w:spacing w:after="0" w:line="272" w:lineRule="auto"/>
        <w:tabs>
          <w:tab w:leader="none" w:pos="1606" w:val="left"/>
        </w:tabs>
        <w:numPr>
          <w:ilvl w:val="0"/>
          <w:numId w:val="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69" w:lineRule="exact"/>
        <w:rPr>
          <w:rFonts w:ascii="Arial" w:cs="Arial" w:eastAsia="Arial" w:hAnsi="Arial"/>
          <w:sz w:val="17"/>
          <w:szCs w:val="17"/>
          <w:color w:val="auto"/>
        </w:rPr>
      </w:pPr>
    </w:p>
    <w:p>
      <w:pPr>
        <w:ind w:left="940" w:right="720" w:firstLine="408"/>
        <w:spacing w:after="0" w:line="277" w:lineRule="auto"/>
        <w:tabs>
          <w:tab w:leader="none" w:pos="1656"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62" w:lineRule="exact"/>
        <w:rPr>
          <w:sz w:val="20"/>
          <w:szCs w:val="20"/>
          <w:color w:val="auto"/>
        </w:rPr>
      </w:pPr>
    </w:p>
    <w:p>
      <w:pPr>
        <w:ind w:left="400" w:right="40"/>
        <w:spacing w:after="0" w:line="263" w:lineRule="auto"/>
        <w:rPr>
          <w:sz w:val="20"/>
          <w:szCs w:val="20"/>
          <w:color w:val="auto"/>
        </w:rPr>
      </w:pPr>
      <w:r>
        <w:rPr>
          <w:rFonts w:ascii="Arial" w:cs="Arial" w:eastAsia="Arial" w:hAnsi="Arial"/>
          <w:sz w:val="18"/>
          <w:szCs w:val="18"/>
          <w:color w:val="auto"/>
        </w:rPr>
        <w:t>provided, however, that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76" w:lineRule="exact"/>
        <w:rPr>
          <w:sz w:val="20"/>
          <w:szCs w:val="20"/>
          <w:color w:val="auto"/>
        </w:rPr>
      </w:pPr>
    </w:p>
    <w:p>
      <w:pPr>
        <w:ind w:left="400" w:right="120" w:firstLine="419"/>
        <w:spacing w:after="0" w:line="263" w:lineRule="auto"/>
        <w:tabs>
          <w:tab w:leader="none" w:pos="1078"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5" w:lineRule="exact"/>
        <w:rPr>
          <w:rFonts w:ascii="Arial" w:cs="Arial" w:eastAsia="Arial" w:hAnsi="Arial"/>
          <w:sz w:val="18"/>
          <w:szCs w:val="18"/>
          <w:color w:val="auto"/>
        </w:rPr>
      </w:pPr>
    </w:p>
    <w:p>
      <w:pPr>
        <w:ind w:left="400" w:right="180" w:firstLine="419"/>
        <w:spacing w:after="0" w:line="277" w:lineRule="auto"/>
        <w:tabs>
          <w:tab w:leader="none" w:pos="1078"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40" w:right="160" w:firstLine="436"/>
        <w:spacing w:after="0" w:line="25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rFonts w:ascii="Arial" w:cs="Arial" w:eastAsia="Arial" w:hAnsi="Arial"/>
          <w:sz w:val="18"/>
          <w:szCs w:val="18"/>
          <w:color w:val="auto"/>
        </w:rPr>
      </w:pPr>
    </w:p>
    <w:p>
      <w:pPr>
        <w:ind w:left="-40" w:right="40" w:firstLine="436"/>
        <w:spacing w:after="0" w:line="271" w:lineRule="auto"/>
        <w:tabs>
          <w:tab w:leader="none" w:pos="64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80" w:top="274" w:right="4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North Bethesda, State of Maryland, on January 3, 2022.</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Vice President-General Counsel and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jc w:val="both"/>
        <w:ind w:right="8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these Post-Effective Amendments have been signed below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tcPr>
          <w:p>
            <w:pPr>
              <w:jc w:val="right"/>
              <w:ind w:right="2668"/>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304"/>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12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w w:val="95"/>
              </w:rPr>
              <w:t>Chief Executive Officer of the Company (principal executive officer) and Trustee</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of the Company</w:t>
            </w:r>
          </w:p>
        </w:tc>
        <w:tc>
          <w:tcPr>
            <w:tcW w:w="1760" w:type="dxa"/>
            <w:vAlign w:val="bottom"/>
          </w:tcPr>
          <w:p>
            <w:pPr>
              <w:spacing w:after="0"/>
              <w:rPr>
                <w:sz w:val="19"/>
                <w:szCs w:val="19"/>
                <w:color w:val="auto"/>
              </w:rPr>
            </w:pPr>
          </w:p>
        </w:tc>
      </w:tr>
      <w:tr>
        <w:trPr>
          <w:trHeight w:val="323"/>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12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w w:val="95"/>
              </w:rPr>
              <w:t>Executive Vice President-Chief Financial Officer and Treasurer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1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c>
          <w:tcPr>
            <w:tcW w:w="1760" w:type="dxa"/>
            <w:vAlign w:val="bottom"/>
          </w:tcPr>
          <w:p>
            <w:pPr>
              <w:spacing w:after="0"/>
              <w:rPr>
                <w:sz w:val="19"/>
                <w:szCs w:val="19"/>
                <w:color w:val="auto"/>
              </w:rPr>
            </w:pPr>
          </w:p>
        </w:tc>
      </w:tr>
      <w:tr>
        <w:trPr>
          <w:trHeight w:val="323"/>
        </w:trPr>
        <w:tc>
          <w:tcPr>
            <w:tcW w:w="308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Trustee and Non-Executive Chairman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308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Trustee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Elizabeth I. Holland</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308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Trustee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Nicole Y. Lamb-Hale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308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Trustee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Anthony P. Nader III</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308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Trustee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308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Trustee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58"/>
        </w:trPr>
        <w:tc>
          <w:tcPr>
            <w:tcW w:w="3080" w:type="dxa"/>
            <w:vAlign w:val="bottom"/>
            <w:gridSpan w:val="2"/>
          </w:tcPr>
          <w:p>
            <w:pPr>
              <w:spacing w:after="0"/>
              <w:rPr>
                <w:sz w:val="20"/>
                <w:szCs w:val="20"/>
                <w:color w:val="auto"/>
              </w:rPr>
            </w:pPr>
            <w:r>
              <w:rPr>
                <w:rFonts w:ascii="Arial" w:cs="Arial" w:eastAsia="Arial" w:hAnsi="Arial"/>
                <w:sz w:val="18"/>
                <w:szCs w:val="18"/>
                <w:color w:val="auto"/>
              </w:rPr>
              <w:t>*By:  /s/ Dawn M. Becker</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9"/>
        </w:trPr>
        <w:tc>
          <w:tcPr>
            <w:tcW w:w="500" w:type="dxa"/>
            <w:vAlign w:val="bottom"/>
          </w:tcPr>
          <w:p>
            <w:pPr>
              <w:spacing w:after="0"/>
              <w:rPr>
                <w:sz w:val="18"/>
                <w:szCs w:val="18"/>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Dawn M. Becker</w:t>
            </w: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Attorney-In-Fact</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65"/>
        </w:trPr>
        <w:tc>
          <w:tcPr>
            <w:tcW w:w="5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060" w:type="dxa"/>
            <w:vAlign w:val="bottom"/>
            <w:gridSpan w:val="3"/>
          </w:tcPr>
          <w:p>
            <w:pPr>
              <w:jc w:val="right"/>
              <w:ind w:right="3528"/>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1200 Seventeenth Street, NW, Washington, DC 20036</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3 2022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909 Rose Avenue, Suite 200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North Bethesda, Maryland 20852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6"/>
          <w:szCs w:val="16"/>
          <w:color w:val="auto"/>
        </w:rPr>
        <w:t>We have acted as counsel to Federal Realty Investment Trust, a Maryland real estate investment trust formerly known as FRT Holdco REIT before January 1, 2022 (the “Company”), in connection with its filing of Post-Effective Amendment No. 1 (the “Post Effective Amendments”) to the Registration Statements on Form S-8 filed with the Securities and Exchange Commission under the Securities Act of 1933, as amended (the “Act”), by Federal Realty Interim Real Estate Investment Trust, a Maryland real estate investment trust formerly known as Federal Realty Investment Trust before January 1, 2022 (the “Predecessor”) on June 22, 2020 (Registration No. 333-239351) and November 1, 2007 (Registration No. 333-147081) (collectively, the “Registration Statements”). The Company is filing the Post-Effective Amendments to adopt the Registration Statements pursuant to Rule 414(d) under the Act as the successor issuer to the Predecessor. The Registration Statements, as amended by the Post-Effective Amendments, relate to the offering of common shares of beneficial interest, par value $.01 per share (the “Common Shares”), of the Company that may be offered from time to time pursuant to the Company’s 2020 Performance Incentive Plan or the Company’s 2007 Employee Share Purchase Plan (collectively, the “Plans”).</w:t>
      </w:r>
    </w:p>
    <w:p>
      <w:pPr>
        <w:spacing w:after="0" w:line="166"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For purposes of giving the opinions hereinafter set forth, our examination of documents has been limited to examination of copies of the following (each, a “Document,” and collectively, the “Documents”):</w:t>
      </w:r>
    </w:p>
    <w:p>
      <w:pPr>
        <w:spacing w:after="0" w:line="76" w:lineRule="exact"/>
        <w:rPr>
          <w:sz w:val="20"/>
          <w:szCs w:val="20"/>
          <w:color w:val="auto"/>
        </w:rPr>
      </w:pPr>
    </w:p>
    <w:p>
      <w:pPr>
        <w:ind w:left="964" w:hanging="532"/>
        <w:spacing w:after="0"/>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declaration of trust of the Company, as amended as of the date hereof;</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bylaws of the Company, as amended as of the date hereof;</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Registration Statements and the Post-Effective Amendments;</w:t>
      </w:r>
    </w:p>
    <w:p>
      <w:pPr>
        <w:spacing w:after="0" w:line="130" w:lineRule="exact"/>
        <w:rPr>
          <w:rFonts w:ascii="Arial" w:cs="Arial" w:eastAsia="Arial" w:hAnsi="Arial"/>
          <w:sz w:val="18"/>
          <w:szCs w:val="18"/>
          <w:color w:val="auto"/>
        </w:rPr>
      </w:pPr>
    </w:p>
    <w:p>
      <w:pPr>
        <w:ind w:left="964" w:right="20" w:hanging="532"/>
        <w:spacing w:after="0" w:line="277" w:lineRule="auto"/>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resolutions of the Board of Trustees of the Company adopted on December 2, 2021 in the form certified to us by an officer of the Company on the date hereof; and</w:t>
      </w:r>
    </w:p>
    <w:p>
      <w:pPr>
        <w:spacing w:after="0" w:line="76" w:lineRule="exact"/>
        <w:rPr>
          <w:sz w:val="20"/>
          <w:szCs w:val="20"/>
          <w:color w:val="auto"/>
        </w:rPr>
      </w:pPr>
    </w:p>
    <w:p>
      <w:pPr>
        <w:ind w:left="964" w:hanging="532"/>
        <w:spacing w:after="0"/>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certificate of an officer of the Company dated as of the date hereof.</w:t>
      </w:r>
    </w:p>
    <w:p>
      <w:pPr>
        <w:spacing w:after="0" w:line="225"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Based upon the foregoing and subject to the assumptions, qualifications, limitations, and exceptions set forth below, we are of the opinion that the Common Shares have been duly authorized, and the Common Shares, when issued and delivered by the Company and, as applicable paid for, in the manner described in the Registration Statements and the Plans and in accordance with the resolutions adopted by the Board of Trustees of the Company, will be validly issued, fully paid and nonassessable.</w:t>
      </w:r>
    </w:p>
    <w:p>
      <w:pPr>
        <w:spacing w:after="0" w:line="187"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For purposes of this opinion, we have not reviewed any documents other than the Documents. In particular, we have not reviewed any document (other than the Documents) that is referred to in or incorporated by reference into any Document reviewed by us. We have assumed that no provision exists in any document that we have not reviewed that is inconsistent with the opinions stated herein.</w:t>
      </w:r>
    </w:p>
    <w:p>
      <w:pPr>
        <w:spacing w:after="0" w:line="184"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In connection with this opinion, we have considered such matters of law and fact as we, in our professional judgment, have deemed necessary or appropriate to render the opinions contained herein. In rendering this opinion letter, we have assumed without independent investigation: (i) the completeness of all Documents; (ii) the genuineness of all signatures; (iii) the legal capacity of all individuals who have executed any of the Documents;</w:t>
      </w:r>
    </w:p>
    <w:p>
      <w:pPr>
        <w:spacing w:after="0" w:line="2" w:lineRule="exact"/>
        <w:rPr>
          <w:sz w:val="20"/>
          <w:szCs w:val="20"/>
          <w:color w:val="auto"/>
        </w:rPr>
      </w:pPr>
    </w:p>
    <w:p>
      <w:pPr>
        <w:jc w:val="both"/>
        <w:ind w:left="4" w:right="360" w:hanging="4"/>
        <w:spacing w:after="0" w:line="281" w:lineRule="auto"/>
        <w:tabs>
          <w:tab w:leader="none" w:pos="30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authenticity of all Documents submitted to us as originals; (v) the conformity to the original documents of all Documents submitted to us as certified, photostatic, reproduced, facsimile or conformed copies of valid existing agreements; (vi) the authenticity of all such latter Documents; and</w:t>
      </w:r>
    </w:p>
    <w:p>
      <w:pPr>
        <w:spacing w:after="0" w:line="1" w:lineRule="exact"/>
        <w:rPr>
          <w:rFonts w:ascii="Arial" w:cs="Arial" w:eastAsia="Arial" w:hAnsi="Arial"/>
          <w:sz w:val="16"/>
          <w:szCs w:val="16"/>
          <w:color w:val="auto"/>
        </w:rPr>
      </w:pPr>
    </w:p>
    <w:p>
      <w:pPr>
        <w:ind w:left="364" w:hanging="364"/>
        <w:spacing w:after="0"/>
        <w:tabs>
          <w:tab w:leader="none" w:pos="3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 statements regarding matters of fact</w:t>
      </w:r>
    </w:p>
    <w:p>
      <w:pPr>
        <w:sectPr>
          <w:pgSz w:w="11900" w:h="16838" w:orient="portrait"/>
          <w:cols w:equalWidth="0" w:num="1">
            <w:col w:w="11024"/>
          </w:cols>
          <w:pgMar w:left="436" w:top="121" w:right="439" w:bottom="1440" w:gutter="0" w:footer="0" w:header="0"/>
        </w:sectPr>
      </w:pPr>
    </w:p>
    <w:bookmarkStart w:id="8" w:name="page9"/>
    <w:bookmarkEnd w:id="8"/>
    <w:p>
      <w:pPr>
        <w:jc w:val="both"/>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any of the Documents that we have examined are accurate and complete. We have further assumed that there are no oral or written modifications or amendments to any of the Documents, and that the executed versions of the Documents are identical to any unexecuted forms or versions that we may have reviewed.</w:t>
      </w:r>
    </w:p>
    <w:p>
      <w:pPr>
        <w:spacing w:after="0" w:line="18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Our opinions expressed above are limited in all respects and for all purposes to the laws of the State of Maryland (excluding the securities laws and blue sky laws of the State of Maryland), and we express no opinion on the laws of any other jurisdiction, including federal laws and rules and regulations relating thereto. Our opinions are rendered only with respect to Maryland laws and rules, regulations and orders thereunder that are currently in effect. In rendering the opinions set forth herein, we express no opinion concerning (i) the creation, attachment, perfection or priority of any security interest, lien or other encumbrance, or (ii) the nature or validity of title to any property. The opinions set forth in this letter are limited to the matters and the transaction expressly addressed herein and no opinion is to be implied or may be inferred beyond the opinions expressly stated in this letter.</w:t>
      </w:r>
    </w:p>
    <w:p>
      <w:pPr>
        <w:spacing w:after="0" w:line="164"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We hereby consent to the filing of this opinion as an exhibit to the Post-Effective Amendments. The giving of this consent, however, does not constitute an admission that we are within the category of persons whose consent is required by Section 7 of the Act.</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Pillsbury Winthrop Shaw Pittman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0980"/>
          </w:cols>
          <w:pgMar w:left="440" w:top="274" w:right="4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issued our reports dated February 11, 2021, with respect to the consolidated financial statements, schedules, and internal control over financial reporting of Federal Realty Investment Trust, included in the Annual Report on Form 10-K for the year ended December 31, 2020, which are incorporated by reference in this Registration Statement. We consent to the incorporation by reference of the aforementioned reports in this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3, 2022</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3"/>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
    <w:nsid w:val="41B71EFB"/>
    <w:multiLevelType w:val="hybridMultilevel"/>
    <w:lvl w:ilvl="0">
      <w:lvlJc w:val="left"/>
      <w:lvlText w:val="(%1)"/>
      <w:numFmt w:val="lowerRoman"/>
      <w:start w:val="2"/>
    </w:lvl>
  </w:abstractNum>
  <w:abstractNum w:abstractNumId="4">
    <w:nsid w:val="79E2A9E3"/>
    <w:multiLevelType w:val="hybridMultilevel"/>
    <w:lvl w:ilvl="0">
      <w:lvlJc w:val="left"/>
      <w:lvlText w:val="%1"/>
      <w:numFmt w:val="lowerLetter"/>
      <w:start w:val="1"/>
    </w:lvl>
    <w:lvl w:ilvl="1">
      <w:lvlJc w:val="left"/>
      <w:lvlText w:val="(%2)"/>
      <w:numFmt w:val="decimal"/>
      <w:start w:val="2"/>
    </w:lvl>
  </w:abstractNum>
  <w:abstractNum w:abstractNumId="5">
    <w:nsid w:val="7545E146"/>
    <w:multiLevelType w:val="hybridMultilevel"/>
    <w:lvl w:ilvl="0">
      <w:lvlJc w:val="left"/>
      <w:lvlText w:val="(%1)"/>
      <w:numFmt w:val="lowerLetter"/>
      <w:start w:val="2"/>
    </w:lvl>
    <w:lvl w:ilvl="1">
      <w:lvlJc w:val="left"/>
      <w:lvlText w:val="%2"/>
      <w:numFmt w:val="decimal"/>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Roman"/>
      <w:start w:val="9"/>
    </w:lvl>
  </w:abstractNum>
  <w:abstractNum w:abstractNumId="8">
    <w:nsid w:val="12200854"/>
    <w:multiLevelType w:val="hybridMultilevel"/>
    <w:lvl w:ilvl="0">
      <w:lvlJc w:val="left"/>
      <w:lvlText w:val="(%1)"/>
      <w:numFmt w:val="lowerRoman"/>
      <w:start w:val="4"/>
    </w:lvl>
  </w:abstractNum>
  <w:abstractNum w:abstractNumId="9">
    <w:nsid w:val="4DB127F8"/>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18" Type="http://schemas.openxmlformats.org/officeDocument/2006/relationships/hyperlink" Target="http://www.sec.gov/ix?doc=/Archives/edgar/data/34903/000003490321000020/frt-20201231.htm" TargetMode="External"/><Relationship Id="rId19" Type="http://schemas.openxmlformats.org/officeDocument/2006/relationships/hyperlink" Target="http://www.sec.gov/Archives/edgar/data/34903/000119312521093583/d112637ddef14a.htm" TargetMode="External"/><Relationship Id="rId20" Type="http://schemas.openxmlformats.org/officeDocument/2006/relationships/hyperlink" Target="http://www.sec.gov/ix?doc=/Archives/edgar/data/34903/000003490321000049/frt-20210331.htm" TargetMode="External"/><Relationship Id="rId21" Type="http://schemas.openxmlformats.org/officeDocument/2006/relationships/hyperlink" Target="http://www.sec.gov/ix?doc=/Archives/edgar/data/34903/000003490321000060/frt-20210630.htm" TargetMode="External"/><Relationship Id="rId22" Type="http://schemas.openxmlformats.org/officeDocument/2006/relationships/hyperlink" Target="http://www.sec.gov/ix?doc=/Archives/edgar/data/34903/000003490321000076/frt-20210930.htm" TargetMode="External"/><Relationship Id="rId23" Type="http://schemas.openxmlformats.org/officeDocument/2006/relationships/hyperlink" Target="http://www.sec.gov/ix?doc=/Archives/edgar/data/34903/000119312521121313/d126788d8k.htm" TargetMode="External"/><Relationship Id="rId24" Type="http://schemas.openxmlformats.org/officeDocument/2006/relationships/hyperlink" Target="http://www.sec.gov/ix?doc=/Archives/edgar/data/34903/000003490321000051/frt-20210505.htm" TargetMode="External"/><Relationship Id="rId25" Type="http://schemas.openxmlformats.org/officeDocument/2006/relationships/hyperlink" Target="http://www.sec.gov/ix?doc=/Archives/edgar/data/34903/000119312521154127/d415709d8k.htm" TargetMode="External"/><Relationship Id="rId26" Type="http://schemas.openxmlformats.org/officeDocument/2006/relationships/hyperlink" Target="http://www.sec.gov/ix?doc=/Archives/edgar/data/34903/000003490321000066/frt-20210803.htm" TargetMode="External"/><Relationship Id="rId27" Type="http://schemas.openxmlformats.org/officeDocument/2006/relationships/hyperlink" Target="http://www.sec.gov/ix?doc=/Archives/edgar/data/34903/000003490321000080/frt-20211202.htm" TargetMode="External"/><Relationship Id="rId28" Type="http://schemas.openxmlformats.org/officeDocument/2006/relationships/hyperlink" Target="http://www.sec.gov/Archives/edgar/data/34903/000003490320000008/frt-12312019xex48.htm" TargetMode="External"/><Relationship Id="rId31" Type="http://schemas.openxmlformats.org/officeDocument/2006/relationships/hyperlink" Target="http://www.sec.gov/Archives/edgar/data/34903/000119312522000302/d231372dex31.htm" TargetMode="External"/><Relationship Id="rId32" Type="http://schemas.openxmlformats.org/officeDocument/2006/relationships/hyperlink" Target="http://www.sec.gov/Archives/edgar/data/34903/000119312522000302/d231372dex32.htm" TargetMode="External"/><Relationship Id="rId33" Type="http://schemas.openxmlformats.org/officeDocument/2006/relationships/hyperlink" Target="http://www.sec.gov/Archives/edgar/data/34903/000119312522000302/d231372dex33.htm" TargetMode="External"/><Relationship Id="rId34" Type="http://schemas.openxmlformats.org/officeDocument/2006/relationships/hyperlink" Target="http://www.sec.gov/Archives/edgar/data/34903/000119312520175576/d949369ds8.htm#sig" TargetMode="External"/><Relationship Id="rId35" Type="http://schemas.openxmlformats.org/officeDocument/2006/relationships/hyperlink" Target="http://www.sec.gov/Archives/edgar/data/34903/000119312507232339/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2022-01-03T08:05:39Z</dcterms:created>
  <dcterms:modified xsi:type="dcterms:W3CDTF">2022-01-03T08:05:39Z</dcterms:modified>
</cp:coreProperties>
</file>