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0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1464"/>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31" w:lineRule="exact"/>
        <w:rPr>
          <w:sz w:val="24"/>
          <w:szCs w:val="24"/>
          <w:color w:val="auto"/>
        </w:rPr>
      </w:pPr>
    </w:p>
    <w:p>
      <w:pPr>
        <w:sectPr>
          <w:pgSz w:w="11900" w:h="16838" w:orient="portrait"/>
          <w:cols w:equalWidth="0" w:num="3">
            <w:col w:w="4564" w:space="720"/>
            <w:col w:w="2820" w:space="720"/>
            <w:col w:w="2200"/>
          </w:cols>
          <w:pgMar w:left="436" w:top="341" w:right="439" w:bottom="1440" w:gutter="0" w:footer="0" w:header="0"/>
          <w:type w:val="continuous"/>
        </w:sectPr>
      </w:pPr>
    </w:p>
    <w:p>
      <w:pPr>
        <w:spacing w:after="0" w:line="11" w:lineRule="exact"/>
        <w:rPr>
          <w:sz w:val="24"/>
          <w:szCs w:val="24"/>
          <w:color w:val="auto"/>
        </w:rPr>
      </w:pPr>
    </w:p>
    <w:p>
      <w:pPr>
        <w:jc w:val="center"/>
        <w:ind w:right="716"/>
        <w:spacing w:after="0"/>
        <w:rPr>
          <w:sz w:val="20"/>
          <w:szCs w:val="20"/>
          <w:color w:val="auto"/>
        </w:rPr>
      </w:pPr>
      <w:r>
        <w:rPr>
          <w:rFonts w:ascii="Arial" w:cs="Arial" w:eastAsia="Arial" w:hAnsi="Arial"/>
          <w:sz w:val="13"/>
          <w:szCs w:val="13"/>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jc w:val="center"/>
        <w:ind w:right="1616"/>
        <w:spacing w:after="0"/>
        <w:rPr>
          <w:sz w:val="20"/>
          <w:szCs w:val="20"/>
          <w:color w:val="auto"/>
        </w:rPr>
      </w:pPr>
      <w:r>
        <w:rPr>
          <w:rFonts w:ascii="Arial" w:cs="Arial" w:eastAsia="Arial" w:hAnsi="Arial"/>
          <w:sz w:val="15"/>
          <w:szCs w:val="15"/>
          <w:b w:val="1"/>
          <w:bCs w:val="1"/>
          <w:color w:val="auto"/>
        </w:rPr>
        <w:t>1626 East Jefferson Street,</w:t>
      </w:r>
    </w:p>
    <w:p>
      <w:pPr>
        <w:spacing w:after="0" w:line="62" w:lineRule="exact"/>
        <w:rPr>
          <w:sz w:val="24"/>
          <w:szCs w:val="24"/>
          <w:color w:val="auto"/>
        </w:rPr>
      </w:pPr>
    </w:p>
    <w:p>
      <w:pPr>
        <w:jc w:val="center"/>
        <w:ind w:right="1616"/>
        <w:spacing w:after="0"/>
        <w:rPr>
          <w:sz w:val="20"/>
          <w:szCs w:val="20"/>
          <w:color w:val="auto"/>
        </w:rPr>
      </w:pPr>
      <w:r>
        <w:rPr>
          <w:rFonts w:ascii="Arial" w:cs="Arial" w:eastAsia="Arial" w:hAnsi="Arial"/>
          <w:sz w:val="18"/>
          <w:szCs w:val="18"/>
          <w:b w:val="1"/>
          <w:bCs w:val="1"/>
          <w:color w:val="auto"/>
        </w:rPr>
        <w:t>Rockville, Maryland</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50" w:lineRule="exact"/>
        <w:rPr>
          <w:sz w:val="24"/>
          <w:szCs w:val="24"/>
          <w:color w:val="auto"/>
        </w:rPr>
      </w:pPr>
    </w:p>
    <w:p>
      <w:pPr>
        <w:sectPr>
          <w:pgSz w:w="11900" w:h="16838" w:orient="portrait"/>
          <w:cols w:equalWidth="0" w:num="2">
            <w:col w:w="7184" w:space="720"/>
            <w:col w:w="3120"/>
          </w:cols>
          <w:pgMar w:left="436" w:top="341"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284" w:space="720"/>
            <w:col w:w="302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Symbol</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On Which Registered</w:t>
            </w:r>
          </w:p>
        </w:tc>
        <w:tc>
          <w:tcPr>
            <w:tcW w:w="0" w:type="dxa"/>
            <w:vAlign w:val="bottom"/>
          </w:tcPr>
          <w:p>
            <w:pPr>
              <w:spacing w:after="0"/>
              <w:rPr>
                <w:sz w:val="1"/>
                <w:szCs w:val="1"/>
                <w:color w:val="auto"/>
              </w:rPr>
            </w:pPr>
          </w:p>
        </w:tc>
      </w:tr>
      <w:tr>
        <w:trPr>
          <w:trHeight w:val="191"/>
        </w:trPr>
        <w:tc>
          <w:tcPr>
            <w:tcW w:w="3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Common Shares of Beneficial Interest $.01 par</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7"/>
              </w:rPr>
              <w:t>FRT</w:t>
            </w:r>
          </w:p>
        </w:tc>
        <w:tc>
          <w:tcPr>
            <w:tcW w:w="100" w:type="dxa"/>
            <w:vAlign w:val="bottom"/>
          </w:tcPr>
          <w:p>
            <w:pPr>
              <w:spacing w:after="0"/>
              <w:rPr>
                <w:sz w:val="16"/>
                <w:szCs w:val="16"/>
                <w:color w:val="auto"/>
              </w:rPr>
            </w:pPr>
          </w:p>
        </w:tc>
        <w:tc>
          <w:tcPr>
            <w:tcW w:w="3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value per share, with associated Common Share</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 Rights</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Depositary Shares, each representing 1/1000 of</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9"/>
              </w:rPr>
              <w:t>FRT-C</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a share of 5.00% Series C Cumulative</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Redeemable Preferred Stock, $.01 par value per</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share</w:t>
            </w:r>
          </w:p>
        </w:tc>
        <w:tc>
          <w:tcPr>
            <w:tcW w:w="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4"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left="444"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On May 11, 2020, Federal Realty Investment Trust (the “Registrant”) closed an underwritten public offering of (i) $300,000,000 aggregate principal amount of 3.95% Notes due 2024 (the “2024 Notes”) and (ii) $400,000,000 aggregate principal amount of 3.50% Notes due 2030 (together with the 2024 Notes, collectively the “Notes”). In connection with the closing of the offering of the Notes, the Registrant is filing this Current Report on Form 8-K to provide the related legal opinions of Pillsbury Winthrop Shaw Pittman LLP, which are attached hereto and incorporated by reference into the Registrant’s Registration Statement on Form S-3 filed with the Securities and Exchange Commission on May 7, 2018 (File No. 333-224701).</w:t>
      </w:r>
    </w:p>
    <w:p>
      <w:pPr>
        <w:spacing w:after="0" w:line="265"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Exhibits are included in the Form 8-K:</w:t>
      </w:r>
    </w:p>
    <w:p>
      <w:pPr>
        <w:spacing w:after="0" w:line="225" w:lineRule="exact"/>
        <w:rPr>
          <w:sz w:val="20"/>
          <w:szCs w:val="20"/>
          <w:color w:val="auto"/>
        </w:rPr>
      </w:pPr>
    </w:p>
    <w:p>
      <w:pPr>
        <w:ind w:left="14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4">
        <w:r>
          <w:rPr>
            <w:rFonts w:ascii="Arial" w:cs="Arial" w:eastAsia="Arial" w:hAnsi="Arial"/>
            <w:sz w:val="16"/>
            <w:szCs w:val="16"/>
            <w:u w:val="single" w:color="auto"/>
            <w:color w:val="0000EE"/>
          </w:rPr>
          <w:t>Opinion of Pillsbury Winthrop Shaw Pittman LLP relating to legality of the securities being issued by the Registrant</w:t>
        </w:r>
      </w:hyperlink>
    </w:p>
    <w:p>
      <w:pPr>
        <w:spacing w:after="0" w:line="117" w:lineRule="exact"/>
        <w:rPr>
          <w:sz w:val="20"/>
          <w:szCs w:val="20"/>
          <w:color w:val="auto"/>
        </w:rPr>
      </w:pPr>
    </w:p>
    <w:p>
      <w:pPr>
        <w:ind w:left="14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8.1</w:t>
      </w:r>
      <w:r>
        <w:rPr>
          <w:sz w:val="20"/>
          <w:szCs w:val="20"/>
          <w:color w:val="auto"/>
        </w:rPr>
        <w:tab/>
      </w:r>
      <w:hyperlink w:anchor="page6">
        <w:r>
          <w:rPr>
            <w:rFonts w:ascii="Arial" w:cs="Arial" w:eastAsia="Arial" w:hAnsi="Arial"/>
            <w:sz w:val="16"/>
            <w:szCs w:val="16"/>
            <w:u w:val="single" w:color="auto"/>
            <w:color w:val="0000EE"/>
          </w:rPr>
          <w:t>Opinion of Pillsbury Winthrop Shaw Pittman LLP relating to material tax matters relating to the Registrant</w:t>
        </w:r>
      </w:hyperlink>
    </w:p>
    <w:p>
      <w:pPr>
        <w:spacing w:after="0" w:line="117" w:lineRule="exact"/>
        <w:rPr>
          <w:sz w:val="20"/>
          <w:szCs w:val="20"/>
          <w:color w:val="auto"/>
        </w:rPr>
      </w:pPr>
    </w:p>
    <w:p>
      <w:pPr>
        <w:ind w:left="64"/>
        <w:spacing w:after="0"/>
        <w:tabs>
          <w:tab w:leader="none" w:pos="744" w:val="left"/>
        </w:tabs>
        <w:rPr>
          <w:rFonts w:ascii="Arial" w:cs="Arial" w:eastAsia="Arial" w:hAnsi="Arial"/>
          <w:sz w:val="16"/>
          <w:szCs w:val="16"/>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 xml:space="preserve">Consents of Pillsbury Winthrop Shaw Pittman LLP (contained in the opinions filed as </w:t>
      </w:r>
      <w:hyperlink w:anchor="page4">
        <w:r>
          <w:rPr>
            <w:rFonts w:ascii="Arial" w:cs="Arial" w:eastAsia="Arial" w:hAnsi="Arial"/>
            <w:sz w:val="16"/>
            <w:szCs w:val="16"/>
            <w:u w:val="single" w:color="auto"/>
            <w:color w:val="0000EE"/>
          </w:rPr>
          <w:t>Exhibits 5.1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w:anchor="page6">
        <w:r>
          <w:rPr>
            <w:rFonts w:ascii="Arial" w:cs="Arial" w:eastAsia="Arial" w:hAnsi="Arial"/>
            <w:sz w:val="16"/>
            <w:szCs w:val="16"/>
            <w:u w:val="single" w:color="auto"/>
            <w:color w:val="0000EE"/>
          </w:rPr>
          <w:t>8.1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hereto)</w:t>
      </w:r>
    </w:p>
    <w:p>
      <w:pPr>
        <w:spacing w:after="0" w:line="117" w:lineRule="exact"/>
        <w:rPr>
          <w:sz w:val="20"/>
          <w:szCs w:val="20"/>
          <w:color w:val="auto"/>
        </w:rPr>
      </w:pPr>
    </w:p>
    <w:p>
      <w:pPr>
        <w:ind w:left="64"/>
        <w:spacing w:after="0"/>
        <w:tabs>
          <w:tab w:leader="none" w:pos="7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(the Cover Page Interactive Data File is embedded within the Inline XBRL document)</w:t>
      </w:r>
    </w:p>
    <w:p>
      <w:pPr>
        <w:sectPr>
          <w:pgSz w:w="11900" w:h="16838" w:orient="portrait"/>
          <w:cols w:equalWidth="0" w:num="1">
            <w:col w:w="10764"/>
          </w:cols>
          <w:pgMar w:left="436" w:top="297" w:right="69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May 11, 2020</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14605</wp:posOffset>
            </wp:positionV>
            <wp:extent cx="34201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acting as counsel for Federal Realty Investment Trust, a Maryland real estate investment trust (the “Company”), in connection with the issuance and sale of (i) $300,000,000 aggregate principal amount of 3.95% Notes due 2024 of the Company (the “2024 Notes”) and (ii) $400,000,000 aggregate principal amount of 3.50% Notes due 2030 of the Company (the “2030 Notes” and, together with the 2024 Notes, collectively, the “Notes”), pursuant to the Underwriting Agreement and related Pricing Agreement, each dated May 7, 2020, between the several underwriters listed in Schedule I to the Pricing Agreement (the “Underwriters”) and the Company (collectively, the “Agreement”). The Notes are being issued under the Indenture dated as of September 1, 1998 between the Company and U.S. Bank National Association (successor trustee to Wachovia Bank, National Association (successor trustee to First Union National Bank)), as Trustee (together with the officers’ certificates dated May 11, 2020 setting forth the terms of the Notes, the “Indenture”).</w:t>
      </w:r>
    </w:p>
    <w:p>
      <w:pPr>
        <w:spacing w:after="0" w:line="19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have reviewed (a) the Agreement, (b) the Indenture, (c) the Registration Statement on Form S-3 (File No. 333-224701) (the “Registration Statement”) filed by the Company to register the offer and sale of the Notes with the Securities and Exchange Commission (the “Commission”) under the Securities Act of 1933 (the “Securities Act”), (d) the Prospectus dated May 7, 2018, as supplemented by the Prospectus Supplement dated May 7, 2020, relating to the offer and sale of the Notes (the “Prospectus”), filed by the Company with the Commission pursuant to Rule 424(b)(5) under the Securities Act. We have also reviewed such other agreements, documents, records, certificates and other materials, and have satisfied ourselves as to such other matters, as we have considered relevant or necessary as a basis for this opinion.</w:t>
      </w:r>
    </w:p>
    <w:p>
      <w:pPr>
        <w:spacing w:after="0" w:line="17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 such review, we have assumed the accuracy and completeness of all agreements, documents, records, certificates and other materials submitted to us, the conformity with the originals of all such materials submitted to us as copies (whether or not certified and including facsimiles), the authenticity of the originals of such materials and all materials submitted to us as originals, the genuineness of all signatures and the legal capacity of all natural persons. In delivering this opinion, we have relied, without independent verification, as to factual matters, on certificates and other written or oral statements of governmental and other public officials and of officers and representatives of the Company, the Underwriters and the Trustee.</w:t>
      </w:r>
    </w:p>
    <w:p>
      <w:pPr>
        <w:spacing w:after="0" w:line="16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On the basis of the assumptions and subject to the qualifications and limitations set forth herein, we are of the opinion that the Notes constitute the valid and legally binding obligations of the Company enforceable against the Company in accordance with their terms, except as may be subject to and limited by the effect of (a) applicable bankruptcy, insolvency, reorganization, fraudulent conveyance and other similar laws affecting creditors’ rights generally, (b) general equitable principles (whether considered in a proceeding in equity or at law) and (c) requirements of reasonableness, good faith, materiality and fair dealing and the discretion of the court before which any matter may be brought.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the law of the States of New York and Maryland, in each case as in effect on the date hereof.</w:t>
      </w:r>
    </w:p>
    <w:p>
      <w:pPr>
        <w:sectPr>
          <w:pgSz w:w="11900" w:h="16838" w:orient="portrait"/>
          <w:cols w:equalWidth="0" w:num="1">
            <w:col w:w="11020"/>
          </w:cols>
          <w:pgMar w:left="440" w:top="121" w:right="43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hereby consent to the filing of this opinion as Exhibit 5.1 to the Company’s Current Report on Form 8-K filed by the Company with the Commission on May 12, 2020 and the incorporation thereof in the Registration Statement and to the use of our name under the captions “Legal Matters” in the Prospectus Supplement. In giving this consent, we do not thereby admit that we are within the category of persons whose consent is required under Section 7 of the Securities Act or the rules and regulations of the Commission promulgated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May 7, 2020</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May 7, 2020 (the “Prospectus Supplement”) to a prospectus (the “Base Prospectus”) filed as part of a registration statement on Form S-3 (File No. 333-224701, the “Registration Statement,” which term includes the Base Prospectus, Prospectus Supplement, and all documents incorporated and deemed to be incorporated by reference therein) with the Securities and Exchange Commission.</w:t>
      </w:r>
    </w:p>
    <w:p>
      <w:pPr>
        <w:spacing w:after="0" w:line="188" w:lineRule="exact"/>
        <w:rPr>
          <w:sz w:val="20"/>
          <w:szCs w:val="20"/>
          <w:color w:val="auto"/>
        </w:rPr>
      </w:pPr>
    </w:p>
    <w:p>
      <w:pPr>
        <w:jc w:val="both"/>
        <w:ind w:left="4" w:right="40" w:firstLine="440"/>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spacing w:after="0" w:line="2" w:lineRule="exact"/>
        <w:rPr>
          <w:sz w:val="20"/>
          <w:szCs w:val="20"/>
          <w:color w:val="auto"/>
        </w:rPr>
      </w:pPr>
    </w:p>
    <w:p>
      <w:pPr>
        <w:ind w:left="4" w:right="160" w:hanging="4"/>
        <w:spacing w:after="0" w:line="268" w:lineRule="auto"/>
        <w:tabs>
          <w:tab w:leader="none" w:pos="259" w:val="left"/>
        </w:tabs>
        <w:numPr>
          <w:ilvl w:val="0"/>
          <w:numId w:val="3"/>
        </w:numPr>
        <w:rPr>
          <w:rFonts w:ascii="Arial" w:cs="Arial" w:eastAsia="Arial" w:hAnsi="Arial"/>
          <w:sz w:val="17"/>
          <w:szCs w:val="17"/>
          <w:color w:val="auto"/>
        </w:rPr>
      </w:pPr>
      <w:r>
        <w:rPr>
          <w:rFonts w:ascii="Arial" w:cs="Arial" w:eastAsia="Arial" w:hAnsi="Arial"/>
          <w:sz w:val="17"/>
          <w:szCs w:val="17"/>
          <w:color w:val="auto"/>
        </w:rPr>
        <w:t>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83" w:lineRule="exact"/>
        <w:rPr>
          <w:sz w:val="20"/>
          <w:szCs w:val="20"/>
          <w:color w:val="auto"/>
        </w:rPr>
      </w:pPr>
    </w:p>
    <w:p>
      <w:pPr>
        <w:ind w:left="4" w:right="220" w:firstLine="440"/>
        <w:spacing w:after="0" w:line="263"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024"/>
          </w:cols>
          <w:pgMar w:left="436" w:top="12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9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2020;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(2020) taxable year and for future taxable years, and (iii) the discussions in (x) the Base Prospectus under the caption “Material Federal Income Tax Considerations,” (y) the Prospectus Supplement under the caption “Additional Material Federal Income Tax Considerations,” and (z) the Company’s Annual Report on Form 10-K for the year ended December 31, 2019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“Risk Factors–To maintain our status as a REIT, we limit the amount of shares any one shareholder can own,” and “Risk Factors–U.S. federal tax reform legislation now and in the future could affect REITs, both positively and negatively, in ways that are difficult to anticipate,” which are incorporated by reference into the Registration Statement, to the extent that they discuss matters of law or legal conclusions or purport to describe certain provisions of the federal tax laws, are correct summaries of the matters discussed therein.</w:t>
      </w:r>
    </w:p>
    <w:p>
      <w:pPr>
        <w:spacing w:after="0" w:line="186"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w:t>
      </w:r>
    </w:p>
    <w:p>
      <w:pPr>
        <w:sectPr>
          <w:pgSz w:w="11900" w:h="16838" w:orient="portrait"/>
          <w:cols w:equalWidth="0" w:num="1">
            <w:col w:w="11000"/>
          </w:cols>
          <w:pgMar w:left="440" w:top="274"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7,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assurance can be given as to whether, for any given taxable year, the actual ownership of the Company’s stock and its actual operating results and distributions satisfy the tests necessary to achieve and maintain its status as a REIT.</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8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 PILLSBURY WINTHROP SHAW PITTMAN LLP</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2020-05-11T16:24:02Z</dcterms:created>
  <dcterms:modified xsi:type="dcterms:W3CDTF">2020-05-11T16:24:02Z</dcterms:modified>
</cp:coreProperties>
</file>