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159"/>
        <w:spacing w:after="0"/>
        <w:tabs>
          <w:tab w:leader="none" w:pos="18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4"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Form 10-Q</w:t>
      </w:r>
    </w:p>
    <w:p>
      <w:pPr>
        <w:spacing w:after="0" w:line="396"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QUARTERLY REPORT UNDER SECTION 13 OR 15(d)</w:t>
      </w:r>
    </w:p>
    <w:p>
      <w:pPr>
        <w:spacing w:after="0" w:line="4"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396" w:lineRule="exact"/>
        <w:rPr>
          <w:sz w:val="24"/>
          <w:szCs w:val="24"/>
          <w:color w:val="auto"/>
        </w:rPr>
      </w:pPr>
    </w:p>
    <w:p>
      <w:pPr>
        <w:ind w:left="1840"/>
        <w:spacing w:after="0"/>
        <w:tabs>
          <w:tab w:leader="none" w:pos="4260" w:val="left"/>
        </w:tabs>
        <w:rPr>
          <w:sz w:val="20"/>
          <w:szCs w:val="20"/>
          <w:color w:val="auto"/>
        </w:rPr>
      </w:pPr>
      <w:r>
        <w:rPr>
          <w:rFonts w:ascii="Courier New" w:cs="Courier New" w:eastAsia="Courier New" w:hAnsi="Courier New"/>
          <w:sz w:val="17"/>
          <w:szCs w:val="17"/>
          <w:color w:val="auto"/>
        </w:rPr>
        <w:t>For the Quarter Ended:</w:t>
        <w:tab/>
        <w:t>September 30, 1998</w:t>
      </w:r>
    </w:p>
    <w:p>
      <w:pPr>
        <w:spacing w:after="0" w:line="4" w:lineRule="exact"/>
        <w:rPr>
          <w:sz w:val="24"/>
          <w:szCs w:val="24"/>
          <w:color w:val="auto"/>
        </w:rPr>
      </w:pPr>
    </w:p>
    <w:p>
      <w:pPr>
        <w:ind w:left="18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2760"/>
        <w:spacing w:after="0"/>
        <w:rPr>
          <w:sz w:val="20"/>
          <w:szCs w:val="20"/>
          <w:color w:val="auto"/>
        </w:rPr>
      </w:pPr>
      <w:r>
        <w:rPr>
          <w:rFonts w:ascii="Courier New" w:cs="Courier New" w:eastAsia="Courier New" w:hAnsi="Courier New"/>
          <w:sz w:val="17"/>
          <w:szCs w:val="17"/>
          <w:color w:val="auto"/>
        </w:rPr>
        <w:t>Commission File No. 17533</w:t>
      </w:r>
    </w:p>
    <w:p>
      <w:pPr>
        <w:spacing w:after="0" w:line="4" w:lineRule="exact"/>
        <w:rPr>
          <w:sz w:val="24"/>
          <w:szCs w:val="24"/>
          <w:color w:val="auto"/>
        </w:rPr>
      </w:pPr>
    </w:p>
    <w:p>
      <w:pPr>
        <w:ind w:left="276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4"/>
          <w:szCs w:val="24"/>
          <w:color w:val="auto"/>
        </w:rPr>
      </w:pPr>
    </w:p>
    <w:p>
      <w:pPr>
        <w:ind w:left="2460"/>
        <w:spacing w:after="0"/>
        <w:rPr>
          <w:sz w:val="20"/>
          <w:szCs w:val="20"/>
          <w:color w:val="auto"/>
        </w:rPr>
      </w:pPr>
      <w:r>
        <w:rPr>
          <w:rFonts w:ascii="Courier New" w:cs="Courier New" w:eastAsia="Courier New" w:hAnsi="Courier New"/>
          <w:sz w:val="17"/>
          <w:szCs w:val="17"/>
          <w:color w:val="auto"/>
        </w:rPr>
        <w:t>FEDERAL REALTY INVESTMENT TRUST</w:t>
      </w:r>
    </w:p>
    <w:p>
      <w:pPr>
        <w:spacing w:after="0" w:line="4" w:lineRule="exact"/>
        <w:rPr>
          <w:sz w:val="24"/>
          <w:szCs w:val="24"/>
          <w:color w:val="auto"/>
        </w:rPr>
      </w:pPr>
    </w:p>
    <w:p>
      <w:pPr>
        <w:ind w:left="24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12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5620" w:type="dxa"/>
            <w:vAlign w:val="bottom"/>
          </w:tcPr>
          <w:p>
            <w:pPr>
              <w:ind w:left="1440"/>
              <w:spacing w:after="0"/>
              <w:rPr>
                <w:sz w:val="20"/>
                <w:szCs w:val="20"/>
                <w:color w:val="auto"/>
              </w:rPr>
            </w:pPr>
            <w:r>
              <w:rPr>
                <w:rFonts w:ascii="Courier New" w:cs="Courier New" w:eastAsia="Courier New" w:hAnsi="Courier New"/>
                <w:sz w:val="17"/>
                <w:szCs w:val="17"/>
                <w:color w:val="auto"/>
              </w:rPr>
              <w:t>District of Columbia</w:t>
            </w:r>
          </w:p>
        </w:tc>
        <w:tc>
          <w:tcPr>
            <w:tcW w:w="2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52-0782497</w:t>
            </w:r>
          </w:p>
        </w:tc>
      </w:tr>
      <w:tr>
        <w:trPr>
          <w:trHeight w:val="196"/>
        </w:trPr>
        <w:tc>
          <w:tcPr>
            <w:tcW w:w="5620" w:type="dxa"/>
            <w:vAlign w:val="bottom"/>
          </w:tcPr>
          <w:p>
            <w:pPr>
              <w:ind w:left="820"/>
              <w:spacing w:after="0"/>
              <w:rPr>
                <w:sz w:val="20"/>
                <w:szCs w:val="20"/>
                <w:color w:val="auto"/>
              </w:rPr>
            </w:pPr>
            <w:r>
              <w:rPr>
                <w:rFonts w:ascii="Courier New" w:cs="Courier New" w:eastAsia="Courier New" w:hAnsi="Courier New"/>
                <w:sz w:val="17"/>
                <w:szCs w:val="17"/>
                <w:color w:val="auto"/>
              </w:rPr>
              <w:t>-------------------------------</w:t>
            </w:r>
          </w:p>
        </w:tc>
        <w:tc>
          <w:tcPr>
            <w:tcW w:w="2640" w:type="dxa"/>
            <w:vAlign w:val="bottom"/>
          </w:tcPr>
          <w:p>
            <w:pPr>
              <w:ind w:left="600"/>
              <w:spacing w:after="0"/>
              <w:rPr>
                <w:sz w:val="20"/>
                <w:szCs w:val="20"/>
                <w:color w:val="auto"/>
              </w:rPr>
            </w:pPr>
            <w:r>
              <w:rPr>
                <w:rFonts w:ascii="Courier New" w:cs="Courier New" w:eastAsia="Courier New" w:hAnsi="Courier New"/>
                <w:sz w:val="17"/>
                <w:szCs w:val="17"/>
                <w:color w:val="auto"/>
              </w:rPr>
              <w:t>-------------------</w:t>
            </w:r>
          </w:p>
        </w:tc>
      </w:tr>
      <w:tr>
        <w:trPr>
          <w:trHeight w:val="196"/>
        </w:trPr>
        <w:tc>
          <w:tcPr>
            <w:tcW w:w="5620" w:type="dxa"/>
            <w:vAlign w:val="bottom"/>
          </w:tcPr>
          <w:p>
            <w:pPr>
              <w:ind w:left="820"/>
              <w:spacing w:after="0"/>
              <w:rPr>
                <w:sz w:val="20"/>
                <w:szCs w:val="20"/>
                <w:color w:val="auto"/>
              </w:rPr>
            </w:pPr>
            <w:r>
              <w:rPr>
                <w:rFonts w:ascii="Courier New" w:cs="Courier New" w:eastAsia="Courier New" w:hAnsi="Courier New"/>
                <w:sz w:val="17"/>
                <w:szCs w:val="17"/>
                <w:color w:val="auto"/>
              </w:rPr>
              <w:t>(State or other jurisdiction of</w:t>
            </w:r>
          </w:p>
        </w:tc>
        <w:tc>
          <w:tcPr>
            <w:tcW w:w="2640" w:type="dxa"/>
            <w:vAlign w:val="bottom"/>
          </w:tcPr>
          <w:p>
            <w:pPr>
              <w:jc w:val="center"/>
              <w:ind w:left="335"/>
              <w:spacing w:after="0"/>
              <w:rPr>
                <w:sz w:val="20"/>
                <w:szCs w:val="20"/>
                <w:color w:val="auto"/>
              </w:rPr>
            </w:pPr>
            <w:r>
              <w:rPr>
                <w:rFonts w:ascii="Courier New" w:cs="Courier New" w:eastAsia="Courier New" w:hAnsi="Courier New"/>
                <w:sz w:val="17"/>
                <w:szCs w:val="17"/>
                <w:color w:val="auto"/>
                <w:w w:val="99"/>
              </w:rPr>
              <w:t>(I.R.S. Employer</w:t>
            </w:r>
          </w:p>
        </w:tc>
      </w:tr>
      <w:tr>
        <w:trPr>
          <w:trHeight w:val="196"/>
        </w:trPr>
        <w:tc>
          <w:tcPr>
            <w:tcW w:w="5620" w:type="dxa"/>
            <w:vAlign w:val="bottom"/>
          </w:tcPr>
          <w:p>
            <w:pPr>
              <w:ind w:left="820"/>
              <w:spacing w:after="0"/>
              <w:rPr>
                <w:sz w:val="20"/>
                <w:szCs w:val="20"/>
                <w:color w:val="auto"/>
              </w:rPr>
            </w:pPr>
            <w:r>
              <w:rPr>
                <w:rFonts w:ascii="Courier New" w:cs="Courier New" w:eastAsia="Courier New" w:hAnsi="Courier New"/>
                <w:sz w:val="17"/>
                <w:szCs w:val="17"/>
                <w:color w:val="auto"/>
              </w:rPr>
              <w:t>incorporation or organization)</w:t>
            </w:r>
          </w:p>
        </w:tc>
        <w:tc>
          <w:tcPr>
            <w:tcW w:w="2640" w:type="dxa"/>
            <w:vAlign w:val="bottom"/>
          </w:tcPr>
          <w:p>
            <w:pPr>
              <w:ind w:left="600"/>
              <w:spacing w:after="0"/>
              <w:rPr>
                <w:sz w:val="20"/>
                <w:szCs w:val="20"/>
                <w:color w:val="auto"/>
              </w:rPr>
            </w:pPr>
            <w:r>
              <w:rPr>
                <w:rFonts w:ascii="Courier New" w:cs="Courier New" w:eastAsia="Courier New" w:hAnsi="Courier New"/>
                <w:sz w:val="17"/>
                <w:szCs w:val="17"/>
                <w:color w:val="auto"/>
              </w:rPr>
              <w:t>Identification No.)</w:t>
            </w:r>
          </w:p>
        </w:tc>
      </w:tr>
      <w:tr>
        <w:trPr>
          <w:trHeight w:val="392"/>
        </w:trPr>
        <w:tc>
          <w:tcPr>
            <w:tcW w:w="5620" w:type="dxa"/>
            <w:vAlign w:val="bottom"/>
          </w:tcPr>
          <w:p>
            <w:pPr>
              <w:spacing w:after="0"/>
              <w:rPr>
                <w:sz w:val="20"/>
                <w:szCs w:val="20"/>
                <w:color w:val="auto"/>
              </w:rPr>
            </w:pPr>
            <w:r>
              <w:rPr>
                <w:rFonts w:ascii="Courier New" w:cs="Courier New" w:eastAsia="Courier New" w:hAnsi="Courier New"/>
                <w:sz w:val="17"/>
                <w:szCs w:val="17"/>
                <w:color w:val="auto"/>
              </w:rPr>
              <w:t>1626 East Jefferson Street, Rockville, Maryland</w:t>
            </w:r>
          </w:p>
        </w:tc>
        <w:tc>
          <w:tcPr>
            <w:tcW w:w="2640" w:type="dxa"/>
            <w:vAlign w:val="bottom"/>
          </w:tcPr>
          <w:p>
            <w:pPr>
              <w:jc w:val="center"/>
              <w:ind w:left="335"/>
              <w:spacing w:after="0"/>
              <w:rPr>
                <w:sz w:val="20"/>
                <w:szCs w:val="20"/>
                <w:color w:val="auto"/>
              </w:rPr>
            </w:pPr>
            <w:r>
              <w:rPr>
                <w:rFonts w:ascii="Courier New" w:cs="Courier New" w:eastAsia="Courier New" w:hAnsi="Courier New"/>
                <w:sz w:val="17"/>
                <w:szCs w:val="17"/>
                <w:color w:val="auto"/>
                <w:w w:val="99"/>
              </w:rPr>
              <w:t>20852-4041</w:t>
            </w:r>
          </w:p>
        </w:tc>
      </w:tr>
      <w:tr>
        <w:trPr>
          <w:trHeight w:val="196"/>
        </w:trPr>
        <w:tc>
          <w:tcPr>
            <w:tcW w:w="56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620" w:type="dxa"/>
            <w:vAlign w:val="bottom"/>
          </w:tcPr>
          <w:p>
            <w:pPr>
              <w:ind w:left="200"/>
              <w:spacing w:after="0"/>
              <w:rPr>
                <w:sz w:val="20"/>
                <w:szCs w:val="20"/>
                <w:color w:val="auto"/>
              </w:rPr>
            </w:pPr>
            <w:r>
              <w:rPr>
                <w:rFonts w:ascii="Courier New" w:cs="Courier New" w:eastAsia="Courier New" w:hAnsi="Courier New"/>
                <w:sz w:val="17"/>
                <w:szCs w:val="17"/>
                <w:color w:val="auto"/>
              </w:rPr>
              <w:t>(Address of principal executive offices)</w:t>
            </w:r>
          </w:p>
        </w:tc>
        <w:tc>
          <w:tcPr>
            <w:tcW w:w="2640" w:type="dxa"/>
            <w:vAlign w:val="bottom"/>
          </w:tcPr>
          <w:p>
            <w:pPr>
              <w:jc w:val="center"/>
              <w:ind w:left="335"/>
              <w:spacing w:after="0"/>
              <w:rPr>
                <w:sz w:val="20"/>
                <w:szCs w:val="20"/>
                <w:color w:val="auto"/>
              </w:rPr>
            </w:pPr>
            <w:r>
              <w:rPr>
                <w:rFonts w:ascii="Courier New" w:cs="Courier New" w:eastAsia="Courier New" w:hAnsi="Courier New"/>
                <w:sz w:val="17"/>
                <w:szCs w:val="17"/>
                <w:color w:val="auto"/>
                <w:w w:val="99"/>
              </w:rPr>
              <w:t>(Zip Code)</w:t>
            </w:r>
          </w:p>
        </w:tc>
      </w:tr>
    </w:tbl>
    <w:p>
      <w:pPr>
        <w:spacing w:after="0" w:line="396"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(301) 998-8100</w:t>
      </w:r>
    </w:p>
    <w:p>
      <w:pPr>
        <w:spacing w:after="0" w:line="4"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397" w:lineRule="exact"/>
        <w:rPr>
          <w:sz w:val="24"/>
          <w:szCs w:val="24"/>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638" w:right="1440" w:bottom="1440" w:gutter="0" w:footer="0" w:header="0"/>
        </w:sectPr>
      </w:pPr>
    </w:p>
    <w:p>
      <w:pPr>
        <w:spacing w:after="0" w:line="197"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Yes</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spacing w:after="0"/>
        <w:rPr>
          <w:sz w:val="20"/>
          <w:szCs w:val="20"/>
          <w:color w:val="auto"/>
        </w:rPr>
      </w:pPr>
      <w:r>
        <w:rPr>
          <w:rFonts w:ascii="Courier New" w:cs="Courier New" w:eastAsia="Courier New" w:hAnsi="Courier New"/>
          <w:sz w:val="17"/>
          <w:szCs w:val="17"/>
          <w:color w:val="auto"/>
        </w:rPr>
        <w:t>X</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06" w:lineRule="exact"/>
        <w:rPr>
          <w:sz w:val="24"/>
          <w:szCs w:val="24"/>
          <w:color w:val="auto"/>
        </w:rPr>
      </w:pPr>
    </w:p>
    <w:p>
      <w:pPr>
        <w:sectPr>
          <w:pgSz w:w="11900" w:h="16838" w:orient="portrait"/>
          <w:cols w:equalWidth="0" w:num="6">
            <w:col w:w="520" w:space="100"/>
            <w:col w:w="500" w:space="0"/>
            <w:col w:w="100" w:space="420"/>
            <w:col w:w="200" w:space="0"/>
            <w:col w:w="520" w:space="0"/>
            <w:col w:w="7859"/>
          </w:cols>
          <w:pgMar w:left="240" w:top="638" w:right="1440" w:bottom="1440" w:gutter="0" w:footer="0" w:header="0"/>
          <w:type w:val="continuous"/>
        </w:sectPr>
      </w:pPr>
    </w:p>
    <w:p>
      <w:pPr>
        <w:spacing w:after="0" w:line="1" w:lineRule="exact"/>
        <w:rPr>
          <w:sz w:val="24"/>
          <w:szCs w:val="24"/>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the latest practicable date.</w:t>
      </w:r>
    </w:p>
    <w:p>
      <w:pPr>
        <w:sectPr>
          <w:pgSz w:w="11900" w:h="16838" w:orient="portrait"/>
          <w:cols w:equalWidth="0" w:num="1">
            <w:col w:w="10219"/>
          </w:cols>
          <w:pgMar w:left="240" w:top="638" w:right="1440" w:bottom="144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ind w:left="1440"/>
        <w:spacing w:after="0"/>
        <w:rPr>
          <w:sz w:val="20"/>
          <w:szCs w:val="20"/>
          <w:color w:val="auto"/>
        </w:rPr>
      </w:pPr>
      <w:r>
        <w:rPr>
          <w:rFonts w:ascii="Courier New" w:cs="Courier New" w:eastAsia="Courier New" w:hAnsi="Courier New"/>
          <w:sz w:val="17"/>
          <w:szCs w:val="17"/>
          <w:color w:val="auto"/>
        </w:rPr>
        <w:t>Class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Outstanding at October 28, 1998</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2">
            <w:col w:w="4280" w:space="720"/>
            <w:col w:w="5219"/>
          </w:cols>
          <w:pgMar w:left="240" w:top="638"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Common Shares of Beneficial Interest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40,037,919</w:t>
      </w:r>
    </w:p>
    <w:p>
      <w:pPr>
        <w:spacing w:after="0" w:line="200" w:lineRule="exact"/>
        <w:rPr>
          <w:sz w:val="24"/>
          <w:szCs w:val="24"/>
          <w:color w:val="auto"/>
        </w:rPr>
      </w:pPr>
    </w:p>
    <w:p>
      <w:pPr>
        <w:sectPr>
          <w:pgSz w:w="11900" w:h="16838" w:orient="portrait"/>
          <w:cols w:equalWidth="0" w:num="2">
            <w:col w:w="5400" w:space="720"/>
            <w:col w:w="4099"/>
          </w:cols>
          <w:pgMar w:left="240" w:top="638" w:right="1440" w:bottom="1440" w:gutter="0" w:footer="0" w:header="0"/>
          <w:type w:val="continuous"/>
        </w:sectPr>
      </w:pP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This report contains 25 pages.</w:t>
      </w:r>
    </w:p>
    <w:p>
      <w:pPr>
        <w:sectPr>
          <w:pgSz w:w="11900" w:h="16838" w:orient="portrait"/>
          <w:cols w:equalWidth="0" w:num="1">
            <w:col w:w="10219"/>
          </w:cols>
          <w:pgMar w:left="240" w:top="638" w:right="1440" w:bottom="1440" w:gutter="0" w:footer="0" w:header="0"/>
          <w:type w:val="continuous"/>
        </w:sectPr>
      </w:pPr>
    </w:p>
    <w:bookmarkStart w:id="1" w:name="page2"/>
    <w:bookmarkEnd w:id="1"/>
    <w:p>
      <w:pPr>
        <w:ind w:left="246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S.E.C. FORM 10-Q</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September 30, 1998</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I N D E X</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PAGE NO.</w:t>
            </w:r>
          </w:p>
        </w:tc>
      </w:tr>
      <w:tr>
        <w:trPr>
          <w:trHeight w:val="392"/>
        </w:trPr>
        <w:tc>
          <w:tcPr>
            <w:tcW w:w="98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5360" w:type="dxa"/>
            <w:vAlign w:val="bottom"/>
          </w:tcPr>
          <w:p>
            <w:pPr>
              <w:ind w:left="140"/>
              <w:spacing w:after="0"/>
              <w:rPr>
                <w:sz w:val="20"/>
                <w:szCs w:val="20"/>
                <w:color w:val="auto"/>
              </w:rPr>
            </w:pPr>
            <w:r>
              <w:rPr>
                <w:rFonts w:ascii="Courier New" w:cs="Courier New" w:eastAsia="Courier New" w:hAnsi="Courier New"/>
                <w:sz w:val="17"/>
                <w:szCs w:val="17"/>
                <w:color w:val="auto"/>
              </w:rPr>
              <w:t>FINANCIAL INFORMATION</w:t>
            </w:r>
          </w:p>
        </w:tc>
        <w:tc>
          <w:tcPr>
            <w:tcW w:w="1020" w:type="dxa"/>
            <w:vAlign w:val="bottom"/>
          </w:tcPr>
          <w:p>
            <w:pPr>
              <w:spacing w:after="0"/>
              <w:rPr>
                <w:sz w:val="24"/>
                <w:szCs w:val="24"/>
                <w:color w:val="auto"/>
              </w:rPr>
            </w:pPr>
          </w:p>
        </w:tc>
      </w:tr>
      <w:tr>
        <w:trPr>
          <w:trHeight w:val="392"/>
        </w:trPr>
        <w:tc>
          <w:tcPr>
            <w:tcW w:w="980" w:type="dxa"/>
            <w:vAlign w:val="bottom"/>
          </w:tcPr>
          <w:p>
            <w:pPr>
              <w:spacing w:after="0"/>
              <w:rPr>
                <w:sz w:val="24"/>
                <w:szCs w:val="24"/>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7"/>
                <w:szCs w:val="17"/>
                <w:color w:val="auto"/>
              </w:rPr>
              <w:t>Accountants' Report</w:t>
            </w:r>
          </w:p>
        </w:tc>
        <w:tc>
          <w:tcPr>
            <w:tcW w:w="10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4</w:t>
            </w:r>
          </w:p>
        </w:tc>
      </w:tr>
      <w:tr>
        <w:trPr>
          <w:trHeight w:val="392"/>
        </w:trPr>
        <w:tc>
          <w:tcPr>
            <w:tcW w:w="980" w:type="dxa"/>
            <w:vAlign w:val="bottom"/>
          </w:tcPr>
          <w:p>
            <w:pPr>
              <w:spacing w:after="0"/>
              <w:rPr>
                <w:sz w:val="24"/>
                <w:szCs w:val="24"/>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7"/>
                <w:szCs w:val="17"/>
                <w:color w:val="auto"/>
              </w:rPr>
              <w:t>Consolidated Balance Sheets</w:t>
            </w:r>
          </w:p>
        </w:tc>
        <w:tc>
          <w:tcPr>
            <w:tcW w:w="10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7"/>
                <w:szCs w:val="17"/>
                <w:color w:val="auto"/>
              </w:rPr>
              <w:t>September 30, 1998 (unaudited) and</w:t>
            </w:r>
          </w:p>
        </w:tc>
        <w:tc>
          <w:tcPr>
            <w:tcW w:w="10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7"/>
                <w:szCs w:val="17"/>
                <w:color w:val="auto"/>
              </w:rPr>
              <w:t>December 31, 1997 (audited)</w:t>
            </w:r>
          </w:p>
        </w:tc>
        <w:tc>
          <w:tcPr>
            <w:tcW w:w="10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5</w:t>
            </w:r>
          </w:p>
        </w:tc>
      </w:tr>
      <w:tr>
        <w:trPr>
          <w:trHeight w:val="589"/>
        </w:trPr>
        <w:tc>
          <w:tcPr>
            <w:tcW w:w="980" w:type="dxa"/>
            <w:vAlign w:val="bottom"/>
          </w:tcPr>
          <w:p>
            <w:pPr>
              <w:spacing w:after="0"/>
              <w:rPr>
                <w:sz w:val="24"/>
                <w:szCs w:val="24"/>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7"/>
                <w:szCs w:val="17"/>
                <w:color w:val="auto"/>
              </w:rPr>
              <w:t>Consolidated Statements of Operations (unaudited)</w:t>
            </w:r>
          </w:p>
        </w:tc>
        <w:tc>
          <w:tcPr>
            <w:tcW w:w="10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7"/>
                <w:szCs w:val="17"/>
                <w:color w:val="auto"/>
              </w:rPr>
              <w:t>Nine months ended September 30, 1998 and 1997</w:t>
            </w:r>
          </w:p>
        </w:tc>
        <w:tc>
          <w:tcPr>
            <w:tcW w:w="10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6</w:t>
            </w:r>
          </w:p>
        </w:tc>
      </w:tr>
      <w:tr>
        <w:trPr>
          <w:trHeight w:val="589"/>
        </w:trPr>
        <w:tc>
          <w:tcPr>
            <w:tcW w:w="980" w:type="dxa"/>
            <w:vAlign w:val="bottom"/>
          </w:tcPr>
          <w:p>
            <w:pPr>
              <w:spacing w:after="0"/>
              <w:rPr>
                <w:sz w:val="24"/>
                <w:szCs w:val="24"/>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7"/>
                <w:szCs w:val="17"/>
                <w:color w:val="auto"/>
              </w:rPr>
              <w:t>Consolidated Statements of Operations (unaudited)</w:t>
            </w:r>
          </w:p>
        </w:tc>
        <w:tc>
          <w:tcPr>
            <w:tcW w:w="10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7"/>
                <w:szCs w:val="17"/>
                <w:color w:val="auto"/>
              </w:rPr>
              <w:t>Three months ended September 30, 1998 and 1997</w:t>
            </w:r>
          </w:p>
        </w:tc>
        <w:tc>
          <w:tcPr>
            <w:tcW w:w="10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7</w:t>
            </w:r>
          </w:p>
        </w:tc>
      </w:tr>
      <w:tr>
        <w:trPr>
          <w:trHeight w:val="392"/>
        </w:trPr>
        <w:tc>
          <w:tcPr>
            <w:tcW w:w="980" w:type="dxa"/>
            <w:vAlign w:val="bottom"/>
          </w:tcPr>
          <w:p>
            <w:pPr>
              <w:spacing w:after="0"/>
              <w:rPr>
                <w:sz w:val="24"/>
                <w:szCs w:val="24"/>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7"/>
                <w:szCs w:val="17"/>
                <w:color w:val="auto"/>
              </w:rPr>
              <w:t>Consolidated Statements</w:t>
            </w:r>
          </w:p>
        </w:tc>
        <w:tc>
          <w:tcPr>
            <w:tcW w:w="10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7"/>
                <w:szCs w:val="17"/>
                <w:color w:val="auto"/>
              </w:rPr>
              <w:t>of Shareholders' Equity (unaudited)</w:t>
            </w:r>
          </w:p>
        </w:tc>
        <w:tc>
          <w:tcPr>
            <w:tcW w:w="10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7"/>
                <w:szCs w:val="17"/>
                <w:color w:val="auto"/>
              </w:rPr>
              <w:t>Nine months ended September 30, 1998 and 1997</w:t>
            </w:r>
          </w:p>
        </w:tc>
        <w:tc>
          <w:tcPr>
            <w:tcW w:w="10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8</w:t>
            </w:r>
          </w:p>
        </w:tc>
      </w:tr>
      <w:tr>
        <w:trPr>
          <w:trHeight w:val="589"/>
        </w:trPr>
        <w:tc>
          <w:tcPr>
            <w:tcW w:w="980" w:type="dxa"/>
            <w:vAlign w:val="bottom"/>
          </w:tcPr>
          <w:p>
            <w:pPr>
              <w:spacing w:after="0"/>
              <w:rPr>
                <w:sz w:val="24"/>
                <w:szCs w:val="24"/>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7"/>
                <w:szCs w:val="17"/>
                <w:color w:val="auto"/>
              </w:rPr>
              <w:t>Consolidated Statements of Cash Flows (unaudited)</w:t>
            </w:r>
          </w:p>
        </w:tc>
        <w:tc>
          <w:tcPr>
            <w:tcW w:w="10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7"/>
                <w:szCs w:val="17"/>
                <w:color w:val="auto"/>
              </w:rPr>
              <w:t>Nine months ended September 30, 1998 and 1997</w:t>
            </w:r>
          </w:p>
        </w:tc>
        <w:tc>
          <w:tcPr>
            <w:tcW w:w="10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9</w:t>
            </w:r>
          </w:p>
        </w:tc>
      </w:tr>
      <w:tr>
        <w:trPr>
          <w:trHeight w:val="392"/>
        </w:trPr>
        <w:tc>
          <w:tcPr>
            <w:tcW w:w="980" w:type="dxa"/>
            <w:vAlign w:val="bottom"/>
          </w:tcPr>
          <w:p>
            <w:pPr>
              <w:spacing w:after="0"/>
              <w:rPr>
                <w:sz w:val="24"/>
                <w:szCs w:val="24"/>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7"/>
                <w:szCs w:val="17"/>
                <w:color w:val="auto"/>
              </w:rPr>
              <w:t>Notes to Financial Statements</w:t>
            </w:r>
          </w:p>
        </w:tc>
        <w:tc>
          <w:tcPr>
            <w:tcW w:w="10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10-14</w:t>
            </w:r>
          </w:p>
        </w:tc>
      </w:tr>
      <w:tr>
        <w:trPr>
          <w:trHeight w:val="392"/>
        </w:trPr>
        <w:tc>
          <w:tcPr>
            <w:tcW w:w="980" w:type="dxa"/>
            <w:vAlign w:val="bottom"/>
          </w:tcPr>
          <w:p>
            <w:pPr>
              <w:spacing w:after="0"/>
              <w:rPr>
                <w:sz w:val="24"/>
                <w:szCs w:val="24"/>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7"/>
                <w:szCs w:val="17"/>
                <w:color w:val="auto"/>
              </w:rPr>
              <w:t>Management's Discussion and Analysis of</w:t>
            </w:r>
          </w:p>
        </w:tc>
        <w:tc>
          <w:tcPr>
            <w:tcW w:w="10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7"/>
                <w:szCs w:val="17"/>
                <w:color w:val="auto"/>
              </w:rPr>
              <w:t>Financial Condition and Results of Operations</w:t>
            </w:r>
          </w:p>
        </w:tc>
        <w:tc>
          <w:tcPr>
            <w:tcW w:w="10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15-23</w:t>
            </w:r>
          </w:p>
        </w:tc>
      </w:tr>
      <w:tr>
        <w:trPr>
          <w:trHeight w:val="392"/>
        </w:trPr>
        <w:tc>
          <w:tcPr>
            <w:tcW w:w="98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5360" w:type="dxa"/>
            <w:vAlign w:val="bottom"/>
          </w:tcPr>
          <w:p>
            <w:pPr>
              <w:ind w:left="140"/>
              <w:spacing w:after="0"/>
              <w:rPr>
                <w:sz w:val="20"/>
                <w:szCs w:val="20"/>
                <w:color w:val="auto"/>
              </w:rPr>
            </w:pPr>
            <w:r>
              <w:rPr>
                <w:rFonts w:ascii="Courier New" w:cs="Courier New" w:eastAsia="Courier New" w:hAnsi="Courier New"/>
                <w:sz w:val="17"/>
                <w:szCs w:val="17"/>
                <w:color w:val="auto"/>
              </w:rPr>
              <w:t>OTHER INFORMATION</w:t>
            </w:r>
          </w:p>
        </w:tc>
        <w:tc>
          <w:tcPr>
            <w:tcW w:w="10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24</w:t>
            </w:r>
          </w:p>
        </w:tc>
      </w:tr>
      <w:tr>
        <w:trPr>
          <w:trHeight w:val="589"/>
        </w:trPr>
        <w:tc>
          <w:tcPr>
            <w:tcW w:w="980" w:type="dxa"/>
            <w:vAlign w:val="bottom"/>
          </w:tcPr>
          <w:p>
            <w:pPr>
              <w:spacing w:after="0"/>
              <w:rPr>
                <w:sz w:val="24"/>
                <w:szCs w:val="24"/>
                <w:color w:val="auto"/>
              </w:rPr>
            </w:pPr>
          </w:p>
        </w:tc>
        <w:tc>
          <w:tcPr>
            <w:tcW w:w="5360" w:type="dxa"/>
            <w:vAlign w:val="bottom"/>
          </w:tcPr>
          <w:p>
            <w:pPr>
              <w:ind w:left="3000"/>
              <w:spacing w:after="0"/>
              <w:rPr>
                <w:sz w:val="20"/>
                <w:szCs w:val="20"/>
                <w:color w:val="auto"/>
              </w:rPr>
            </w:pPr>
            <w:r>
              <w:rPr>
                <w:rFonts w:ascii="Courier New" w:cs="Courier New" w:eastAsia="Courier New" w:hAnsi="Courier New"/>
                <w:sz w:val="17"/>
                <w:szCs w:val="17"/>
                <w:color w:val="auto"/>
              </w:rPr>
              <w:t>2</w:t>
            </w:r>
          </w:p>
        </w:tc>
        <w:tc>
          <w:tcPr>
            <w:tcW w:w="1020" w:type="dxa"/>
            <w:vAlign w:val="bottom"/>
          </w:tcPr>
          <w:p>
            <w:pPr>
              <w:spacing w:after="0"/>
              <w:rPr>
                <w:sz w:val="24"/>
                <w:szCs w:val="24"/>
                <w:color w:val="auto"/>
              </w:rPr>
            </w:pPr>
          </w:p>
        </w:tc>
      </w:tr>
    </w:tbl>
    <w:p>
      <w:pPr>
        <w:sectPr>
          <w:pgSz w:w="11900" w:h="16838" w:orient="portrait"/>
          <w:cols w:equalWidth="0" w:num="1">
            <w:col w:w="10219"/>
          </w:cols>
          <w:pgMar w:left="240" w:top="703" w:right="1440" w:bottom="1440" w:gutter="0" w:footer="0" w:header="0"/>
        </w:sectPr>
      </w:pPr>
    </w:p>
    <w:bookmarkStart w:id="2" w:name="page3"/>
    <w:bookmarkEnd w:id="2"/>
    <w:p>
      <w:pPr>
        <w:ind w:left="246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S.E.C. FORM 10-Q</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September 30, 1998</w:t>
      </w:r>
    </w:p>
    <w:p>
      <w:pPr>
        <w:spacing w:after="0" w:line="200" w:lineRule="exact"/>
        <w:rPr>
          <w:sz w:val="20"/>
          <w:szCs w:val="20"/>
          <w:color w:val="auto"/>
        </w:rPr>
      </w:pPr>
    </w:p>
    <w:p>
      <w:pPr>
        <w:spacing w:after="0" w:line="39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ind w:left="1020" w:right="2159" w:firstLine="612"/>
        <w:spacing w:after="0" w:line="244" w:lineRule="auto"/>
        <w:rPr>
          <w:sz w:val="20"/>
          <w:szCs w:val="20"/>
          <w:color w:val="auto"/>
        </w:rPr>
      </w:pPr>
      <w:r>
        <w:rPr>
          <w:rFonts w:ascii="Courier New" w:cs="Courier New" w:eastAsia="Courier New" w:hAnsi="Courier New"/>
          <w:sz w:val="17"/>
          <w:szCs w:val="17"/>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199" w:lineRule="exact"/>
        <w:rPr>
          <w:sz w:val="20"/>
          <w:szCs w:val="20"/>
          <w:color w:val="auto"/>
        </w:rPr>
      </w:pPr>
    </w:p>
    <w:p>
      <w:pPr>
        <w:ind w:left="1020" w:right="2159" w:firstLine="612"/>
        <w:spacing w:after="0" w:line="244" w:lineRule="auto"/>
        <w:rPr>
          <w:sz w:val="20"/>
          <w:szCs w:val="20"/>
          <w:color w:val="auto"/>
        </w:rPr>
      </w:pPr>
      <w:r>
        <w:rPr>
          <w:rFonts w:ascii="Courier New" w:cs="Courier New" w:eastAsia="Courier New" w:hAnsi="Courier New"/>
          <w:sz w:val="17"/>
          <w:szCs w:val="17"/>
          <w:color w:val="auto"/>
        </w:rPr>
        <w:t>The balance sheet as of December 31, 1997 was audited by Grant Thornton LLP, independent public accountants, who expressed an unqualified opinion on it in their report dated February 5, 1998. All other financial information presented is unaudited but has been reviewed as of September 30, 1998 and for each of the nine and three month periods ended September 30, 1998 and 1997 by Grant Thornton LLP whose report thereon appears on Page 4. All adjustments and disclosures proposed by them have been reflected in the data presented.</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Accountants' Review Report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Trustees and Shareholders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1" w:lineRule="exact"/>
        <w:rPr>
          <w:sz w:val="20"/>
          <w:szCs w:val="20"/>
          <w:color w:val="auto"/>
        </w:rPr>
      </w:pPr>
    </w:p>
    <w:p>
      <w:pPr>
        <w:ind w:right="2059"/>
        <w:spacing w:after="0" w:line="262" w:lineRule="auto"/>
        <w:rPr>
          <w:sz w:val="20"/>
          <w:szCs w:val="20"/>
          <w:color w:val="auto"/>
        </w:rPr>
      </w:pPr>
      <w:r>
        <w:rPr>
          <w:rFonts w:ascii="Courier New" w:cs="Courier New" w:eastAsia="Courier New" w:hAnsi="Courier New"/>
          <w:sz w:val="16"/>
          <w:szCs w:val="16"/>
          <w:color w:val="auto"/>
        </w:rPr>
        <w:t>We have reviewed the accompanying consolidated balance sheet of Federal Realty Investment Trust as of September 30, 1998 and the related consolidated statements of operations, shareholders' equity and cash flows for the nine month periods ended September 30, 1998 and 1997, and the consolidated statements of operations for the three month periods ended September 30, 1998 and 1997. These financial statements are the responsibility of the Trust's management.</w:t>
      </w:r>
    </w:p>
    <w:p>
      <w:pPr>
        <w:spacing w:after="0" w:line="186"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We conducted our review in accordance with standards established by the American Institute of Certified Public Accountants. A review of interim financial information consists principally of applying analytical review procedures to financial data and making inquiries of persons responsible for financial and accounting matters. It is substantially less in scope than an audit conducted in accordance with generally accepted auditing standards, the objective of which is the expression of an opinion regarding the financial statements taken as a whole. Accordingly, we do not express such an opinion.</w:t>
      </w:r>
    </w:p>
    <w:p>
      <w:pPr>
        <w:spacing w:after="0" w:line="199"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Based on our review, we are not aware of any material modifications that should be made to the accompanying financial statements for them to be in conformity with generally accepted accounting principles.</w:t>
      </w:r>
    </w:p>
    <w:p>
      <w:pPr>
        <w:spacing w:after="0" w:line="200"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We have previously audited, in accordance with generally accepted auditing standards, the consolidated balance sheet as of December 31, 1997 and the related consolidated statements of operations, shareholders' equity and cash flows for the year then ended (not presented herein); and in our report dated February 5, 1998, we expressed an unqualified opinion on those consolidated financial statements. In our opinion, the information set forth in the accompanying condensed consolidated balance sheet as of December 31, 1997 is stated fairly, in all material respects, in relation to the consolidated balance sheet from which it has been derived.</w:t>
      </w:r>
    </w:p>
    <w:p>
      <w:pPr>
        <w:spacing w:after="0" w:line="199"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Grant Thornton LLP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Washington, D.C.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27, 1998</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BALANCE SHEETS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40" w:type="dxa"/>
            <w:vAlign w:val="bottom"/>
          </w:tcPr>
          <w:p>
            <w:pPr>
              <w:ind w:left="100"/>
              <w:spacing w:after="0"/>
              <w:rPr>
                <w:sz w:val="20"/>
                <w:szCs w:val="20"/>
                <w:color w:val="auto"/>
              </w:rPr>
            </w:pPr>
            <w:r>
              <w:rPr>
                <w:rFonts w:ascii="Courier New" w:cs="Courier New" w:eastAsia="Courier New" w:hAnsi="Courier New"/>
                <w:sz w:val="17"/>
                <w:szCs w:val="17"/>
                <w:color w:val="auto"/>
              </w:rPr>
              <w:t>(see accountants' review report)</w:t>
            </w:r>
          </w:p>
        </w:tc>
        <w:tc>
          <w:tcPr>
            <w:tcW w:w="19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589"/>
        </w:trPr>
        <w:tc>
          <w:tcPr>
            <w:tcW w:w="7140" w:type="dxa"/>
            <w:vAlign w:val="bottom"/>
          </w:tcPr>
          <w:p>
            <w:pPr>
              <w:spacing w:after="0"/>
              <w:rPr>
                <w:sz w:val="24"/>
                <w:szCs w:val="24"/>
                <w:color w:val="auto"/>
              </w:rPr>
            </w:pPr>
          </w:p>
        </w:tc>
        <w:tc>
          <w:tcPr>
            <w:tcW w:w="1940" w:type="dxa"/>
            <w:vAlign w:val="bottom"/>
          </w:tcPr>
          <w:p>
            <w:pPr>
              <w:jc w:val="center"/>
              <w:ind w:right="95"/>
              <w:spacing w:after="0"/>
              <w:rPr>
                <w:sz w:val="20"/>
                <w:szCs w:val="20"/>
                <w:color w:val="auto"/>
              </w:rPr>
            </w:pPr>
            <w:r>
              <w:rPr>
                <w:rFonts w:ascii="Courier New" w:cs="Courier New" w:eastAsia="Courier New" w:hAnsi="Courier New"/>
                <w:sz w:val="17"/>
                <w:szCs w:val="17"/>
                <w:color w:val="auto"/>
                <w:w w:val="99"/>
              </w:rPr>
              <w:t>September 30,</w:t>
            </w:r>
          </w:p>
        </w:tc>
        <w:tc>
          <w:tcPr>
            <w:tcW w:w="1740" w:type="dxa"/>
            <w:vAlign w:val="bottom"/>
          </w:tcPr>
          <w:p>
            <w:pPr>
              <w:ind w:left="420"/>
              <w:spacing w:after="0"/>
              <w:rPr>
                <w:sz w:val="20"/>
                <w:szCs w:val="20"/>
                <w:color w:val="auto"/>
              </w:rPr>
            </w:pPr>
            <w:r>
              <w:rPr>
                <w:rFonts w:ascii="Courier New" w:cs="Courier New" w:eastAsia="Courier New" w:hAnsi="Courier New"/>
                <w:sz w:val="17"/>
                <w:szCs w:val="17"/>
                <w:color w:val="auto"/>
              </w:rPr>
              <w:t>December 31,</w:t>
            </w:r>
          </w:p>
        </w:tc>
      </w:tr>
      <w:tr>
        <w:trPr>
          <w:trHeight w:val="196"/>
        </w:trPr>
        <w:tc>
          <w:tcPr>
            <w:tcW w:w="7140" w:type="dxa"/>
            <w:vAlign w:val="bottom"/>
          </w:tcPr>
          <w:p>
            <w:pPr>
              <w:spacing w:after="0"/>
              <w:rPr>
                <w:sz w:val="17"/>
                <w:szCs w:val="17"/>
                <w:color w:val="auto"/>
              </w:rPr>
            </w:pPr>
          </w:p>
        </w:tc>
        <w:tc>
          <w:tcPr>
            <w:tcW w:w="19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1998</w:t>
            </w:r>
          </w:p>
        </w:tc>
        <w:tc>
          <w:tcPr>
            <w:tcW w:w="17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1997</w:t>
            </w:r>
          </w:p>
        </w:tc>
      </w:tr>
      <w:tr>
        <w:trPr>
          <w:trHeight w:val="196"/>
        </w:trPr>
        <w:tc>
          <w:tcPr>
            <w:tcW w:w="7140" w:type="dxa"/>
            <w:vAlign w:val="bottom"/>
          </w:tcPr>
          <w:p>
            <w:pPr>
              <w:spacing w:after="0"/>
              <w:rPr>
                <w:sz w:val="17"/>
                <w:szCs w:val="17"/>
                <w:color w:val="auto"/>
              </w:rPr>
            </w:pPr>
          </w:p>
        </w:tc>
        <w:tc>
          <w:tcPr>
            <w:tcW w:w="1940" w:type="dxa"/>
            <w:vAlign w:val="bottom"/>
          </w:tcPr>
          <w:p>
            <w:pPr>
              <w:jc w:val="center"/>
              <w:ind w:right="95"/>
              <w:spacing w:after="0"/>
              <w:rPr>
                <w:sz w:val="20"/>
                <w:szCs w:val="20"/>
                <w:color w:val="auto"/>
              </w:rPr>
            </w:pPr>
            <w:r>
              <w:rPr>
                <w:rFonts w:ascii="Courier New" w:cs="Courier New" w:eastAsia="Courier New" w:hAnsi="Courier New"/>
                <w:sz w:val="17"/>
                <w:szCs w:val="17"/>
                <w:color w:val="auto"/>
                <w:w w:val="99"/>
              </w:rPr>
              <w:t>(unaudited)</w:t>
            </w:r>
          </w:p>
        </w:tc>
        <w:tc>
          <w:tcPr>
            <w:tcW w:w="1740" w:type="dxa"/>
            <w:vAlign w:val="bottom"/>
          </w:tcPr>
          <w:p>
            <w:pPr>
              <w:spacing w:after="0"/>
              <w:rPr>
                <w:sz w:val="17"/>
                <w:szCs w:val="17"/>
                <w:color w:val="auto"/>
              </w:rPr>
            </w:pPr>
          </w:p>
        </w:tc>
      </w:tr>
      <w:tr>
        <w:trPr>
          <w:trHeight w:val="196"/>
        </w:trPr>
        <w:tc>
          <w:tcPr>
            <w:tcW w:w="7140" w:type="dxa"/>
            <w:vAlign w:val="bottom"/>
          </w:tcPr>
          <w:p>
            <w:pPr>
              <w:spacing w:after="0"/>
              <w:rPr>
                <w:sz w:val="17"/>
                <w:szCs w:val="17"/>
                <w:color w:val="auto"/>
              </w:rPr>
            </w:pPr>
          </w:p>
        </w:tc>
        <w:tc>
          <w:tcPr>
            <w:tcW w:w="1940" w:type="dxa"/>
            <w:vAlign w:val="bottom"/>
          </w:tcPr>
          <w:p>
            <w:pPr>
              <w:jc w:val="center"/>
              <w:ind w:right="95"/>
              <w:spacing w:after="0"/>
              <w:rPr>
                <w:sz w:val="20"/>
                <w:szCs w:val="20"/>
                <w:color w:val="auto"/>
              </w:rPr>
            </w:pPr>
            <w:r>
              <w:rPr>
                <w:rFonts w:ascii="Courier New" w:cs="Courier New" w:eastAsia="Courier New" w:hAnsi="Courier New"/>
                <w:sz w:val="17"/>
                <w:szCs w:val="17"/>
                <w:color w:val="auto"/>
                <w:w w:val="99"/>
              </w:rPr>
              <w:t>-------------</w:t>
            </w:r>
          </w:p>
        </w:tc>
        <w:tc>
          <w:tcPr>
            <w:tcW w:w="1740" w:type="dxa"/>
            <w:vAlign w:val="bottom"/>
          </w:tcPr>
          <w:p>
            <w:pPr>
              <w:ind w:left="420"/>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7140" w:type="dxa"/>
            <w:vAlign w:val="bottom"/>
          </w:tcPr>
          <w:p>
            <w:pPr>
              <w:ind w:left="2460"/>
              <w:spacing w:after="0"/>
              <w:rPr>
                <w:sz w:val="20"/>
                <w:szCs w:val="20"/>
                <w:color w:val="auto"/>
              </w:rPr>
            </w:pPr>
            <w:r>
              <w:rPr>
                <w:rFonts w:ascii="Courier New" w:cs="Courier New" w:eastAsia="Courier New" w:hAnsi="Courier New"/>
                <w:sz w:val="17"/>
                <w:szCs w:val="17"/>
                <w:color w:val="auto"/>
              </w:rPr>
              <w:t>ASSETS</w:t>
            </w:r>
          </w:p>
        </w:tc>
        <w:tc>
          <w:tcPr>
            <w:tcW w:w="3680" w:type="dxa"/>
            <w:vAlign w:val="bottom"/>
            <w:gridSpan w:val="2"/>
          </w:tcPr>
          <w:p>
            <w:pPr>
              <w:jc w:val="right"/>
              <w:ind w:right="1035"/>
              <w:spacing w:after="0"/>
              <w:rPr>
                <w:sz w:val="20"/>
                <w:szCs w:val="20"/>
                <w:color w:val="auto"/>
              </w:rPr>
            </w:pPr>
            <w:r>
              <w:rPr>
                <w:rFonts w:ascii="Courier New" w:cs="Courier New" w:eastAsia="Courier New" w:hAnsi="Courier New"/>
                <w:sz w:val="17"/>
                <w:szCs w:val="17"/>
                <w:color w:val="auto"/>
              </w:rPr>
              <w:t>(in thousands)</w:t>
            </w:r>
          </w:p>
        </w:tc>
      </w:tr>
      <w:tr>
        <w:trPr>
          <w:trHeight w:val="392"/>
        </w:trPr>
        <w:tc>
          <w:tcPr>
            <w:tcW w:w="7140" w:type="dxa"/>
            <w:vAlign w:val="bottom"/>
          </w:tcPr>
          <w:p>
            <w:pPr>
              <w:spacing w:after="0"/>
              <w:rPr>
                <w:sz w:val="20"/>
                <w:szCs w:val="20"/>
                <w:color w:val="auto"/>
              </w:rPr>
            </w:pPr>
            <w:r>
              <w:rPr>
                <w:rFonts w:ascii="Courier New" w:cs="Courier New" w:eastAsia="Courier New" w:hAnsi="Courier New"/>
                <w:sz w:val="17"/>
                <w:szCs w:val="17"/>
                <w:color w:val="auto"/>
              </w:rPr>
              <w:t>Investments</w:t>
            </w:r>
          </w:p>
        </w:tc>
        <w:tc>
          <w:tcPr>
            <w:tcW w:w="19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Real estate, at cost</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$1,616,271</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$1,453,639</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Less accumulated depreciation and amortization</w:t>
            </w:r>
          </w:p>
        </w:tc>
        <w:tc>
          <w:tcPr>
            <w:tcW w:w="19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(275,054)</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(247,497)</w:t>
            </w:r>
          </w:p>
        </w:tc>
      </w:tr>
      <w:tr>
        <w:trPr>
          <w:trHeight w:val="196"/>
        </w:trPr>
        <w:tc>
          <w:tcPr>
            <w:tcW w:w="7140" w:type="dxa"/>
            <w:vAlign w:val="bottom"/>
          </w:tcPr>
          <w:p>
            <w:pPr>
              <w:spacing w:after="0"/>
              <w:rPr>
                <w:sz w:val="17"/>
                <w:szCs w:val="17"/>
                <w:color w:val="auto"/>
              </w:rPr>
            </w:pP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spacing w:after="0"/>
              <w:rPr>
                <w:sz w:val="17"/>
                <w:szCs w:val="17"/>
                <w:color w:val="auto"/>
              </w:rPr>
            </w:pP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1,341,217</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1,206,142</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Mortgage notes receivable</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47,059</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38,360</w:t>
            </w:r>
          </w:p>
        </w:tc>
      </w:tr>
      <w:tr>
        <w:trPr>
          <w:trHeight w:val="196"/>
        </w:trPr>
        <w:tc>
          <w:tcPr>
            <w:tcW w:w="7140" w:type="dxa"/>
            <w:vAlign w:val="bottom"/>
          </w:tcPr>
          <w:p>
            <w:pPr>
              <w:spacing w:after="0"/>
              <w:rPr>
                <w:sz w:val="17"/>
                <w:szCs w:val="17"/>
                <w:color w:val="auto"/>
              </w:rPr>
            </w:pP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spacing w:after="0"/>
              <w:rPr>
                <w:sz w:val="17"/>
                <w:szCs w:val="17"/>
                <w:color w:val="auto"/>
              </w:rPr>
            </w:pP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1,388,276</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1,244,502</w:t>
            </w:r>
          </w:p>
        </w:tc>
      </w:tr>
      <w:tr>
        <w:trPr>
          <w:trHeight w:val="196"/>
        </w:trPr>
        <w:tc>
          <w:tcPr>
            <w:tcW w:w="714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9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Cash</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9,952</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17,043</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Notes receivable - officers</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1,108</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1,190</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Accounts receivable</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18,320</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17,604</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Prepaid expenses and other assets, principally</w:t>
            </w:r>
          </w:p>
        </w:tc>
        <w:tc>
          <w:tcPr>
            <w:tcW w:w="19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7140" w:type="dxa"/>
            <w:vAlign w:val="bottom"/>
          </w:tcPr>
          <w:p>
            <w:pPr>
              <w:ind w:left="420"/>
              <w:spacing w:after="0"/>
              <w:rPr>
                <w:sz w:val="20"/>
                <w:szCs w:val="20"/>
                <w:color w:val="auto"/>
              </w:rPr>
            </w:pPr>
            <w:r>
              <w:rPr>
                <w:rFonts w:ascii="Courier New" w:cs="Courier New" w:eastAsia="Courier New" w:hAnsi="Courier New"/>
                <w:sz w:val="17"/>
                <w:szCs w:val="17"/>
                <w:color w:val="auto"/>
              </w:rPr>
              <w:t>property taxes and lease commissions</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36,690</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32,128</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Debt issue costs</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2,961</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4,106</w:t>
            </w:r>
          </w:p>
        </w:tc>
      </w:tr>
      <w:tr>
        <w:trPr>
          <w:trHeight w:val="196"/>
        </w:trPr>
        <w:tc>
          <w:tcPr>
            <w:tcW w:w="7140" w:type="dxa"/>
            <w:vAlign w:val="bottom"/>
          </w:tcPr>
          <w:p>
            <w:pPr>
              <w:spacing w:after="0"/>
              <w:rPr>
                <w:sz w:val="17"/>
                <w:szCs w:val="17"/>
                <w:color w:val="auto"/>
              </w:rPr>
            </w:pP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spacing w:after="0"/>
              <w:rPr>
                <w:sz w:val="17"/>
                <w:szCs w:val="17"/>
                <w:color w:val="auto"/>
              </w:rPr>
            </w:pP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$1,457,307</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$1,316,573</w:t>
            </w:r>
          </w:p>
        </w:tc>
      </w:tr>
      <w:tr>
        <w:trPr>
          <w:trHeight w:val="196"/>
        </w:trPr>
        <w:tc>
          <w:tcPr>
            <w:tcW w:w="7140" w:type="dxa"/>
            <w:vAlign w:val="bottom"/>
          </w:tcPr>
          <w:p>
            <w:pPr>
              <w:spacing w:after="0"/>
              <w:rPr>
                <w:sz w:val="17"/>
                <w:szCs w:val="17"/>
                <w:color w:val="auto"/>
              </w:rPr>
            </w:pP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ind w:left="920"/>
              <w:spacing w:after="0"/>
              <w:rPr>
                <w:sz w:val="20"/>
                <w:szCs w:val="20"/>
                <w:color w:val="auto"/>
              </w:rPr>
            </w:pPr>
            <w:r>
              <w:rPr>
                <w:rFonts w:ascii="Courier New" w:cs="Courier New" w:eastAsia="Courier New" w:hAnsi="Courier New"/>
                <w:sz w:val="17"/>
                <w:szCs w:val="17"/>
                <w:color w:val="auto"/>
              </w:rPr>
              <w:t>LIABILITIES AND SHAREHOLDERS' EQUITY</w:t>
            </w:r>
          </w:p>
        </w:tc>
        <w:tc>
          <w:tcPr>
            <w:tcW w:w="19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92"/>
        </w:trPr>
        <w:tc>
          <w:tcPr>
            <w:tcW w:w="7140" w:type="dxa"/>
            <w:vAlign w:val="bottom"/>
          </w:tcPr>
          <w:p>
            <w:pPr>
              <w:spacing w:after="0"/>
              <w:rPr>
                <w:sz w:val="20"/>
                <w:szCs w:val="20"/>
                <w:color w:val="auto"/>
              </w:rPr>
            </w:pPr>
            <w:r>
              <w:rPr>
                <w:rFonts w:ascii="Courier New" w:cs="Courier New" w:eastAsia="Courier New" w:hAnsi="Courier New"/>
                <w:sz w:val="17"/>
                <w:szCs w:val="17"/>
                <w:color w:val="auto"/>
              </w:rPr>
              <w:t>Liabilities</w:t>
            </w:r>
          </w:p>
        </w:tc>
        <w:tc>
          <w:tcPr>
            <w:tcW w:w="19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Obligations under capital leases</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  122,488</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125,940</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Mortgages payable</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51,205</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95,633</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Notes payable</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234,846</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119,028</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Accrued expenses</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24,076</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23,419</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Accounts payable</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5,391</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7,093</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Dividends payable</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18,926</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18,368</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Security deposits</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5,490</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4,423</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Prepaid rents</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3,349</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2,818</w:t>
            </w:r>
          </w:p>
        </w:tc>
      </w:tr>
      <w:tr>
        <w:trPr>
          <w:trHeight w:val="196"/>
        </w:trPr>
        <w:tc>
          <w:tcPr>
            <w:tcW w:w="7140" w:type="dxa"/>
            <w:vAlign w:val="bottom"/>
          </w:tcPr>
          <w:p>
            <w:pPr>
              <w:spacing w:after="0"/>
              <w:rPr>
                <w:sz w:val="20"/>
                <w:szCs w:val="20"/>
                <w:color w:val="auto"/>
              </w:rPr>
            </w:pPr>
            <w:r>
              <w:rPr>
                <w:rFonts w:ascii="Courier New" w:cs="Courier New" w:eastAsia="Courier New" w:hAnsi="Courier New"/>
                <w:sz w:val="17"/>
                <w:szCs w:val="17"/>
                <w:color w:val="auto"/>
              </w:rPr>
              <w:t>Senior notes</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335,000</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255,000</w:t>
            </w:r>
          </w:p>
        </w:tc>
      </w:tr>
      <w:tr>
        <w:trPr>
          <w:trHeight w:val="196"/>
        </w:trPr>
        <w:tc>
          <w:tcPr>
            <w:tcW w:w="7140" w:type="dxa"/>
            <w:vAlign w:val="bottom"/>
          </w:tcPr>
          <w:p>
            <w:pPr>
              <w:spacing w:after="0"/>
              <w:rPr>
                <w:sz w:val="20"/>
                <w:szCs w:val="20"/>
                <w:color w:val="auto"/>
              </w:rPr>
            </w:pPr>
            <w:r>
              <w:rPr>
                <w:rFonts w:ascii="Courier New" w:cs="Courier New" w:eastAsia="Courier New" w:hAnsi="Courier New"/>
                <w:sz w:val="17"/>
                <w:szCs w:val="17"/>
                <w:color w:val="auto"/>
              </w:rPr>
              <w:t>5 1/4% Convertible subordinated debentures</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75,289</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75,289</w:t>
            </w:r>
          </w:p>
        </w:tc>
      </w:tr>
      <w:tr>
        <w:trPr>
          <w:trHeight w:val="196"/>
        </w:trPr>
        <w:tc>
          <w:tcPr>
            <w:tcW w:w="7140" w:type="dxa"/>
            <w:vAlign w:val="bottom"/>
          </w:tcPr>
          <w:p>
            <w:pPr>
              <w:spacing w:after="0"/>
              <w:rPr>
                <w:sz w:val="20"/>
                <w:szCs w:val="20"/>
                <w:color w:val="auto"/>
              </w:rPr>
            </w:pPr>
            <w:r>
              <w:rPr>
                <w:rFonts w:ascii="Courier New" w:cs="Courier New" w:eastAsia="Courier New" w:hAnsi="Courier New"/>
                <w:sz w:val="17"/>
                <w:szCs w:val="17"/>
                <w:color w:val="auto"/>
              </w:rPr>
              <w:t>Investors' interest in consolidated assets</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46,219</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35,752</w:t>
            </w:r>
          </w:p>
        </w:tc>
      </w:tr>
      <w:tr>
        <w:trPr>
          <w:trHeight w:val="196"/>
        </w:trPr>
        <w:tc>
          <w:tcPr>
            <w:tcW w:w="714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714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9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7.95% Series A Cumulative Redeemable Preferred Shares, liquidation</w:t>
            </w:r>
          </w:p>
        </w:tc>
        <w:tc>
          <w:tcPr>
            <w:tcW w:w="19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7140" w:type="dxa"/>
            <w:vAlign w:val="bottom"/>
          </w:tcPr>
          <w:p>
            <w:pPr>
              <w:ind w:left="420"/>
              <w:spacing w:after="0"/>
              <w:rPr>
                <w:sz w:val="20"/>
                <w:szCs w:val="20"/>
                <w:color w:val="auto"/>
              </w:rPr>
            </w:pPr>
            <w:r>
              <w:rPr>
                <w:rFonts w:ascii="Courier New" w:cs="Courier New" w:eastAsia="Courier New" w:hAnsi="Courier New"/>
                <w:sz w:val="17"/>
                <w:szCs w:val="17"/>
                <w:color w:val="auto"/>
              </w:rPr>
              <w:t>preference $25 per share, 4,000,000 shares issued in 1997</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100,000</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100,000</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Common shares of beneficial interest, no par</w:t>
            </w:r>
          </w:p>
        </w:tc>
        <w:tc>
          <w:tcPr>
            <w:tcW w:w="19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7140" w:type="dxa"/>
            <w:vAlign w:val="bottom"/>
          </w:tcPr>
          <w:p>
            <w:pPr>
              <w:ind w:left="420"/>
              <w:spacing w:after="0"/>
              <w:rPr>
                <w:sz w:val="20"/>
                <w:szCs w:val="20"/>
                <w:color w:val="auto"/>
              </w:rPr>
            </w:pPr>
            <w:r>
              <w:rPr>
                <w:rFonts w:ascii="Courier New" w:cs="Courier New" w:eastAsia="Courier New" w:hAnsi="Courier New"/>
                <w:sz w:val="17"/>
                <w:szCs w:val="17"/>
                <w:color w:val="auto"/>
              </w:rPr>
              <w:t>or stated value, unlimited authorization,</w:t>
            </w:r>
          </w:p>
        </w:tc>
        <w:tc>
          <w:tcPr>
            <w:tcW w:w="19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7140" w:type="dxa"/>
            <w:vAlign w:val="bottom"/>
          </w:tcPr>
          <w:p>
            <w:pPr>
              <w:ind w:left="420"/>
              <w:spacing w:after="0"/>
              <w:rPr>
                <w:sz w:val="20"/>
                <w:szCs w:val="20"/>
                <w:color w:val="auto"/>
              </w:rPr>
            </w:pPr>
            <w:r>
              <w:rPr>
                <w:rFonts w:ascii="Courier New" w:cs="Courier New" w:eastAsia="Courier New" w:hAnsi="Courier New"/>
                <w:sz w:val="17"/>
                <w:szCs w:val="17"/>
                <w:color w:val="auto"/>
              </w:rPr>
              <w:t>issued 40,061,303 and 39,200,201 shares,</w:t>
            </w:r>
          </w:p>
        </w:tc>
        <w:tc>
          <w:tcPr>
            <w:tcW w:w="19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7140" w:type="dxa"/>
            <w:vAlign w:val="bottom"/>
          </w:tcPr>
          <w:p>
            <w:pPr>
              <w:ind w:left="420"/>
              <w:spacing w:after="0"/>
              <w:rPr>
                <w:sz w:val="20"/>
                <w:szCs w:val="20"/>
                <w:color w:val="auto"/>
              </w:rPr>
            </w:pPr>
            <w:r>
              <w:rPr>
                <w:rFonts w:ascii="Courier New" w:cs="Courier New" w:eastAsia="Courier New" w:hAnsi="Courier New"/>
                <w:sz w:val="17"/>
                <w:szCs w:val="17"/>
                <w:color w:val="auto"/>
              </w:rPr>
              <w:t>respectively</w:t>
            </w: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706,051</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684,823</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Accumulated dividends in excess of Trust net income</w:t>
            </w:r>
          </w:p>
        </w:tc>
        <w:tc>
          <w:tcPr>
            <w:tcW w:w="19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(248,359)</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(222,709)</w:t>
            </w:r>
          </w:p>
        </w:tc>
      </w:tr>
      <w:tr>
        <w:trPr>
          <w:trHeight w:val="196"/>
        </w:trPr>
        <w:tc>
          <w:tcPr>
            <w:tcW w:w="7140" w:type="dxa"/>
            <w:vAlign w:val="bottom"/>
          </w:tcPr>
          <w:p>
            <w:pPr>
              <w:spacing w:after="0"/>
              <w:rPr>
                <w:sz w:val="17"/>
                <w:szCs w:val="17"/>
                <w:color w:val="auto"/>
              </w:rPr>
            </w:pP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spacing w:after="0"/>
              <w:rPr>
                <w:sz w:val="17"/>
                <w:szCs w:val="17"/>
                <w:color w:val="auto"/>
              </w:rPr>
            </w:pP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557,692</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562,114</w:t>
            </w:r>
          </w:p>
        </w:tc>
      </w:tr>
      <w:tr>
        <w:trPr>
          <w:trHeight w:val="392"/>
        </w:trPr>
        <w:tc>
          <w:tcPr>
            <w:tcW w:w="7140" w:type="dxa"/>
            <w:vAlign w:val="bottom"/>
          </w:tcPr>
          <w:p>
            <w:pPr>
              <w:spacing w:after="0"/>
              <w:rPr>
                <w:sz w:val="20"/>
                <w:szCs w:val="20"/>
                <w:color w:val="auto"/>
              </w:rPr>
            </w:pPr>
            <w:r>
              <w:rPr>
                <w:rFonts w:ascii="Courier New" w:cs="Courier New" w:eastAsia="Courier New" w:hAnsi="Courier New"/>
                <w:sz w:val="17"/>
                <w:szCs w:val="17"/>
                <w:color w:val="auto"/>
              </w:rPr>
              <w:t>Less 58,419 and 52,386 common shares in treasury - at cost,</w:t>
            </w:r>
          </w:p>
        </w:tc>
        <w:tc>
          <w:tcPr>
            <w:tcW w:w="19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respectively,deferred compensation and subscriptions receivable</w:t>
            </w:r>
          </w:p>
        </w:tc>
        <w:tc>
          <w:tcPr>
            <w:tcW w:w="19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(22,664)</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(8,304)</w:t>
            </w:r>
          </w:p>
        </w:tc>
      </w:tr>
      <w:tr>
        <w:trPr>
          <w:trHeight w:val="196"/>
        </w:trPr>
        <w:tc>
          <w:tcPr>
            <w:tcW w:w="7140" w:type="dxa"/>
            <w:vAlign w:val="bottom"/>
          </w:tcPr>
          <w:p>
            <w:pPr>
              <w:spacing w:after="0"/>
              <w:rPr>
                <w:sz w:val="17"/>
                <w:szCs w:val="17"/>
                <w:color w:val="auto"/>
              </w:rPr>
            </w:pP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spacing w:after="0"/>
              <w:rPr>
                <w:sz w:val="17"/>
                <w:szCs w:val="17"/>
                <w:color w:val="auto"/>
              </w:rPr>
            </w:pP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535,028</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553,810</w:t>
            </w:r>
          </w:p>
        </w:tc>
      </w:tr>
      <w:tr>
        <w:trPr>
          <w:trHeight w:val="196"/>
        </w:trPr>
        <w:tc>
          <w:tcPr>
            <w:tcW w:w="7140" w:type="dxa"/>
            <w:vAlign w:val="bottom"/>
          </w:tcPr>
          <w:p>
            <w:pPr>
              <w:spacing w:after="0"/>
              <w:rPr>
                <w:sz w:val="17"/>
                <w:szCs w:val="17"/>
                <w:color w:val="auto"/>
              </w:rPr>
            </w:pP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spacing w:after="0"/>
              <w:rPr>
                <w:sz w:val="17"/>
                <w:szCs w:val="17"/>
                <w:color w:val="auto"/>
              </w:rPr>
            </w:pP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$1,457,307</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$1,316,573</w:t>
            </w:r>
          </w:p>
        </w:tc>
      </w:tr>
      <w:tr>
        <w:trPr>
          <w:trHeight w:val="196"/>
        </w:trPr>
        <w:tc>
          <w:tcPr>
            <w:tcW w:w="7140" w:type="dxa"/>
            <w:vAlign w:val="bottom"/>
          </w:tcPr>
          <w:p>
            <w:pPr>
              <w:spacing w:after="0"/>
              <w:rPr>
                <w:sz w:val="17"/>
                <w:szCs w:val="17"/>
                <w:color w:val="auto"/>
              </w:rPr>
            </w:pPr>
          </w:p>
        </w:tc>
        <w:tc>
          <w:tcPr>
            <w:tcW w:w="19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820"/>
          </w:cols>
          <w:pgMar w:left="240" w:top="703" w:right="8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accountants' review report)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80" w:type="dxa"/>
            <w:vAlign w:val="bottom"/>
          </w:tcPr>
          <w:p>
            <w:pPr>
              <w:ind w:left="1840"/>
              <w:spacing w:after="0"/>
              <w:rPr>
                <w:sz w:val="20"/>
                <w:szCs w:val="20"/>
                <w:color w:val="auto"/>
              </w:rPr>
            </w:pPr>
            <w:r>
              <w:rPr>
                <w:rFonts w:ascii="Courier New" w:cs="Courier New" w:eastAsia="Courier New" w:hAnsi="Courier New"/>
                <w:sz w:val="17"/>
                <w:szCs w:val="17"/>
                <w:color w:val="auto"/>
              </w:rPr>
              <w:t>(unaudited)</w:t>
            </w:r>
          </w:p>
        </w:tc>
        <w:tc>
          <w:tcPr>
            <w:tcW w:w="9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589"/>
        </w:trPr>
        <w:tc>
          <w:tcPr>
            <w:tcW w:w="5880" w:type="dxa"/>
            <w:vAlign w:val="bottom"/>
          </w:tcPr>
          <w:p>
            <w:pPr>
              <w:spacing w:after="0"/>
              <w:rPr>
                <w:sz w:val="24"/>
                <w:szCs w:val="24"/>
                <w:color w:val="auto"/>
              </w:rPr>
            </w:pPr>
          </w:p>
        </w:tc>
        <w:tc>
          <w:tcPr>
            <w:tcW w:w="40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Nine months ended September 30,</w:t>
            </w:r>
          </w:p>
        </w:tc>
      </w:tr>
      <w:tr>
        <w:trPr>
          <w:trHeight w:val="196"/>
        </w:trPr>
        <w:tc>
          <w:tcPr>
            <w:tcW w:w="5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1998</w:t>
            </w:r>
          </w:p>
        </w:tc>
        <w:tc>
          <w:tcPr>
            <w:tcW w:w="76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1997</w:t>
            </w:r>
          </w:p>
        </w:tc>
      </w:tr>
      <w:tr>
        <w:trPr>
          <w:trHeight w:val="196"/>
        </w:trPr>
        <w:tc>
          <w:tcPr>
            <w:tcW w:w="5880" w:type="dxa"/>
            <w:vAlign w:val="bottom"/>
          </w:tcPr>
          <w:p>
            <w:pPr>
              <w:spacing w:after="0"/>
              <w:rPr>
                <w:sz w:val="17"/>
                <w:szCs w:val="17"/>
                <w:color w:val="auto"/>
              </w:rPr>
            </w:pPr>
          </w:p>
        </w:tc>
        <w:tc>
          <w:tcPr>
            <w:tcW w:w="2440" w:type="dxa"/>
            <w:vAlign w:val="bottom"/>
            <w:gridSpan w:val="2"/>
          </w:tcPr>
          <w:p>
            <w:pPr>
              <w:ind w:left="860"/>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 data)</w:t>
            </w: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92"/>
        </w:trPr>
        <w:tc>
          <w:tcPr>
            <w:tcW w:w="588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5880" w:type="dxa"/>
            <w:vAlign w:val="bottom"/>
          </w:tcPr>
          <w:p>
            <w:pPr>
              <w:ind w:left="200"/>
              <w:spacing w:after="0"/>
              <w:rPr>
                <w:sz w:val="20"/>
                <w:szCs w:val="20"/>
                <w:color w:val="auto"/>
              </w:rPr>
            </w:pPr>
            <w:r>
              <w:rPr>
                <w:rFonts w:ascii="Courier New" w:cs="Courier New" w:eastAsia="Courier New" w:hAnsi="Courier New"/>
                <w:sz w:val="17"/>
                <w:szCs w:val="17"/>
                <w:color w:val="auto"/>
              </w:rPr>
              <w:t>Rental income</w:t>
            </w:r>
          </w:p>
        </w:tc>
        <w:tc>
          <w:tcPr>
            <w:tcW w:w="244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$162,041</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$137,090</w:t>
            </w:r>
          </w:p>
        </w:tc>
      </w:tr>
      <w:tr>
        <w:trPr>
          <w:trHeight w:val="196"/>
        </w:trPr>
        <w:tc>
          <w:tcPr>
            <w:tcW w:w="5880" w:type="dxa"/>
            <w:vAlign w:val="bottom"/>
          </w:tcPr>
          <w:p>
            <w:pPr>
              <w:ind w:left="200"/>
              <w:spacing w:after="0"/>
              <w:rPr>
                <w:sz w:val="20"/>
                <w:szCs w:val="20"/>
                <w:color w:val="auto"/>
              </w:rPr>
            </w:pPr>
            <w:r>
              <w:rPr>
                <w:rFonts w:ascii="Courier New" w:cs="Courier New" w:eastAsia="Courier New" w:hAnsi="Courier New"/>
                <w:sz w:val="17"/>
                <w:szCs w:val="17"/>
                <w:color w:val="auto"/>
              </w:rPr>
              <w:t>Other property income</w:t>
            </w:r>
          </w:p>
        </w:tc>
        <w:tc>
          <w:tcPr>
            <w:tcW w:w="960" w:type="dxa"/>
            <w:vAlign w:val="bottom"/>
          </w:tcPr>
          <w:p>
            <w:pPr>
              <w:spacing w:after="0"/>
              <w:rPr>
                <w:sz w:val="17"/>
                <w:szCs w:val="17"/>
                <w:color w:val="auto"/>
              </w:rPr>
            </w:pP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7,613</w:t>
            </w:r>
          </w:p>
        </w:tc>
        <w:tc>
          <w:tcPr>
            <w:tcW w:w="76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7,512</w:t>
            </w:r>
          </w:p>
        </w:tc>
      </w:tr>
      <w:tr>
        <w:trPr>
          <w:trHeight w:val="196"/>
        </w:trPr>
        <w:tc>
          <w:tcPr>
            <w:tcW w:w="5880" w:type="dxa"/>
            <w:vAlign w:val="bottom"/>
          </w:tcPr>
          <w:p>
            <w:pPr>
              <w:ind w:left="200"/>
              <w:spacing w:after="0"/>
              <w:rPr>
                <w:sz w:val="20"/>
                <w:szCs w:val="20"/>
                <w:color w:val="auto"/>
              </w:rPr>
            </w:pPr>
            <w:r>
              <w:rPr>
                <w:rFonts w:ascii="Courier New" w:cs="Courier New" w:eastAsia="Courier New" w:hAnsi="Courier New"/>
                <w:sz w:val="17"/>
                <w:szCs w:val="17"/>
                <w:color w:val="auto"/>
              </w:rPr>
              <w:t>Interest and other income</w:t>
            </w:r>
          </w:p>
        </w:tc>
        <w:tc>
          <w:tcPr>
            <w:tcW w:w="960" w:type="dxa"/>
            <w:vAlign w:val="bottom"/>
          </w:tcPr>
          <w:p>
            <w:pPr>
              <w:spacing w:after="0"/>
              <w:rPr>
                <w:sz w:val="17"/>
                <w:szCs w:val="17"/>
                <w:color w:val="auto"/>
              </w:rPr>
            </w:pP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3,928</w:t>
            </w:r>
          </w:p>
        </w:tc>
        <w:tc>
          <w:tcPr>
            <w:tcW w:w="76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4,660</w:t>
            </w:r>
          </w:p>
        </w:tc>
      </w:tr>
      <w:tr>
        <w:trPr>
          <w:trHeight w:val="196"/>
        </w:trPr>
        <w:tc>
          <w:tcPr>
            <w:tcW w:w="5880" w:type="dxa"/>
            <w:vAlign w:val="bottom"/>
          </w:tcPr>
          <w:p>
            <w:pPr>
              <w:spacing w:after="0"/>
              <w:rPr>
                <w:sz w:val="17"/>
                <w:szCs w:val="17"/>
                <w:color w:val="auto"/>
              </w:rPr>
            </w:pPr>
          </w:p>
        </w:tc>
        <w:tc>
          <w:tcPr>
            <w:tcW w:w="244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w w:val="97"/>
              </w:rPr>
              <w:t>173,582</w:t>
            </w:r>
          </w:p>
        </w:tc>
        <w:tc>
          <w:tcPr>
            <w:tcW w:w="76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149,262</w:t>
            </w:r>
          </w:p>
        </w:tc>
      </w:tr>
      <w:tr>
        <w:trPr>
          <w:trHeight w:val="392"/>
        </w:trPr>
        <w:tc>
          <w:tcPr>
            <w:tcW w:w="588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5880" w:type="dxa"/>
            <w:vAlign w:val="bottom"/>
          </w:tcPr>
          <w:p>
            <w:pPr>
              <w:ind w:left="200"/>
              <w:spacing w:after="0"/>
              <w:rPr>
                <w:sz w:val="20"/>
                <w:szCs w:val="20"/>
                <w:color w:val="auto"/>
              </w:rPr>
            </w:pPr>
            <w:r>
              <w:rPr>
                <w:rFonts w:ascii="Courier New" w:cs="Courier New" w:eastAsia="Courier New" w:hAnsi="Courier New"/>
                <w:sz w:val="17"/>
                <w:szCs w:val="17"/>
                <w:color w:val="auto"/>
              </w:rPr>
              <w:t>Rental</w:t>
            </w:r>
          </w:p>
        </w:tc>
        <w:tc>
          <w:tcPr>
            <w:tcW w:w="960" w:type="dxa"/>
            <w:vAlign w:val="bottom"/>
          </w:tcPr>
          <w:p>
            <w:pPr>
              <w:spacing w:after="0"/>
              <w:rPr>
                <w:sz w:val="17"/>
                <w:szCs w:val="17"/>
                <w:color w:val="auto"/>
              </w:rPr>
            </w:pP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35,274</w:t>
            </w:r>
          </w:p>
        </w:tc>
        <w:tc>
          <w:tcPr>
            <w:tcW w:w="76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31,196</w:t>
            </w:r>
          </w:p>
        </w:tc>
      </w:tr>
      <w:tr>
        <w:trPr>
          <w:trHeight w:val="196"/>
        </w:trPr>
        <w:tc>
          <w:tcPr>
            <w:tcW w:w="5880" w:type="dxa"/>
            <w:vAlign w:val="bottom"/>
          </w:tcPr>
          <w:p>
            <w:pPr>
              <w:ind w:left="200"/>
              <w:spacing w:after="0"/>
              <w:rPr>
                <w:sz w:val="20"/>
                <w:szCs w:val="20"/>
                <w:color w:val="auto"/>
              </w:rPr>
            </w:pPr>
            <w:r>
              <w:rPr>
                <w:rFonts w:ascii="Courier New" w:cs="Courier New" w:eastAsia="Courier New" w:hAnsi="Courier New"/>
                <w:sz w:val="17"/>
                <w:szCs w:val="17"/>
                <w:color w:val="auto"/>
              </w:rPr>
              <w:t>Real estate taxes</w:t>
            </w:r>
          </w:p>
        </w:tc>
        <w:tc>
          <w:tcPr>
            <w:tcW w:w="960" w:type="dxa"/>
            <w:vAlign w:val="bottom"/>
          </w:tcPr>
          <w:p>
            <w:pPr>
              <w:spacing w:after="0"/>
              <w:rPr>
                <w:sz w:val="17"/>
                <w:szCs w:val="17"/>
                <w:color w:val="auto"/>
              </w:rPr>
            </w:pP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17,275</w:t>
            </w:r>
          </w:p>
        </w:tc>
        <w:tc>
          <w:tcPr>
            <w:tcW w:w="76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14,402</w:t>
            </w:r>
          </w:p>
        </w:tc>
      </w:tr>
      <w:tr>
        <w:trPr>
          <w:trHeight w:val="196"/>
        </w:trPr>
        <w:tc>
          <w:tcPr>
            <w:tcW w:w="5880" w:type="dxa"/>
            <w:vAlign w:val="bottom"/>
          </w:tcPr>
          <w:p>
            <w:pPr>
              <w:ind w:left="200"/>
              <w:spacing w:after="0"/>
              <w:rPr>
                <w:sz w:val="20"/>
                <w:szCs w:val="20"/>
                <w:color w:val="auto"/>
              </w:rPr>
            </w:pPr>
            <w:r>
              <w:rPr>
                <w:rFonts w:ascii="Courier New" w:cs="Courier New" w:eastAsia="Courier New" w:hAnsi="Courier New"/>
                <w:sz w:val="17"/>
                <w:szCs w:val="17"/>
                <w:color w:val="auto"/>
              </w:rPr>
              <w:t>Interest</w:t>
            </w:r>
          </w:p>
        </w:tc>
        <w:tc>
          <w:tcPr>
            <w:tcW w:w="960" w:type="dxa"/>
            <w:vAlign w:val="bottom"/>
          </w:tcPr>
          <w:p>
            <w:pPr>
              <w:spacing w:after="0"/>
              <w:rPr>
                <w:sz w:val="17"/>
                <w:szCs w:val="17"/>
                <w:color w:val="auto"/>
              </w:rPr>
            </w:pP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39,736</w:t>
            </w:r>
          </w:p>
        </w:tc>
        <w:tc>
          <w:tcPr>
            <w:tcW w:w="76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35,952</w:t>
            </w:r>
          </w:p>
        </w:tc>
      </w:tr>
      <w:tr>
        <w:trPr>
          <w:trHeight w:val="196"/>
        </w:trPr>
        <w:tc>
          <w:tcPr>
            <w:tcW w:w="5880" w:type="dxa"/>
            <w:vAlign w:val="bottom"/>
          </w:tcPr>
          <w:p>
            <w:pPr>
              <w:ind w:left="200"/>
              <w:spacing w:after="0"/>
              <w:rPr>
                <w:sz w:val="20"/>
                <w:szCs w:val="20"/>
                <w:color w:val="auto"/>
              </w:rPr>
            </w:pPr>
            <w:r>
              <w:rPr>
                <w:rFonts w:ascii="Courier New" w:cs="Courier New" w:eastAsia="Courier New" w:hAnsi="Courier New"/>
                <w:sz w:val="17"/>
                <w:szCs w:val="17"/>
                <w:color w:val="auto"/>
              </w:rPr>
              <w:t>Administrative</w:t>
            </w:r>
          </w:p>
        </w:tc>
        <w:tc>
          <w:tcPr>
            <w:tcW w:w="960" w:type="dxa"/>
            <w:vAlign w:val="bottom"/>
          </w:tcPr>
          <w:p>
            <w:pPr>
              <w:spacing w:after="0"/>
              <w:rPr>
                <w:sz w:val="17"/>
                <w:szCs w:val="17"/>
                <w:color w:val="auto"/>
              </w:rPr>
            </w:pP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8,736</w:t>
            </w:r>
          </w:p>
        </w:tc>
        <w:tc>
          <w:tcPr>
            <w:tcW w:w="76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6,562</w:t>
            </w:r>
          </w:p>
        </w:tc>
      </w:tr>
      <w:tr>
        <w:trPr>
          <w:trHeight w:val="196"/>
        </w:trPr>
        <w:tc>
          <w:tcPr>
            <w:tcW w:w="5880" w:type="dxa"/>
            <w:vAlign w:val="bottom"/>
          </w:tcPr>
          <w:p>
            <w:pPr>
              <w:ind w:left="200"/>
              <w:spacing w:after="0"/>
              <w:rPr>
                <w:sz w:val="20"/>
                <w:szCs w:val="20"/>
                <w:color w:val="auto"/>
              </w:rPr>
            </w:pPr>
            <w:r>
              <w:rPr>
                <w:rFonts w:ascii="Courier New" w:cs="Courier New" w:eastAsia="Courier New" w:hAnsi="Courier New"/>
                <w:sz w:val="17"/>
                <w:szCs w:val="17"/>
                <w:color w:val="auto"/>
              </w:rPr>
              <w:t>Depreciation and amortization</w:t>
            </w:r>
          </w:p>
        </w:tc>
        <w:tc>
          <w:tcPr>
            <w:tcW w:w="960" w:type="dxa"/>
            <w:vAlign w:val="bottom"/>
          </w:tcPr>
          <w:p>
            <w:pPr>
              <w:spacing w:after="0"/>
              <w:rPr>
                <w:sz w:val="17"/>
                <w:szCs w:val="17"/>
                <w:color w:val="auto"/>
              </w:rPr>
            </w:pP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33,384</w:t>
            </w:r>
          </w:p>
        </w:tc>
        <w:tc>
          <w:tcPr>
            <w:tcW w:w="76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30,853</w:t>
            </w:r>
          </w:p>
        </w:tc>
      </w:tr>
      <w:tr>
        <w:trPr>
          <w:trHeight w:val="196"/>
        </w:trPr>
        <w:tc>
          <w:tcPr>
            <w:tcW w:w="5880" w:type="dxa"/>
            <w:vAlign w:val="bottom"/>
          </w:tcPr>
          <w:p>
            <w:pPr>
              <w:spacing w:after="0"/>
              <w:rPr>
                <w:sz w:val="17"/>
                <w:szCs w:val="17"/>
                <w:color w:val="auto"/>
              </w:rPr>
            </w:pPr>
          </w:p>
        </w:tc>
        <w:tc>
          <w:tcPr>
            <w:tcW w:w="244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w w:val="97"/>
              </w:rPr>
              <w:t>134,405</w:t>
            </w:r>
          </w:p>
        </w:tc>
        <w:tc>
          <w:tcPr>
            <w:tcW w:w="76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118,965</w:t>
            </w:r>
          </w:p>
        </w:tc>
      </w:tr>
      <w:tr>
        <w:trPr>
          <w:trHeight w:val="196"/>
        </w:trPr>
        <w:tc>
          <w:tcPr>
            <w:tcW w:w="5880" w:type="dxa"/>
            <w:vAlign w:val="bottom"/>
          </w:tcPr>
          <w:p>
            <w:pPr>
              <w:spacing w:after="0"/>
              <w:rPr>
                <w:sz w:val="17"/>
                <w:szCs w:val="17"/>
                <w:color w:val="auto"/>
              </w:rPr>
            </w:pPr>
          </w:p>
        </w:tc>
        <w:tc>
          <w:tcPr>
            <w:tcW w:w="244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39,177</w:t>
            </w:r>
          </w:p>
        </w:tc>
        <w:tc>
          <w:tcPr>
            <w:tcW w:w="76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30,297</w:t>
            </w: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Provision for restructuring</w:t>
            </w:r>
          </w:p>
        </w:tc>
        <w:tc>
          <w:tcPr>
            <w:tcW w:w="960" w:type="dxa"/>
            <w:vAlign w:val="bottom"/>
          </w:tcPr>
          <w:p>
            <w:pPr>
              <w:spacing w:after="0"/>
              <w:rPr>
                <w:sz w:val="17"/>
                <w:szCs w:val="17"/>
                <w:color w:val="auto"/>
              </w:rPr>
            </w:pPr>
          </w:p>
        </w:tc>
        <w:tc>
          <w:tcPr>
            <w:tcW w:w="14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(4,665)</w:t>
            </w:r>
          </w:p>
        </w:tc>
        <w:tc>
          <w:tcPr>
            <w:tcW w:w="76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17"/>
                <w:szCs w:val="17"/>
                <w:color w:val="auto"/>
              </w:rPr>
            </w:pPr>
          </w:p>
        </w:tc>
        <w:tc>
          <w:tcPr>
            <w:tcW w:w="244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Operating income before investors' share</w:t>
            </w: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5880" w:type="dxa"/>
            <w:vAlign w:val="bottom"/>
          </w:tcPr>
          <w:p>
            <w:pPr>
              <w:ind w:left="200"/>
              <w:spacing w:after="0"/>
              <w:rPr>
                <w:sz w:val="20"/>
                <w:szCs w:val="20"/>
                <w:color w:val="auto"/>
              </w:rPr>
            </w:pPr>
            <w:r>
              <w:rPr>
                <w:rFonts w:ascii="Courier New" w:cs="Courier New" w:eastAsia="Courier New" w:hAnsi="Courier New"/>
                <w:sz w:val="17"/>
                <w:szCs w:val="17"/>
                <w:color w:val="auto"/>
              </w:rPr>
              <w:t>of operations and gain on sale of real estate</w:t>
            </w:r>
          </w:p>
        </w:tc>
        <w:tc>
          <w:tcPr>
            <w:tcW w:w="960" w:type="dxa"/>
            <w:vAlign w:val="bottom"/>
          </w:tcPr>
          <w:p>
            <w:pPr>
              <w:spacing w:after="0"/>
              <w:rPr>
                <w:sz w:val="17"/>
                <w:szCs w:val="17"/>
                <w:color w:val="auto"/>
              </w:rPr>
            </w:pP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34,512</w:t>
            </w:r>
          </w:p>
        </w:tc>
        <w:tc>
          <w:tcPr>
            <w:tcW w:w="76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30,297</w:t>
            </w:r>
          </w:p>
        </w:tc>
      </w:tr>
      <w:tr>
        <w:trPr>
          <w:trHeight w:val="392"/>
        </w:trPr>
        <w:tc>
          <w:tcPr>
            <w:tcW w:w="5880" w:type="dxa"/>
            <w:vAlign w:val="bottom"/>
          </w:tcPr>
          <w:p>
            <w:pPr>
              <w:ind w:left="200"/>
              <w:spacing w:after="0"/>
              <w:rPr>
                <w:sz w:val="20"/>
                <w:szCs w:val="20"/>
                <w:color w:val="auto"/>
              </w:rPr>
            </w:pPr>
            <w:r>
              <w:rPr>
                <w:rFonts w:ascii="Courier New" w:cs="Courier New" w:eastAsia="Courier New" w:hAnsi="Courier New"/>
                <w:sz w:val="17"/>
                <w:szCs w:val="17"/>
                <w:color w:val="auto"/>
              </w:rPr>
              <w:t>Investors' share of operations</w:t>
            </w:r>
          </w:p>
        </w:tc>
        <w:tc>
          <w:tcPr>
            <w:tcW w:w="960" w:type="dxa"/>
            <w:vAlign w:val="bottom"/>
          </w:tcPr>
          <w:p>
            <w:pPr>
              <w:spacing w:after="0"/>
              <w:rPr>
                <w:sz w:val="24"/>
                <w:szCs w:val="24"/>
                <w:color w:val="auto"/>
              </w:rPr>
            </w:pPr>
          </w:p>
        </w:tc>
        <w:tc>
          <w:tcPr>
            <w:tcW w:w="14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(2,335)</w:t>
            </w:r>
          </w:p>
        </w:tc>
        <w:tc>
          <w:tcPr>
            <w:tcW w:w="7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(862)</w:t>
            </w:r>
          </w:p>
        </w:tc>
      </w:tr>
      <w:tr>
        <w:trPr>
          <w:trHeight w:val="196"/>
        </w:trPr>
        <w:tc>
          <w:tcPr>
            <w:tcW w:w="5880" w:type="dxa"/>
            <w:vAlign w:val="bottom"/>
          </w:tcPr>
          <w:p>
            <w:pPr>
              <w:spacing w:after="0"/>
              <w:rPr>
                <w:sz w:val="17"/>
                <w:szCs w:val="17"/>
                <w:color w:val="auto"/>
              </w:rPr>
            </w:pPr>
          </w:p>
        </w:tc>
        <w:tc>
          <w:tcPr>
            <w:tcW w:w="244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Income before gain on sale of real estate</w:t>
            </w:r>
          </w:p>
        </w:tc>
        <w:tc>
          <w:tcPr>
            <w:tcW w:w="960" w:type="dxa"/>
            <w:vAlign w:val="bottom"/>
          </w:tcPr>
          <w:p>
            <w:pPr>
              <w:spacing w:after="0"/>
              <w:rPr>
                <w:sz w:val="17"/>
                <w:szCs w:val="17"/>
                <w:color w:val="auto"/>
              </w:rPr>
            </w:pP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32,177</w:t>
            </w:r>
          </w:p>
        </w:tc>
        <w:tc>
          <w:tcPr>
            <w:tcW w:w="76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29,435</w:t>
            </w:r>
          </w:p>
        </w:tc>
      </w:tr>
      <w:tr>
        <w:trPr>
          <w:trHeight w:val="392"/>
        </w:trPr>
        <w:tc>
          <w:tcPr>
            <w:tcW w:w="5880" w:type="dxa"/>
            <w:vAlign w:val="bottom"/>
          </w:tcPr>
          <w:p>
            <w:pPr>
              <w:ind w:left="200"/>
              <w:spacing w:after="0"/>
              <w:rPr>
                <w:sz w:val="20"/>
                <w:szCs w:val="20"/>
                <w:color w:val="auto"/>
              </w:rPr>
            </w:pPr>
            <w:r>
              <w:rPr>
                <w:rFonts w:ascii="Courier New" w:cs="Courier New" w:eastAsia="Courier New" w:hAnsi="Courier New"/>
                <w:sz w:val="17"/>
                <w:szCs w:val="17"/>
                <w:color w:val="auto"/>
              </w:rPr>
              <w:t>Gain on sale of real estate</w:t>
            </w:r>
          </w:p>
        </w:tc>
        <w:tc>
          <w:tcPr>
            <w:tcW w:w="960" w:type="dxa"/>
            <w:vAlign w:val="bottom"/>
          </w:tcPr>
          <w:p>
            <w:pPr>
              <w:spacing w:after="0"/>
              <w:rPr>
                <w:sz w:val="24"/>
                <w:szCs w:val="24"/>
                <w:color w:val="auto"/>
              </w:rPr>
            </w:pP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spacing w:after="0"/>
              <w:rPr>
                <w:sz w:val="24"/>
                <w:szCs w:val="24"/>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6,375</w:t>
            </w:r>
          </w:p>
        </w:tc>
      </w:tr>
      <w:tr>
        <w:trPr>
          <w:trHeight w:val="196"/>
        </w:trPr>
        <w:tc>
          <w:tcPr>
            <w:tcW w:w="5880" w:type="dxa"/>
            <w:vAlign w:val="bottom"/>
          </w:tcPr>
          <w:p>
            <w:pPr>
              <w:spacing w:after="0"/>
              <w:rPr>
                <w:sz w:val="17"/>
                <w:szCs w:val="17"/>
                <w:color w:val="auto"/>
              </w:rPr>
            </w:pPr>
          </w:p>
        </w:tc>
        <w:tc>
          <w:tcPr>
            <w:tcW w:w="244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44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$ 32,177</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$ 35,810</w:t>
            </w:r>
          </w:p>
        </w:tc>
      </w:tr>
      <w:tr>
        <w:trPr>
          <w:trHeight w:val="392"/>
        </w:trPr>
        <w:tc>
          <w:tcPr>
            <w:tcW w:w="5880" w:type="dxa"/>
            <w:vAlign w:val="bottom"/>
          </w:tcPr>
          <w:p>
            <w:pPr>
              <w:ind w:left="200"/>
              <w:spacing w:after="0"/>
              <w:rPr>
                <w:sz w:val="20"/>
                <w:szCs w:val="20"/>
                <w:color w:val="auto"/>
              </w:rPr>
            </w:pPr>
            <w:r>
              <w:rPr>
                <w:rFonts w:ascii="Courier New" w:cs="Courier New" w:eastAsia="Courier New" w:hAnsi="Courier New"/>
                <w:sz w:val="17"/>
                <w:szCs w:val="17"/>
                <w:color w:val="auto"/>
              </w:rPr>
              <w:t>Dividends on preferred stock</w:t>
            </w:r>
          </w:p>
        </w:tc>
        <w:tc>
          <w:tcPr>
            <w:tcW w:w="960" w:type="dxa"/>
            <w:vAlign w:val="bottom"/>
          </w:tcPr>
          <w:p>
            <w:pPr>
              <w:spacing w:after="0"/>
              <w:rPr>
                <w:sz w:val="24"/>
                <w:szCs w:val="24"/>
                <w:color w:val="auto"/>
              </w:rPr>
            </w:pPr>
          </w:p>
        </w:tc>
        <w:tc>
          <w:tcPr>
            <w:tcW w:w="14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(5,963)</w:t>
            </w:r>
          </w:p>
        </w:tc>
        <w:tc>
          <w:tcPr>
            <w:tcW w:w="760" w:type="dxa"/>
            <w:vAlign w:val="bottom"/>
          </w:tcPr>
          <w:p>
            <w:pPr>
              <w:spacing w:after="0"/>
              <w:rPr>
                <w:sz w:val="24"/>
                <w:szCs w:val="24"/>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17"/>
                <w:szCs w:val="17"/>
                <w:color w:val="auto"/>
              </w:rPr>
            </w:pPr>
          </w:p>
        </w:tc>
        <w:tc>
          <w:tcPr>
            <w:tcW w:w="244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Net income available for common shareholders</w:t>
            </w:r>
          </w:p>
        </w:tc>
        <w:tc>
          <w:tcPr>
            <w:tcW w:w="244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$ 26,214</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$ 35,810</w:t>
            </w:r>
          </w:p>
        </w:tc>
      </w:tr>
      <w:tr>
        <w:trPr>
          <w:trHeight w:val="196"/>
        </w:trPr>
        <w:tc>
          <w:tcPr>
            <w:tcW w:w="5880" w:type="dxa"/>
            <w:vAlign w:val="bottom"/>
          </w:tcPr>
          <w:p>
            <w:pPr>
              <w:spacing w:after="0"/>
              <w:rPr>
                <w:sz w:val="17"/>
                <w:szCs w:val="17"/>
                <w:color w:val="auto"/>
              </w:rPr>
            </w:pPr>
          </w:p>
        </w:tc>
        <w:tc>
          <w:tcPr>
            <w:tcW w:w="244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880" w:type="dxa"/>
            <w:vAlign w:val="bottom"/>
          </w:tcPr>
          <w:p>
            <w:pPr>
              <w:spacing w:after="0"/>
              <w:rPr>
                <w:sz w:val="20"/>
                <w:szCs w:val="20"/>
                <w:color w:val="auto"/>
              </w:rPr>
            </w:pPr>
            <w:r>
              <w:rPr>
                <w:rFonts w:ascii="Courier New" w:cs="Courier New" w:eastAsia="Courier New" w:hAnsi="Courier New"/>
                <w:sz w:val="17"/>
                <w:szCs w:val="17"/>
                <w:color w:val="auto"/>
              </w:rPr>
              <w:t>Earnings per common share, basic</w:t>
            </w: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5880" w:type="dxa"/>
            <w:vAlign w:val="bottom"/>
          </w:tcPr>
          <w:p>
            <w:pPr>
              <w:ind w:left="200"/>
              <w:spacing w:after="0"/>
              <w:rPr>
                <w:sz w:val="20"/>
                <w:szCs w:val="20"/>
                <w:color w:val="auto"/>
              </w:rPr>
            </w:pPr>
            <w:r>
              <w:rPr>
                <w:rFonts w:ascii="Courier New" w:cs="Courier New" w:eastAsia="Courier New" w:hAnsi="Courier New"/>
                <w:sz w:val="17"/>
                <w:szCs w:val="17"/>
                <w:color w:val="auto"/>
              </w:rPr>
              <w:t>Income before gain on sale of real estate</w:t>
            </w:r>
          </w:p>
        </w:tc>
        <w:tc>
          <w:tcPr>
            <w:tcW w:w="960" w:type="dxa"/>
            <w:vAlign w:val="bottom"/>
          </w:tcPr>
          <w:p>
            <w:pPr>
              <w:ind w:left="860"/>
              <w:spacing w:after="0"/>
              <w:rPr>
                <w:sz w:val="20"/>
                <w:szCs w:val="20"/>
                <w:color w:val="auto"/>
              </w:rPr>
            </w:pPr>
            <w:r>
              <w:rPr>
                <w:rFonts w:ascii="Courier New" w:cs="Courier New" w:eastAsia="Courier New" w:hAnsi="Courier New"/>
                <w:sz w:val="17"/>
                <w:szCs w:val="17"/>
                <w:color w:val="auto"/>
                <w:w w:val="77"/>
              </w:rPr>
              <w:t>$</w:t>
            </w: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0.67</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0.77</w:t>
            </w:r>
          </w:p>
        </w:tc>
      </w:tr>
      <w:tr>
        <w:trPr>
          <w:trHeight w:val="196"/>
        </w:trPr>
        <w:tc>
          <w:tcPr>
            <w:tcW w:w="5880" w:type="dxa"/>
            <w:vAlign w:val="bottom"/>
          </w:tcPr>
          <w:p>
            <w:pPr>
              <w:ind w:left="200"/>
              <w:spacing w:after="0"/>
              <w:rPr>
                <w:sz w:val="20"/>
                <w:szCs w:val="20"/>
                <w:color w:val="auto"/>
              </w:rPr>
            </w:pPr>
            <w:r>
              <w:rPr>
                <w:rFonts w:ascii="Courier New" w:cs="Courier New" w:eastAsia="Courier New" w:hAnsi="Courier New"/>
                <w:sz w:val="17"/>
                <w:szCs w:val="17"/>
                <w:color w:val="auto"/>
              </w:rPr>
              <w:t>Gain on sale of real estate</w:t>
            </w:r>
          </w:p>
        </w:tc>
        <w:tc>
          <w:tcPr>
            <w:tcW w:w="960" w:type="dxa"/>
            <w:vAlign w:val="bottom"/>
          </w:tcPr>
          <w:p>
            <w:pPr>
              <w:spacing w:after="0"/>
              <w:rPr>
                <w:sz w:val="17"/>
                <w:szCs w:val="17"/>
                <w:color w:val="auto"/>
              </w:rPr>
            </w:pP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0.16</w:t>
            </w:r>
          </w:p>
        </w:tc>
      </w:tr>
      <w:tr>
        <w:trPr>
          <w:trHeight w:val="196"/>
        </w:trPr>
        <w:tc>
          <w:tcPr>
            <w:tcW w:w="5880" w:type="dxa"/>
            <w:vAlign w:val="bottom"/>
          </w:tcPr>
          <w:p>
            <w:pPr>
              <w:spacing w:after="0"/>
              <w:rPr>
                <w:sz w:val="17"/>
                <w:szCs w:val="17"/>
                <w:color w:val="auto"/>
              </w:rPr>
            </w:pPr>
          </w:p>
        </w:tc>
        <w:tc>
          <w:tcPr>
            <w:tcW w:w="244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17"/>
                <w:szCs w:val="17"/>
                <w:color w:val="auto"/>
              </w:rPr>
            </w:pPr>
          </w:p>
        </w:tc>
        <w:tc>
          <w:tcPr>
            <w:tcW w:w="960" w:type="dxa"/>
            <w:vAlign w:val="bottom"/>
          </w:tcPr>
          <w:p>
            <w:pPr>
              <w:ind w:left="860"/>
              <w:spacing w:after="0"/>
              <w:rPr>
                <w:sz w:val="20"/>
                <w:szCs w:val="20"/>
                <w:color w:val="auto"/>
              </w:rPr>
            </w:pPr>
            <w:r>
              <w:rPr>
                <w:rFonts w:ascii="Courier New" w:cs="Courier New" w:eastAsia="Courier New" w:hAnsi="Courier New"/>
                <w:sz w:val="17"/>
                <w:szCs w:val="17"/>
                <w:color w:val="auto"/>
                <w:w w:val="77"/>
              </w:rPr>
              <w:t>$</w:t>
            </w: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0.67</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0.93</w:t>
            </w:r>
          </w:p>
        </w:tc>
      </w:tr>
      <w:tr>
        <w:trPr>
          <w:trHeight w:val="196"/>
        </w:trPr>
        <w:tc>
          <w:tcPr>
            <w:tcW w:w="5880" w:type="dxa"/>
            <w:vAlign w:val="bottom"/>
          </w:tcPr>
          <w:p>
            <w:pPr>
              <w:spacing w:after="0"/>
              <w:rPr>
                <w:sz w:val="17"/>
                <w:szCs w:val="17"/>
                <w:color w:val="auto"/>
              </w:rPr>
            </w:pPr>
          </w:p>
        </w:tc>
        <w:tc>
          <w:tcPr>
            <w:tcW w:w="244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shares, basic</w:t>
            </w:r>
          </w:p>
        </w:tc>
        <w:tc>
          <w:tcPr>
            <w:tcW w:w="960" w:type="dxa"/>
            <w:vAlign w:val="bottom"/>
          </w:tcPr>
          <w:p>
            <w:pPr>
              <w:spacing w:after="0"/>
              <w:rPr>
                <w:sz w:val="17"/>
                <w:szCs w:val="17"/>
                <w:color w:val="auto"/>
              </w:rPr>
            </w:pP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39,115</w:t>
            </w:r>
          </w:p>
        </w:tc>
        <w:tc>
          <w:tcPr>
            <w:tcW w:w="76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38,352</w:t>
            </w:r>
          </w:p>
        </w:tc>
      </w:tr>
      <w:tr>
        <w:trPr>
          <w:trHeight w:val="196"/>
        </w:trPr>
        <w:tc>
          <w:tcPr>
            <w:tcW w:w="5880" w:type="dxa"/>
            <w:vAlign w:val="bottom"/>
          </w:tcPr>
          <w:p>
            <w:pPr>
              <w:spacing w:after="0"/>
              <w:rPr>
                <w:sz w:val="17"/>
                <w:szCs w:val="17"/>
                <w:color w:val="auto"/>
              </w:rPr>
            </w:pPr>
          </w:p>
        </w:tc>
        <w:tc>
          <w:tcPr>
            <w:tcW w:w="244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880" w:type="dxa"/>
            <w:vAlign w:val="bottom"/>
          </w:tcPr>
          <w:p>
            <w:pPr>
              <w:spacing w:after="0"/>
              <w:rPr>
                <w:sz w:val="20"/>
                <w:szCs w:val="20"/>
                <w:color w:val="auto"/>
              </w:rPr>
            </w:pPr>
            <w:r>
              <w:rPr>
                <w:rFonts w:ascii="Courier New" w:cs="Courier New" w:eastAsia="Courier New" w:hAnsi="Courier New"/>
                <w:sz w:val="17"/>
                <w:szCs w:val="17"/>
                <w:color w:val="auto"/>
              </w:rPr>
              <w:t>Earnings per common share, diluted</w:t>
            </w: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5880" w:type="dxa"/>
            <w:vAlign w:val="bottom"/>
          </w:tcPr>
          <w:p>
            <w:pPr>
              <w:ind w:left="200"/>
              <w:spacing w:after="0"/>
              <w:rPr>
                <w:sz w:val="20"/>
                <w:szCs w:val="20"/>
                <w:color w:val="auto"/>
              </w:rPr>
            </w:pPr>
            <w:r>
              <w:rPr>
                <w:rFonts w:ascii="Courier New" w:cs="Courier New" w:eastAsia="Courier New" w:hAnsi="Courier New"/>
                <w:sz w:val="17"/>
                <w:szCs w:val="17"/>
                <w:color w:val="auto"/>
              </w:rPr>
              <w:t>Income before gain on sale of real estate</w:t>
            </w:r>
          </w:p>
        </w:tc>
        <w:tc>
          <w:tcPr>
            <w:tcW w:w="960" w:type="dxa"/>
            <w:vAlign w:val="bottom"/>
          </w:tcPr>
          <w:p>
            <w:pPr>
              <w:ind w:left="860"/>
              <w:spacing w:after="0"/>
              <w:rPr>
                <w:sz w:val="20"/>
                <w:szCs w:val="20"/>
                <w:color w:val="auto"/>
              </w:rPr>
            </w:pPr>
            <w:r>
              <w:rPr>
                <w:rFonts w:ascii="Courier New" w:cs="Courier New" w:eastAsia="Courier New" w:hAnsi="Courier New"/>
                <w:sz w:val="17"/>
                <w:szCs w:val="17"/>
                <w:color w:val="auto"/>
                <w:w w:val="77"/>
              </w:rPr>
              <w:t>$</w:t>
            </w: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0.67</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0.76</w:t>
            </w:r>
          </w:p>
        </w:tc>
      </w:tr>
      <w:tr>
        <w:trPr>
          <w:trHeight w:val="196"/>
        </w:trPr>
        <w:tc>
          <w:tcPr>
            <w:tcW w:w="5880" w:type="dxa"/>
            <w:vAlign w:val="bottom"/>
          </w:tcPr>
          <w:p>
            <w:pPr>
              <w:ind w:left="200"/>
              <w:spacing w:after="0"/>
              <w:rPr>
                <w:sz w:val="20"/>
                <w:szCs w:val="20"/>
                <w:color w:val="auto"/>
              </w:rPr>
            </w:pPr>
            <w:r>
              <w:rPr>
                <w:rFonts w:ascii="Courier New" w:cs="Courier New" w:eastAsia="Courier New" w:hAnsi="Courier New"/>
                <w:sz w:val="17"/>
                <w:szCs w:val="17"/>
                <w:color w:val="auto"/>
              </w:rPr>
              <w:t>Gain on sale of real estate</w:t>
            </w:r>
          </w:p>
        </w:tc>
        <w:tc>
          <w:tcPr>
            <w:tcW w:w="960" w:type="dxa"/>
            <w:vAlign w:val="bottom"/>
          </w:tcPr>
          <w:p>
            <w:pPr>
              <w:spacing w:after="0"/>
              <w:rPr>
                <w:sz w:val="17"/>
                <w:szCs w:val="17"/>
                <w:color w:val="auto"/>
              </w:rPr>
            </w:pP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0.16</w:t>
            </w:r>
          </w:p>
        </w:tc>
      </w:tr>
      <w:tr>
        <w:trPr>
          <w:trHeight w:val="196"/>
        </w:trPr>
        <w:tc>
          <w:tcPr>
            <w:tcW w:w="5880" w:type="dxa"/>
            <w:vAlign w:val="bottom"/>
          </w:tcPr>
          <w:p>
            <w:pPr>
              <w:spacing w:after="0"/>
              <w:rPr>
                <w:sz w:val="17"/>
                <w:szCs w:val="17"/>
                <w:color w:val="auto"/>
              </w:rPr>
            </w:pPr>
          </w:p>
        </w:tc>
        <w:tc>
          <w:tcPr>
            <w:tcW w:w="244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17"/>
                <w:szCs w:val="17"/>
                <w:color w:val="auto"/>
              </w:rPr>
            </w:pPr>
          </w:p>
        </w:tc>
        <w:tc>
          <w:tcPr>
            <w:tcW w:w="960" w:type="dxa"/>
            <w:vAlign w:val="bottom"/>
          </w:tcPr>
          <w:p>
            <w:pPr>
              <w:ind w:left="860"/>
              <w:spacing w:after="0"/>
              <w:rPr>
                <w:sz w:val="20"/>
                <w:szCs w:val="20"/>
                <w:color w:val="auto"/>
              </w:rPr>
            </w:pPr>
            <w:r>
              <w:rPr>
                <w:rFonts w:ascii="Courier New" w:cs="Courier New" w:eastAsia="Courier New" w:hAnsi="Courier New"/>
                <w:sz w:val="17"/>
                <w:szCs w:val="17"/>
                <w:color w:val="auto"/>
                <w:w w:val="77"/>
              </w:rPr>
              <w:t>$</w:t>
            </w: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0.67</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0.92</w:t>
            </w:r>
          </w:p>
        </w:tc>
      </w:tr>
      <w:tr>
        <w:trPr>
          <w:trHeight w:val="196"/>
        </w:trPr>
        <w:tc>
          <w:tcPr>
            <w:tcW w:w="5880" w:type="dxa"/>
            <w:vAlign w:val="bottom"/>
          </w:tcPr>
          <w:p>
            <w:pPr>
              <w:spacing w:after="0"/>
              <w:rPr>
                <w:sz w:val="17"/>
                <w:szCs w:val="17"/>
                <w:color w:val="auto"/>
              </w:rPr>
            </w:pPr>
          </w:p>
        </w:tc>
        <w:tc>
          <w:tcPr>
            <w:tcW w:w="244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shares, diluted</w:t>
            </w:r>
          </w:p>
        </w:tc>
        <w:tc>
          <w:tcPr>
            <w:tcW w:w="960" w:type="dxa"/>
            <w:vAlign w:val="bottom"/>
          </w:tcPr>
          <w:p>
            <w:pPr>
              <w:spacing w:after="0"/>
              <w:rPr>
                <w:sz w:val="17"/>
                <w:szCs w:val="17"/>
                <w:color w:val="auto"/>
              </w:rPr>
            </w:pPr>
          </w:p>
        </w:tc>
        <w:tc>
          <w:tcPr>
            <w:tcW w:w="1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39,953</w:t>
            </w:r>
          </w:p>
        </w:tc>
        <w:tc>
          <w:tcPr>
            <w:tcW w:w="76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38,821</w:t>
            </w:r>
          </w:p>
        </w:tc>
      </w:tr>
      <w:tr>
        <w:trPr>
          <w:trHeight w:val="196"/>
        </w:trPr>
        <w:tc>
          <w:tcPr>
            <w:tcW w:w="5880" w:type="dxa"/>
            <w:vAlign w:val="bottom"/>
          </w:tcPr>
          <w:p>
            <w:pPr>
              <w:spacing w:after="0"/>
              <w:rPr>
                <w:sz w:val="17"/>
                <w:szCs w:val="17"/>
                <w:color w:val="auto"/>
              </w:rPr>
            </w:pPr>
          </w:p>
        </w:tc>
        <w:tc>
          <w:tcPr>
            <w:tcW w:w="244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0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accountants' review report)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20" w:type="dxa"/>
            <w:vAlign w:val="bottom"/>
          </w:tcPr>
          <w:p>
            <w:pPr>
              <w:ind w:left="1840"/>
              <w:spacing w:after="0"/>
              <w:rPr>
                <w:sz w:val="20"/>
                <w:szCs w:val="20"/>
                <w:color w:val="auto"/>
              </w:rPr>
            </w:pPr>
            <w:r>
              <w:rPr>
                <w:rFonts w:ascii="Courier New" w:cs="Courier New" w:eastAsia="Courier New" w:hAnsi="Courier New"/>
                <w:sz w:val="17"/>
                <w:szCs w:val="17"/>
                <w:color w:val="auto"/>
              </w:rPr>
              <w:t>(unaudited)</w:t>
            </w:r>
          </w:p>
        </w:tc>
        <w:tc>
          <w:tcPr>
            <w:tcW w:w="1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89"/>
        </w:trPr>
        <w:tc>
          <w:tcPr>
            <w:tcW w:w="5920" w:type="dxa"/>
            <w:vAlign w:val="bottom"/>
          </w:tcPr>
          <w:p>
            <w:pPr>
              <w:spacing w:after="0"/>
              <w:rPr>
                <w:sz w:val="24"/>
                <w:szCs w:val="24"/>
                <w:color w:val="auto"/>
              </w:rPr>
            </w:pPr>
          </w:p>
        </w:tc>
        <w:tc>
          <w:tcPr>
            <w:tcW w:w="4180" w:type="dxa"/>
            <w:vAlign w:val="bottom"/>
            <w:gridSpan w:val="4"/>
          </w:tcPr>
          <w:p>
            <w:pPr>
              <w:ind w:left="920"/>
              <w:spacing w:after="0"/>
              <w:rPr>
                <w:sz w:val="20"/>
                <w:szCs w:val="20"/>
                <w:color w:val="auto"/>
              </w:rPr>
            </w:pPr>
            <w:r>
              <w:rPr>
                <w:rFonts w:ascii="Courier New" w:cs="Courier New" w:eastAsia="Courier New" w:hAnsi="Courier New"/>
                <w:sz w:val="17"/>
                <w:szCs w:val="17"/>
                <w:color w:val="auto"/>
                <w:w w:val="99"/>
              </w:rPr>
              <w:t>Three months ended September 30,</w:t>
            </w:r>
          </w:p>
        </w:tc>
      </w:tr>
      <w:tr>
        <w:trPr>
          <w:trHeight w:val="196"/>
        </w:trPr>
        <w:tc>
          <w:tcPr>
            <w:tcW w:w="5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1998</w:t>
            </w:r>
          </w:p>
        </w:tc>
        <w:tc>
          <w:tcPr>
            <w:tcW w:w="9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1997</w:t>
            </w:r>
          </w:p>
        </w:tc>
      </w:tr>
      <w:tr>
        <w:trPr>
          <w:trHeight w:val="196"/>
        </w:trPr>
        <w:tc>
          <w:tcPr>
            <w:tcW w:w="5920" w:type="dxa"/>
            <w:vAlign w:val="bottom"/>
          </w:tcPr>
          <w:p>
            <w:pPr>
              <w:spacing w:after="0"/>
              <w:rPr>
                <w:sz w:val="17"/>
                <w:szCs w:val="17"/>
                <w:color w:val="auto"/>
              </w:rPr>
            </w:pPr>
          </w:p>
        </w:tc>
        <w:tc>
          <w:tcPr>
            <w:tcW w:w="256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 data)</w:t>
            </w:r>
          </w:p>
        </w:tc>
        <w:tc>
          <w:tcPr>
            <w:tcW w:w="1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92"/>
        </w:trPr>
        <w:tc>
          <w:tcPr>
            <w:tcW w:w="592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Rental income</w:t>
            </w:r>
          </w:p>
        </w:tc>
        <w:tc>
          <w:tcPr>
            <w:tcW w:w="256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$55,433</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$46,109</w:t>
            </w:r>
          </w:p>
        </w:tc>
      </w:tr>
      <w:tr>
        <w:trPr>
          <w:trHeight w:val="196"/>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Other property income</w:t>
            </w:r>
          </w:p>
        </w:tc>
        <w:tc>
          <w:tcPr>
            <w:tcW w:w="1020" w:type="dxa"/>
            <w:vAlign w:val="bottom"/>
          </w:tcPr>
          <w:p>
            <w:pPr>
              <w:spacing w:after="0"/>
              <w:rPr>
                <w:sz w:val="17"/>
                <w:szCs w:val="17"/>
                <w:color w:val="auto"/>
              </w:rPr>
            </w:pP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2,577</w:t>
            </w:r>
          </w:p>
        </w:tc>
        <w:tc>
          <w:tcPr>
            <w:tcW w:w="9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1,992</w:t>
            </w:r>
          </w:p>
        </w:tc>
      </w:tr>
      <w:tr>
        <w:trPr>
          <w:trHeight w:val="196"/>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Interest and other income</w:t>
            </w:r>
          </w:p>
        </w:tc>
        <w:tc>
          <w:tcPr>
            <w:tcW w:w="1020" w:type="dxa"/>
            <w:vAlign w:val="bottom"/>
          </w:tcPr>
          <w:p>
            <w:pPr>
              <w:spacing w:after="0"/>
              <w:rPr>
                <w:sz w:val="17"/>
                <w:szCs w:val="17"/>
                <w:color w:val="auto"/>
              </w:rPr>
            </w:pP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993</w:t>
            </w:r>
          </w:p>
        </w:tc>
        <w:tc>
          <w:tcPr>
            <w:tcW w:w="9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1,712</w:t>
            </w:r>
          </w:p>
        </w:tc>
      </w:tr>
      <w:tr>
        <w:trPr>
          <w:trHeight w:val="196"/>
        </w:trPr>
        <w:tc>
          <w:tcPr>
            <w:tcW w:w="5920" w:type="dxa"/>
            <w:vAlign w:val="bottom"/>
          </w:tcPr>
          <w:p>
            <w:pPr>
              <w:spacing w:after="0"/>
              <w:rPr>
                <w:sz w:val="17"/>
                <w:szCs w:val="17"/>
                <w:color w:val="auto"/>
              </w:rPr>
            </w:pPr>
          </w:p>
        </w:tc>
        <w:tc>
          <w:tcPr>
            <w:tcW w:w="256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w w:val="97"/>
              </w:rPr>
              <w:t>59,003</w:t>
            </w:r>
          </w:p>
        </w:tc>
        <w:tc>
          <w:tcPr>
            <w:tcW w:w="9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4"/>
              </w:rPr>
              <w:t>49,813</w:t>
            </w:r>
          </w:p>
        </w:tc>
      </w:tr>
      <w:tr>
        <w:trPr>
          <w:trHeight w:val="785"/>
        </w:trPr>
        <w:tc>
          <w:tcPr>
            <w:tcW w:w="592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Rental</w:t>
            </w:r>
          </w:p>
        </w:tc>
        <w:tc>
          <w:tcPr>
            <w:tcW w:w="1020" w:type="dxa"/>
            <w:vAlign w:val="bottom"/>
          </w:tcPr>
          <w:p>
            <w:pPr>
              <w:spacing w:after="0"/>
              <w:rPr>
                <w:sz w:val="17"/>
                <w:szCs w:val="17"/>
                <w:color w:val="auto"/>
              </w:rPr>
            </w:pP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w w:val="97"/>
              </w:rPr>
              <w:t>12,005</w:t>
            </w:r>
          </w:p>
        </w:tc>
        <w:tc>
          <w:tcPr>
            <w:tcW w:w="9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4"/>
              </w:rPr>
              <w:t>10,191</w:t>
            </w:r>
          </w:p>
        </w:tc>
      </w:tr>
      <w:tr>
        <w:trPr>
          <w:trHeight w:val="196"/>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Real estate taxes</w:t>
            </w:r>
          </w:p>
        </w:tc>
        <w:tc>
          <w:tcPr>
            <w:tcW w:w="1020" w:type="dxa"/>
            <w:vAlign w:val="bottom"/>
          </w:tcPr>
          <w:p>
            <w:pPr>
              <w:spacing w:after="0"/>
              <w:rPr>
                <w:sz w:val="17"/>
                <w:szCs w:val="17"/>
                <w:color w:val="auto"/>
              </w:rPr>
            </w:pP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6,058</w:t>
            </w:r>
          </w:p>
        </w:tc>
        <w:tc>
          <w:tcPr>
            <w:tcW w:w="9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4,936</w:t>
            </w:r>
          </w:p>
        </w:tc>
      </w:tr>
      <w:tr>
        <w:trPr>
          <w:trHeight w:val="196"/>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Interest</w:t>
            </w:r>
          </w:p>
        </w:tc>
        <w:tc>
          <w:tcPr>
            <w:tcW w:w="1020" w:type="dxa"/>
            <w:vAlign w:val="bottom"/>
          </w:tcPr>
          <w:p>
            <w:pPr>
              <w:spacing w:after="0"/>
              <w:rPr>
                <w:sz w:val="17"/>
                <w:szCs w:val="17"/>
                <w:color w:val="auto"/>
              </w:rPr>
            </w:pP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w w:val="97"/>
              </w:rPr>
              <w:t>13,639</w:t>
            </w:r>
          </w:p>
        </w:tc>
        <w:tc>
          <w:tcPr>
            <w:tcW w:w="9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4"/>
              </w:rPr>
              <w:t>11,964</w:t>
            </w:r>
          </w:p>
        </w:tc>
      </w:tr>
      <w:tr>
        <w:trPr>
          <w:trHeight w:val="196"/>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Administrative</w:t>
            </w:r>
          </w:p>
        </w:tc>
        <w:tc>
          <w:tcPr>
            <w:tcW w:w="1020" w:type="dxa"/>
            <w:vAlign w:val="bottom"/>
          </w:tcPr>
          <w:p>
            <w:pPr>
              <w:spacing w:after="0"/>
              <w:rPr>
                <w:sz w:val="17"/>
                <w:szCs w:val="17"/>
                <w:color w:val="auto"/>
              </w:rPr>
            </w:pP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2,900</w:t>
            </w:r>
          </w:p>
        </w:tc>
        <w:tc>
          <w:tcPr>
            <w:tcW w:w="9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1,968</w:t>
            </w:r>
          </w:p>
        </w:tc>
      </w:tr>
      <w:tr>
        <w:trPr>
          <w:trHeight w:val="196"/>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Depreciation and amortization</w:t>
            </w:r>
          </w:p>
        </w:tc>
        <w:tc>
          <w:tcPr>
            <w:tcW w:w="1020" w:type="dxa"/>
            <w:vAlign w:val="bottom"/>
          </w:tcPr>
          <w:p>
            <w:pPr>
              <w:spacing w:after="0"/>
              <w:rPr>
                <w:sz w:val="17"/>
                <w:szCs w:val="17"/>
                <w:color w:val="auto"/>
              </w:rPr>
            </w:pP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w w:val="97"/>
              </w:rPr>
              <w:t>11,412</w:t>
            </w:r>
          </w:p>
        </w:tc>
        <w:tc>
          <w:tcPr>
            <w:tcW w:w="9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4"/>
              </w:rPr>
              <w:t>10,325</w:t>
            </w:r>
          </w:p>
        </w:tc>
      </w:tr>
      <w:tr>
        <w:trPr>
          <w:trHeight w:val="196"/>
        </w:trPr>
        <w:tc>
          <w:tcPr>
            <w:tcW w:w="5920" w:type="dxa"/>
            <w:vAlign w:val="bottom"/>
          </w:tcPr>
          <w:p>
            <w:pPr>
              <w:spacing w:after="0"/>
              <w:rPr>
                <w:sz w:val="17"/>
                <w:szCs w:val="17"/>
                <w:color w:val="auto"/>
              </w:rPr>
            </w:pPr>
          </w:p>
        </w:tc>
        <w:tc>
          <w:tcPr>
            <w:tcW w:w="256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w w:val="97"/>
              </w:rPr>
              <w:t>46,014</w:t>
            </w:r>
          </w:p>
        </w:tc>
        <w:tc>
          <w:tcPr>
            <w:tcW w:w="9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4"/>
              </w:rPr>
              <w:t>39,384</w:t>
            </w:r>
          </w:p>
        </w:tc>
      </w:tr>
      <w:tr>
        <w:trPr>
          <w:trHeight w:val="196"/>
        </w:trPr>
        <w:tc>
          <w:tcPr>
            <w:tcW w:w="5920" w:type="dxa"/>
            <w:vAlign w:val="bottom"/>
          </w:tcPr>
          <w:p>
            <w:pPr>
              <w:spacing w:after="0"/>
              <w:rPr>
                <w:sz w:val="17"/>
                <w:szCs w:val="17"/>
                <w:color w:val="auto"/>
              </w:rPr>
            </w:pPr>
          </w:p>
        </w:tc>
        <w:tc>
          <w:tcPr>
            <w:tcW w:w="256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w w:val="97"/>
              </w:rPr>
              <w:t>12,989</w:t>
            </w:r>
          </w:p>
        </w:tc>
        <w:tc>
          <w:tcPr>
            <w:tcW w:w="9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4"/>
              </w:rPr>
              <w:t>10,429</w:t>
            </w:r>
          </w:p>
        </w:tc>
      </w:tr>
      <w:tr>
        <w:trPr>
          <w:trHeight w:val="196"/>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Provision for restructuring</w:t>
            </w:r>
          </w:p>
        </w:tc>
        <w:tc>
          <w:tcPr>
            <w:tcW w:w="1020" w:type="dxa"/>
            <w:vAlign w:val="bottom"/>
          </w:tcPr>
          <w:p>
            <w:pPr>
              <w:spacing w:after="0"/>
              <w:rPr>
                <w:sz w:val="17"/>
                <w:szCs w:val="17"/>
                <w:color w:val="auto"/>
              </w:rPr>
            </w:pPr>
          </w:p>
        </w:tc>
        <w:tc>
          <w:tcPr>
            <w:tcW w:w="1540" w:type="dxa"/>
            <w:vAlign w:val="bottom"/>
          </w:tcPr>
          <w:p>
            <w:pPr>
              <w:jc w:val="right"/>
              <w:ind w:right="735"/>
              <w:spacing w:after="0"/>
              <w:rPr>
                <w:sz w:val="20"/>
                <w:szCs w:val="20"/>
                <w:color w:val="auto"/>
              </w:rPr>
            </w:pPr>
            <w:r>
              <w:rPr>
                <w:rFonts w:ascii="Courier New" w:cs="Courier New" w:eastAsia="Courier New" w:hAnsi="Courier New"/>
                <w:sz w:val="17"/>
                <w:szCs w:val="17"/>
                <w:color w:val="auto"/>
                <w:w w:val="97"/>
              </w:rPr>
              <w:t>(4,665)</w:t>
            </w:r>
          </w:p>
        </w:tc>
        <w:tc>
          <w:tcPr>
            <w:tcW w:w="9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spacing w:after="0"/>
              <w:rPr>
                <w:sz w:val="17"/>
                <w:szCs w:val="17"/>
                <w:color w:val="auto"/>
              </w:rPr>
            </w:pPr>
          </w:p>
        </w:tc>
        <w:tc>
          <w:tcPr>
            <w:tcW w:w="256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Operating income before investors' share</w:t>
            </w:r>
          </w:p>
        </w:tc>
        <w:tc>
          <w:tcPr>
            <w:tcW w:w="1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of operations and loss on sale of real estate</w:t>
            </w:r>
          </w:p>
        </w:tc>
        <w:tc>
          <w:tcPr>
            <w:tcW w:w="1020" w:type="dxa"/>
            <w:vAlign w:val="bottom"/>
          </w:tcPr>
          <w:p>
            <w:pPr>
              <w:spacing w:after="0"/>
              <w:rPr>
                <w:sz w:val="17"/>
                <w:szCs w:val="17"/>
                <w:color w:val="auto"/>
              </w:rPr>
            </w:pP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8,324</w:t>
            </w:r>
          </w:p>
        </w:tc>
        <w:tc>
          <w:tcPr>
            <w:tcW w:w="9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4"/>
              </w:rPr>
              <w:t>10,429</w:t>
            </w:r>
          </w:p>
        </w:tc>
      </w:tr>
      <w:tr>
        <w:trPr>
          <w:trHeight w:val="392"/>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Investors' share of operations</w:t>
            </w:r>
          </w:p>
        </w:tc>
        <w:tc>
          <w:tcPr>
            <w:tcW w:w="1020" w:type="dxa"/>
            <w:vAlign w:val="bottom"/>
          </w:tcPr>
          <w:p>
            <w:pPr>
              <w:spacing w:after="0"/>
              <w:rPr>
                <w:sz w:val="24"/>
                <w:szCs w:val="24"/>
                <w:color w:val="auto"/>
              </w:rPr>
            </w:pPr>
          </w:p>
        </w:tc>
        <w:tc>
          <w:tcPr>
            <w:tcW w:w="154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(804)</w:t>
            </w:r>
          </w:p>
        </w:tc>
        <w:tc>
          <w:tcPr>
            <w:tcW w:w="9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(281)</w:t>
            </w:r>
          </w:p>
        </w:tc>
      </w:tr>
      <w:tr>
        <w:trPr>
          <w:trHeight w:val="196"/>
        </w:trPr>
        <w:tc>
          <w:tcPr>
            <w:tcW w:w="5920" w:type="dxa"/>
            <w:vAlign w:val="bottom"/>
          </w:tcPr>
          <w:p>
            <w:pPr>
              <w:spacing w:after="0"/>
              <w:rPr>
                <w:sz w:val="17"/>
                <w:szCs w:val="17"/>
                <w:color w:val="auto"/>
              </w:rPr>
            </w:pPr>
          </w:p>
        </w:tc>
        <w:tc>
          <w:tcPr>
            <w:tcW w:w="256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Income before loss on sale of real estate</w:t>
            </w:r>
          </w:p>
        </w:tc>
        <w:tc>
          <w:tcPr>
            <w:tcW w:w="1020" w:type="dxa"/>
            <w:vAlign w:val="bottom"/>
          </w:tcPr>
          <w:p>
            <w:pPr>
              <w:spacing w:after="0"/>
              <w:rPr>
                <w:sz w:val="17"/>
                <w:szCs w:val="17"/>
                <w:color w:val="auto"/>
              </w:rPr>
            </w:pP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7,520</w:t>
            </w:r>
          </w:p>
        </w:tc>
        <w:tc>
          <w:tcPr>
            <w:tcW w:w="9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4"/>
              </w:rPr>
              <w:t>10,148</w:t>
            </w:r>
          </w:p>
        </w:tc>
      </w:tr>
      <w:tr>
        <w:trPr>
          <w:trHeight w:val="392"/>
        </w:trPr>
        <w:tc>
          <w:tcPr>
            <w:tcW w:w="5920" w:type="dxa"/>
            <w:vAlign w:val="bottom"/>
          </w:tcPr>
          <w:p>
            <w:pPr>
              <w:spacing w:after="0"/>
              <w:rPr>
                <w:sz w:val="20"/>
                <w:szCs w:val="20"/>
                <w:color w:val="auto"/>
              </w:rPr>
            </w:pPr>
            <w:r>
              <w:rPr>
                <w:rFonts w:ascii="Courier New" w:cs="Courier New" w:eastAsia="Courier New" w:hAnsi="Courier New"/>
                <w:sz w:val="17"/>
                <w:szCs w:val="17"/>
                <w:color w:val="auto"/>
              </w:rPr>
              <w:t>Loss on sale of real estate</w:t>
            </w:r>
          </w:p>
        </w:tc>
        <w:tc>
          <w:tcPr>
            <w:tcW w:w="1020" w:type="dxa"/>
            <w:vAlign w:val="bottom"/>
          </w:tcPr>
          <w:p>
            <w:pPr>
              <w:spacing w:after="0"/>
              <w:rPr>
                <w:sz w:val="24"/>
                <w:szCs w:val="24"/>
                <w:color w:val="auto"/>
              </w:rPr>
            </w:pP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(659)</w:t>
            </w:r>
          </w:p>
        </w:tc>
      </w:tr>
      <w:tr>
        <w:trPr>
          <w:trHeight w:val="196"/>
        </w:trPr>
        <w:tc>
          <w:tcPr>
            <w:tcW w:w="5920" w:type="dxa"/>
            <w:vAlign w:val="bottom"/>
          </w:tcPr>
          <w:p>
            <w:pPr>
              <w:spacing w:after="0"/>
              <w:rPr>
                <w:sz w:val="17"/>
                <w:szCs w:val="17"/>
                <w:color w:val="auto"/>
              </w:rPr>
            </w:pPr>
          </w:p>
        </w:tc>
        <w:tc>
          <w:tcPr>
            <w:tcW w:w="256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56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$ 7,520</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$ 9,489</w:t>
            </w:r>
          </w:p>
        </w:tc>
      </w:tr>
      <w:tr>
        <w:trPr>
          <w:trHeight w:val="392"/>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Dividends on preferred stock</w:t>
            </w:r>
          </w:p>
        </w:tc>
        <w:tc>
          <w:tcPr>
            <w:tcW w:w="1020" w:type="dxa"/>
            <w:vAlign w:val="bottom"/>
          </w:tcPr>
          <w:p>
            <w:pPr>
              <w:spacing w:after="0"/>
              <w:rPr>
                <w:sz w:val="24"/>
                <w:szCs w:val="24"/>
                <w:color w:val="auto"/>
              </w:rPr>
            </w:pPr>
          </w:p>
        </w:tc>
        <w:tc>
          <w:tcPr>
            <w:tcW w:w="1540" w:type="dxa"/>
            <w:vAlign w:val="bottom"/>
          </w:tcPr>
          <w:p>
            <w:pPr>
              <w:jc w:val="right"/>
              <w:ind w:right="735"/>
              <w:spacing w:after="0"/>
              <w:rPr>
                <w:sz w:val="20"/>
                <w:szCs w:val="20"/>
                <w:color w:val="auto"/>
              </w:rPr>
            </w:pPr>
            <w:r>
              <w:rPr>
                <w:rFonts w:ascii="Courier New" w:cs="Courier New" w:eastAsia="Courier New" w:hAnsi="Courier New"/>
                <w:sz w:val="17"/>
                <w:szCs w:val="17"/>
                <w:color w:val="auto"/>
                <w:w w:val="97"/>
              </w:rPr>
              <w:t>(1,988)</w:t>
            </w:r>
          </w:p>
        </w:tc>
        <w:tc>
          <w:tcPr>
            <w:tcW w:w="92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spacing w:after="0"/>
              <w:rPr>
                <w:sz w:val="17"/>
                <w:szCs w:val="17"/>
                <w:color w:val="auto"/>
              </w:rPr>
            </w:pPr>
          </w:p>
        </w:tc>
        <w:tc>
          <w:tcPr>
            <w:tcW w:w="256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Net income available for common shareholders</w:t>
            </w:r>
          </w:p>
        </w:tc>
        <w:tc>
          <w:tcPr>
            <w:tcW w:w="256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$ 5,532</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$ 9,489</w:t>
            </w:r>
          </w:p>
        </w:tc>
      </w:tr>
      <w:tr>
        <w:trPr>
          <w:trHeight w:val="196"/>
        </w:trPr>
        <w:tc>
          <w:tcPr>
            <w:tcW w:w="5920" w:type="dxa"/>
            <w:vAlign w:val="bottom"/>
          </w:tcPr>
          <w:p>
            <w:pPr>
              <w:spacing w:after="0"/>
              <w:rPr>
                <w:sz w:val="17"/>
                <w:szCs w:val="17"/>
                <w:color w:val="auto"/>
              </w:rPr>
            </w:pPr>
          </w:p>
        </w:tc>
        <w:tc>
          <w:tcPr>
            <w:tcW w:w="256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920" w:type="dxa"/>
            <w:vAlign w:val="bottom"/>
          </w:tcPr>
          <w:p>
            <w:pPr>
              <w:spacing w:after="0"/>
              <w:rPr>
                <w:sz w:val="20"/>
                <w:szCs w:val="20"/>
                <w:color w:val="auto"/>
              </w:rPr>
            </w:pPr>
            <w:r>
              <w:rPr>
                <w:rFonts w:ascii="Courier New" w:cs="Courier New" w:eastAsia="Courier New" w:hAnsi="Courier New"/>
                <w:sz w:val="17"/>
                <w:szCs w:val="17"/>
                <w:color w:val="auto"/>
              </w:rPr>
              <w:t>Earnings per common share, basic</w:t>
            </w: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Income before loss on sale of real estate</w:t>
            </w:r>
          </w:p>
        </w:tc>
        <w:tc>
          <w:tcPr>
            <w:tcW w:w="1020" w:type="dxa"/>
            <w:vAlign w:val="bottom"/>
          </w:tcPr>
          <w:p>
            <w:pPr>
              <w:ind w:left="920"/>
              <w:spacing w:after="0"/>
              <w:rPr>
                <w:sz w:val="20"/>
                <w:szCs w:val="20"/>
                <w:color w:val="auto"/>
              </w:rPr>
            </w:pPr>
            <w:r>
              <w:rPr>
                <w:rFonts w:ascii="Courier New" w:cs="Courier New" w:eastAsia="Courier New" w:hAnsi="Courier New"/>
                <w:sz w:val="17"/>
                <w:szCs w:val="17"/>
                <w:color w:val="auto"/>
                <w:w w:val="77"/>
              </w:rPr>
              <w:t>$</w:t>
            </w: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0.14</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0.26</w:t>
            </w:r>
          </w:p>
        </w:tc>
      </w:tr>
      <w:tr>
        <w:trPr>
          <w:trHeight w:val="196"/>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Loss on sale of real estate</w:t>
            </w:r>
          </w:p>
        </w:tc>
        <w:tc>
          <w:tcPr>
            <w:tcW w:w="1020" w:type="dxa"/>
            <w:vAlign w:val="bottom"/>
          </w:tcPr>
          <w:p>
            <w:pPr>
              <w:spacing w:after="0"/>
              <w:rPr>
                <w:sz w:val="17"/>
                <w:szCs w:val="17"/>
                <w:color w:val="auto"/>
              </w:rPr>
            </w:pP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(0.02)</w:t>
            </w:r>
          </w:p>
        </w:tc>
      </w:tr>
      <w:tr>
        <w:trPr>
          <w:trHeight w:val="196"/>
        </w:trPr>
        <w:tc>
          <w:tcPr>
            <w:tcW w:w="5920" w:type="dxa"/>
            <w:vAlign w:val="bottom"/>
          </w:tcPr>
          <w:p>
            <w:pPr>
              <w:spacing w:after="0"/>
              <w:rPr>
                <w:sz w:val="17"/>
                <w:szCs w:val="17"/>
                <w:color w:val="auto"/>
              </w:rPr>
            </w:pPr>
          </w:p>
        </w:tc>
        <w:tc>
          <w:tcPr>
            <w:tcW w:w="256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spacing w:after="0"/>
              <w:rPr>
                <w:sz w:val="17"/>
                <w:szCs w:val="17"/>
                <w:color w:val="auto"/>
              </w:rPr>
            </w:pPr>
          </w:p>
        </w:tc>
        <w:tc>
          <w:tcPr>
            <w:tcW w:w="1020" w:type="dxa"/>
            <w:vAlign w:val="bottom"/>
          </w:tcPr>
          <w:p>
            <w:pPr>
              <w:ind w:left="920"/>
              <w:spacing w:after="0"/>
              <w:rPr>
                <w:sz w:val="20"/>
                <w:szCs w:val="20"/>
                <w:color w:val="auto"/>
              </w:rPr>
            </w:pPr>
            <w:r>
              <w:rPr>
                <w:rFonts w:ascii="Courier New" w:cs="Courier New" w:eastAsia="Courier New" w:hAnsi="Courier New"/>
                <w:sz w:val="17"/>
                <w:szCs w:val="17"/>
                <w:color w:val="auto"/>
                <w:w w:val="77"/>
              </w:rPr>
              <w:t>$</w:t>
            </w: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0.14</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0.24</w:t>
            </w:r>
          </w:p>
        </w:tc>
      </w:tr>
      <w:tr>
        <w:trPr>
          <w:trHeight w:val="196"/>
        </w:trPr>
        <w:tc>
          <w:tcPr>
            <w:tcW w:w="5920" w:type="dxa"/>
            <w:vAlign w:val="bottom"/>
          </w:tcPr>
          <w:p>
            <w:pPr>
              <w:spacing w:after="0"/>
              <w:rPr>
                <w:sz w:val="17"/>
                <w:szCs w:val="17"/>
                <w:color w:val="auto"/>
              </w:rPr>
            </w:pPr>
          </w:p>
        </w:tc>
        <w:tc>
          <w:tcPr>
            <w:tcW w:w="256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shares, basic</w:t>
            </w:r>
          </w:p>
        </w:tc>
        <w:tc>
          <w:tcPr>
            <w:tcW w:w="1020" w:type="dxa"/>
            <w:vAlign w:val="bottom"/>
          </w:tcPr>
          <w:p>
            <w:pPr>
              <w:spacing w:after="0"/>
              <w:rPr>
                <w:sz w:val="17"/>
                <w:szCs w:val="17"/>
                <w:color w:val="auto"/>
              </w:rPr>
            </w:pP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w w:val="97"/>
              </w:rPr>
              <w:t>39,233</w:t>
            </w:r>
          </w:p>
        </w:tc>
        <w:tc>
          <w:tcPr>
            <w:tcW w:w="9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4"/>
              </w:rPr>
              <w:t>38,801</w:t>
            </w:r>
          </w:p>
        </w:tc>
      </w:tr>
      <w:tr>
        <w:trPr>
          <w:trHeight w:val="196"/>
        </w:trPr>
        <w:tc>
          <w:tcPr>
            <w:tcW w:w="5920" w:type="dxa"/>
            <w:vAlign w:val="bottom"/>
          </w:tcPr>
          <w:p>
            <w:pPr>
              <w:spacing w:after="0"/>
              <w:rPr>
                <w:sz w:val="17"/>
                <w:szCs w:val="17"/>
                <w:color w:val="auto"/>
              </w:rPr>
            </w:pPr>
          </w:p>
        </w:tc>
        <w:tc>
          <w:tcPr>
            <w:tcW w:w="256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920" w:type="dxa"/>
            <w:vAlign w:val="bottom"/>
          </w:tcPr>
          <w:p>
            <w:pPr>
              <w:spacing w:after="0"/>
              <w:rPr>
                <w:sz w:val="20"/>
                <w:szCs w:val="20"/>
                <w:color w:val="auto"/>
              </w:rPr>
            </w:pPr>
            <w:r>
              <w:rPr>
                <w:rFonts w:ascii="Courier New" w:cs="Courier New" w:eastAsia="Courier New" w:hAnsi="Courier New"/>
                <w:sz w:val="17"/>
                <w:szCs w:val="17"/>
                <w:color w:val="auto"/>
              </w:rPr>
              <w:t>Earnings per common share, diluted</w:t>
            </w: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Income before loss on sale of real estate</w:t>
            </w:r>
          </w:p>
        </w:tc>
        <w:tc>
          <w:tcPr>
            <w:tcW w:w="1020" w:type="dxa"/>
            <w:vAlign w:val="bottom"/>
          </w:tcPr>
          <w:p>
            <w:pPr>
              <w:ind w:left="920"/>
              <w:spacing w:after="0"/>
              <w:rPr>
                <w:sz w:val="20"/>
                <w:szCs w:val="20"/>
                <w:color w:val="auto"/>
              </w:rPr>
            </w:pPr>
            <w:r>
              <w:rPr>
                <w:rFonts w:ascii="Courier New" w:cs="Courier New" w:eastAsia="Courier New" w:hAnsi="Courier New"/>
                <w:sz w:val="17"/>
                <w:szCs w:val="17"/>
                <w:color w:val="auto"/>
                <w:w w:val="77"/>
              </w:rPr>
              <w:t>$</w:t>
            </w: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0.14</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0.26</w:t>
            </w:r>
          </w:p>
        </w:tc>
      </w:tr>
      <w:tr>
        <w:trPr>
          <w:trHeight w:val="196"/>
        </w:trPr>
        <w:tc>
          <w:tcPr>
            <w:tcW w:w="5920" w:type="dxa"/>
            <w:vAlign w:val="bottom"/>
          </w:tcPr>
          <w:p>
            <w:pPr>
              <w:ind w:left="200"/>
              <w:spacing w:after="0"/>
              <w:rPr>
                <w:sz w:val="20"/>
                <w:szCs w:val="20"/>
                <w:color w:val="auto"/>
              </w:rPr>
            </w:pPr>
            <w:r>
              <w:rPr>
                <w:rFonts w:ascii="Courier New" w:cs="Courier New" w:eastAsia="Courier New" w:hAnsi="Courier New"/>
                <w:sz w:val="17"/>
                <w:szCs w:val="17"/>
                <w:color w:val="auto"/>
              </w:rPr>
              <w:t>Loss on sale of real estate</w:t>
            </w:r>
          </w:p>
        </w:tc>
        <w:tc>
          <w:tcPr>
            <w:tcW w:w="1020" w:type="dxa"/>
            <w:vAlign w:val="bottom"/>
          </w:tcPr>
          <w:p>
            <w:pPr>
              <w:spacing w:after="0"/>
              <w:rPr>
                <w:sz w:val="17"/>
                <w:szCs w:val="17"/>
                <w:color w:val="auto"/>
              </w:rPr>
            </w:pP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0.00</w:t>
            </w:r>
          </w:p>
        </w:tc>
        <w:tc>
          <w:tcPr>
            <w:tcW w:w="9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(0.02)</w:t>
            </w:r>
          </w:p>
        </w:tc>
      </w:tr>
      <w:tr>
        <w:trPr>
          <w:trHeight w:val="196"/>
        </w:trPr>
        <w:tc>
          <w:tcPr>
            <w:tcW w:w="5920" w:type="dxa"/>
            <w:vAlign w:val="bottom"/>
          </w:tcPr>
          <w:p>
            <w:pPr>
              <w:spacing w:after="0"/>
              <w:rPr>
                <w:sz w:val="17"/>
                <w:szCs w:val="17"/>
                <w:color w:val="auto"/>
              </w:rPr>
            </w:pPr>
          </w:p>
        </w:tc>
        <w:tc>
          <w:tcPr>
            <w:tcW w:w="256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spacing w:after="0"/>
              <w:rPr>
                <w:sz w:val="17"/>
                <w:szCs w:val="17"/>
                <w:color w:val="auto"/>
              </w:rPr>
            </w:pPr>
          </w:p>
        </w:tc>
        <w:tc>
          <w:tcPr>
            <w:tcW w:w="1020" w:type="dxa"/>
            <w:vAlign w:val="bottom"/>
          </w:tcPr>
          <w:p>
            <w:pPr>
              <w:ind w:left="920"/>
              <w:spacing w:after="0"/>
              <w:rPr>
                <w:sz w:val="20"/>
                <w:szCs w:val="20"/>
                <w:color w:val="auto"/>
              </w:rPr>
            </w:pPr>
            <w:r>
              <w:rPr>
                <w:rFonts w:ascii="Courier New" w:cs="Courier New" w:eastAsia="Courier New" w:hAnsi="Courier New"/>
                <w:sz w:val="17"/>
                <w:szCs w:val="17"/>
                <w:color w:val="auto"/>
                <w:w w:val="77"/>
              </w:rPr>
              <w:t>$</w:t>
            </w: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0.14</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0.24</w:t>
            </w:r>
          </w:p>
        </w:tc>
      </w:tr>
      <w:tr>
        <w:trPr>
          <w:trHeight w:val="196"/>
        </w:trPr>
        <w:tc>
          <w:tcPr>
            <w:tcW w:w="5920" w:type="dxa"/>
            <w:vAlign w:val="bottom"/>
          </w:tcPr>
          <w:p>
            <w:pPr>
              <w:spacing w:after="0"/>
              <w:rPr>
                <w:sz w:val="17"/>
                <w:szCs w:val="17"/>
                <w:color w:val="auto"/>
              </w:rPr>
            </w:pPr>
          </w:p>
        </w:tc>
        <w:tc>
          <w:tcPr>
            <w:tcW w:w="256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shares, diluted</w:t>
            </w:r>
          </w:p>
        </w:tc>
        <w:tc>
          <w:tcPr>
            <w:tcW w:w="1020" w:type="dxa"/>
            <w:vAlign w:val="bottom"/>
          </w:tcPr>
          <w:p>
            <w:pPr>
              <w:spacing w:after="0"/>
              <w:rPr>
                <w:sz w:val="17"/>
                <w:szCs w:val="17"/>
                <w:color w:val="auto"/>
              </w:rPr>
            </w:pPr>
          </w:p>
        </w:tc>
        <w:tc>
          <w:tcPr>
            <w:tcW w:w="1540" w:type="dxa"/>
            <w:vAlign w:val="bottom"/>
          </w:tcPr>
          <w:p>
            <w:pPr>
              <w:jc w:val="right"/>
              <w:ind w:right="835"/>
              <w:spacing w:after="0"/>
              <w:rPr>
                <w:sz w:val="20"/>
                <w:szCs w:val="20"/>
                <w:color w:val="auto"/>
              </w:rPr>
            </w:pPr>
            <w:r>
              <w:rPr>
                <w:rFonts w:ascii="Courier New" w:cs="Courier New" w:eastAsia="Courier New" w:hAnsi="Courier New"/>
                <w:sz w:val="17"/>
                <w:szCs w:val="17"/>
                <w:color w:val="auto"/>
                <w:w w:val="97"/>
              </w:rPr>
              <w:t>40,067</w:t>
            </w:r>
          </w:p>
        </w:tc>
        <w:tc>
          <w:tcPr>
            <w:tcW w:w="9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4"/>
              </w:rPr>
              <w:t>39,225</w:t>
            </w:r>
          </w:p>
        </w:tc>
      </w:tr>
      <w:tr>
        <w:trPr>
          <w:trHeight w:val="196"/>
        </w:trPr>
        <w:tc>
          <w:tcPr>
            <w:tcW w:w="5920" w:type="dxa"/>
            <w:vAlign w:val="bottom"/>
          </w:tcPr>
          <w:p>
            <w:pPr>
              <w:spacing w:after="0"/>
              <w:rPr>
                <w:sz w:val="17"/>
                <w:szCs w:val="17"/>
                <w:color w:val="auto"/>
              </w:rPr>
            </w:pPr>
          </w:p>
        </w:tc>
        <w:tc>
          <w:tcPr>
            <w:tcW w:w="256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0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SHAREHOLDERS' EQUITY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accountants' review report)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60" w:type="dxa"/>
            <w:vAlign w:val="bottom"/>
          </w:tcPr>
          <w:p>
            <w:pPr>
              <w:jc w:val="right"/>
              <w:ind w:right="2515"/>
              <w:spacing w:after="0"/>
              <w:rPr>
                <w:sz w:val="20"/>
                <w:szCs w:val="20"/>
                <w:color w:val="auto"/>
              </w:rPr>
            </w:pPr>
            <w:r>
              <w:rPr>
                <w:rFonts w:ascii="Courier New" w:cs="Courier New" w:eastAsia="Courier New" w:hAnsi="Courier New"/>
                <w:sz w:val="17"/>
                <w:szCs w:val="17"/>
                <w:color w:val="auto"/>
              </w:rPr>
              <w:t>(unaudited)</w:t>
            </w:r>
          </w:p>
        </w:tc>
        <w:tc>
          <w:tcPr>
            <w:tcW w:w="1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785"/>
        </w:trPr>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Nine months ended September 30,</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5460" w:type="dxa"/>
            <w:vAlign w:val="bottom"/>
          </w:tcPr>
          <w:p>
            <w:pPr>
              <w:spacing w:after="0"/>
              <w:rPr>
                <w:sz w:val="17"/>
                <w:szCs w:val="17"/>
                <w:color w:val="auto"/>
              </w:rPr>
            </w:pPr>
          </w:p>
        </w:tc>
        <w:tc>
          <w:tcPr>
            <w:tcW w:w="3020" w:type="dxa"/>
            <w:vAlign w:val="bottom"/>
            <w:gridSpan w:val="2"/>
          </w:tcPr>
          <w:p>
            <w:pPr>
              <w:jc w:val="right"/>
              <w:ind w:right="1255"/>
              <w:spacing w:after="0"/>
              <w:rPr>
                <w:sz w:val="20"/>
                <w:szCs w:val="20"/>
                <w:color w:val="auto"/>
              </w:rPr>
            </w:pPr>
            <w:r>
              <w:rPr>
                <w:rFonts w:ascii="Courier New" w:cs="Courier New" w:eastAsia="Courier New" w:hAnsi="Courier New"/>
                <w:sz w:val="17"/>
                <w:szCs w:val="17"/>
                <w:color w:val="auto"/>
              </w:rPr>
              <w:t>1998</w:t>
            </w:r>
          </w:p>
        </w:tc>
        <w:tc>
          <w:tcPr>
            <w:tcW w:w="19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1997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460" w:type="dxa"/>
            <w:vAlign w:val="bottom"/>
          </w:tcPr>
          <w:p>
            <w:pPr>
              <w:spacing w:after="0"/>
              <w:rPr>
                <w:sz w:val="17"/>
                <w:szCs w:val="17"/>
                <w:color w:val="auto"/>
              </w:rPr>
            </w:pPr>
          </w:p>
        </w:tc>
        <w:tc>
          <w:tcPr>
            <w:tcW w:w="302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30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46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 amounts)</w:t>
            </w:r>
          </w:p>
        </w:tc>
        <w:tc>
          <w:tcPr>
            <w:tcW w:w="14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Shares</w:t>
            </w:r>
          </w:p>
        </w:tc>
        <w:tc>
          <w:tcPr>
            <w:tcW w:w="15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Amount</w:t>
            </w:r>
          </w:p>
        </w:tc>
        <w:tc>
          <w:tcPr>
            <w:tcW w:w="194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Shares</w:t>
            </w:r>
          </w:p>
        </w:tc>
        <w:tc>
          <w:tcPr>
            <w:tcW w:w="200" w:type="dxa"/>
            <w:vAlign w:val="bottom"/>
          </w:tcPr>
          <w:p>
            <w:pPr>
              <w:spacing w:after="0"/>
              <w:rPr>
                <w:sz w:val="17"/>
                <w:szCs w:val="17"/>
                <w:color w:val="auto"/>
              </w:rPr>
            </w:pPr>
          </w:p>
        </w:tc>
        <w:tc>
          <w:tcPr>
            <w:tcW w:w="90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4"/>
              </w:rPr>
              <w:t>Amount</w:t>
            </w:r>
          </w:p>
        </w:tc>
      </w:tr>
      <w:tr>
        <w:trPr>
          <w:trHeight w:val="392"/>
        </w:trPr>
        <w:tc>
          <w:tcPr>
            <w:tcW w:w="5460" w:type="dxa"/>
            <w:vAlign w:val="bottom"/>
          </w:tcPr>
          <w:p>
            <w:pPr>
              <w:spacing w:after="0"/>
              <w:rPr>
                <w:sz w:val="20"/>
                <w:szCs w:val="20"/>
                <w:color w:val="auto"/>
              </w:rPr>
            </w:pPr>
            <w:r>
              <w:rPr>
                <w:rFonts w:ascii="Courier New" w:cs="Courier New" w:eastAsia="Courier New" w:hAnsi="Courier New"/>
                <w:sz w:val="17"/>
                <w:szCs w:val="17"/>
                <w:color w:val="auto"/>
              </w:rPr>
              <w:t>Common Shares of Beneficial Interest</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5460" w:type="dxa"/>
            <w:vAlign w:val="bottom"/>
          </w:tcPr>
          <w:p>
            <w:pPr>
              <w:ind w:left="200"/>
              <w:spacing w:after="0"/>
              <w:rPr>
                <w:sz w:val="20"/>
                <w:szCs w:val="20"/>
                <w:color w:val="auto"/>
              </w:rPr>
            </w:pPr>
            <w:r>
              <w:rPr>
                <w:rFonts w:ascii="Courier New" w:cs="Courier New" w:eastAsia="Courier New" w:hAnsi="Courier New"/>
                <w:sz w:val="17"/>
                <w:szCs w:val="17"/>
                <w:color w:val="auto"/>
              </w:rPr>
              <w:t>Balance, beginning of period</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39,200,201</w:t>
            </w:r>
          </w:p>
        </w:tc>
        <w:tc>
          <w:tcPr>
            <w:tcW w:w="15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$ 684,823</w:t>
            </w:r>
          </w:p>
        </w:tc>
        <w:tc>
          <w:tcPr>
            <w:tcW w:w="19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35,948,044</w:t>
            </w: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$ 597,917</w:t>
            </w:r>
          </w:p>
        </w:tc>
      </w:tr>
      <w:tr>
        <w:trPr>
          <w:trHeight w:val="196"/>
        </w:trPr>
        <w:tc>
          <w:tcPr>
            <w:tcW w:w="5460" w:type="dxa"/>
            <w:vAlign w:val="bottom"/>
          </w:tcPr>
          <w:p>
            <w:pPr>
              <w:ind w:left="200"/>
              <w:spacing w:after="0"/>
              <w:rPr>
                <w:sz w:val="20"/>
                <w:szCs w:val="20"/>
                <w:color w:val="auto"/>
              </w:rPr>
            </w:pPr>
            <w:r>
              <w:rPr>
                <w:rFonts w:ascii="Courier New" w:cs="Courier New" w:eastAsia="Courier New" w:hAnsi="Courier New"/>
                <w:sz w:val="17"/>
                <w:szCs w:val="17"/>
                <w:color w:val="auto"/>
              </w:rPr>
              <w:t>Net proceeds from sale of shares</w:t>
            </w:r>
          </w:p>
        </w:tc>
        <w:tc>
          <w:tcPr>
            <w:tcW w:w="1480" w:type="dxa"/>
            <w:vAlign w:val="bottom"/>
          </w:tcPr>
          <w:p>
            <w:pPr>
              <w:spacing w:after="0"/>
              <w:rPr>
                <w:sz w:val="17"/>
                <w:szCs w:val="17"/>
                <w:color w:val="auto"/>
              </w:rPr>
            </w:pPr>
          </w:p>
        </w:tc>
        <w:tc>
          <w:tcPr>
            <w:tcW w:w="15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3,000,000</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83,925</w:t>
            </w:r>
          </w:p>
        </w:tc>
      </w:tr>
      <w:tr>
        <w:trPr>
          <w:trHeight w:val="196"/>
        </w:trPr>
        <w:tc>
          <w:tcPr>
            <w:tcW w:w="5460" w:type="dxa"/>
            <w:vAlign w:val="bottom"/>
          </w:tcPr>
          <w:p>
            <w:pPr>
              <w:ind w:left="200"/>
              <w:spacing w:after="0"/>
              <w:rPr>
                <w:sz w:val="20"/>
                <w:szCs w:val="20"/>
                <w:color w:val="auto"/>
              </w:rPr>
            </w:pPr>
            <w:r>
              <w:rPr>
                <w:rFonts w:ascii="Courier New" w:cs="Courier New" w:eastAsia="Courier New" w:hAnsi="Courier New"/>
                <w:sz w:val="17"/>
                <w:szCs w:val="17"/>
                <w:color w:val="auto"/>
              </w:rPr>
              <w:t>Exercise of stock options</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199,073</w:t>
            </w:r>
          </w:p>
        </w:tc>
        <w:tc>
          <w:tcPr>
            <w:tcW w:w="15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4,221</w:t>
            </w:r>
          </w:p>
        </w:tc>
        <w:tc>
          <w:tcPr>
            <w:tcW w:w="19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71,184</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1,499</w:t>
            </w:r>
          </w:p>
        </w:tc>
      </w:tr>
      <w:tr>
        <w:trPr>
          <w:trHeight w:val="196"/>
        </w:trPr>
        <w:tc>
          <w:tcPr>
            <w:tcW w:w="5460" w:type="dxa"/>
            <w:vAlign w:val="bottom"/>
          </w:tcPr>
          <w:p>
            <w:pPr>
              <w:ind w:left="200"/>
              <w:spacing w:after="0"/>
              <w:rPr>
                <w:sz w:val="20"/>
                <w:szCs w:val="20"/>
                <w:color w:val="auto"/>
              </w:rPr>
            </w:pPr>
            <w:r>
              <w:rPr>
                <w:rFonts w:ascii="Courier New" w:cs="Courier New" w:eastAsia="Courier New" w:hAnsi="Courier New"/>
                <w:sz w:val="17"/>
                <w:szCs w:val="17"/>
                <w:color w:val="auto"/>
              </w:rPr>
              <w:t>Shares issued under dividend reinvestment plan</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120,974</w:t>
            </w:r>
          </w:p>
        </w:tc>
        <w:tc>
          <w:tcPr>
            <w:tcW w:w="15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2,976</w:t>
            </w:r>
          </w:p>
        </w:tc>
        <w:tc>
          <w:tcPr>
            <w:tcW w:w="19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116,428</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3,112</w:t>
            </w:r>
          </w:p>
        </w:tc>
      </w:tr>
      <w:tr>
        <w:trPr>
          <w:trHeight w:val="196"/>
        </w:trPr>
        <w:tc>
          <w:tcPr>
            <w:tcW w:w="5460" w:type="dxa"/>
            <w:vAlign w:val="bottom"/>
          </w:tcPr>
          <w:p>
            <w:pPr>
              <w:jc w:val="right"/>
              <w:ind w:right="1095"/>
              <w:spacing w:after="0"/>
              <w:rPr>
                <w:sz w:val="20"/>
                <w:szCs w:val="20"/>
                <w:color w:val="auto"/>
              </w:rPr>
            </w:pPr>
            <w:r>
              <w:rPr>
                <w:rFonts w:ascii="Courier New" w:cs="Courier New" w:eastAsia="Courier New" w:hAnsi="Courier New"/>
                <w:sz w:val="17"/>
                <w:szCs w:val="17"/>
                <w:color w:val="auto"/>
              </w:rPr>
              <w:t>Performance and Restricted Shares granted</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541,055</w:t>
            </w:r>
          </w:p>
        </w:tc>
        <w:tc>
          <w:tcPr>
            <w:tcW w:w="15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14,031</w:t>
            </w:r>
          </w:p>
        </w:tc>
        <w:tc>
          <w:tcPr>
            <w:tcW w:w="19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32,000</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871</w:t>
            </w:r>
          </w:p>
        </w:tc>
      </w:tr>
      <w:tr>
        <w:trPr>
          <w:trHeight w:val="196"/>
        </w:trPr>
        <w:tc>
          <w:tcPr>
            <w:tcW w:w="5460" w:type="dxa"/>
            <w:vAlign w:val="bottom"/>
          </w:tcPr>
          <w:p>
            <w:pPr>
              <w:spacing w:after="0"/>
              <w:rPr>
                <w:sz w:val="17"/>
                <w:szCs w:val="17"/>
                <w:color w:val="auto"/>
              </w:rPr>
            </w:pP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460" w:type="dxa"/>
            <w:vAlign w:val="bottom"/>
          </w:tcPr>
          <w:p>
            <w:pPr>
              <w:ind w:left="200"/>
              <w:spacing w:after="0"/>
              <w:rPr>
                <w:sz w:val="20"/>
                <w:szCs w:val="20"/>
                <w:color w:val="auto"/>
              </w:rPr>
            </w:pPr>
            <w:r>
              <w:rPr>
                <w:rFonts w:ascii="Courier New" w:cs="Courier New" w:eastAsia="Courier New" w:hAnsi="Courier New"/>
                <w:sz w:val="17"/>
                <w:szCs w:val="17"/>
                <w:color w:val="auto"/>
              </w:rPr>
              <w:t>Balance, end of period</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40,061,303</w:t>
            </w:r>
          </w:p>
        </w:tc>
        <w:tc>
          <w:tcPr>
            <w:tcW w:w="15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$ 706,051</w:t>
            </w:r>
          </w:p>
        </w:tc>
        <w:tc>
          <w:tcPr>
            <w:tcW w:w="19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39,167,656</w:t>
            </w: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$ 687,324</w:t>
            </w:r>
          </w:p>
        </w:tc>
      </w:tr>
      <w:tr>
        <w:trPr>
          <w:trHeight w:val="196"/>
        </w:trPr>
        <w:tc>
          <w:tcPr>
            <w:tcW w:w="5460" w:type="dxa"/>
            <w:vAlign w:val="bottom"/>
          </w:tcPr>
          <w:p>
            <w:pPr>
              <w:spacing w:after="0"/>
              <w:rPr>
                <w:sz w:val="17"/>
                <w:szCs w:val="17"/>
                <w:color w:val="auto"/>
              </w:rPr>
            </w:pP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785"/>
        </w:trPr>
        <w:tc>
          <w:tcPr>
            <w:tcW w:w="5460" w:type="dxa"/>
            <w:vAlign w:val="bottom"/>
          </w:tcPr>
          <w:p>
            <w:pPr>
              <w:spacing w:after="0"/>
              <w:rPr>
                <w:sz w:val="20"/>
                <w:szCs w:val="20"/>
                <w:color w:val="auto"/>
              </w:rPr>
            </w:pPr>
            <w:r>
              <w:rPr>
                <w:rFonts w:ascii="Courier New" w:cs="Courier New" w:eastAsia="Courier New" w:hAnsi="Courier New"/>
                <w:sz w:val="17"/>
                <w:szCs w:val="17"/>
                <w:color w:val="auto"/>
              </w:rPr>
              <w:t>Common Shares of Beneficial Interest</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5460" w:type="dxa"/>
            <w:vAlign w:val="bottom"/>
          </w:tcPr>
          <w:p>
            <w:pPr>
              <w:jc w:val="right"/>
              <w:ind w:right="1095"/>
              <w:spacing w:after="0"/>
              <w:rPr>
                <w:sz w:val="20"/>
                <w:szCs w:val="20"/>
                <w:color w:val="auto"/>
              </w:rPr>
            </w:pPr>
            <w:r>
              <w:rPr>
                <w:rFonts w:ascii="Courier New" w:cs="Courier New" w:eastAsia="Courier New" w:hAnsi="Courier New"/>
                <w:sz w:val="17"/>
                <w:szCs w:val="17"/>
                <w:color w:val="auto"/>
              </w:rPr>
              <w:t>in Treasury, Deferred Compensation and</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460" w:type="dxa"/>
            <w:vAlign w:val="bottom"/>
          </w:tcPr>
          <w:p>
            <w:pPr>
              <w:jc w:val="right"/>
              <w:ind w:right="2515"/>
              <w:spacing w:after="0"/>
              <w:rPr>
                <w:sz w:val="20"/>
                <w:szCs w:val="20"/>
                <w:color w:val="auto"/>
              </w:rPr>
            </w:pPr>
            <w:r>
              <w:rPr>
                <w:rFonts w:ascii="Courier New" w:cs="Courier New" w:eastAsia="Courier New" w:hAnsi="Courier New"/>
                <w:sz w:val="17"/>
                <w:szCs w:val="17"/>
                <w:color w:val="auto"/>
              </w:rPr>
              <w:t>Subscriptions Receivable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460" w:type="dxa"/>
            <w:vAlign w:val="bottom"/>
          </w:tcPr>
          <w:p>
            <w:pPr>
              <w:ind w:left="200"/>
              <w:spacing w:after="0"/>
              <w:rPr>
                <w:sz w:val="20"/>
                <w:szCs w:val="20"/>
                <w:color w:val="auto"/>
              </w:rPr>
            </w:pPr>
            <w:r>
              <w:rPr>
                <w:rFonts w:ascii="Courier New" w:cs="Courier New" w:eastAsia="Courier New" w:hAnsi="Courier New"/>
                <w:sz w:val="17"/>
                <w:szCs w:val="17"/>
                <w:color w:val="auto"/>
              </w:rPr>
              <w:t>Balance, beginning of period</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(457,111)</w:t>
            </w:r>
          </w:p>
        </w:tc>
        <w:tc>
          <w:tcPr>
            <w:tcW w:w="15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  (8,304)</w:t>
            </w:r>
          </w:p>
        </w:tc>
        <w:tc>
          <w:tcPr>
            <w:tcW w:w="19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(480,948)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(8,332)</w:t>
            </w:r>
          </w:p>
        </w:tc>
      </w:tr>
      <w:tr>
        <w:trPr>
          <w:trHeight w:val="196"/>
        </w:trPr>
        <w:tc>
          <w:tcPr>
            <w:tcW w:w="5460" w:type="dxa"/>
            <w:vAlign w:val="bottom"/>
          </w:tcPr>
          <w:p>
            <w:pPr>
              <w:ind w:left="200"/>
              <w:spacing w:after="0"/>
              <w:rPr>
                <w:sz w:val="20"/>
                <w:szCs w:val="20"/>
                <w:color w:val="auto"/>
              </w:rPr>
            </w:pPr>
            <w:r>
              <w:rPr>
                <w:rFonts w:ascii="Courier New" w:cs="Courier New" w:eastAsia="Courier New" w:hAnsi="Courier New"/>
                <w:sz w:val="17"/>
                <w:szCs w:val="17"/>
                <w:color w:val="auto"/>
              </w:rPr>
              <w:t>Amortization of deferred compensation</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49,046</w:t>
            </w:r>
          </w:p>
        </w:tc>
        <w:tc>
          <w:tcPr>
            <w:tcW w:w="15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925</w:t>
            </w:r>
          </w:p>
        </w:tc>
        <w:tc>
          <w:tcPr>
            <w:tcW w:w="19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30,125</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480</w:t>
            </w:r>
          </w:p>
        </w:tc>
      </w:tr>
      <w:tr>
        <w:trPr>
          <w:trHeight w:val="196"/>
        </w:trPr>
        <w:tc>
          <w:tcPr>
            <w:tcW w:w="5460" w:type="dxa"/>
            <w:vAlign w:val="bottom"/>
          </w:tcPr>
          <w:p>
            <w:pPr>
              <w:jc w:val="right"/>
              <w:ind w:right="1095"/>
              <w:spacing w:after="0"/>
              <w:rPr>
                <w:sz w:val="20"/>
                <w:szCs w:val="20"/>
                <w:color w:val="auto"/>
              </w:rPr>
            </w:pPr>
            <w:r>
              <w:rPr>
                <w:rFonts w:ascii="Courier New" w:cs="Courier New" w:eastAsia="Courier New" w:hAnsi="Courier New"/>
                <w:sz w:val="17"/>
                <w:szCs w:val="17"/>
                <w:color w:val="auto"/>
              </w:rPr>
              <w:t>Performance and Restricted Shares granted</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(576,055)</w:t>
            </w:r>
          </w:p>
        </w:tc>
        <w:tc>
          <w:tcPr>
            <w:tcW w:w="15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(14,680)</w:t>
            </w:r>
          </w:p>
        </w:tc>
        <w:tc>
          <w:tcPr>
            <w:tcW w:w="19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(22,000)</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(621)</w:t>
            </w:r>
          </w:p>
        </w:tc>
      </w:tr>
      <w:tr>
        <w:trPr>
          <w:trHeight w:val="196"/>
        </w:trPr>
        <w:tc>
          <w:tcPr>
            <w:tcW w:w="5460" w:type="dxa"/>
            <w:vAlign w:val="bottom"/>
          </w:tcPr>
          <w:p>
            <w:pPr>
              <w:ind w:left="200"/>
              <w:spacing w:after="0"/>
              <w:rPr>
                <w:sz w:val="20"/>
                <w:szCs w:val="20"/>
                <w:color w:val="auto"/>
              </w:rPr>
            </w:pPr>
            <w:r>
              <w:rPr>
                <w:rFonts w:ascii="Courier New" w:cs="Courier New" w:eastAsia="Courier New" w:hAnsi="Courier New"/>
                <w:sz w:val="17"/>
                <w:szCs w:val="17"/>
                <w:color w:val="auto"/>
              </w:rPr>
              <w:t>Purchase of shares under share purchase plan</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50,521</w:t>
            </w:r>
          </w:p>
        </w:tc>
        <w:tc>
          <w:tcPr>
            <w:tcW w:w="15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764</w:t>
            </w:r>
          </w:p>
        </w:tc>
        <w:tc>
          <w:tcPr>
            <w:tcW w:w="19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16,753</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236</w:t>
            </w:r>
          </w:p>
        </w:tc>
      </w:tr>
      <w:tr>
        <w:trPr>
          <w:trHeight w:val="196"/>
        </w:trPr>
        <w:tc>
          <w:tcPr>
            <w:tcW w:w="5460" w:type="dxa"/>
            <w:vAlign w:val="bottom"/>
          </w:tcPr>
          <w:p>
            <w:pPr>
              <w:ind w:left="200"/>
              <w:spacing w:after="0"/>
              <w:rPr>
                <w:sz w:val="20"/>
                <w:szCs w:val="20"/>
                <w:color w:val="auto"/>
              </w:rPr>
            </w:pPr>
            <w:r>
              <w:rPr>
                <w:rFonts w:ascii="Courier New" w:cs="Courier New" w:eastAsia="Courier New" w:hAnsi="Courier New"/>
                <w:sz w:val="17"/>
                <w:szCs w:val="17"/>
                <w:color w:val="auto"/>
              </w:rPr>
              <w:t>Purchase of treasury shares, net of reissuance</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(6,033)</w:t>
            </w:r>
          </w:p>
        </w:tc>
        <w:tc>
          <w:tcPr>
            <w:tcW w:w="15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(353)</w:t>
            </w:r>
          </w:p>
        </w:tc>
        <w:tc>
          <w:tcPr>
            <w:tcW w:w="19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460" w:type="dxa"/>
            <w:vAlign w:val="bottom"/>
          </w:tcPr>
          <w:p>
            <w:pPr>
              <w:ind w:left="200"/>
              <w:spacing w:after="0"/>
              <w:rPr>
                <w:sz w:val="20"/>
                <w:szCs w:val="20"/>
                <w:color w:val="auto"/>
              </w:rPr>
            </w:pPr>
            <w:r>
              <w:rPr>
                <w:rFonts w:ascii="Courier New" w:cs="Courier New" w:eastAsia="Courier New" w:hAnsi="Courier New"/>
                <w:sz w:val="17"/>
                <w:szCs w:val="17"/>
                <w:color w:val="auto"/>
              </w:rPr>
              <w:t>Increase in stock option loans, net</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(44,266)</w:t>
            </w:r>
          </w:p>
        </w:tc>
        <w:tc>
          <w:tcPr>
            <w:tcW w:w="15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(1,016)</w:t>
            </w:r>
          </w:p>
        </w:tc>
        <w:tc>
          <w:tcPr>
            <w:tcW w:w="19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(14,166)</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(299)</w:t>
            </w:r>
          </w:p>
        </w:tc>
      </w:tr>
      <w:tr>
        <w:trPr>
          <w:trHeight w:val="196"/>
        </w:trPr>
        <w:tc>
          <w:tcPr>
            <w:tcW w:w="5460" w:type="dxa"/>
            <w:vAlign w:val="bottom"/>
          </w:tcPr>
          <w:p>
            <w:pPr>
              <w:spacing w:after="0"/>
              <w:rPr>
                <w:sz w:val="17"/>
                <w:szCs w:val="17"/>
                <w:color w:val="auto"/>
              </w:rPr>
            </w:pP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460" w:type="dxa"/>
            <w:vAlign w:val="bottom"/>
          </w:tcPr>
          <w:p>
            <w:pPr>
              <w:ind w:left="200"/>
              <w:spacing w:after="0"/>
              <w:rPr>
                <w:sz w:val="20"/>
                <w:szCs w:val="20"/>
                <w:color w:val="auto"/>
              </w:rPr>
            </w:pPr>
            <w:r>
              <w:rPr>
                <w:rFonts w:ascii="Courier New" w:cs="Courier New" w:eastAsia="Courier New" w:hAnsi="Courier New"/>
                <w:sz w:val="17"/>
                <w:szCs w:val="17"/>
                <w:color w:val="auto"/>
              </w:rPr>
              <w:t>Balance, end of period</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(983,898)</w:t>
            </w:r>
          </w:p>
        </w:tc>
        <w:tc>
          <w:tcPr>
            <w:tcW w:w="15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 (22,664)</w:t>
            </w:r>
          </w:p>
        </w:tc>
        <w:tc>
          <w:tcPr>
            <w:tcW w:w="19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(470,236)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(8,536)</w:t>
            </w:r>
          </w:p>
        </w:tc>
      </w:tr>
      <w:tr>
        <w:trPr>
          <w:trHeight w:val="196"/>
        </w:trPr>
        <w:tc>
          <w:tcPr>
            <w:tcW w:w="5460" w:type="dxa"/>
            <w:vAlign w:val="bottom"/>
          </w:tcPr>
          <w:p>
            <w:pPr>
              <w:spacing w:after="0"/>
              <w:rPr>
                <w:sz w:val="17"/>
                <w:szCs w:val="17"/>
                <w:color w:val="auto"/>
              </w:rPr>
            </w:pP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89"/>
        </w:trPr>
        <w:tc>
          <w:tcPr>
            <w:tcW w:w="5460" w:type="dxa"/>
            <w:vAlign w:val="bottom"/>
          </w:tcPr>
          <w:p>
            <w:pPr>
              <w:spacing w:after="0"/>
              <w:rPr>
                <w:sz w:val="20"/>
                <w:szCs w:val="20"/>
                <w:color w:val="auto"/>
              </w:rPr>
            </w:pPr>
            <w:r>
              <w:rPr>
                <w:rFonts w:ascii="Courier New" w:cs="Courier New" w:eastAsia="Courier New" w:hAnsi="Courier New"/>
                <w:sz w:val="17"/>
                <w:szCs w:val="17"/>
                <w:color w:val="auto"/>
              </w:rPr>
              <w:t>Accumulated Dividends in Excess of Trust Net Income</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5460" w:type="dxa"/>
            <w:vAlign w:val="bottom"/>
          </w:tcPr>
          <w:p>
            <w:pPr>
              <w:ind w:left="200"/>
              <w:spacing w:after="0"/>
              <w:rPr>
                <w:sz w:val="20"/>
                <w:szCs w:val="20"/>
                <w:color w:val="auto"/>
              </w:rPr>
            </w:pPr>
            <w:r>
              <w:rPr>
                <w:rFonts w:ascii="Courier New" w:cs="Courier New" w:eastAsia="Courier New" w:hAnsi="Courier New"/>
                <w:sz w:val="17"/>
                <w:szCs w:val="17"/>
                <w:color w:val="auto"/>
              </w:rPr>
              <w:t>Balance, beginning of period</w:t>
            </w:r>
          </w:p>
        </w:tc>
        <w:tc>
          <w:tcPr>
            <w:tcW w:w="1480" w:type="dxa"/>
            <w:vAlign w:val="bottom"/>
          </w:tcPr>
          <w:p>
            <w:pPr>
              <w:spacing w:after="0"/>
              <w:rPr>
                <w:sz w:val="17"/>
                <w:szCs w:val="17"/>
                <w:color w:val="auto"/>
              </w:rPr>
            </w:pPr>
          </w:p>
        </w:tc>
        <w:tc>
          <w:tcPr>
            <w:tcW w:w="15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$(222,709)</w:t>
            </w:r>
          </w:p>
        </w:tc>
        <w:tc>
          <w:tcPr>
            <w:tcW w:w="19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$(200,700)</w:t>
            </w:r>
          </w:p>
        </w:tc>
      </w:tr>
      <w:tr>
        <w:trPr>
          <w:trHeight w:val="196"/>
        </w:trPr>
        <w:tc>
          <w:tcPr>
            <w:tcW w:w="5460" w:type="dxa"/>
            <w:vAlign w:val="bottom"/>
          </w:tcPr>
          <w:p>
            <w:pPr>
              <w:ind w:left="200"/>
              <w:spacing w:after="0"/>
              <w:rPr>
                <w:sz w:val="20"/>
                <w:szCs w:val="20"/>
                <w:color w:val="auto"/>
              </w:rPr>
            </w:pPr>
            <w:r>
              <w:rPr>
                <w:rFonts w:ascii="Courier New" w:cs="Courier New" w:eastAsia="Courier New" w:hAnsi="Courier New"/>
                <w:sz w:val="17"/>
                <w:szCs w:val="17"/>
                <w:color w:val="auto"/>
              </w:rPr>
              <w:t>Net income</w:t>
            </w:r>
          </w:p>
        </w:tc>
        <w:tc>
          <w:tcPr>
            <w:tcW w:w="1480" w:type="dxa"/>
            <w:vAlign w:val="bottom"/>
          </w:tcPr>
          <w:p>
            <w:pPr>
              <w:spacing w:after="0"/>
              <w:rPr>
                <w:sz w:val="17"/>
                <w:szCs w:val="17"/>
                <w:color w:val="auto"/>
              </w:rPr>
            </w:pPr>
          </w:p>
        </w:tc>
        <w:tc>
          <w:tcPr>
            <w:tcW w:w="15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32,177</w:t>
            </w: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35,810</w:t>
            </w:r>
          </w:p>
        </w:tc>
      </w:tr>
      <w:tr>
        <w:trPr>
          <w:trHeight w:val="196"/>
        </w:trPr>
        <w:tc>
          <w:tcPr>
            <w:tcW w:w="5460" w:type="dxa"/>
            <w:vAlign w:val="bottom"/>
          </w:tcPr>
          <w:p>
            <w:pPr>
              <w:ind w:left="200"/>
              <w:spacing w:after="0"/>
              <w:rPr>
                <w:sz w:val="20"/>
                <w:szCs w:val="20"/>
                <w:color w:val="auto"/>
              </w:rPr>
            </w:pPr>
            <w:r>
              <w:rPr>
                <w:rFonts w:ascii="Courier New" w:cs="Courier New" w:eastAsia="Courier New" w:hAnsi="Courier New"/>
                <w:sz w:val="17"/>
                <w:szCs w:val="17"/>
                <w:color w:val="auto"/>
              </w:rPr>
              <w:t>Dividends declared to shareholders</w:t>
            </w:r>
          </w:p>
        </w:tc>
        <w:tc>
          <w:tcPr>
            <w:tcW w:w="1480" w:type="dxa"/>
            <w:vAlign w:val="bottom"/>
          </w:tcPr>
          <w:p>
            <w:pPr>
              <w:spacing w:after="0"/>
              <w:rPr>
                <w:sz w:val="17"/>
                <w:szCs w:val="17"/>
                <w:color w:val="auto"/>
              </w:rPr>
            </w:pPr>
          </w:p>
        </w:tc>
        <w:tc>
          <w:tcPr>
            <w:tcW w:w="15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(57,827)</w:t>
            </w: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(49,593)</w:t>
            </w:r>
          </w:p>
        </w:tc>
      </w:tr>
      <w:tr>
        <w:trPr>
          <w:trHeight w:val="196"/>
        </w:trPr>
        <w:tc>
          <w:tcPr>
            <w:tcW w:w="5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460" w:type="dxa"/>
            <w:vAlign w:val="bottom"/>
          </w:tcPr>
          <w:p>
            <w:pPr>
              <w:ind w:left="200"/>
              <w:spacing w:after="0"/>
              <w:rPr>
                <w:sz w:val="20"/>
                <w:szCs w:val="20"/>
                <w:color w:val="auto"/>
              </w:rPr>
            </w:pPr>
            <w:r>
              <w:rPr>
                <w:rFonts w:ascii="Courier New" w:cs="Courier New" w:eastAsia="Courier New" w:hAnsi="Courier New"/>
                <w:sz w:val="17"/>
                <w:szCs w:val="17"/>
                <w:color w:val="auto"/>
              </w:rPr>
              <w:t>Balance, end of period</w:t>
            </w:r>
          </w:p>
        </w:tc>
        <w:tc>
          <w:tcPr>
            <w:tcW w:w="1480" w:type="dxa"/>
            <w:vAlign w:val="bottom"/>
          </w:tcPr>
          <w:p>
            <w:pPr>
              <w:spacing w:after="0"/>
              <w:rPr>
                <w:sz w:val="17"/>
                <w:szCs w:val="17"/>
                <w:color w:val="auto"/>
              </w:rPr>
            </w:pPr>
          </w:p>
        </w:tc>
        <w:tc>
          <w:tcPr>
            <w:tcW w:w="15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$(248,359)</w:t>
            </w:r>
          </w:p>
        </w:tc>
        <w:tc>
          <w:tcPr>
            <w:tcW w:w="19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$(214,483)</w:t>
            </w:r>
          </w:p>
        </w:tc>
      </w:tr>
      <w:tr>
        <w:trPr>
          <w:trHeight w:val="196"/>
        </w:trPr>
        <w:tc>
          <w:tcPr>
            <w:tcW w:w="5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1520"/>
          </w:cols>
          <w:pgMar w:left="240" w:top="703" w:right="13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accountants' review report)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gridSpan w:val="3"/>
          </w:tcPr>
          <w:p>
            <w:pPr>
              <w:ind w:left="920"/>
              <w:spacing w:after="0"/>
              <w:rPr>
                <w:sz w:val="20"/>
                <w:szCs w:val="20"/>
                <w:color w:val="auto"/>
              </w:rPr>
            </w:pPr>
            <w:r>
              <w:rPr>
                <w:rFonts w:ascii="Courier New" w:cs="Courier New" w:eastAsia="Courier New" w:hAnsi="Courier New"/>
                <w:sz w:val="17"/>
                <w:szCs w:val="17"/>
                <w:color w:val="auto"/>
              </w:rPr>
              <w:t>(unaudited)</w:t>
            </w:r>
          </w:p>
        </w:tc>
        <w:tc>
          <w:tcPr>
            <w:tcW w:w="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785"/>
        </w:trPr>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60" w:type="dxa"/>
            <w:vAlign w:val="bottom"/>
            <w:gridSpan w:val="3"/>
          </w:tcPr>
          <w:p>
            <w:pPr>
              <w:jc w:val="right"/>
              <w:ind w:right="15"/>
              <w:spacing w:after="0"/>
              <w:rPr>
                <w:sz w:val="20"/>
                <w:szCs w:val="20"/>
                <w:color w:val="auto"/>
              </w:rPr>
            </w:pPr>
            <w:r>
              <w:rPr>
                <w:rFonts w:ascii="Courier New" w:cs="Courier New" w:eastAsia="Courier New" w:hAnsi="Courier New"/>
                <w:sz w:val="17"/>
                <w:szCs w:val="17"/>
                <w:color w:val="auto"/>
                <w:w w:val="99"/>
              </w:rPr>
              <w:t>Nine months ended September 30,</w:t>
            </w:r>
          </w:p>
        </w:tc>
      </w:tr>
      <w:tr>
        <w:trPr>
          <w:trHeight w:val="196"/>
        </w:trPr>
        <w:tc>
          <w:tcPr>
            <w:tcW w:w="6220" w:type="dxa"/>
            <w:vAlign w:val="bottom"/>
            <w:gridSpan w:val="3"/>
          </w:tcPr>
          <w:p>
            <w:pPr>
              <w:spacing w:after="0"/>
              <w:rPr>
                <w:sz w:val="20"/>
                <w:szCs w:val="20"/>
                <w:color w:val="auto"/>
              </w:rPr>
            </w:pPr>
            <w:r>
              <w:rPr>
                <w:rFonts w:ascii="Courier New" w:cs="Courier New" w:eastAsia="Courier New" w:hAnsi="Courier New"/>
                <w:sz w:val="17"/>
                <w:szCs w:val="17"/>
                <w:color w:val="auto"/>
              </w:rPr>
              <w:t>(In thousands)</w:t>
            </w:r>
          </w:p>
        </w:tc>
        <w:tc>
          <w:tcPr>
            <w:tcW w:w="420" w:type="dxa"/>
            <w:vAlign w:val="bottom"/>
          </w:tcPr>
          <w:p>
            <w:pPr>
              <w:spacing w:after="0"/>
              <w:rPr>
                <w:sz w:val="17"/>
                <w:szCs w:val="17"/>
                <w:color w:val="auto"/>
              </w:rPr>
            </w:pPr>
          </w:p>
        </w:tc>
        <w:tc>
          <w:tcPr>
            <w:tcW w:w="1580" w:type="dxa"/>
            <w:vAlign w:val="bottom"/>
          </w:tcPr>
          <w:p>
            <w:pPr>
              <w:jc w:val="right"/>
              <w:ind w:right="895"/>
              <w:spacing w:after="0"/>
              <w:rPr>
                <w:sz w:val="20"/>
                <w:szCs w:val="20"/>
                <w:color w:val="auto"/>
              </w:rPr>
            </w:pPr>
            <w:r>
              <w:rPr>
                <w:rFonts w:ascii="Courier New" w:cs="Courier New" w:eastAsia="Courier New" w:hAnsi="Courier New"/>
                <w:sz w:val="17"/>
                <w:szCs w:val="17"/>
                <w:color w:val="auto"/>
              </w:rPr>
              <w:t>1998</w:t>
            </w:r>
          </w:p>
        </w:tc>
        <w:tc>
          <w:tcPr>
            <w:tcW w:w="76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1997</w:t>
            </w:r>
          </w:p>
        </w:tc>
      </w:tr>
      <w:tr>
        <w:trPr>
          <w:trHeight w:val="196"/>
        </w:trPr>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0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gridSpan w:val="3"/>
          </w:tcPr>
          <w:p>
            <w:pPr>
              <w:spacing w:after="0"/>
              <w:rPr>
                <w:sz w:val="20"/>
                <w:szCs w:val="20"/>
                <w:color w:val="auto"/>
              </w:rPr>
            </w:pPr>
            <w:r>
              <w:rPr>
                <w:rFonts w:ascii="Courier New" w:cs="Courier New" w:eastAsia="Courier New" w:hAnsi="Courier New"/>
                <w:sz w:val="17"/>
                <w:szCs w:val="17"/>
                <w:color w:val="auto"/>
              </w:rPr>
              <w:t>OPERATING ACTIVITIES</w:t>
            </w: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1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Net income</w:t>
            </w:r>
          </w:p>
        </w:tc>
        <w:tc>
          <w:tcPr>
            <w:tcW w:w="48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32,177</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35,810</w:t>
            </w:r>
          </w:p>
        </w:tc>
      </w:tr>
      <w:tr>
        <w:trPr>
          <w:trHeight w:val="196"/>
        </w:trPr>
        <w:tc>
          <w:tcPr>
            <w:tcW w:w="62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Adjustments to reconcile net income to net cash</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622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provided by operations</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62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Depreciation and amortization</w:t>
            </w:r>
          </w:p>
        </w:tc>
        <w:tc>
          <w:tcPr>
            <w:tcW w:w="4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33,384</w:t>
            </w:r>
          </w:p>
        </w:tc>
        <w:tc>
          <w:tcPr>
            <w:tcW w:w="7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30,853</w:t>
            </w:r>
          </w:p>
        </w:tc>
      </w:tr>
      <w:tr>
        <w:trPr>
          <w:trHeight w:val="196"/>
        </w:trPr>
        <w:tc>
          <w:tcPr>
            <w:tcW w:w="62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Rent abatements in lieu of leasehold improvements,</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6220" w:type="dxa"/>
            <w:vAlign w:val="bottom"/>
            <w:gridSpan w:val="3"/>
          </w:tcPr>
          <w:p>
            <w:pPr>
              <w:ind w:left="620"/>
              <w:spacing w:after="0"/>
              <w:rPr>
                <w:sz w:val="20"/>
                <w:szCs w:val="20"/>
                <w:color w:val="auto"/>
              </w:rPr>
            </w:pPr>
            <w:r>
              <w:rPr>
                <w:rFonts w:ascii="Courier New" w:cs="Courier New" w:eastAsia="Courier New" w:hAnsi="Courier New"/>
                <w:sz w:val="17"/>
                <w:szCs w:val="17"/>
                <w:color w:val="auto"/>
              </w:rPr>
              <w:t>net of tenant improvements retired</w:t>
            </w:r>
          </w:p>
        </w:tc>
        <w:tc>
          <w:tcPr>
            <w:tcW w:w="420" w:type="dxa"/>
            <w:vAlign w:val="bottom"/>
          </w:tcPr>
          <w:p>
            <w:pPr>
              <w:spacing w:after="0"/>
              <w:rPr>
                <w:sz w:val="17"/>
                <w:szCs w:val="17"/>
                <w:color w:val="auto"/>
              </w:rPr>
            </w:pP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(1,311)</w:t>
            </w:r>
          </w:p>
        </w:tc>
        <w:tc>
          <w:tcPr>
            <w:tcW w:w="7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(815)</w:t>
            </w:r>
          </w:p>
        </w:tc>
      </w:tr>
      <w:tr>
        <w:trPr>
          <w:trHeight w:val="196"/>
        </w:trPr>
        <w:tc>
          <w:tcPr>
            <w:tcW w:w="62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Imputed interest and amortization of debt cost</w:t>
            </w:r>
          </w:p>
        </w:tc>
        <w:tc>
          <w:tcPr>
            <w:tcW w:w="4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562</w:t>
            </w:r>
          </w:p>
        </w:tc>
        <w:tc>
          <w:tcPr>
            <w:tcW w:w="7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496</w:t>
            </w:r>
          </w:p>
        </w:tc>
      </w:tr>
      <w:tr>
        <w:trPr>
          <w:trHeight w:val="196"/>
        </w:trPr>
        <w:tc>
          <w:tcPr>
            <w:tcW w:w="62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Amortization of deferred compensation, forgiveness of</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6220" w:type="dxa"/>
            <w:vAlign w:val="bottom"/>
            <w:gridSpan w:val="3"/>
          </w:tcPr>
          <w:p>
            <w:pPr>
              <w:ind w:left="720"/>
              <w:spacing w:after="0"/>
              <w:rPr>
                <w:sz w:val="20"/>
                <w:szCs w:val="20"/>
                <w:color w:val="auto"/>
              </w:rPr>
            </w:pPr>
            <w:r>
              <w:rPr>
                <w:rFonts w:ascii="Courier New" w:cs="Courier New" w:eastAsia="Courier New" w:hAnsi="Courier New"/>
                <w:sz w:val="17"/>
                <w:szCs w:val="17"/>
                <w:color w:val="auto"/>
              </w:rPr>
              <w:t>officers' notes and other non cash items</w:t>
            </w:r>
          </w:p>
        </w:tc>
        <w:tc>
          <w:tcPr>
            <w:tcW w:w="4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1,902</w:t>
            </w:r>
          </w:p>
        </w:tc>
        <w:tc>
          <w:tcPr>
            <w:tcW w:w="7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857</w:t>
            </w:r>
          </w:p>
        </w:tc>
      </w:tr>
      <w:tr>
        <w:trPr>
          <w:trHeight w:val="196"/>
        </w:trPr>
        <w:tc>
          <w:tcPr>
            <w:tcW w:w="622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Gain on sale of real estate</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(6,375)</w:t>
            </w:r>
          </w:p>
        </w:tc>
      </w:tr>
      <w:tr>
        <w:trPr>
          <w:trHeight w:val="196"/>
        </w:trPr>
        <w:tc>
          <w:tcPr>
            <w:tcW w:w="62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Changes in assets and liabilities</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1340" w:type="dxa"/>
            <w:vAlign w:val="bottom"/>
            <w:gridSpan w:val="2"/>
          </w:tcPr>
          <w:p>
            <w:pPr>
              <w:ind w:left="520"/>
              <w:spacing w:after="0"/>
              <w:rPr>
                <w:sz w:val="20"/>
                <w:szCs w:val="20"/>
                <w:color w:val="auto"/>
              </w:rPr>
            </w:pPr>
            <w:r>
              <w:rPr>
                <w:rFonts w:ascii="Courier New" w:cs="Courier New" w:eastAsia="Courier New" w:hAnsi="Courier New"/>
                <w:sz w:val="17"/>
                <w:szCs w:val="17"/>
                <w:color w:val="auto"/>
                <w:w w:val="97"/>
              </w:rPr>
              <w:t>Decrease</w:t>
            </w:r>
          </w:p>
        </w:tc>
        <w:tc>
          <w:tcPr>
            <w:tcW w:w="4880" w:type="dxa"/>
            <w:vAlign w:val="bottom"/>
          </w:tcPr>
          <w:p>
            <w:pPr>
              <w:ind w:left="200"/>
              <w:spacing w:after="0"/>
              <w:rPr>
                <w:sz w:val="20"/>
                <w:szCs w:val="20"/>
                <w:color w:val="auto"/>
              </w:rPr>
            </w:pPr>
            <w:r>
              <w:rPr>
                <w:rFonts w:ascii="Courier New" w:cs="Courier New" w:eastAsia="Courier New" w:hAnsi="Courier New"/>
                <w:sz w:val="17"/>
                <w:szCs w:val="17"/>
                <w:color w:val="auto"/>
              </w:rPr>
              <w:t>(increase) in accounts receivable</w:t>
            </w:r>
          </w:p>
        </w:tc>
        <w:tc>
          <w:tcPr>
            <w:tcW w:w="420" w:type="dxa"/>
            <w:vAlign w:val="bottom"/>
          </w:tcPr>
          <w:p>
            <w:pPr>
              <w:spacing w:after="0"/>
              <w:rPr>
                <w:sz w:val="17"/>
                <w:szCs w:val="17"/>
                <w:color w:val="auto"/>
              </w:rPr>
            </w:pP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(716)</w:t>
            </w:r>
          </w:p>
        </w:tc>
        <w:tc>
          <w:tcPr>
            <w:tcW w:w="7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188</w:t>
            </w:r>
          </w:p>
        </w:tc>
      </w:tr>
      <w:tr>
        <w:trPr>
          <w:trHeight w:val="196"/>
        </w:trPr>
        <w:tc>
          <w:tcPr>
            <w:tcW w:w="62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Increase in prepaid expenses and other</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6220" w:type="dxa"/>
            <w:vAlign w:val="bottom"/>
            <w:gridSpan w:val="3"/>
          </w:tcPr>
          <w:p>
            <w:pPr>
              <w:ind w:left="620"/>
              <w:spacing w:after="0"/>
              <w:rPr>
                <w:sz w:val="20"/>
                <w:szCs w:val="20"/>
                <w:color w:val="auto"/>
              </w:rPr>
            </w:pPr>
            <w:r>
              <w:rPr>
                <w:rFonts w:ascii="Courier New" w:cs="Courier New" w:eastAsia="Courier New" w:hAnsi="Courier New"/>
                <w:sz w:val="17"/>
                <w:szCs w:val="17"/>
                <w:color w:val="auto"/>
              </w:rPr>
              <w:t>assets before depreciation and amortization</w:t>
            </w:r>
          </w:p>
        </w:tc>
        <w:tc>
          <w:tcPr>
            <w:tcW w:w="420" w:type="dxa"/>
            <w:vAlign w:val="bottom"/>
          </w:tcPr>
          <w:p>
            <w:pPr>
              <w:spacing w:after="0"/>
              <w:rPr>
                <w:sz w:val="17"/>
                <w:szCs w:val="17"/>
                <w:color w:val="auto"/>
              </w:rPr>
            </w:pP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(6,147)</w:t>
            </w:r>
          </w:p>
        </w:tc>
        <w:tc>
          <w:tcPr>
            <w:tcW w:w="7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(9,769)</w:t>
            </w:r>
          </w:p>
        </w:tc>
      </w:tr>
      <w:tr>
        <w:trPr>
          <w:trHeight w:val="196"/>
        </w:trPr>
        <w:tc>
          <w:tcPr>
            <w:tcW w:w="62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Increase (decrease) in operating accounts payable,</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6220" w:type="dxa"/>
            <w:vAlign w:val="bottom"/>
            <w:gridSpan w:val="3"/>
          </w:tcPr>
          <w:p>
            <w:pPr>
              <w:ind w:left="620"/>
              <w:spacing w:after="0"/>
              <w:rPr>
                <w:sz w:val="20"/>
                <w:szCs w:val="20"/>
                <w:color w:val="auto"/>
              </w:rPr>
            </w:pPr>
            <w:r>
              <w:rPr>
                <w:rFonts w:ascii="Courier New" w:cs="Courier New" w:eastAsia="Courier New" w:hAnsi="Courier New"/>
                <w:sz w:val="17"/>
                <w:szCs w:val="17"/>
                <w:color w:val="auto"/>
              </w:rPr>
              <w:t>security deposits and prepaid rent</w:t>
            </w:r>
          </w:p>
        </w:tc>
        <w:tc>
          <w:tcPr>
            <w:tcW w:w="4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1,954</w:t>
            </w:r>
          </w:p>
        </w:tc>
        <w:tc>
          <w:tcPr>
            <w:tcW w:w="7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(535)</w:t>
            </w:r>
          </w:p>
        </w:tc>
      </w:tr>
      <w:tr>
        <w:trPr>
          <w:trHeight w:val="196"/>
        </w:trPr>
        <w:tc>
          <w:tcPr>
            <w:tcW w:w="1340" w:type="dxa"/>
            <w:vAlign w:val="bottom"/>
            <w:gridSpan w:val="2"/>
          </w:tcPr>
          <w:p>
            <w:pPr>
              <w:ind w:left="520"/>
              <w:spacing w:after="0"/>
              <w:rPr>
                <w:sz w:val="20"/>
                <w:szCs w:val="20"/>
                <w:color w:val="auto"/>
              </w:rPr>
            </w:pPr>
            <w:r>
              <w:rPr>
                <w:rFonts w:ascii="Courier New" w:cs="Courier New" w:eastAsia="Courier New" w:hAnsi="Courier New"/>
                <w:sz w:val="17"/>
                <w:szCs w:val="17"/>
                <w:color w:val="auto"/>
                <w:w w:val="97"/>
              </w:rPr>
              <w:t>Decrease</w:t>
            </w:r>
          </w:p>
        </w:tc>
        <w:tc>
          <w:tcPr>
            <w:tcW w:w="4880" w:type="dxa"/>
            <w:vAlign w:val="bottom"/>
          </w:tcPr>
          <w:p>
            <w:pPr>
              <w:ind w:left="200"/>
              <w:spacing w:after="0"/>
              <w:rPr>
                <w:sz w:val="20"/>
                <w:szCs w:val="20"/>
                <w:color w:val="auto"/>
              </w:rPr>
            </w:pPr>
            <w:r>
              <w:rPr>
                <w:rFonts w:ascii="Courier New" w:cs="Courier New" w:eastAsia="Courier New" w:hAnsi="Courier New"/>
                <w:sz w:val="17"/>
                <w:szCs w:val="17"/>
                <w:color w:val="auto"/>
              </w:rPr>
              <w:t>in accrued expenses</w:t>
            </w:r>
          </w:p>
        </w:tc>
        <w:tc>
          <w:tcPr>
            <w:tcW w:w="420" w:type="dxa"/>
            <w:vAlign w:val="bottom"/>
          </w:tcPr>
          <w:p>
            <w:pPr>
              <w:spacing w:after="0"/>
              <w:rPr>
                <w:sz w:val="17"/>
                <w:szCs w:val="17"/>
                <w:color w:val="auto"/>
              </w:rPr>
            </w:pP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(164)</w:t>
            </w:r>
          </w:p>
        </w:tc>
        <w:tc>
          <w:tcPr>
            <w:tcW w:w="7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(2,556)</w:t>
            </w:r>
          </w:p>
        </w:tc>
      </w:tr>
      <w:tr>
        <w:trPr>
          <w:trHeight w:val="196"/>
        </w:trPr>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0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Net cash provided by operating activities</w:t>
            </w:r>
          </w:p>
        </w:tc>
        <w:tc>
          <w:tcPr>
            <w:tcW w:w="4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61,641</w:t>
            </w:r>
          </w:p>
        </w:tc>
        <w:tc>
          <w:tcPr>
            <w:tcW w:w="7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48,154</w:t>
            </w:r>
          </w:p>
        </w:tc>
      </w:tr>
      <w:tr>
        <w:trPr>
          <w:trHeight w:val="392"/>
        </w:trPr>
        <w:tc>
          <w:tcPr>
            <w:tcW w:w="6220" w:type="dxa"/>
            <w:vAlign w:val="bottom"/>
            <w:gridSpan w:val="3"/>
          </w:tcPr>
          <w:p>
            <w:pPr>
              <w:spacing w:after="0"/>
              <w:rPr>
                <w:sz w:val="20"/>
                <w:szCs w:val="20"/>
                <w:color w:val="auto"/>
              </w:rPr>
            </w:pPr>
            <w:r>
              <w:rPr>
                <w:rFonts w:ascii="Courier New" w:cs="Courier New" w:eastAsia="Courier New" w:hAnsi="Courier New"/>
                <w:sz w:val="17"/>
                <w:szCs w:val="17"/>
                <w:color w:val="auto"/>
              </w:rPr>
              <w:t>INVESTING ACTIVITIES</w:t>
            </w: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62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Acquisition of real estate</w:t>
            </w:r>
          </w:p>
        </w:tc>
        <w:tc>
          <w:tcPr>
            <w:tcW w:w="420" w:type="dxa"/>
            <w:vAlign w:val="bottom"/>
          </w:tcPr>
          <w:p>
            <w:pPr>
              <w:spacing w:after="0"/>
              <w:rPr>
                <w:sz w:val="17"/>
                <w:szCs w:val="17"/>
                <w:color w:val="auto"/>
              </w:rPr>
            </w:pP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(92,946)</w:t>
            </w:r>
          </w:p>
        </w:tc>
        <w:tc>
          <w:tcPr>
            <w:tcW w:w="7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(126,349)</w:t>
            </w:r>
          </w:p>
        </w:tc>
      </w:tr>
      <w:tr>
        <w:trPr>
          <w:trHeight w:val="196"/>
        </w:trPr>
        <w:tc>
          <w:tcPr>
            <w:tcW w:w="62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Capital expenditures and development</w:t>
            </w:r>
          </w:p>
        </w:tc>
        <w:tc>
          <w:tcPr>
            <w:tcW w:w="420" w:type="dxa"/>
            <w:vAlign w:val="bottom"/>
          </w:tcPr>
          <w:p>
            <w:pPr>
              <w:spacing w:after="0"/>
              <w:rPr>
                <w:sz w:val="17"/>
                <w:szCs w:val="17"/>
                <w:color w:val="auto"/>
              </w:rPr>
            </w:pP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(46,309)</w:t>
            </w:r>
          </w:p>
        </w:tc>
        <w:tc>
          <w:tcPr>
            <w:tcW w:w="7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(33,206)</w:t>
            </w:r>
          </w:p>
        </w:tc>
      </w:tr>
      <w:tr>
        <w:trPr>
          <w:trHeight w:val="196"/>
        </w:trPr>
        <w:tc>
          <w:tcPr>
            <w:tcW w:w="62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Proceeds from sale of real estate</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9,364</w:t>
            </w:r>
          </w:p>
        </w:tc>
      </w:tr>
      <w:tr>
        <w:trPr>
          <w:trHeight w:val="196"/>
        </w:trPr>
        <w:tc>
          <w:tcPr>
            <w:tcW w:w="62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Application of deposit on real estate</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23,447</w:t>
            </w:r>
          </w:p>
        </w:tc>
      </w:tr>
      <w:tr>
        <w:trPr>
          <w:trHeight w:val="196"/>
        </w:trPr>
        <w:tc>
          <w:tcPr>
            <w:tcW w:w="62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Net increase in notes receivable</w:t>
            </w:r>
          </w:p>
        </w:tc>
        <w:tc>
          <w:tcPr>
            <w:tcW w:w="420" w:type="dxa"/>
            <w:vAlign w:val="bottom"/>
          </w:tcPr>
          <w:p>
            <w:pPr>
              <w:spacing w:after="0"/>
              <w:rPr>
                <w:sz w:val="17"/>
                <w:szCs w:val="17"/>
                <w:color w:val="auto"/>
              </w:rPr>
            </w:pP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(17,529)</w:t>
            </w:r>
          </w:p>
        </w:tc>
        <w:tc>
          <w:tcPr>
            <w:tcW w:w="7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(10,350)</w:t>
            </w:r>
          </w:p>
        </w:tc>
      </w:tr>
      <w:tr>
        <w:trPr>
          <w:trHeight w:val="196"/>
        </w:trPr>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0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Net cash used in investing activities</w:t>
            </w:r>
          </w:p>
        </w:tc>
        <w:tc>
          <w:tcPr>
            <w:tcW w:w="420" w:type="dxa"/>
            <w:vAlign w:val="bottom"/>
          </w:tcPr>
          <w:p>
            <w:pPr>
              <w:spacing w:after="0"/>
              <w:rPr>
                <w:sz w:val="17"/>
                <w:szCs w:val="17"/>
                <w:color w:val="auto"/>
              </w:rPr>
            </w:pP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w w:val="97"/>
              </w:rPr>
              <w:t>(156,784)</w:t>
            </w:r>
          </w:p>
        </w:tc>
        <w:tc>
          <w:tcPr>
            <w:tcW w:w="7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(137,094)</w:t>
            </w:r>
          </w:p>
        </w:tc>
      </w:tr>
      <w:tr>
        <w:trPr>
          <w:trHeight w:val="392"/>
        </w:trPr>
        <w:tc>
          <w:tcPr>
            <w:tcW w:w="6220" w:type="dxa"/>
            <w:vAlign w:val="bottom"/>
            <w:gridSpan w:val="3"/>
          </w:tcPr>
          <w:p>
            <w:pPr>
              <w:spacing w:after="0"/>
              <w:rPr>
                <w:sz w:val="20"/>
                <w:szCs w:val="20"/>
                <w:color w:val="auto"/>
              </w:rPr>
            </w:pPr>
            <w:r>
              <w:rPr>
                <w:rFonts w:ascii="Courier New" w:cs="Courier New" w:eastAsia="Courier New" w:hAnsi="Courier New"/>
                <w:sz w:val="17"/>
                <w:szCs w:val="17"/>
                <w:color w:val="auto"/>
              </w:rPr>
              <w:t>FINANCING ACTIVITIES</w:t>
            </w: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62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Regular payments on mortgages, capital leases, and</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622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notes payable</w:t>
            </w:r>
          </w:p>
        </w:tc>
        <w:tc>
          <w:tcPr>
            <w:tcW w:w="420" w:type="dxa"/>
            <w:vAlign w:val="bottom"/>
          </w:tcPr>
          <w:p>
            <w:pPr>
              <w:spacing w:after="0"/>
              <w:rPr>
                <w:sz w:val="17"/>
                <w:szCs w:val="17"/>
                <w:color w:val="auto"/>
              </w:rPr>
            </w:pP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(1,466)</w:t>
            </w:r>
          </w:p>
        </w:tc>
        <w:tc>
          <w:tcPr>
            <w:tcW w:w="7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(1,593)</w:t>
            </w:r>
          </w:p>
        </w:tc>
      </w:tr>
      <w:tr>
        <w:trPr>
          <w:trHeight w:val="196"/>
        </w:trPr>
        <w:tc>
          <w:tcPr>
            <w:tcW w:w="62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Balloon payment on note  and mortgages payable</w:t>
            </w:r>
          </w:p>
        </w:tc>
        <w:tc>
          <w:tcPr>
            <w:tcW w:w="420" w:type="dxa"/>
            <w:vAlign w:val="bottom"/>
          </w:tcPr>
          <w:p>
            <w:pPr>
              <w:spacing w:after="0"/>
              <w:rPr>
                <w:sz w:val="17"/>
                <w:szCs w:val="17"/>
                <w:color w:val="auto"/>
              </w:rPr>
            </w:pP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(53,534)</w:t>
            </w:r>
          </w:p>
        </w:tc>
        <w:tc>
          <w:tcPr>
            <w:tcW w:w="7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(1,500)</w:t>
            </w:r>
          </w:p>
        </w:tc>
      </w:tr>
      <w:tr>
        <w:trPr>
          <w:trHeight w:val="196"/>
        </w:trPr>
        <w:tc>
          <w:tcPr>
            <w:tcW w:w="1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Borrowing</w:t>
            </w:r>
          </w:p>
        </w:tc>
        <w:tc>
          <w:tcPr>
            <w:tcW w:w="4880" w:type="dxa"/>
            <w:vAlign w:val="bottom"/>
          </w:tcPr>
          <w:p>
            <w:pPr>
              <w:spacing w:after="0"/>
              <w:rPr>
                <w:sz w:val="20"/>
                <w:szCs w:val="20"/>
                <w:color w:val="auto"/>
              </w:rPr>
            </w:pPr>
            <w:r>
              <w:rPr>
                <w:rFonts w:ascii="Courier New" w:cs="Courier New" w:eastAsia="Courier New" w:hAnsi="Courier New"/>
                <w:sz w:val="17"/>
                <w:szCs w:val="17"/>
                <w:color w:val="auto"/>
              </w:rPr>
              <w:t>of short-term debt, net</w:t>
            </w:r>
          </w:p>
        </w:tc>
        <w:tc>
          <w:tcPr>
            <w:tcW w:w="4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116,009</w:t>
            </w:r>
          </w:p>
        </w:tc>
        <w:tc>
          <w:tcPr>
            <w:tcW w:w="7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5,886</w:t>
            </w:r>
          </w:p>
        </w:tc>
      </w:tr>
      <w:tr>
        <w:trPr>
          <w:trHeight w:val="196"/>
        </w:trPr>
        <w:tc>
          <w:tcPr>
            <w:tcW w:w="62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Issuance of senior notes, net of costs</w:t>
            </w:r>
          </w:p>
        </w:tc>
        <w:tc>
          <w:tcPr>
            <w:tcW w:w="4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79,540</w:t>
            </w:r>
          </w:p>
        </w:tc>
        <w:tc>
          <w:tcPr>
            <w:tcW w:w="7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39,750</w:t>
            </w:r>
          </w:p>
        </w:tc>
      </w:tr>
      <w:tr>
        <w:trPr>
          <w:trHeight w:val="196"/>
        </w:trPr>
        <w:tc>
          <w:tcPr>
            <w:tcW w:w="62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Dividends paid</w:t>
            </w:r>
          </w:p>
        </w:tc>
        <w:tc>
          <w:tcPr>
            <w:tcW w:w="420" w:type="dxa"/>
            <w:vAlign w:val="bottom"/>
          </w:tcPr>
          <w:p>
            <w:pPr>
              <w:spacing w:after="0"/>
              <w:rPr>
                <w:sz w:val="17"/>
                <w:szCs w:val="17"/>
                <w:color w:val="auto"/>
              </w:rPr>
            </w:pP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(55,342)</w:t>
            </w:r>
          </w:p>
        </w:tc>
        <w:tc>
          <w:tcPr>
            <w:tcW w:w="7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(45,909)</w:t>
            </w:r>
          </w:p>
        </w:tc>
      </w:tr>
      <w:tr>
        <w:trPr>
          <w:trHeight w:val="196"/>
        </w:trPr>
        <w:tc>
          <w:tcPr>
            <w:tcW w:w="62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Issuance of shares of beneficial interest</w:t>
            </w:r>
          </w:p>
        </w:tc>
        <w:tc>
          <w:tcPr>
            <w:tcW w:w="4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4,229</w:t>
            </w:r>
          </w:p>
        </w:tc>
        <w:tc>
          <w:tcPr>
            <w:tcW w:w="7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86,436</w:t>
            </w:r>
          </w:p>
        </w:tc>
      </w:tr>
      <w:tr>
        <w:trPr>
          <w:trHeight w:val="196"/>
        </w:trPr>
        <w:tc>
          <w:tcPr>
            <w:tcW w:w="1020" w:type="dxa"/>
            <w:vAlign w:val="bottom"/>
          </w:tcPr>
          <w:p>
            <w:pPr>
              <w:ind w:left="100"/>
              <w:spacing w:after="0"/>
              <w:rPr>
                <w:sz w:val="20"/>
                <w:szCs w:val="20"/>
                <w:color w:val="auto"/>
              </w:rPr>
            </w:pPr>
            <w:r>
              <w:rPr>
                <w:rFonts w:ascii="Courier New" w:cs="Courier New" w:eastAsia="Courier New" w:hAnsi="Courier New"/>
                <w:sz w:val="17"/>
                <w:szCs w:val="17"/>
                <w:color w:val="auto"/>
              </w:rPr>
              <w:t>Increase</w:t>
            </w:r>
          </w:p>
        </w:tc>
        <w:tc>
          <w:tcPr>
            <w:tcW w:w="5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in minority interest</w:t>
            </w:r>
          </w:p>
        </w:tc>
        <w:tc>
          <w:tcPr>
            <w:tcW w:w="420" w:type="dxa"/>
            <w:vAlign w:val="bottom"/>
          </w:tcPr>
          <w:p>
            <w:pPr>
              <w:spacing w:after="0"/>
              <w:rPr>
                <w:sz w:val="17"/>
                <w:szCs w:val="17"/>
                <w:color w:val="auto"/>
              </w:rPr>
            </w:pP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(1,384)</w:t>
            </w:r>
          </w:p>
        </w:tc>
        <w:tc>
          <w:tcPr>
            <w:tcW w:w="7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(484)</w:t>
            </w:r>
          </w:p>
        </w:tc>
      </w:tr>
      <w:tr>
        <w:trPr>
          <w:trHeight w:val="196"/>
        </w:trPr>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0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w w:val="97"/>
              </w:rPr>
              <w:t>Net cash</w:t>
            </w:r>
          </w:p>
        </w:tc>
        <w:tc>
          <w:tcPr>
            <w:tcW w:w="52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provided by financing activities</w:t>
            </w:r>
          </w:p>
        </w:tc>
        <w:tc>
          <w:tcPr>
            <w:tcW w:w="4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88,052</w:t>
            </w:r>
          </w:p>
        </w:tc>
        <w:tc>
          <w:tcPr>
            <w:tcW w:w="7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82,586</w:t>
            </w:r>
          </w:p>
        </w:tc>
      </w:tr>
      <w:tr>
        <w:trPr>
          <w:trHeight w:val="196"/>
        </w:trPr>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0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1020" w:type="dxa"/>
            <w:vAlign w:val="bottom"/>
          </w:tcPr>
          <w:p>
            <w:pPr>
              <w:spacing w:after="0"/>
              <w:rPr>
                <w:sz w:val="20"/>
                <w:szCs w:val="20"/>
                <w:color w:val="auto"/>
              </w:rPr>
            </w:pPr>
            <w:r>
              <w:rPr>
                <w:rFonts w:ascii="Courier New" w:cs="Courier New" w:eastAsia="Courier New" w:hAnsi="Courier New"/>
                <w:sz w:val="17"/>
                <w:szCs w:val="17"/>
                <w:color w:val="auto"/>
              </w:rPr>
              <w:t>Decrease</w:t>
            </w:r>
          </w:p>
        </w:tc>
        <w:tc>
          <w:tcPr>
            <w:tcW w:w="5200" w:type="dxa"/>
            <w:vAlign w:val="bottom"/>
            <w:gridSpan w:val="2"/>
          </w:tcPr>
          <w:p>
            <w:pPr>
              <w:spacing w:after="0"/>
              <w:rPr>
                <w:sz w:val="20"/>
                <w:szCs w:val="20"/>
                <w:color w:val="auto"/>
              </w:rPr>
            </w:pPr>
            <w:r>
              <w:rPr>
                <w:rFonts w:ascii="Courier New" w:cs="Courier New" w:eastAsia="Courier New" w:hAnsi="Courier New"/>
                <w:sz w:val="17"/>
                <w:szCs w:val="17"/>
                <w:color w:val="auto"/>
              </w:rPr>
              <w:t>in cash</w:t>
            </w:r>
          </w:p>
        </w:tc>
        <w:tc>
          <w:tcPr>
            <w:tcW w:w="420" w:type="dxa"/>
            <w:vAlign w:val="bottom"/>
          </w:tcPr>
          <w:p>
            <w:pPr>
              <w:spacing w:after="0"/>
              <w:rPr>
                <w:sz w:val="24"/>
                <w:szCs w:val="24"/>
                <w:color w:val="auto"/>
              </w:rPr>
            </w:pP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(7,091)</w:t>
            </w:r>
          </w:p>
        </w:tc>
        <w:tc>
          <w:tcPr>
            <w:tcW w:w="7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(6,354)</w:t>
            </w:r>
          </w:p>
        </w:tc>
      </w:tr>
      <w:tr>
        <w:trPr>
          <w:trHeight w:val="392"/>
        </w:trPr>
        <w:tc>
          <w:tcPr>
            <w:tcW w:w="6220" w:type="dxa"/>
            <w:vAlign w:val="bottom"/>
            <w:gridSpan w:val="3"/>
          </w:tcPr>
          <w:p>
            <w:pPr>
              <w:spacing w:after="0"/>
              <w:rPr>
                <w:sz w:val="20"/>
                <w:szCs w:val="20"/>
                <w:color w:val="auto"/>
              </w:rPr>
            </w:pPr>
            <w:r>
              <w:rPr>
                <w:rFonts w:ascii="Courier New" w:cs="Courier New" w:eastAsia="Courier New" w:hAnsi="Courier New"/>
                <w:sz w:val="17"/>
                <w:szCs w:val="17"/>
                <w:color w:val="auto"/>
              </w:rPr>
              <w:t>Cash at beginning of period</w:t>
            </w:r>
          </w:p>
        </w:tc>
        <w:tc>
          <w:tcPr>
            <w:tcW w:w="420" w:type="dxa"/>
            <w:vAlign w:val="bottom"/>
          </w:tcPr>
          <w:p>
            <w:pPr>
              <w:spacing w:after="0"/>
              <w:rPr>
                <w:sz w:val="24"/>
                <w:szCs w:val="24"/>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17,043</w:t>
            </w:r>
          </w:p>
        </w:tc>
        <w:tc>
          <w:tcPr>
            <w:tcW w:w="76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11,041</w:t>
            </w:r>
          </w:p>
        </w:tc>
      </w:tr>
      <w:tr>
        <w:trPr>
          <w:trHeight w:val="196"/>
        </w:trPr>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0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gridSpan w:val="3"/>
          </w:tcPr>
          <w:p>
            <w:pPr>
              <w:spacing w:after="0"/>
              <w:rPr>
                <w:sz w:val="20"/>
                <w:szCs w:val="20"/>
                <w:color w:val="auto"/>
              </w:rPr>
            </w:pPr>
            <w:r>
              <w:rPr>
                <w:rFonts w:ascii="Courier New" w:cs="Courier New" w:eastAsia="Courier New" w:hAnsi="Courier New"/>
                <w:sz w:val="17"/>
                <w:szCs w:val="17"/>
                <w:color w:val="auto"/>
              </w:rPr>
              <w:t>Cash at end of period</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9,952</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4,687</w:t>
            </w:r>
          </w:p>
        </w:tc>
      </w:tr>
      <w:tr>
        <w:trPr>
          <w:trHeight w:val="196"/>
        </w:trPr>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0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3" w:right="1440" w:bottom="1440" w:gutter="0" w:footer="0" w:header="0"/>
        </w:sectPr>
      </w:pPr>
    </w:p>
    <w:bookmarkStart w:id="9" w:name="page10"/>
    <w:bookmarkEnd w:id="9"/>
    <w:p>
      <w:pPr>
        <w:ind w:left="246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September 30, 1998</w:t>
      </w:r>
    </w:p>
    <w:p>
      <w:pPr>
        <w:spacing w:after="0" w:line="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(see accountants' review report)</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(unaudited)</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A - ACCOUNTING POLICIES AND OTHER DATA</w:t>
      </w:r>
    </w:p>
    <w:p>
      <w:pPr>
        <w:spacing w:after="0" w:line="201" w:lineRule="exact"/>
        <w:rPr>
          <w:sz w:val="20"/>
          <w:szCs w:val="20"/>
          <w:color w:val="auto"/>
        </w:rPr>
      </w:pPr>
    </w:p>
    <w:p>
      <w:pPr>
        <w:jc w:val="both"/>
        <w:ind w:right="2059" w:firstLine="204"/>
        <w:spacing w:after="0" w:line="243" w:lineRule="auto"/>
        <w:rPr>
          <w:sz w:val="20"/>
          <w:szCs w:val="20"/>
          <w:color w:val="auto"/>
        </w:rPr>
      </w:pPr>
      <w:r>
        <w:rPr>
          <w:rFonts w:ascii="Courier New" w:cs="Courier New" w:eastAsia="Courier New" w:hAnsi="Courier New"/>
          <w:sz w:val="17"/>
          <w:szCs w:val="17"/>
          <w:color w:val="auto"/>
        </w:rPr>
        <w:t>Reference should be made to the notes to financial statements included in the Annual Report to shareholders for the year ended December 31, 1997 which contain the Trust's accounting policies and other data.</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following table sets forth the reconciliation between basic and diluted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EPS: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80" w:type="dxa"/>
            <w:vAlign w:val="bottom"/>
          </w:tcPr>
          <w:p>
            <w:pPr>
              <w:spacing w:after="0"/>
              <w:rPr>
                <w:sz w:val="16"/>
                <w:szCs w:val="16"/>
                <w:color w:val="auto"/>
              </w:rPr>
            </w:pPr>
          </w:p>
        </w:tc>
        <w:tc>
          <w:tcPr>
            <w:tcW w:w="2140" w:type="dxa"/>
            <w:vAlign w:val="bottom"/>
            <w:gridSpan w:val="2"/>
          </w:tcPr>
          <w:p>
            <w:pPr>
              <w:jc w:val="right"/>
              <w:ind w:right="435"/>
              <w:spacing w:after="0"/>
              <w:rPr>
                <w:sz w:val="20"/>
                <w:szCs w:val="20"/>
                <w:color w:val="auto"/>
              </w:rPr>
            </w:pPr>
            <w:r>
              <w:rPr>
                <w:rFonts w:ascii="Courier New" w:cs="Courier New" w:eastAsia="Courier New" w:hAnsi="Courier New"/>
                <w:sz w:val="17"/>
                <w:szCs w:val="17"/>
                <w:color w:val="auto"/>
              </w:rPr>
              <w:t>Nine months</w:t>
            </w:r>
          </w:p>
        </w:tc>
        <w:tc>
          <w:tcPr>
            <w:tcW w:w="204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Three months</w:t>
            </w:r>
          </w:p>
        </w:tc>
      </w:tr>
      <w:tr>
        <w:trPr>
          <w:trHeight w:val="196"/>
        </w:trPr>
        <w:tc>
          <w:tcPr>
            <w:tcW w:w="348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1998</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1997</w:t>
            </w:r>
          </w:p>
        </w:tc>
        <w:tc>
          <w:tcPr>
            <w:tcW w:w="11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1998</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r>
        <w:trPr>
          <w:trHeight w:val="392"/>
        </w:trPr>
        <w:tc>
          <w:tcPr>
            <w:tcW w:w="3480" w:type="dxa"/>
            <w:vAlign w:val="bottom"/>
          </w:tcPr>
          <w:p>
            <w:pPr>
              <w:spacing w:after="0"/>
              <w:rPr>
                <w:sz w:val="20"/>
                <w:szCs w:val="20"/>
                <w:color w:val="auto"/>
              </w:rPr>
            </w:pPr>
            <w:r>
              <w:rPr>
                <w:rFonts w:ascii="Courier New" w:cs="Courier New" w:eastAsia="Courier New" w:hAnsi="Courier New"/>
                <w:sz w:val="17"/>
                <w:szCs w:val="17"/>
                <w:color w:val="auto"/>
              </w:rPr>
              <w:t>NUMERATOR</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6"/>
        </w:trPr>
        <w:tc>
          <w:tcPr>
            <w:tcW w:w="3480" w:type="dxa"/>
            <w:vAlign w:val="bottom"/>
          </w:tcPr>
          <w:p>
            <w:pPr>
              <w:spacing w:after="0"/>
              <w:rPr>
                <w:sz w:val="20"/>
                <w:szCs w:val="20"/>
                <w:color w:val="auto"/>
              </w:rPr>
            </w:pPr>
            <w:r>
              <w:rPr>
                <w:rFonts w:ascii="Courier New" w:cs="Courier New" w:eastAsia="Courier New" w:hAnsi="Courier New"/>
                <w:sz w:val="17"/>
                <w:szCs w:val="17"/>
                <w:color w:val="auto"/>
              </w:rPr>
              <w:t>Net income available for common</w:t>
            </w: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3480" w:type="dxa"/>
            <w:vAlign w:val="bottom"/>
          </w:tcPr>
          <w:p>
            <w:pPr>
              <w:ind w:left="200"/>
              <w:spacing w:after="0"/>
              <w:rPr>
                <w:sz w:val="20"/>
                <w:szCs w:val="20"/>
                <w:color w:val="auto"/>
              </w:rPr>
            </w:pPr>
            <w:r>
              <w:rPr>
                <w:rFonts w:ascii="Courier New" w:cs="Courier New" w:eastAsia="Courier New" w:hAnsi="Courier New"/>
                <w:sz w:val="17"/>
                <w:szCs w:val="17"/>
                <w:color w:val="auto"/>
              </w:rPr>
              <w:t>shareholders - basic</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$26,214</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$35,810</w:t>
            </w:r>
          </w:p>
        </w:tc>
        <w:tc>
          <w:tcPr>
            <w:tcW w:w="11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$ 5,532</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$ 9,489</w:t>
            </w:r>
          </w:p>
        </w:tc>
      </w:tr>
      <w:tr>
        <w:trPr>
          <w:trHeight w:val="196"/>
        </w:trPr>
        <w:tc>
          <w:tcPr>
            <w:tcW w:w="3480" w:type="dxa"/>
            <w:vAlign w:val="bottom"/>
          </w:tcPr>
          <w:p>
            <w:pPr>
              <w:spacing w:after="0"/>
              <w:rPr>
                <w:sz w:val="20"/>
                <w:szCs w:val="20"/>
                <w:color w:val="auto"/>
              </w:rPr>
            </w:pPr>
            <w:r>
              <w:rPr>
                <w:rFonts w:ascii="Courier New" w:cs="Courier New" w:eastAsia="Courier New" w:hAnsi="Courier New"/>
                <w:sz w:val="17"/>
                <w:szCs w:val="17"/>
                <w:color w:val="auto"/>
              </w:rPr>
              <w:t>Income attributable to operating</w:t>
            </w: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3480" w:type="dxa"/>
            <w:vAlign w:val="bottom"/>
          </w:tcPr>
          <w:p>
            <w:pPr>
              <w:ind w:left="200"/>
              <w:spacing w:after="0"/>
              <w:rPr>
                <w:sz w:val="20"/>
                <w:szCs w:val="20"/>
                <w:color w:val="auto"/>
              </w:rPr>
            </w:pPr>
            <w:r>
              <w:rPr>
                <w:rFonts w:ascii="Courier New" w:cs="Courier New" w:eastAsia="Courier New" w:hAnsi="Courier New"/>
                <w:sz w:val="17"/>
                <w:szCs w:val="17"/>
                <w:color w:val="auto"/>
              </w:rPr>
              <w:t>partnership units</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682</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268</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48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480" w:type="dxa"/>
            <w:vAlign w:val="bottom"/>
          </w:tcPr>
          <w:p>
            <w:pPr>
              <w:spacing w:after="0"/>
              <w:rPr>
                <w:sz w:val="20"/>
                <w:szCs w:val="20"/>
                <w:color w:val="auto"/>
              </w:rPr>
            </w:pPr>
            <w:r>
              <w:rPr>
                <w:rFonts w:ascii="Courier New" w:cs="Courier New" w:eastAsia="Courier New" w:hAnsi="Courier New"/>
                <w:sz w:val="17"/>
                <w:szCs w:val="17"/>
                <w:color w:val="auto"/>
              </w:rPr>
              <w:t>Net income available for common</w:t>
            </w: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3480" w:type="dxa"/>
            <w:vAlign w:val="bottom"/>
          </w:tcPr>
          <w:p>
            <w:pPr>
              <w:ind w:left="200"/>
              <w:spacing w:after="0"/>
              <w:rPr>
                <w:sz w:val="20"/>
                <w:szCs w:val="20"/>
                <w:color w:val="auto"/>
              </w:rPr>
            </w:pPr>
            <w:r>
              <w:rPr>
                <w:rFonts w:ascii="Courier New" w:cs="Courier New" w:eastAsia="Courier New" w:hAnsi="Courier New"/>
                <w:sz w:val="17"/>
                <w:szCs w:val="17"/>
                <w:color w:val="auto"/>
              </w:rPr>
              <w:t>shareholders - diluted</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$26,896</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$35,810</w:t>
            </w:r>
          </w:p>
        </w:tc>
        <w:tc>
          <w:tcPr>
            <w:tcW w:w="11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$ 5,800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$ 9,489</w:t>
            </w:r>
          </w:p>
        </w:tc>
      </w:tr>
      <w:tr>
        <w:trPr>
          <w:trHeight w:val="392"/>
        </w:trPr>
        <w:tc>
          <w:tcPr>
            <w:tcW w:w="3480" w:type="dxa"/>
            <w:vAlign w:val="bottom"/>
          </w:tcPr>
          <w:p>
            <w:pPr>
              <w:spacing w:after="0"/>
              <w:rPr>
                <w:sz w:val="20"/>
                <w:szCs w:val="20"/>
                <w:color w:val="auto"/>
              </w:rPr>
            </w:pPr>
            <w:r>
              <w:rPr>
                <w:rFonts w:ascii="Courier New" w:cs="Courier New" w:eastAsia="Courier New" w:hAnsi="Courier New"/>
                <w:sz w:val="17"/>
                <w:szCs w:val="17"/>
                <w:color w:val="auto"/>
              </w:rPr>
              <w:t>DENOMINATOR</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6"/>
        </w:trPr>
        <w:tc>
          <w:tcPr>
            <w:tcW w:w="3480" w:type="dxa"/>
            <w:vAlign w:val="bottom"/>
          </w:tcPr>
          <w:p>
            <w:pPr>
              <w:spacing w:after="0"/>
              <w:rPr>
                <w:sz w:val="20"/>
                <w:szCs w:val="20"/>
                <w:color w:val="auto"/>
              </w:rPr>
            </w:pPr>
            <w:r>
              <w:rPr>
                <w:rFonts w:ascii="Courier New" w:cs="Courier New" w:eastAsia="Courier New" w:hAnsi="Courier New"/>
                <w:sz w:val="17"/>
                <w:szCs w:val="17"/>
                <w:color w:val="auto"/>
              </w:rPr>
              <w:t>Denominator for basic EPS-</w:t>
            </w: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3480" w:type="dxa"/>
            <w:vAlign w:val="bottom"/>
          </w:tcPr>
          <w:p>
            <w:pPr>
              <w:ind w:left="200"/>
              <w:spacing w:after="0"/>
              <w:rPr>
                <w:sz w:val="20"/>
                <w:szCs w:val="20"/>
                <w:color w:val="auto"/>
              </w:rPr>
            </w:pPr>
            <w:r>
              <w:rPr>
                <w:rFonts w:ascii="Courier New" w:cs="Courier New" w:eastAsia="Courier New" w:hAnsi="Courier New"/>
                <w:sz w:val="17"/>
                <w:szCs w:val="17"/>
                <w:color w:val="auto"/>
              </w:rPr>
              <w:t>weighted average shares</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39,115</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38,352</w:t>
            </w:r>
          </w:p>
        </w:tc>
        <w:tc>
          <w:tcPr>
            <w:tcW w:w="11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39,233</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38,801</w:t>
            </w:r>
          </w:p>
        </w:tc>
      </w:tr>
      <w:tr>
        <w:trPr>
          <w:trHeight w:val="196"/>
        </w:trPr>
        <w:tc>
          <w:tcPr>
            <w:tcW w:w="3480" w:type="dxa"/>
            <w:vAlign w:val="bottom"/>
          </w:tcPr>
          <w:p>
            <w:pPr>
              <w:spacing w:after="0"/>
              <w:rPr>
                <w:sz w:val="20"/>
                <w:szCs w:val="20"/>
                <w:color w:val="auto"/>
              </w:rPr>
            </w:pPr>
            <w:r>
              <w:rPr>
                <w:rFonts w:ascii="Courier New" w:cs="Courier New" w:eastAsia="Courier New" w:hAnsi="Courier New"/>
                <w:sz w:val="17"/>
                <w:szCs w:val="17"/>
                <w:color w:val="auto"/>
              </w:rPr>
              <w:t>Effect of dilutive securities</w:t>
            </w: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3480" w:type="dxa"/>
            <w:vAlign w:val="bottom"/>
          </w:tcPr>
          <w:p>
            <w:pPr>
              <w:ind w:left="200"/>
              <w:spacing w:after="0"/>
              <w:rPr>
                <w:sz w:val="20"/>
                <w:szCs w:val="20"/>
                <w:color w:val="auto"/>
              </w:rPr>
            </w:pPr>
            <w:r>
              <w:rPr>
                <w:rFonts w:ascii="Courier New" w:cs="Courier New" w:eastAsia="Courier New" w:hAnsi="Courier New"/>
                <w:sz w:val="17"/>
                <w:szCs w:val="17"/>
                <w:color w:val="auto"/>
              </w:rPr>
              <w:t>Stock options and awards</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314</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469</w:t>
            </w:r>
          </w:p>
        </w:tc>
        <w:tc>
          <w:tcPr>
            <w:tcW w:w="11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225</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424</w:t>
            </w:r>
          </w:p>
        </w:tc>
      </w:tr>
      <w:tr>
        <w:trPr>
          <w:trHeight w:val="196"/>
        </w:trPr>
        <w:tc>
          <w:tcPr>
            <w:tcW w:w="3480" w:type="dxa"/>
            <w:vAlign w:val="bottom"/>
          </w:tcPr>
          <w:p>
            <w:pPr>
              <w:ind w:left="200"/>
              <w:spacing w:after="0"/>
              <w:rPr>
                <w:sz w:val="20"/>
                <w:szCs w:val="20"/>
                <w:color w:val="auto"/>
              </w:rPr>
            </w:pPr>
            <w:r>
              <w:rPr>
                <w:rFonts w:ascii="Courier New" w:cs="Courier New" w:eastAsia="Courier New" w:hAnsi="Courier New"/>
                <w:sz w:val="17"/>
                <w:szCs w:val="17"/>
                <w:color w:val="auto"/>
              </w:rPr>
              <w:t>Operating partnership units</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524</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609</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48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480" w:type="dxa"/>
            <w:vAlign w:val="bottom"/>
          </w:tcPr>
          <w:p>
            <w:pPr>
              <w:spacing w:after="0"/>
              <w:rPr>
                <w:sz w:val="20"/>
                <w:szCs w:val="20"/>
                <w:color w:val="auto"/>
              </w:rPr>
            </w:pPr>
            <w:r>
              <w:rPr>
                <w:rFonts w:ascii="Courier New" w:cs="Courier New" w:eastAsia="Courier New" w:hAnsi="Courier New"/>
                <w:sz w:val="17"/>
                <w:szCs w:val="17"/>
                <w:color w:val="auto"/>
              </w:rPr>
              <w:t>Denominator for diluted EPS</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39,953</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38,821</w:t>
            </w:r>
          </w:p>
        </w:tc>
        <w:tc>
          <w:tcPr>
            <w:tcW w:w="11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40,067</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39,225</w:t>
            </w:r>
          </w:p>
        </w:tc>
      </w:tr>
    </w:tbl>
    <w:p>
      <w:pPr>
        <w:spacing w:after="0" w:line="200" w:lineRule="exact"/>
        <w:rPr>
          <w:sz w:val="20"/>
          <w:szCs w:val="20"/>
          <w:color w:val="auto"/>
        </w:rPr>
      </w:pPr>
    </w:p>
    <w:p>
      <w:pPr>
        <w:spacing w:after="0" w:line="393" w:lineRule="exact"/>
        <w:rPr>
          <w:sz w:val="20"/>
          <w:szCs w:val="20"/>
          <w:color w:val="auto"/>
        </w:rPr>
      </w:pPr>
    </w:p>
    <w:p>
      <w:pPr>
        <w:ind w:right="2059" w:firstLine="204"/>
        <w:spacing w:after="0" w:line="260" w:lineRule="auto"/>
        <w:rPr>
          <w:sz w:val="20"/>
          <w:szCs w:val="20"/>
          <w:color w:val="auto"/>
        </w:rPr>
      </w:pPr>
      <w:r>
        <w:rPr>
          <w:rFonts w:ascii="Courier New" w:cs="Courier New" w:eastAsia="Courier New" w:hAnsi="Courier New"/>
          <w:sz w:val="16"/>
          <w:szCs w:val="16"/>
          <w:color w:val="auto"/>
        </w:rPr>
        <w:t>On March 19, 1998 the Emerging Issues Task Force ("EITF") of the Financial Accounting Standards Board reached a consensus opinion on issue #97-11, "Accounting for Internal Costs Relating to Real Estate Property Acquisitions" which requires that the internal costs of preacquisition activities incurred in connection with the acquisition of an operating property be expensed as incurred, whereas the internal costs of preacquisition activities directly identifiable with the acquisition of a nonoperating or to be developed property should be capitalized as part of the cost of the acquisition. The Trust has traditionally capitalized internal preacquisition costs of both operating and nonoperating properties as a component of the acquisition price. As a result of the adoption of this EITF in the second quarter of 1998, the Trust's general and administrative expense has increased by approximately $1.5 million: $900,000 in the second quarter and $600,000 in the third quarter. The effect of the EITF on general and administrative expenses each quarter will depend on the acquisition effort spent on acquiring operating properties versus development properties.</w:t>
      </w:r>
    </w:p>
    <w:p>
      <w:pPr>
        <w:spacing w:after="0" w:line="19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0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NOTE B - REAL ESTATE AND ENCUMBRANCES</w:t>
      </w:r>
    </w:p>
    <w:p>
      <w:pPr>
        <w:spacing w:after="0" w:line="201"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During the first nine months of 1998 the Trust purchased ten properties in San Antonio, Texas for $14.2 million in cash. These properties, located on Houston Street near San Antonio's River Walk, are currently vacant and will be redeveloped, retenanted and remerchandised.</w:t>
      </w:r>
    </w:p>
    <w:p>
      <w:pPr>
        <w:spacing w:after="0" w:line="198"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The Trust has expanded its street retail holdings in the Los Angeles area by acquiring a retail building on Third Street Promenade in Santa Monica in February 1998 for $2.0 million in cash and by purchasing during the third quarter for cash a 90% interest in a $6.6 million building on Third Street and a 90% interest in a $6.4 million building in Pasadena, California. The Trust also secured property for future expansion of its Bethesda Row project in Bethesda, Maryland during the first nine months of 1998 by expending $2.0 million in cash to purchase two properties and to secure a long term ground lease on a third property. Other street retail acquisitions include the purchase on May 7, 1998 of a property for $5.2 million in cash in Tempe, Arizona and the purchase, for cash of $4.6 million, of an eighty-five percent interest in a second property in Tempe which is valued at $5.4 million.</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During the third quarter of 1998 the Trust acquired four shopping centers and a parcel adjacent to one of its existing centers. In August 1998 the Trust purchased Hauppauge Shopping Center on Long Island, New York for cash of $24.1 million and Tower Shopping Center in Springfield, Virginia for</w:t>
      </w:r>
    </w:p>
    <w:p>
      <w:pPr>
        <w:spacing w:after="0" w:line="2" w:lineRule="exact"/>
        <w:rPr>
          <w:sz w:val="20"/>
          <w:szCs w:val="20"/>
          <w:color w:val="auto"/>
        </w:rPr>
      </w:pPr>
    </w:p>
    <w:p>
      <w:pPr>
        <w:ind w:right="2059"/>
        <w:spacing w:after="0" w:line="261" w:lineRule="auto"/>
        <w:rPr>
          <w:sz w:val="20"/>
          <w:szCs w:val="20"/>
          <w:color w:val="auto"/>
        </w:rPr>
      </w:pPr>
      <w:r>
        <w:rPr>
          <w:rFonts w:ascii="Courier New" w:cs="Courier New" w:eastAsia="Courier New" w:hAnsi="Courier New"/>
          <w:sz w:val="16"/>
          <w:szCs w:val="16"/>
          <w:color w:val="auto"/>
        </w:rPr>
        <w:t>$17.7 million in cash. In addition, the Trust acquired a leasehold interest in Kings Court Shopping Center in Los Gatos, California, for $10.7 million, paid with cash of $4.3 million and 260,163 partnership units in a downreit partnership. In September 1998 the Trust acquired the $18.9 million Leesburg Plaza in Leesburg, Virginia for 138,000 partnership units in a partnership which owns the center, cash of $5.6 million and a $9.9 million mortgage, bearing interest at 6.51%. The mortgage requires payments of interest only through October 2005 and is due September 1, 2008. Cash of $1.0 million was spent to purchase a building adjacent to Northlake Shopping Center in suburban Chicago.</w:t>
      </w:r>
    </w:p>
    <w:p>
      <w:pPr>
        <w:spacing w:after="0" w:line="188"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The Trust made a number of investments in mortgages during 1998. On January 14, 1998 the Trust consolidated, increased, extended and refinanced mortgage loans which had been made on retail properties in Philadelphia, Pennsylvania. Through September 1998, an additional $3.9 million has been issued under the new loan bearing interest at 10%, due May 1, 2021. From and after May 2006, the Trust has the option to convert the loan into a partnership interest in the properties.</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03" w:right="1440" w:bottom="1440" w:gutter="0" w:footer="0" w:header="0"/>
        </w:sectPr>
      </w:pPr>
    </w:p>
    <w:bookmarkStart w:id="11" w:name="page12"/>
    <w:bookmarkEnd w:id="11"/>
    <w:p>
      <w:pPr>
        <w:ind w:right="2059" w:firstLine="204"/>
        <w:spacing w:after="0" w:line="244" w:lineRule="auto"/>
        <w:rPr>
          <w:sz w:val="20"/>
          <w:szCs w:val="20"/>
          <w:color w:val="auto"/>
        </w:rPr>
      </w:pPr>
      <w:r>
        <w:rPr>
          <w:rFonts w:ascii="Courier New" w:cs="Courier New" w:eastAsia="Courier New" w:hAnsi="Courier New"/>
          <w:sz w:val="17"/>
          <w:szCs w:val="17"/>
          <w:color w:val="auto"/>
        </w:rPr>
        <w:t>In June 1998 the Trust made a loan of $2.5 million, which matures July 1, 2001 and is secured by a property in Studio City, California. The loan earns interest at 10% and participates in certain revenues and appreciation of the property. In September 1998 the Trust made loans totaling $10.4 million. The loans are secured by property, bear interest at 10% and have a two year term.</w:t>
      </w:r>
    </w:p>
    <w:p>
      <w:pPr>
        <w:spacing w:after="0" w:line="198"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On June 30, 1998 the Trust, for $8.5 million, terminated the capital lease on Lawrence Park Shopping Center and purchased the fee interest in the property upon the maturity of a note of $8.5 million which the Trust had loaned to the seller in January 1997.</w:t>
      </w:r>
    </w:p>
    <w:p>
      <w:pPr>
        <w:spacing w:after="0" w:line="198" w:lineRule="exact"/>
        <w:rPr>
          <w:sz w:val="20"/>
          <w:szCs w:val="20"/>
          <w:color w:val="auto"/>
        </w:rPr>
      </w:pPr>
    </w:p>
    <w:p>
      <w:pPr>
        <w:ind w:right="2459" w:firstLine="204"/>
        <w:spacing w:after="0" w:line="244" w:lineRule="auto"/>
        <w:rPr>
          <w:sz w:val="20"/>
          <w:szCs w:val="20"/>
          <w:color w:val="auto"/>
        </w:rPr>
      </w:pPr>
      <w:r>
        <w:rPr>
          <w:rFonts w:ascii="Courier New" w:cs="Courier New" w:eastAsia="Courier New" w:hAnsi="Courier New"/>
          <w:sz w:val="17"/>
          <w:szCs w:val="17"/>
          <w:color w:val="auto"/>
        </w:rPr>
        <w:t>On June 1, 1998 the Trust paid off mortgages totaling $36.6 million on Barracks Road, Falls Plaza, Old Keene Mill, and West Falls Shopping Centers. During August 1998 the Trust paid off mortgages totaling $16.9 million on Loehmann's Plaza and Bristol Plaza.</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C - NOTES PAYABLE</w:t>
      </w:r>
    </w:p>
    <w:p>
      <w:pPr>
        <w:spacing w:after="0" w:line="201"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In December 1997 the Trust replaced its unsecured medium term revolving credit facilities with four banks with a five-year syndicated line, thereby increasing the aggregate amount available from $135 million to $300 million. The syndicated line bears interest at LIBOR plus 65 basis points, requires fees and has covenants requiring a minimum shareholders' equity and a maximum ratio of debt to net worth. At September 30, 1998 there was $230.8 million borrowed under this facility, which also represents the maximum drawn during the first nine months of 1998. The weighted average interest rate on borrowings for the nine months ended September 30, 1998 was 6.2%.</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D - INTEREST EXPENSE</w:t>
      </w:r>
    </w:p>
    <w:p>
      <w:pPr>
        <w:spacing w:after="0" w:line="201"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The Trust incurred interest expense totaling $44.0 million during the first nine months of 1998 and $38.1 million during the first nine months of 1997, of which $4.2 million and $2.1 million, respectively, was capitalized. Interest paid was $45.7 million in the first nine months of 1998 and $38.6 million in the first nine months of 1997.</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E - COMMITMENTS AND CONTINGENCIES</w:t>
      </w:r>
    </w:p>
    <w:p>
      <w:pPr>
        <w:spacing w:after="0" w:line="201"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98"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Pursuant to the provisions of the respective partnership agreements, in the event of the exercise of put options by the other partners, the Trust would be required to purchase the 99% limited partnership interest at Loehmann's Plaza at its then fair</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04" w:right="1440" w:bottom="1440" w:gutter="0" w:footer="0" w:header="0"/>
        </w:sectPr>
      </w:pPr>
    </w:p>
    <w:bookmarkStart w:id="12" w:name="page13"/>
    <w:bookmarkEnd w:id="12"/>
    <w:p>
      <w:pPr>
        <w:ind w:right="2559"/>
        <w:spacing w:after="0" w:line="243" w:lineRule="auto"/>
        <w:rPr>
          <w:sz w:val="20"/>
          <w:szCs w:val="20"/>
          <w:color w:val="auto"/>
        </w:rPr>
      </w:pPr>
      <w:r>
        <w:rPr>
          <w:rFonts w:ascii="Courier New" w:cs="Courier New" w:eastAsia="Courier New" w:hAnsi="Courier New"/>
          <w:sz w:val="17"/>
          <w:szCs w:val="17"/>
          <w:color w:val="auto"/>
        </w:rPr>
        <w:t>market value and an 18.75% interest at Congressional Plaza at its then fair market value.</w:t>
      </w:r>
    </w:p>
    <w:p>
      <w:pPr>
        <w:spacing w:after="0" w:line="199"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Under the terms of certain other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If the limited partners do not redeem their interest, the Trust may choose to purchase the limited partnership interests upon the same terms. Under the terms of other partnerships, the partners may exchange their 879,541 operating units into cash or common shares of the Trust, at the option of the Trust.</w:t>
      </w:r>
    </w:p>
    <w:p>
      <w:pPr>
        <w:spacing w:after="0" w:line="200" w:lineRule="exact"/>
        <w:rPr>
          <w:sz w:val="20"/>
          <w:szCs w:val="20"/>
          <w:color w:val="auto"/>
        </w:rPr>
      </w:pPr>
    </w:p>
    <w:p>
      <w:pPr>
        <w:jc w:val="both"/>
        <w:ind w:right="2359" w:firstLine="204"/>
        <w:spacing w:after="0" w:line="244" w:lineRule="auto"/>
        <w:rPr>
          <w:sz w:val="20"/>
          <w:szCs w:val="20"/>
          <w:color w:val="auto"/>
        </w:rPr>
      </w:pPr>
      <w:r>
        <w:rPr>
          <w:rFonts w:ascii="Courier New" w:cs="Courier New" w:eastAsia="Courier New" w:hAnsi="Courier New"/>
          <w:sz w:val="17"/>
          <w:szCs w:val="17"/>
          <w:color w:val="auto"/>
        </w:rPr>
        <w:t>The Trust is currently working to resolve the potential impact of the year 2000 on the processing of information by the Trust's computerized information systems as well as the potential impact on the operations of its real estate properties by computerized components of its buildings' operating systems.</w:t>
      </w:r>
    </w:p>
    <w:p>
      <w:pPr>
        <w:spacing w:after="0" w:line="2"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Based on information collected to date, the Trust believes that its internal information technology systems can correctly process information in the year 2000. The Trust is currently requesting information from its banks, suppliers and the manufacturers of computerized components of its real estate properties to determine their year 2000 compliance. Based on current information, costs of addressing and solving potential problems are not expected to have a material adverse impact on the Trust's financial condition.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F - PROVISION FOR RESTRUCTURING</w:t>
      </w:r>
    </w:p>
    <w:p>
      <w:pPr>
        <w:spacing w:after="0" w:line="201"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At September 30, 1998 the Trust recorded a $4.7 million one time charge related to a comprehensive restructuring program that is expected to be fully implemented by December 31, 1998. The charge includes a provision for employee severance and related costs, office closing and downsizing expenses, as well as legal and consulting fees related to the restructuring program. The Trust's workforce was reduced by approximately 15% including several vice presidents and other senior personnel. The foundation of the restructuring effort focused on a change in the Trust's operating model from a functional hierarchy to an asset management discipline where small focused teams are responsible for and compensated based on the operating performance of a portfolio of assets. In addition, the restructuring effort included a significant downsizing of the Trust's acquisition department, in response to changing market conditions.</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04"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NOTE G - COMPONENTS OF RENTAL INCOME</w:t>
      </w:r>
    </w:p>
    <w:p>
      <w:pPr>
        <w:spacing w:after="0" w:line="201" w:lineRule="exact"/>
        <w:rPr>
          <w:sz w:val="20"/>
          <w:szCs w:val="20"/>
          <w:color w:val="auto"/>
        </w:rPr>
      </w:pPr>
    </w:p>
    <w:p>
      <w:pPr>
        <w:ind w:right="2559" w:firstLine="204"/>
        <w:spacing w:after="0" w:line="243" w:lineRule="auto"/>
        <w:rPr>
          <w:sz w:val="20"/>
          <w:szCs w:val="20"/>
          <w:color w:val="auto"/>
        </w:rPr>
      </w:pPr>
      <w:r>
        <w:rPr>
          <w:rFonts w:ascii="Courier New" w:cs="Courier New" w:eastAsia="Courier New" w:hAnsi="Courier New"/>
          <w:sz w:val="17"/>
          <w:szCs w:val="17"/>
          <w:color w:val="auto"/>
        </w:rPr>
        <w:t>The components of rental income for the periods ended September 30 are as follows: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00" w:type="dxa"/>
            <w:vAlign w:val="bottom"/>
          </w:tcPr>
          <w:p>
            <w:pPr>
              <w:spacing w:after="0"/>
              <w:rPr>
                <w:sz w:val="16"/>
                <w:szCs w:val="16"/>
                <w:color w:val="auto"/>
              </w:rPr>
            </w:pPr>
          </w:p>
        </w:tc>
        <w:tc>
          <w:tcPr>
            <w:tcW w:w="230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Nine months</w:t>
            </w:r>
          </w:p>
        </w:tc>
        <w:tc>
          <w:tcPr>
            <w:tcW w:w="174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Three months</w:t>
            </w:r>
          </w:p>
        </w:tc>
      </w:tr>
      <w:tr>
        <w:trPr>
          <w:trHeight w:val="196"/>
        </w:trPr>
        <w:tc>
          <w:tcPr>
            <w:tcW w:w="2400" w:type="dxa"/>
            <w:vAlign w:val="bottom"/>
          </w:tcPr>
          <w:p>
            <w:pPr>
              <w:spacing w:after="0"/>
              <w:rPr>
                <w:sz w:val="17"/>
                <w:szCs w:val="17"/>
                <w:color w:val="auto"/>
              </w:rPr>
            </w:pP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1998</w:t>
            </w:r>
          </w:p>
        </w:tc>
        <w:tc>
          <w:tcPr>
            <w:tcW w:w="1020" w:type="dxa"/>
            <w:vAlign w:val="bottom"/>
          </w:tcPr>
          <w:p>
            <w:pPr>
              <w:ind w:left="300"/>
              <w:spacing w:after="0"/>
              <w:rPr>
                <w:sz w:val="20"/>
                <w:szCs w:val="20"/>
                <w:color w:val="auto"/>
              </w:rPr>
            </w:pPr>
            <w:r>
              <w:rPr>
                <w:rFonts w:ascii="Courier New" w:cs="Courier New" w:eastAsia="Courier New" w:hAnsi="Courier New"/>
                <w:sz w:val="17"/>
                <w:szCs w:val="17"/>
                <w:color w:val="auto"/>
              </w:rPr>
              <w:t>1997</w:t>
            </w:r>
          </w:p>
        </w:tc>
        <w:tc>
          <w:tcPr>
            <w:tcW w:w="920" w:type="dxa"/>
            <w:vAlign w:val="bottom"/>
          </w:tcPr>
          <w:p>
            <w:pPr>
              <w:ind w:left="300"/>
              <w:spacing w:after="0"/>
              <w:rPr>
                <w:sz w:val="20"/>
                <w:szCs w:val="20"/>
                <w:color w:val="auto"/>
              </w:rPr>
            </w:pPr>
            <w:r>
              <w:rPr>
                <w:rFonts w:ascii="Courier New" w:cs="Courier New" w:eastAsia="Courier New" w:hAnsi="Courier New"/>
                <w:sz w:val="17"/>
                <w:szCs w:val="17"/>
                <w:color w:val="auto"/>
              </w:rPr>
              <w:t>1998</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1997</w:t>
            </w:r>
          </w:p>
        </w:tc>
      </w:tr>
      <w:tr>
        <w:trPr>
          <w:trHeight w:val="392"/>
        </w:trPr>
        <w:tc>
          <w:tcPr>
            <w:tcW w:w="2400" w:type="dxa"/>
            <w:vAlign w:val="bottom"/>
          </w:tcPr>
          <w:p>
            <w:pPr>
              <w:spacing w:after="0"/>
              <w:rPr>
                <w:sz w:val="20"/>
                <w:szCs w:val="20"/>
                <w:color w:val="auto"/>
              </w:rPr>
            </w:pPr>
            <w:r>
              <w:rPr>
                <w:rFonts w:ascii="Courier New" w:cs="Courier New" w:eastAsia="Courier New" w:hAnsi="Courier New"/>
                <w:sz w:val="17"/>
                <w:szCs w:val="17"/>
                <w:color w:val="auto"/>
              </w:rPr>
              <w:t>Retail properties</w:t>
            </w: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2400" w:type="dxa"/>
            <w:vAlign w:val="bottom"/>
          </w:tcPr>
          <w:p>
            <w:pPr>
              <w:ind w:left="100"/>
              <w:spacing w:after="0"/>
              <w:rPr>
                <w:sz w:val="20"/>
                <w:szCs w:val="20"/>
                <w:color w:val="auto"/>
              </w:rPr>
            </w:pPr>
            <w:r>
              <w:rPr>
                <w:rFonts w:ascii="Courier New" w:cs="Courier New" w:eastAsia="Courier New" w:hAnsi="Courier New"/>
                <w:sz w:val="17"/>
                <w:szCs w:val="17"/>
                <w:color w:val="auto"/>
              </w:rPr>
              <w:t>Minimum rents</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$131,069</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$108,403</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$45,442</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$37,177</w:t>
            </w:r>
          </w:p>
        </w:tc>
      </w:tr>
      <w:tr>
        <w:trPr>
          <w:trHeight w:val="196"/>
        </w:trPr>
        <w:tc>
          <w:tcPr>
            <w:tcW w:w="2400" w:type="dxa"/>
            <w:vAlign w:val="bottom"/>
          </w:tcPr>
          <w:p>
            <w:pPr>
              <w:ind w:left="100"/>
              <w:spacing w:after="0"/>
              <w:rPr>
                <w:sz w:val="20"/>
                <w:szCs w:val="20"/>
                <w:color w:val="auto"/>
              </w:rPr>
            </w:pPr>
            <w:r>
              <w:rPr>
                <w:rFonts w:ascii="Courier New" w:cs="Courier New" w:eastAsia="Courier New" w:hAnsi="Courier New"/>
                <w:sz w:val="17"/>
                <w:szCs w:val="17"/>
                <w:color w:val="auto"/>
              </w:rPr>
              <w:t>Cost reimbursements</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25,138</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23,750</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8,220</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7,492</w:t>
            </w:r>
          </w:p>
        </w:tc>
      </w:tr>
      <w:tr>
        <w:trPr>
          <w:trHeight w:val="196"/>
        </w:trPr>
        <w:tc>
          <w:tcPr>
            <w:tcW w:w="2400" w:type="dxa"/>
            <w:vAlign w:val="bottom"/>
          </w:tcPr>
          <w:p>
            <w:pPr>
              <w:ind w:left="100"/>
              <w:spacing w:after="0"/>
              <w:rPr>
                <w:sz w:val="20"/>
                <w:szCs w:val="20"/>
                <w:color w:val="auto"/>
              </w:rPr>
            </w:pPr>
            <w:r>
              <w:rPr>
                <w:rFonts w:ascii="Courier New" w:cs="Courier New" w:eastAsia="Courier New" w:hAnsi="Courier New"/>
                <w:sz w:val="17"/>
                <w:szCs w:val="17"/>
                <w:color w:val="auto"/>
              </w:rPr>
              <w:t>Percentage rents</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3,909</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3,073</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1,123</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814</w:t>
            </w:r>
          </w:p>
        </w:tc>
      </w:tr>
      <w:tr>
        <w:trPr>
          <w:trHeight w:val="196"/>
        </w:trPr>
        <w:tc>
          <w:tcPr>
            <w:tcW w:w="2400" w:type="dxa"/>
            <w:vAlign w:val="bottom"/>
          </w:tcPr>
          <w:p>
            <w:pPr>
              <w:ind w:left="100"/>
              <w:spacing w:after="0"/>
              <w:rPr>
                <w:sz w:val="20"/>
                <w:szCs w:val="20"/>
                <w:color w:val="auto"/>
              </w:rPr>
            </w:pPr>
            <w:r>
              <w:rPr>
                <w:rFonts w:ascii="Courier New" w:cs="Courier New" w:eastAsia="Courier New" w:hAnsi="Courier New"/>
                <w:sz w:val="17"/>
                <w:szCs w:val="17"/>
                <w:color w:val="auto"/>
              </w:rPr>
              <w:t>Apartments</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1,925</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1,864</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648</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626</w:t>
            </w:r>
          </w:p>
        </w:tc>
      </w:tr>
      <w:tr>
        <w:trPr>
          <w:trHeight w:val="196"/>
        </w:trPr>
        <w:tc>
          <w:tcPr>
            <w:tcW w:w="2400" w:type="dxa"/>
            <w:vAlign w:val="bottom"/>
          </w:tcPr>
          <w:p>
            <w:pPr>
              <w:spacing w:after="0"/>
              <w:rPr>
                <w:sz w:val="17"/>
                <w:szCs w:val="17"/>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2400" w:type="dxa"/>
            <w:vAlign w:val="bottom"/>
          </w:tcPr>
          <w:p>
            <w:pPr>
              <w:spacing w:after="0"/>
              <w:rPr>
                <w:sz w:val="17"/>
                <w:szCs w:val="17"/>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$162,041</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$137,090</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$55,433</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$46,109</w:t>
            </w:r>
          </w:p>
        </w:tc>
      </w:tr>
      <w:tr>
        <w:trPr>
          <w:trHeight w:val="196"/>
        </w:trPr>
        <w:tc>
          <w:tcPr>
            <w:tcW w:w="2400" w:type="dxa"/>
            <w:vAlign w:val="bottom"/>
          </w:tcPr>
          <w:p>
            <w:pPr>
              <w:spacing w:after="0"/>
              <w:rPr>
                <w:sz w:val="17"/>
                <w:szCs w:val="17"/>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89"/>
        </w:trPr>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7"/>
                <w:szCs w:val="17"/>
                <w:color w:val="auto"/>
              </w:rPr>
              <w:t>14</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703" w:right="1440" w:bottom="1440" w:gutter="0" w:footer="0" w:header="0"/>
        </w:sectPr>
      </w:pPr>
    </w:p>
    <w:bookmarkStart w:id="14" w:name="page15"/>
    <w:bookmarkEnd w:id="14"/>
    <w:p>
      <w:pPr>
        <w:ind w:left="2460"/>
        <w:spacing w:after="0"/>
        <w:rPr>
          <w:sz w:val="20"/>
          <w:szCs w:val="20"/>
          <w:color w:val="auto"/>
        </w:rPr>
      </w:pPr>
      <w:r>
        <w:rPr>
          <w:rFonts w:ascii="Courier New" w:cs="Courier New" w:eastAsia="Courier New" w:hAnsi="Courier New"/>
          <w:sz w:val="17"/>
          <w:szCs w:val="17"/>
          <w:color w:val="auto"/>
        </w:rPr>
        <w:t>FEDERAL REALTY INVESTMENT TRUST</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FORM 10-Q</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SEPTEMBER 30, 1998</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MANAGEMENT'S DISCUSSION AND ANALYSIS OF</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397" w:lineRule="exact"/>
        <w:rPr>
          <w:sz w:val="20"/>
          <w:szCs w:val="20"/>
          <w:color w:val="auto"/>
        </w:rPr>
      </w:pPr>
    </w:p>
    <w:p>
      <w:pPr>
        <w:ind w:right="2059"/>
        <w:spacing w:after="0" w:line="262" w:lineRule="auto"/>
        <w:rPr>
          <w:sz w:val="20"/>
          <w:szCs w:val="20"/>
          <w:color w:val="auto"/>
        </w:rPr>
      </w:pPr>
      <w:r>
        <w:rPr>
          <w:rFonts w:ascii="Courier New" w:cs="Courier New" w:eastAsia="Courier New" w:hAnsi="Courier New"/>
          <w:sz w:val="16"/>
          <w:szCs w:val="16"/>
          <w:color w:val="auto"/>
        </w:rPr>
        <w:t>The following discussion should be read in conjunction with the consolidated financial statements and notes thereto. Portions of this discussion include certain forward-looking statements about the Trust's and management's intentions and expectations. Although these intentions and expectations are based upon reasonable assumptions, many factors, such as general economic conditions, local and national real estate conditions, increases in interest rates and operating costs, may cause actual results to differ materially from current expectations.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Federal Realty meets its liquidity requirements through net cash provided by operating activities, long term borrowing through debt offerings and mortgages, medium and short term borrowing under revolving credit facilities, and equity offerings. Because a significant portion of the Trust's net cash provided by operating activities is distributed to shareholders, capital outlays for property acquisitions, development and renovation projects and debt repayments require funding from borrowing or equity offerings.</w:t>
      </w:r>
    </w:p>
    <w:p>
      <w:pPr>
        <w:spacing w:after="0" w:line="199"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Net cash provided by operating activities increased to $61.6 million in the first nine months of 1998 from $48.2 million in the comparable period of 1997 due to improved operating results from the core portfolio, contributions from recently acquired and redeveloped properties and lower expenditures of cash for operating activities. Cash distributions to shareholders in the first nine months of 1998 totaled $55.3 million compared to 1997's $45.9 million.</w:t>
      </w:r>
    </w:p>
    <w:p>
      <w:pPr>
        <w:spacing w:after="0" w:line="395" w:lineRule="exact"/>
        <w:rPr>
          <w:sz w:val="20"/>
          <w:szCs w:val="20"/>
          <w:color w:val="auto"/>
        </w:rPr>
      </w:pPr>
    </w:p>
    <w:p>
      <w:pPr>
        <w:ind w:right="2059" w:firstLine="204"/>
        <w:spacing w:after="0" w:line="266" w:lineRule="auto"/>
        <w:rPr>
          <w:sz w:val="20"/>
          <w:szCs w:val="20"/>
          <w:color w:val="auto"/>
        </w:rPr>
      </w:pPr>
      <w:r>
        <w:rPr>
          <w:rFonts w:ascii="Courier New" w:cs="Courier New" w:eastAsia="Courier New" w:hAnsi="Courier New"/>
          <w:sz w:val="16"/>
          <w:szCs w:val="16"/>
          <w:color w:val="auto"/>
        </w:rPr>
        <w:t>During the first nine months of 1998, the Trust invested $92.9 million in cash to acquire real estate assets, $46.3 million to develop, redevelop and improve its properties, and $17.3 million to invest in mortgage notes receivable.</w:t>
      </w:r>
    </w:p>
    <w:p>
      <w:pPr>
        <w:spacing w:after="0" w:line="182"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Trust purchased ten properties in San Antonio, Texas for $14.2 million in cash. These properties, located on Houston Street near San Antonio's River Walk, are currently vacant and will be redeveloped, retenanted and remerchandised. The Trust expanded its street retail holdings in the Los Angeles area by acquiring a retail building on Third Street Promenade in Santa Monica in</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03" w:right="1440" w:bottom="1440" w:gutter="0" w:footer="0" w:header="0"/>
        </w:sectPr>
      </w:pPr>
    </w:p>
    <w:bookmarkStart w:id="15" w:name="page16"/>
    <w:bookmarkEnd w:id="15"/>
    <w:p>
      <w:pPr>
        <w:ind w:right="2059"/>
        <w:spacing w:after="0" w:line="244" w:lineRule="auto"/>
        <w:rPr>
          <w:sz w:val="20"/>
          <w:szCs w:val="20"/>
          <w:color w:val="auto"/>
        </w:rPr>
      </w:pPr>
      <w:r>
        <w:rPr>
          <w:rFonts w:ascii="Courier New" w:cs="Courier New" w:eastAsia="Courier New" w:hAnsi="Courier New"/>
          <w:sz w:val="17"/>
          <w:szCs w:val="17"/>
          <w:color w:val="auto"/>
        </w:rPr>
        <w:t>February 1998 for $2.0 million in cash and by purchasing during the third quarter for cash a 90% interest in a $6.6 million building on Third Street and a 90% interest in a $6.4 million building in Pasadena, California. The Trust also secured property for future expansion of its Bethesda Row project in Bethesda, Maryland during the first nine months of 1998 by expending $2.0 million in cash to purchase two properties and to secure a long term ground lease on a third property. Other street retail acquisitions include the purchase on May 7, 1998 of a property for $5.2 million in cash in Tempe, Arizona and the purchase, for cash of $4.6 million, of an eighty-five percent interest in a second property in Tempe which is valued at $5.4 million.</w:t>
      </w:r>
    </w:p>
    <w:p>
      <w:pPr>
        <w:spacing w:after="0" w:line="200"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During the third quarter of 1998 the Trust purchased four shopping centers and a parcel adjacent to one of its existing centers. In August 1998 the Trust purchased Hauppauge Shopping Center on Long Island, New York for cash of $24.1 million and Tower Shopping Center in Springfield, Virginia for</w:t>
      </w:r>
    </w:p>
    <w:p>
      <w:pPr>
        <w:spacing w:after="0" w:line="2" w:lineRule="exact"/>
        <w:rPr>
          <w:sz w:val="20"/>
          <w:szCs w:val="20"/>
          <w:color w:val="auto"/>
        </w:rPr>
      </w:pPr>
    </w:p>
    <w:p>
      <w:pPr>
        <w:ind w:right="2059"/>
        <w:spacing w:after="0" w:line="261" w:lineRule="auto"/>
        <w:rPr>
          <w:sz w:val="20"/>
          <w:szCs w:val="20"/>
          <w:color w:val="auto"/>
        </w:rPr>
      </w:pPr>
      <w:r>
        <w:rPr>
          <w:rFonts w:ascii="Courier New" w:cs="Courier New" w:eastAsia="Courier New" w:hAnsi="Courier New"/>
          <w:sz w:val="16"/>
          <w:szCs w:val="16"/>
          <w:color w:val="auto"/>
        </w:rPr>
        <w:t>$17.7 million in cash. In addition, the Trust acquired a leasehold interest in Kings Court Shopping Center in Los Gatos, California, for $10.7 million, paid with cash of $4.3 million and 260,163 partnership units in a downreit partnership. In September 1998 the Trust acquired the $18.9 million Leesburg Plaza in Leesburg, Virginia for 138,000 partnership units in a partnership which owns the center, cash of $5.6 million and a $9.9 million mortgage, bearing interest at 6.51%. The mortgage requires payments of interest only through October 2005 and is due September 1, 2008. Cash of $1.0 million was spent to purchase a building adjacent to Northlake Shopping Center in suburban Chicago.</w:t>
      </w:r>
    </w:p>
    <w:p>
      <w:pPr>
        <w:spacing w:after="0" w:line="188"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Improvements to Trust properties during the first nine months of 1998 included $3.6 million on the renovation of Gratiot Plaza; $6.3 million on the redevelopment of Old Town Center in Los Gatos, California; $4.0 million on predevelopment work at San Jose Town &amp; Country Village Shopping Center;</w:t>
      </w:r>
    </w:p>
    <w:p>
      <w:pPr>
        <w:spacing w:after="0" w:line="2"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$2.8 million on predevelopment work at Pentagon Town City in Arlington, Virginia; $2.9 million on further development and redevelopment at Bethesda Row; $3.2 million on the expansion of the Falls and West Falls Shopping Centers in suburban Washington, D.C.; $1.9 million on the retenanting of Finley Shopping Center in suburban Chicago; $1.8 million on the renovation of Feasterville Shopping Center in Pennsylvania; and $2.5 million on renovations of main street retail properties in Santa Monica and Pasadena, California.</w:t>
      </w:r>
    </w:p>
    <w:p>
      <w:pPr>
        <w:spacing w:after="0" w:line="199"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The Trust made a number of investments in mortgages during 1998. On January 14, 1998 the Trust consolidated, increased, extended and refinanced mortgage loans which had been made on retail properties in Philadelphia, Pennsylvania. Through September 1998, an additional $3.9 million has been issued under the new loan, bearing interest at 10%, due May 1, 2021. From and after May 2006, the Trust has the option to convert the loan into a partnership interest in the properties.</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04" w:right="1440" w:bottom="1440" w:gutter="0" w:footer="0" w:header="0"/>
        </w:sectPr>
      </w:pPr>
    </w:p>
    <w:bookmarkStart w:id="16" w:name="page17"/>
    <w:bookmarkEnd w:id="16"/>
    <w:p>
      <w:pPr>
        <w:ind w:right="2059" w:firstLine="204"/>
        <w:spacing w:after="0" w:line="244" w:lineRule="auto"/>
        <w:rPr>
          <w:sz w:val="20"/>
          <w:szCs w:val="20"/>
          <w:color w:val="auto"/>
        </w:rPr>
      </w:pPr>
      <w:r>
        <w:rPr>
          <w:rFonts w:ascii="Courier New" w:cs="Courier New" w:eastAsia="Courier New" w:hAnsi="Courier New"/>
          <w:sz w:val="17"/>
          <w:szCs w:val="17"/>
          <w:color w:val="auto"/>
        </w:rPr>
        <w:t>In June 1998 the Trust made a loan of $2.5 million, which matures July 1, 2001 and is secured by a property in Studio City, California. The loan earns interest at 10% and participates in certain revenues and appreciation of the property. In September 1998 the Trust made loans totaling $10.4 million. The loans are secured by property, bear interest at 10% and have a two year term.</w:t>
      </w:r>
    </w:p>
    <w:p>
      <w:pPr>
        <w:spacing w:after="0" w:line="198" w:lineRule="exact"/>
        <w:rPr>
          <w:sz w:val="20"/>
          <w:szCs w:val="20"/>
          <w:color w:val="auto"/>
        </w:rPr>
      </w:pPr>
    </w:p>
    <w:p>
      <w:pPr>
        <w:ind w:right="2459" w:firstLine="204"/>
        <w:spacing w:after="0" w:line="244" w:lineRule="auto"/>
        <w:rPr>
          <w:sz w:val="20"/>
          <w:szCs w:val="20"/>
          <w:color w:val="auto"/>
        </w:rPr>
      </w:pPr>
      <w:r>
        <w:rPr>
          <w:rFonts w:ascii="Courier New" w:cs="Courier New" w:eastAsia="Courier New" w:hAnsi="Courier New"/>
          <w:sz w:val="17"/>
          <w:szCs w:val="17"/>
          <w:color w:val="auto"/>
        </w:rPr>
        <w:t>On June 1, 1998 the Trust paid off mortgages totaling $36.6 million on Barracks Road, Falls Plaza, Old Keene Mill, and West Falls Shopping Centers. During August 1998 the Trust paid off mortgages totaling $16.9 million on Loehmann's Plaza and Bristol Plaza.</w:t>
      </w:r>
    </w:p>
    <w:p>
      <w:pPr>
        <w:spacing w:after="0" w:line="198"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These acquisitions, investments and debt replacements were financed initially under the Trust's revolving credit facility. In December 1997 the Trust replaced its unsecured medium term revolving credit facilities with four banks with a five-year syndicated line, thereby increasing the aggregate amount available from $135 million to $300 million. The Trust uses borrowings on the credit facility to fund its acquisitions, improvements, and debt repayment requirements, until issuing equity or long term debt. The syndicated line bears interest at LIBOR plus 65 basis points, requires fees and has covenants requiring a minimum shareholders' equity and a maximum ratio of debt to net worth. At September 30, 1998 there was $230.8 million borrowed under this facility. The maximum drawn during the first nine months of 1998 was</w:t>
      </w:r>
    </w:p>
    <w:p>
      <w:pPr>
        <w:spacing w:after="0" w:line="5" w:lineRule="exact"/>
        <w:rPr>
          <w:sz w:val="20"/>
          <w:szCs w:val="20"/>
          <w:color w:val="auto"/>
        </w:rPr>
      </w:pPr>
    </w:p>
    <w:p>
      <w:pPr>
        <w:ind w:right="2979"/>
        <w:spacing w:after="0" w:line="243" w:lineRule="auto"/>
        <w:rPr>
          <w:sz w:val="20"/>
          <w:szCs w:val="20"/>
          <w:color w:val="auto"/>
        </w:rPr>
      </w:pPr>
      <w:r>
        <w:rPr>
          <w:rFonts w:ascii="Courier New" w:cs="Courier New" w:eastAsia="Courier New" w:hAnsi="Courier New"/>
          <w:sz w:val="17"/>
          <w:szCs w:val="17"/>
          <w:color w:val="auto"/>
        </w:rPr>
        <w:t>$230.8 million and the weighted average interest rate on borrowings for the nine months was 6.2%.</w:t>
      </w:r>
    </w:p>
    <w:p>
      <w:pPr>
        <w:spacing w:after="0" w:line="199"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On March 5, 1998 the Trust issued $39.5 million of 6.74% Medium-Term Notes due 2004, netting approximately $39.3 million, and $40.5 million of 6.99% Medium-Term Notes due 2006, netting approximately $40.2 million. The notes pay interest semi-annually on March 30 and September 30. In anticipation of this transaction, on January 13, 1998 the Trust purchased a Treasury Yield Hedge (notional amount of $50 million) to minimize the risk of changes in interest rates. The hedge was terminated on March 5, 1998 at a gain of $1.1 million which will be recognized as a reduction in interest expense over the lives of the notes. Proceeds from this issuance were used to reduce borrowings on the credit facility. The Trust has no derivative contracts that are open at September 30, 1998.</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Trust is contractually obligated on contracts of approximately</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$15.2 million for redevelopment and tenant improvements and is committed under leases for up to an additional $7.9 million in tenant work and general improvements to its properties. These committed and budgeted improvements include the redevelopment of Old Town Center, the renovation and retenanting of certain of the Santa Monica main street retail properties, the completion of the renovation and expansion of Gratiot Plaza and the redevelopment of a portion of Bethesda Row. Additionally, the</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04"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Trust is in the planning stage in the development of several new retail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properties. These expenditures will be funded with the revolving credit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facilities pending their long term financing with either equity or debt.</w:t>
      </w:r>
    </w:p>
    <w:p>
      <w:pPr>
        <w:spacing w:after="0" w:line="201"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The Trust plans to continue to acquire additional retail properties, although at a slower pace than over the past few years and, in addition, continues to seek sites on which to build new retail properties. The Trust will need additional capital in order to fund these acquisitions, expansions, developments and refinancings. Sources of this funding may be proceeds from the sale of selected properties, additional debt and additional equity. The timing and choice between these funding sources will depend upon many factors, including the market price for the Trust's shares, interest rates, the availability of debt financing, and the Trust's ratio of debt to net worth. The Trust believes, based on past experience, that it has the access to the capital markets needed to raise this capital.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CONTINGENCIES</w:t>
      </w:r>
    </w:p>
    <w:p>
      <w:pPr>
        <w:spacing w:after="0" w:line="201"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98"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an 18.75% interest at Congressional Plaza at its then fair market value.</w:t>
      </w:r>
    </w:p>
    <w:p>
      <w:pPr>
        <w:spacing w:after="0" w:line="198"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Under the terms of certain other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If the limited partners do not redeem their interest, the Trust may choose to purchase the limited partnership interests upon the same terms. Under the terms of other partnerships, the partners may exchange their 879,541 operating units into cash or common shares of the Trust, at the option of the Trust.</w:t>
      </w:r>
    </w:p>
    <w:p>
      <w:pPr>
        <w:spacing w:after="0" w:line="200" w:lineRule="exact"/>
        <w:rPr>
          <w:sz w:val="20"/>
          <w:szCs w:val="20"/>
          <w:color w:val="auto"/>
        </w:rPr>
      </w:pPr>
    </w:p>
    <w:p>
      <w:pPr>
        <w:jc w:val="both"/>
        <w:ind w:right="2359" w:firstLine="204"/>
        <w:spacing w:after="0" w:line="244" w:lineRule="auto"/>
        <w:rPr>
          <w:sz w:val="20"/>
          <w:szCs w:val="20"/>
          <w:color w:val="auto"/>
        </w:rPr>
      </w:pPr>
      <w:r>
        <w:rPr>
          <w:rFonts w:ascii="Courier New" w:cs="Courier New" w:eastAsia="Courier New" w:hAnsi="Courier New"/>
          <w:sz w:val="17"/>
          <w:szCs w:val="17"/>
          <w:color w:val="auto"/>
        </w:rPr>
        <w:t>The Trust is currently working to resolve the potential impact of the year 2000 on the processing of information by the Trust's computerized information systems as well as the potential impact on the operations of its real estate properties by computerized components of its buildings' operating systems.</w:t>
      </w:r>
    </w:p>
    <w:p>
      <w:pPr>
        <w:spacing w:after="0" w:line="2" w:lineRule="exact"/>
        <w:rPr>
          <w:sz w:val="20"/>
          <w:szCs w:val="20"/>
          <w:color w:val="auto"/>
        </w:rPr>
      </w:pPr>
    </w:p>
    <w:p>
      <w:pPr>
        <w:ind w:right="2459"/>
        <w:spacing w:after="0" w:line="243" w:lineRule="auto"/>
        <w:rPr>
          <w:sz w:val="20"/>
          <w:szCs w:val="20"/>
          <w:color w:val="auto"/>
        </w:rPr>
      </w:pPr>
      <w:r>
        <w:rPr>
          <w:rFonts w:ascii="Courier New" w:cs="Courier New" w:eastAsia="Courier New" w:hAnsi="Courier New"/>
          <w:sz w:val="17"/>
          <w:szCs w:val="17"/>
          <w:color w:val="auto"/>
        </w:rPr>
        <w:t>Based on information collected to date, the Trust believes that its internal information technology systems can correctly process information</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703" w:right="1440" w:bottom="1440" w:gutter="0" w:footer="0" w:header="0"/>
        </w:sectPr>
      </w:pPr>
    </w:p>
    <w:bookmarkStart w:id="18" w:name="page19"/>
    <w:bookmarkEnd w:id="18"/>
    <w:p>
      <w:pPr>
        <w:ind w:right="2059"/>
        <w:spacing w:after="0" w:line="244" w:lineRule="auto"/>
        <w:rPr>
          <w:sz w:val="20"/>
          <w:szCs w:val="20"/>
          <w:color w:val="auto"/>
        </w:rPr>
      </w:pPr>
      <w:r>
        <w:rPr>
          <w:rFonts w:ascii="Courier New" w:cs="Courier New" w:eastAsia="Courier New" w:hAnsi="Courier New"/>
          <w:sz w:val="17"/>
          <w:szCs w:val="17"/>
          <w:color w:val="auto"/>
        </w:rPr>
        <w:t>in the year 2000. The Trust is currently requesting information from its banks, suppliers and the manufacturers of computerized components of its real estate properties to determine their year 2000 compliance. Based on current information, costs of addressing and solving potential problems are not expected to have a material adverse impact on the Trust's financial condition.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 - NINE MONTHS ENDED SEPTEMBER 30, 1998 AND 1997</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Net income and funds from operations have been affected by the Trust's recent acquisition, redevelopment and financing activities. The Trust has historically reported its funds from operations in addition to its net income and net cash provided by operating activities. Funds from operations is a supplemental measure of real estate companies' operating performance which excludes historical cost depreciation, since real estate values have historically risen and fallen with market conditions rather than over time. Funds from operations is defined by The National Association of Real Estate Investment Trusts ("NAREIT") as follows: income available for common shareholders before depreciation and amortization of real estate assets and before extraordinary items and significant non-recurring events less gains on sale of real estate. The Trust complies with this definition. Funds from operations does not replace net income as a measure of performance or net cash provided by operating activities as a measure of liquidity. Rather, funds from operations has been adopted by real estate investment trusts to provide a consistent supplemental measure of operating performance in the industry.</w:t>
      </w:r>
    </w:p>
    <w:p>
      <w:pPr>
        <w:spacing w:after="0" w:line="203" w:lineRule="exact"/>
        <w:rPr>
          <w:sz w:val="20"/>
          <w:szCs w:val="20"/>
          <w:color w:val="auto"/>
        </w:rPr>
      </w:pPr>
    </w:p>
    <w:p>
      <w:pPr>
        <w:ind w:right="2159" w:firstLine="204"/>
        <w:spacing w:after="0" w:line="243" w:lineRule="auto"/>
        <w:rPr>
          <w:sz w:val="20"/>
          <w:szCs w:val="20"/>
          <w:color w:val="auto"/>
        </w:rPr>
      </w:pPr>
      <w:r>
        <w:rPr>
          <w:rFonts w:ascii="Courier New" w:cs="Courier New" w:eastAsia="Courier New" w:hAnsi="Courier New"/>
          <w:sz w:val="17"/>
          <w:szCs w:val="17"/>
          <w:color w:val="auto"/>
        </w:rPr>
        <w:t>The reconciliation of net income to funds from operations for the nine months ended September 30 is as follows: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40" w:type="dxa"/>
            <w:vAlign w:val="bottom"/>
          </w:tcPr>
          <w:p>
            <w:pPr>
              <w:spacing w:after="0"/>
              <w:rPr>
                <w:sz w:val="16"/>
                <w:szCs w:val="16"/>
                <w:color w:val="auto"/>
              </w:rPr>
            </w:pP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1998</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1997</w:t>
            </w:r>
          </w:p>
        </w:tc>
      </w:tr>
      <w:tr>
        <w:trPr>
          <w:trHeight w:val="1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1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92"/>
        </w:trPr>
        <w:tc>
          <w:tcPr>
            <w:tcW w:w="4440" w:type="dxa"/>
            <w:vAlign w:val="bottom"/>
          </w:tcPr>
          <w:p>
            <w:pPr>
              <w:spacing w:after="0"/>
              <w:rPr>
                <w:sz w:val="20"/>
                <w:szCs w:val="20"/>
                <w:color w:val="auto"/>
              </w:rPr>
            </w:pPr>
            <w:r>
              <w:rPr>
                <w:rFonts w:ascii="Courier New" w:cs="Courier New" w:eastAsia="Courier New" w:hAnsi="Courier New"/>
                <w:sz w:val="17"/>
                <w:szCs w:val="17"/>
                <w:color w:val="auto"/>
              </w:rPr>
              <w:t>Net income available for common</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4440" w:type="dxa"/>
            <w:vAlign w:val="bottom"/>
          </w:tcPr>
          <w:p>
            <w:pPr>
              <w:ind w:left="100"/>
              <w:spacing w:after="0"/>
              <w:rPr>
                <w:sz w:val="20"/>
                <w:szCs w:val="20"/>
                <w:color w:val="auto"/>
              </w:rPr>
            </w:pPr>
            <w:r>
              <w:rPr>
                <w:rFonts w:ascii="Courier New" w:cs="Courier New" w:eastAsia="Courier New" w:hAnsi="Courier New"/>
                <w:sz w:val="17"/>
                <w:szCs w:val="17"/>
                <w:color w:val="auto"/>
              </w:rPr>
              <w:t>Shareholders</w:t>
            </w:r>
          </w:p>
        </w:tc>
        <w:tc>
          <w:tcPr>
            <w:tcW w:w="13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$26,214</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$35,810</w:t>
            </w:r>
          </w:p>
        </w:tc>
      </w:tr>
      <w:tr>
        <w:trPr>
          <w:trHeight w:val="1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Less: gain on sale of real estate</w:t>
            </w:r>
          </w:p>
        </w:tc>
        <w:tc>
          <w:tcPr>
            <w:tcW w:w="13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(6,375)</w:t>
            </w:r>
          </w:p>
        </w:tc>
      </w:tr>
      <w:tr>
        <w:trPr>
          <w:trHeight w:val="1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Plus: nonrecurring charge</w:t>
            </w:r>
          </w:p>
        </w:tc>
        <w:tc>
          <w:tcPr>
            <w:tcW w:w="13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4,665</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Plus: depreciation and amortization</w:t>
            </w:r>
          </w:p>
        </w:tc>
        <w:tc>
          <w:tcPr>
            <w:tcW w:w="1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4440" w:type="dxa"/>
            <w:vAlign w:val="bottom"/>
          </w:tcPr>
          <w:p>
            <w:pPr>
              <w:ind w:left="820"/>
              <w:spacing w:after="0"/>
              <w:rPr>
                <w:sz w:val="20"/>
                <w:szCs w:val="20"/>
                <w:color w:val="auto"/>
              </w:rPr>
            </w:pPr>
            <w:r>
              <w:rPr>
                <w:rFonts w:ascii="Courier New" w:cs="Courier New" w:eastAsia="Courier New" w:hAnsi="Courier New"/>
                <w:sz w:val="17"/>
                <w:szCs w:val="17"/>
                <w:color w:val="auto"/>
              </w:rPr>
              <w:t>of real estate assets</w:t>
            </w:r>
          </w:p>
        </w:tc>
        <w:tc>
          <w:tcPr>
            <w:tcW w:w="13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30,229</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27,734</w:t>
            </w:r>
          </w:p>
        </w:tc>
      </w:tr>
      <w:tr>
        <w:trPr>
          <w:trHeight w:val="196"/>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amortization of initial direct</w:t>
            </w:r>
          </w:p>
        </w:tc>
        <w:tc>
          <w:tcPr>
            <w:tcW w:w="1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4440" w:type="dxa"/>
            <w:vAlign w:val="bottom"/>
          </w:tcPr>
          <w:p>
            <w:pPr>
              <w:ind w:left="820"/>
              <w:spacing w:after="0"/>
              <w:rPr>
                <w:sz w:val="20"/>
                <w:szCs w:val="20"/>
                <w:color w:val="auto"/>
              </w:rPr>
            </w:pPr>
            <w:r>
              <w:rPr>
                <w:rFonts w:ascii="Courier New" w:cs="Courier New" w:eastAsia="Courier New" w:hAnsi="Courier New"/>
                <w:sz w:val="17"/>
                <w:szCs w:val="17"/>
                <w:color w:val="auto"/>
              </w:rPr>
              <w:t>costs of leases</w:t>
            </w:r>
          </w:p>
        </w:tc>
        <w:tc>
          <w:tcPr>
            <w:tcW w:w="13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1,827</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1,693</w:t>
            </w:r>
          </w:p>
        </w:tc>
      </w:tr>
      <w:tr>
        <w:trPr>
          <w:trHeight w:val="196"/>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income attributable to operating</w:t>
            </w:r>
          </w:p>
        </w:tc>
        <w:tc>
          <w:tcPr>
            <w:tcW w:w="1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4440" w:type="dxa"/>
            <w:vAlign w:val="bottom"/>
          </w:tcPr>
          <w:p>
            <w:pPr>
              <w:ind w:left="820"/>
              <w:spacing w:after="0"/>
              <w:rPr>
                <w:sz w:val="20"/>
                <w:szCs w:val="20"/>
                <w:color w:val="auto"/>
              </w:rPr>
            </w:pPr>
            <w:r>
              <w:rPr>
                <w:rFonts w:ascii="Courier New" w:cs="Courier New" w:eastAsia="Courier New" w:hAnsi="Courier New"/>
                <w:sz w:val="17"/>
                <w:szCs w:val="17"/>
                <w:color w:val="auto"/>
              </w:rPr>
              <w:t>partnership units</w:t>
            </w:r>
          </w:p>
        </w:tc>
        <w:tc>
          <w:tcPr>
            <w:tcW w:w="13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682</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440" w:type="dxa"/>
            <w:vAlign w:val="bottom"/>
          </w:tcPr>
          <w:p>
            <w:pPr>
              <w:spacing w:after="0"/>
              <w:rPr>
                <w:sz w:val="17"/>
                <w:szCs w:val="17"/>
                <w:color w:val="auto"/>
              </w:rPr>
            </w:pPr>
          </w:p>
        </w:tc>
        <w:tc>
          <w:tcPr>
            <w:tcW w:w="13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Funds from operations, diluted</w:t>
            </w:r>
          </w:p>
        </w:tc>
        <w:tc>
          <w:tcPr>
            <w:tcW w:w="13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$63,617</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$58,862</w:t>
            </w:r>
          </w:p>
        </w:tc>
      </w:tr>
      <w:tr>
        <w:trPr>
          <w:trHeight w:val="196"/>
        </w:trPr>
        <w:tc>
          <w:tcPr>
            <w:tcW w:w="4440" w:type="dxa"/>
            <w:vAlign w:val="bottom"/>
          </w:tcPr>
          <w:p>
            <w:pPr>
              <w:spacing w:after="0"/>
              <w:rPr>
                <w:sz w:val="17"/>
                <w:szCs w:val="17"/>
                <w:color w:val="auto"/>
              </w:rPr>
            </w:pPr>
          </w:p>
        </w:tc>
        <w:tc>
          <w:tcPr>
            <w:tcW w:w="13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3"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Funds from operations increased 8% to $63.6 million in the first nine months of 1998 from $58.9 million in the comparable period of 1997.</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704" w:right="1440" w:bottom="1440" w:gutter="0" w:footer="0" w:header="0"/>
        </w:sectPr>
      </w:pPr>
    </w:p>
    <w:bookmarkStart w:id="19" w:name="page20"/>
    <w:bookmarkEnd w:id="19"/>
    <w:p>
      <w:pPr>
        <w:ind w:right="2059" w:firstLine="204"/>
        <w:spacing w:after="0" w:line="244" w:lineRule="auto"/>
        <w:rPr>
          <w:sz w:val="20"/>
          <w:szCs w:val="20"/>
          <w:color w:val="auto"/>
        </w:rPr>
      </w:pPr>
      <w:r>
        <w:rPr>
          <w:rFonts w:ascii="Courier New" w:cs="Courier New" w:eastAsia="Courier New" w:hAnsi="Courier New"/>
          <w:sz w:val="17"/>
          <w:szCs w:val="17"/>
          <w:color w:val="auto"/>
        </w:rPr>
        <w:t>Rental income, which consists of minimum rent, percentage rent and cost recoveries, increased 18% from $137.1 million in the first nine months of 1997 to $162.0 million in the first nine months of 1998. If properties purchased and sold in 1997 and 1998 are excluded, rental income increased 6%. The increase is primarily attributable to retail properties which have recently been renovated and retenanted.</w:t>
      </w:r>
    </w:p>
    <w:p>
      <w:pPr>
        <w:spacing w:after="0" w:line="199"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Minimum rent increased 21% from $108.4 million in 1997 to $131.1 million in 1998. Excluding properties purchased and sold in 1997 and 1998, minimum rent increased 8%. The majority of the increase is attributable to retail properties which have recently been renovated and retenanted, including Troy, Wynnewood, Brick, Finley, Crossroads and Bethesda Row Shopping Centers.</w:t>
      </w:r>
    </w:p>
    <w:p>
      <w:pPr>
        <w:spacing w:after="0" w:line="198"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Cost reimbursements consist of tenant reimbursements of real estate taxes (real estate tax recovery) and common area maintenance expenses (CAM recovery). Cost reimbursements increased 6% from $23.8 during 1997 to $25.1 million during 1998. Excluding properties purchased and sold in 1997 and 1998, cost reimbursements increased approximately 1%. Real estate tax recovery on the core portfolio increased in line with increases in taxes, while CAM recovery decreased on the core portfolio as CAM expenses, mainly snow removal, decreased.</w:t>
      </w:r>
    </w:p>
    <w:p>
      <w:pPr>
        <w:spacing w:after="0" w:line="199"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Other property income includes items which, although recurring, tend to fluctuate from period to period, such as utility reimbursements, telephone income, merchant association dues, late fees and temporary tenant income. It also includes nonrecurring items such as lease termination fees. Other property income remained relatively flat at $7.6 million in 1998 versus $7.5 million in 1997. If other income is adjusted to remove the effect of properties sold and acquired in 1997 and 1998, other income decreased approximately $1.0 million, primarily due to a decrease in lease termination fees from $2.0 million in 1997 to $578,000 in 1998.</w:t>
      </w:r>
    </w:p>
    <w:p>
      <w:pPr>
        <w:spacing w:after="0" w:line="200"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Rental expenses have increased 13% in 1998 over 1997, to $35.3 million from $31.2 million. If centers acquired and sold during 1997 and 1998 are excluded, rental expenses decreased slightly over 1%, reflecting the decrease in CAM expenses offset in part by an increase in bad debt since in 1997 there was a recovery of approximately $650,000 of amounts due from former bankrupt tenants.</w:t>
      </w:r>
    </w:p>
    <w:p>
      <w:pPr>
        <w:spacing w:after="0" w:line="198"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Real estate taxes have increased from $14.4 million during 1997 to $17.3 million during 1998, primarily due to the recent acquisitions. Depreciation and amortization in 1998 was 9% greater than in 1997. Excluding the effect from the 1997 and 1998 acquisitions, depreciation and amortization increased 4% due to depreciation on recent tenant work and property improvements.</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04" w:right="1440" w:bottom="1440" w:gutter="0" w:footer="0" w:header="0"/>
        </w:sectPr>
      </w:pPr>
    </w:p>
    <w:bookmarkStart w:id="20" w:name="page21"/>
    <w:bookmarkEnd w:id="20"/>
    <w:p>
      <w:pPr>
        <w:ind w:right="2159" w:firstLine="204"/>
        <w:spacing w:after="0" w:line="244" w:lineRule="auto"/>
        <w:rPr>
          <w:sz w:val="20"/>
          <w:szCs w:val="20"/>
          <w:color w:val="auto"/>
        </w:rPr>
      </w:pPr>
      <w:r>
        <w:rPr>
          <w:rFonts w:ascii="Courier New" w:cs="Courier New" w:eastAsia="Courier New" w:hAnsi="Courier New"/>
          <w:sz w:val="17"/>
          <w:szCs w:val="17"/>
          <w:color w:val="auto"/>
        </w:rPr>
        <w:t>Interest expense increased from $36.0 million during 1997 to $39.7 million during 1998, due to interest expense on the Medium Term Notes issued in 1997 and 1998 and increased interest from greater usage on the line of credit, partially offset by an increase in interest capitalized, and decreases in mortgage and participation interest. The ratio of earnings to combined fixed charges and preferred dividends was 1.43x for the first nine months of 1998; there were no preferred dividends in the first nine months of 1997. The ratio of earnings to fixed charges was 1.6x and 1.7x during the first nine months of 1998 and 1997, respectively. The ratio of funds from operations to fixed charges was 2.2x for the first nine months of 1998 and 2.5x for the first nine months of 1997.</w:t>
      </w:r>
    </w:p>
    <w:p>
      <w:pPr>
        <w:spacing w:after="0" w:line="201"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Administrative expenses have increased from $6.6 million during 1997 to $8.7 million during 1998, primarily due to the expensing of internal costs of acquisition activities during the second and third quarter of 1998 in accordance with EITF 97-11, "Accounting for Internal Costs Relating to Real Estate Property Acquisitions".</w:t>
      </w:r>
    </w:p>
    <w:p>
      <w:pPr>
        <w:spacing w:after="0" w:line="198"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At September 30, 1998 the Trust recorded a $4.7 million one time charge related to a comprehensive restructuring program that is expected to be fully implemented by December 31, 1998. The charge includes a provision for employee severance and related costs, office closing and downsizing expenses, as well as legal and consulting fees related to the restructuring program. The Trust's workforce was reduced by approximately 15% including several vice presidents and other senior personnel. The foundation of the restructuring effort focused on a change in the Trust's operating model from a functional hierarchy to an asset management discipline where small focused teams are responsible for and compensated based on the operating performance of a portfolio of assets. In addition, the restructuring effort included a significant downsizing of the Trust's acquisition department, in response to changing market conditions.</w:t>
      </w:r>
    </w:p>
    <w:p>
      <w:pPr>
        <w:spacing w:after="0" w:line="201"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Investors' share of operations increased from $862,000 to $2.3 million from the first nine months of 1997 to the comparable period in 1998, primarily because of the Trust's partners share of the increased earnings in Congressional Plaza and the Trust's partners share of the earnings in the December 1997 acquisition of Courthouse and Magruder's shopping centers and in the 1998 acquisition of Kings Court and Leesburg Plaza.</w:t>
      </w:r>
    </w:p>
    <w:p>
      <w:pPr>
        <w:spacing w:after="0" w:line="199"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As a result of the foregoing items, net income before gain on sale of real estate increased from $29.4 million during 1997 to $32.2 million during 1998. Net income available for common shareholders before gain on sale of real estate was $26.2 million in 1998 after deducting a $6.0 million dividend on the $100 million of 7.95% Series A Cumulative Redeemable Preferred Shares issued in October 1997 and the restructuring charge of $4.7 million as</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704" w:right="1440" w:bottom="1440" w:gutter="0" w:footer="0" w:header="0"/>
        </w:sectPr>
      </w:pPr>
    </w:p>
    <w:bookmarkStart w:id="21" w:name="page22"/>
    <w:bookmarkEnd w:id="21"/>
    <w:p>
      <w:pPr>
        <w:ind w:right="2059"/>
        <w:spacing w:after="0" w:line="243" w:lineRule="auto"/>
        <w:rPr>
          <w:sz w:val="20"/>
          <w:szCs w:val="20"/>
          <w:color w:val="auto"/>
        </w:rPr>
      </w:pPr>
      <w:r>
        <w:rPr>
          <w:rFonts w:ascii="Courier New" w:cs="Courier New" w:eastAsia="Courier New" w:hAnsi="Courier New"/>
          <w:sz w:val="17"/>
          <w:szCs w:val="17"/>
          <w:color w:val="auto"/>
        </w:rPr>
        <w:t>compared to 1997's $29.4 million. Net income was $32.2 million in 1998 and $35.8 million in 1997 which had a $6.3 million gain on sale of real estate.</w:t>
      </w:r>
    </w:p>
    <w:p>
      <w:pPr>
        <w:spacing w:after="0" w:line="199"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Trust is slowing its pace of acquisitions in response to the competitive market for properties and the tight financing environment. However, the Trust plans to continue to focus considerable time and resources on development, with the belief that such new development, although not having a positive effect on net income and funds from operations in the very near future, will have a positive impact in the longer term.</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 - THREE MONTHS ENDED SEPTEMBER 30, 1998 AND 1997</w:t>
      </w:r>
    </w:p>
    <w:p>
      <w:pPr>
        <w:spacing w:after="0" w:line="201" w:lineRule="exact"/>
        <w:rPr>
          <w:sz w:val="20"/>
          <w:szCs w:val="20"/>
          <w:color w:val="auto"/>
        </w:rPr>
      </w:pPr>
    </w:p>
    <w:p>
      <w:pPr>
        <w:ind w:right="2159" w:firstLine="204"/>
        <w:spacing w:after="0" w:line="243" w:lineRule="auto"/>
        <w:rPr>
          <w:sz w:val="20"/>
          <w:szCs w:val="20"/>
          <w:color w:val="auto"/>
        </w:rPr>
      </w:pPr>
      <w:r>
        <w:rPr>
          <w:rFonts w:ascii="Courier New" w:cs="Courier New" w:eastAsia="Courier New" w:hAnsi="Courier New"/>
          <w:sz w:val="17"/>
          <w:szCs w:val="17"/>
          <w:color w:val="auto"/>
        </w:rPr>
        <w:t>Funds from operations increased seven percent from $20.0 million in the third quarter of 1997 to $21.4 million in the third quarter of 1998.</w:t>
      </w:r>
    </w:p>
    <w:p>
      <w:pPr>
        <w:spacing w:after="0" w:line="199"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Rental income increased 20% from $46.1 million in 1997 to $55.4 million in 1998. Excluding properties acquired and sold in 1997 and 1998, rental income increased 8%, primarily due to the contribution from retail properties recently renovated and retenanted.</w:t>
      </w:r>
    </w:p>
    <w:p>
      <w:pPr>
        <w:spacing w:after="0" w:line="198"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Minimum rent increased 22% from $37.8 million in the third quarter of 1997 to $46.1 million in the third quarter of 1998 due primarily to the impact of 1997 acquisitions. On a same property basis, minimum rent increased 9% due primarily to the recently renovated and retenanted properties.</w:t>
      </w:r>
    </w:p>
    <w:p>
      <w:pPr>
        <w:spacing w:after="0" w:line="198" w:lineRule="exact"/>
        <w:rPr>
          <w:sz w:val="20"/>
          <w:szCs w:val="20"/>
          <w:color w:val="auto"/>
        </w:rPr>
      </w:pPr>
    </w:p>
    <w:p>
      <w:pPr>
        <w:ind w:right="2159" w:firstLine="204"/>
        <w:spacing w:after="0" w:line="243" w:lineRule="auto"/>
        <w:rPr>
          <w:sz w:val="20"/>
          <w:szCs w:val="20"/>
          <w:color w:val="auto"/>
        </w:rPr>
      </w:pPr>
      <w:r>
        <w:rPr>
          <w:rFonts w:ascii="Courier New" w:cs="Courier New" w:eastAsia="Courier New" w:hAnsi="Courier New"/>
          <w:sz w:val="17"/>
          <w:szCs w:val="17"/>
          <w:color w:val="auto"/>
        </w:rPr>
        <w:t>Cost reimbursements, a component of rental income, increased 10% in the third quarter of 1998 over the comparable period of 1997, substantially due to the impact of properties acquired in 1997 and 1998.</w:t>
      </w:r>
    </w:p>
    <w:p>
      <w:pPr>
        <w:spacing w:after="0" w:line="200" w:lineRule="exact"/>
        <w:rPr>
          <w:sz w:val="20"/>
          <w:szCs w:val="20"/>
          <w:color w:val="auto"/>
        </w:rPr>
      </w:pPr>
    </w:p>
    <w:p>
      <w:pPr>
        <w:ind w:right="2059" w:firstLine="204"/>
        <w:spacing w:after="0" w:line="243" w:lineRule="auto"/>
        <w:rPr>
          <w:sz w:val="20"/>
          <w:szCs w:val="20"/>
          <w:color w:val="auto"/>
        </w:rPr>
      </w:pPr>
      <w:r>
        <w:rPr>
          <w:rFonts w:ascii="Courier New" w:cs="Courier New" w:eastAsia="Courier New" w:hAnsi="Courier New"/>
          <w:sz w:val="17"/>
          <w:szCs w:val="17"/>
          <w:color w:val="auto"/>
        </w:rPr>
        <w:t>Other property income increased from $2.0 million in the third quarter of 1997 to $2.6 million in the third quarter of 1998, primarily due to the impact of properties acquired in 1997 and 1998.</w:t>
      </w:r>
    </w:p>
    <w:p>
      <w:pPr>
        <w:spacing w:after="0" w:line="200"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Rental expenses have increased 18% from $10.2 million in the third quarter of 1997 to $12.0 million in the third quarter of 1998, primarily due to the impact of properties acquired in 1997 and 1998. Real estate taxes increased 23% from 1997 to 1998, but on a same property basis increased 4%, primarily reflecting increased assessments on recently renovated centers. Depreciation and amortization expense increased 11% due to depreciation expense on the recent acquisitions and renovations.</w:t>
      </w:r>
    </w:p>
    <w:p>
      <w:pPr>
        <w:spacing w:after="0" w:line="199" w:lineRule="exact"/>
        <w:rPr>
          <w:sz w:val="20"/>
          <w:szCs w:val="20"/>
          <w:color w:val="auto"/>
        </w:rPr>
      </w:pPr>
    </w:p>
    <w:p>
      <w:pPr>
        <w:ind w:right="2159" w:firstLine="204"/>
        <w:spacing w:after="0" w:line="243" w:lineRule="auto"/>
        <w:rPr>
          <w:sz w:val="20"/>
          <w:szCs w:val="20"/>
          <w:color w:val="auto"/>
        </w:rPr>
      </w:pPr>
      <w:r>
        <w:rPr>
          <w:rFonts w:ascii="Courier New" w:cs="Courier New" w:eastAsia="Courier New" w:hAnsi="Courier New"/>
          <w:sz w:val="17"/>
          <w:szCs w:val="17"/>
          <w:color w:val="auto"/>
        </w:rPr>
        <w:t>Interest expense increased from $12.0 million in the third quarter of 1997 to $13.6 million in the comparable period of 1998,</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04" w:right="1440" w:bottom="1440" w:gutter="0" w:footer="0" w:header="0"/>
        </w:sectPr>
      </w:pPr>
    </w:p>
    <w:bookmarkStart w:id="22" w:name="page23"/>
    <w:bookmarkEnd w:id="22"/>
    <w:p>
      <w:pPr>
        <w:ind w:right="2359"/>
        <w:spacing w:after="0" w:line="244" w:lineRule="auto"/>
        <w:rPr>
          <w:sz w:val="20"/>
          <w:szCs w:val="20"/>
          <w:color w:val="auto"/>
        </w:rPr>
      </w:pPr>
      <w:r>
        <w:rPr>
          <w:rFonts w:ascii="Courier New" w:cs="Courier New" w:eastAsia="Courier New" w:hAnsi="Courier New"/>
          <w:sz w:val="17"/>
          <w:szCs w:val="17"/>
          <w:color w:val="auto"/>
        </w:rPr>
        <w:t>primarily reflecting the interest on greater usage on the revolving credit facility and on the issuance of $80 million of medium term notes in the first quarter of 1998, partially offset by lower mortgage interest expense as mortgages were paid during the second and third quarter of 1998.</w:t>
      </w:r>
    </w:p>
    <w:p>
      <w:pPr>
        <w:spacing w:after="0" w:line="198"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General and administrative expenses have increased from $2.0 million in the third quarter of 1997 to $2.9 million in the third quarter of 1998, primarily due to the expensing of internal costs of acquisition activities during the third quarter of 1998 in accordance with EITF 97-11 and due to increased payroll costs associated with establishing the Trust's development team.</w:t>
      </w:r>
    </w:p>
    <w:p>
      <w:pPr>
        <w:spacing w:after="0" w:line="198"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At September 30, 1998 the Trust recorded a $4.7 million one time charge related to a comprehensive restructuring program that is expected to be fully implemented by December 31, 1998. The charge includes a provision for employee severance and related costs, office closing and downsizing expenses, as well as legal and consulting fees related to the restructuring program. The Trust's workforce was reduced by approximately 15% including several vice presidents and other senior personnel. The foundation of the restructuring effort focused on a change in the Trust's operating model from a functional hierarchy to an asset management discipline where small focused teams are responsible for and compensated based on the operating performance of a portfolio of assets. In addition, the restructuring effort included a significant downsizing of the Trust's acquisition department, in response to changing market conditions.</w:t>
      </w:r>
    </w:p>
    <w:p>
      <w:pPr>
        <w:spacing w:after="0" w:line="201"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Investor's share of operations increased from $281,000 in the third quarter of 1997 to $804,000 in 1998, primarily because of the Trust's partners share of the earnings in the December 1997 acquisition of Courthouse and Magruder's shopping centers and the 1998 acquisition of Kings Court and Leesburg Plaza shopping centers.</w:t>
      </w:r>
    </w:p>
    <w:p>
      <w:pPr>
        <w:spacing w:after="0" w:line="198"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As a result of the foregoing items, primarily the restructuring charge of $4.7 million, net income before loss on sale of real estate decreased from $10.1 million in the third quarter of 1997 to $7.5 million in the third quarter of 1998. Net income available for common shareholders (before loss on sale of real estate) was $5.5 million in the third quarter of 1998 after deducting a $2.0 million dividend on the $100 million of 7.95% Series A Cumulative Redeemable Preferred Shares issued in October 1997 as compared to 1997's $10.1 million. Net income was $7.5 million in the third quarter of 1998 compared to 1997's $9.5 million which had a $659,000 loss on sale of real estate.</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704"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PART II - OTHER INFORMATION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Exhibits and Reports on Form 8-K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Exhibits</w:t>
      </w:r>
    </w:p>
    <w:p>
      <w:pPr>
        <w:spacing w:after="0" w:line="4" w:lineRule="exact"/>
        <w:rPr>
          <w:sz w:val="20"/>
          <w:szCs w:val="20"/>
          <w:color w:val="auto"/>
        </w:rPr>
      </w:pPr>
    </w:p>
    <w:p>
      <w:pPr>
        <w:ind w:left="820"/>
        <w:spacing w:after="0"/>
        <w:tabs>
          <w:tab w:leader="none" w:pos="6820" w:val="left"/>
        </w:tabs>
        <w:rPr>
          <w:sz w:val="20"/>
          <w:szCs w:val="20"/>
          <w:color w:val="auto"/>
        </w:rPr>
      </w:pPr>
      <w:r>
        <w:rPr>
          <w:rFonts w:ascii="Courier New" w:cs="Courier New" w:eastAsia="Courier New" w:hAnsi="Courier New"/>
          <w:sz w:val="17"/>
          <w:szCs w:val="17"/>
          <w:color w:val="auto"/>
        </w:rPr>
        <w:t>(27) Financial Data Schedules</w:t>
      </w:r>
      <w:r>
        <w:rPr>
          <w:sz w:val="20"/>
          <w:szCs w:val="20"/>
          <w:color w:val="auto"/>
        </w:rPr>
        <w:tab/>
      </w:r>
      <w:r>
        <w:rPr>
          <w:rFonts w:ascii="Courier New" w:cs="Courier New" w:eastAsia="Courier New" w:hAnsi="Courier New"/>
          <w:sz w:val="17"/>
          <w:szCs w:val="17"/>
          <w:color w:val="auto"/>
        </w:rPr>
        <w:t>Edgar</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filing only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 Reports on Form 8-K</w:t>
      </w:r>
    </w:p>
    <w:p>
      <w:pPr>
        <w:spacing w:after="0" w:line="201" w:lineRule="exact"/>
        <w:rPr>
          <w:sz w:val="20"/>
          <w:szCs w:val="20"/>
          <w:color w:val="auto"/>
        </w:rPr>
      </w:pPr>
    </w:p>
    <w:p>
      <w:pPr>
        <w:ind w:right="2459" w:firstLine="1326"/>
        <w:spacing w:after="0" w:line="243" w:lineRule="auto"/>
        <w:rPr>
          <w:sz w:val="20"/>
          <w:szCs w:val="20"/>
          <w:color w:val="auto"/>
        </w:rPr>
      </w:pPr>
      <w:r>
        <w:rPr>
          <w:rFonts w:ascii="Courier New" w:cs="Courier New" w:eastAsia="Courier New" w:hAnsi="Courier New"/>
          <w:sz w:val="17"/>
          <w:szCs w:val="17"/>
          <w:color w:val="auto"/>
        </w:rPr>
        <w:t>A Form 8-K, dated June 30, 1998, was filed on August 6, 1998 in response to Item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703" w:right="1440" w:bottom="1440" w:gutter="0" w:footer="0" w:header="0"/>
        </w:sectPr>
      </w:pPr>
    </w:p>
    <w:bookmarkStart w:id="24" w:name="page25"/>
    <w:bookmarkEnd w:id="24"/>
    <w:p>
      <w:pPr>
        <w:ind w:right="2659" w:firstLine="204"/>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95"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7"/>
          <w:szCs w:val="17"/>
          <w:color w:val="auto"/>
        </w:rPr>
        <w:t>FEDERAL REALTY INVESTMENT TRUST</w:t>
      </w:r>
    </w:p>
    <w:p>
      <w:pPr>
        <w:spacing w:after="0" w:line="4"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704"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10,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Steven J. Guttman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Steven J. Guttman,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00" w:lineRule="exact"/>
        <w:rPr>
          <w:sz w:val="20"/>
          <w:szCs w:val="20"/>
          <w:color w:val="auto"/>
        </w:rPr>
      </w:pPr>
    </w:p>
    <w:p>
      <w:pPr>
        <w:sectPr>
          <w:pgSz w:w="11900" w:h="16838" w:orient="portrait"/>
          <w:cols w:equalWidth="0" w:num="2">
            <w:col w:w="2960" w:space="720"/>
            <w:col w:w="6539"/>
          </w:cols>
          <w:pgMar w:left="240" w:top="704" w:right="1440"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10, 1998</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Cecily A. Ward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Cecily A. Ward, Controller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ectPr>
          <w:pgSz w:w="11900" w:h="16838" w:orient="portrait"/>
          <w:cols w:equalWidth="0" w:num="2">
            <w:col w:w="2960" w:space="720"/>
            <w:col w:w="6539"/>
          </w:cols>
          <w:pgMar w:left="240" w:top="704" w:right="1440" w:bottom="1440" w:gutter="0" w:footer="0" w:header="0"/>
          <w:type w:val="continuous"/>
        </w:sectPr>
      </w:pPr>
    </w:p>
    <w:p>
      <w:pPr>
        <w:spacing w:after="0" w:line="1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704" w:right="1440" w:bottom="1440" w:gutter="0" w:footer="0" w:header="0"/>
          <w:type w:val="continuous"/>
        </w:sectPr>
      </w:pPr>
    </w:p>
    <w:bookmarkStart w:id="25" w:name="page26"/>
    <w:bookmarkEnd w:id="2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ind w:left="10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This schedule contains summary financial information extracted from the</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Consolidated Balance Sheet of Federal Realty Investment Trust as of</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September 30, 1997 and the Related consolidated statement of operations for the</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nine months ended September 30, 1997 and is qualified in its entirety by</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reference to such financial statements. It has been amended for the restatement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of earnings per share calculated under SFAS 128.</w:t>
      </w:r>
    </w:p>
    <w:p>
      <w:pPr>
        <w:spacing w:after="0" w:line="20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1,000</w:t>
      </w:r>
    </w:p>
    <w:p>
      <w:pPr>
        <w:spacing w:after="0" w:line="396"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9-MOS</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DEC-31-1997</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SEP-30-1997</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4,687</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15,923</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1,299,321</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(238,815)</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1,156,304</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622,004</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687,324</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(223,019)</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1,156,304</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144,602</w:t>
      </w:r>
    </w:p>
    <w:p>
      <w:pPr>
        <w:spacing w:after="0" w:line="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45,598</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35,952</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35,810</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35,810</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.93</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.92</w:t>
      </w:r>
    </w:p>
    <w:p>
      <w:pPr>
        <w:spacing w:after="0" w:line="397"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7"/>
          <w:szCs w:val="17"/>
          <w:color w:val="auto"/>
        </w:rPr>
        <w:t>Current assets and current liabilities are not listed since Federal Realty does not prepare a classified balance sheet.</w:t>
      </w:r>
    </w:p>
    <w:p>
      <w:pPr>
        <w:sectPr>
          <w:pgSz w:w="11900" w:h="16838" w:orient="portrait"/>
          <w:cols w:equalWidth="0" w:num="1">
            <w:col w:w="10219"/>
          </w:cols>
          <w:pgMar w:left="240" w:top="141" w:right="1440" w:bottom="1440" w:gutter="0" w:footer="0" w:header="0"/>
        </w:sectPr>
      </w:pPr>
    </w:p>
    <w:bookmarkStart w:id="27" w:name="page28"/>
    <w:bookmarkEnd w:id="27"/>
    <w:p>
      <w:pPr>
        <w:spacing w:after="0" w:line="243" w:lineRule="auto"/>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ind w:left="10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This schedule contains summary financial information extracted from the</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Consolidated Balance Sheet of Federal Realty Investment Trust as of</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September 30, 1998 and the related consolidated statement of operations for the</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nine months ended September 30, 1998 and is qualified in its entirety by</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reference to such financial statements.</w:t>
      </w:r>
    </w:p>
    <w:p>
      <w:pPr>
        <w:spacing w:after="0" w:line="20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1,000</w:t>
      </w:r>
    </w:p>
    <w:p>
      <w:pPr>
        <w:spacing w:after="0" w:line="396"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9-MOS</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DEC-31-1998</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SEP-30-1998</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9,952</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18,320</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1,616,271</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(275,054)</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1,457,307</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818,828</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100,000</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706,051</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(271,023)</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1,457,307</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169,654</w:t>
      </w:r>
    </w:p>
    <w:p>
      <w:pPr>
        <w:spacing w:after="0" w:line="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52,549</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39,736</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26,214</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26,214</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.67</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.67</w:t>
      </w:r>
    </w:p>
    <w:p>
      <w:pPr>
        <w:spacing w:after="0" w:line="397"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7"/>
          <w:szCs w:val="17"/>
          <w:color w:val="auto"/>
        </w:rPr>
        <w:t>Current assets and current liabilities are not listed since Federal Realty does not prepare a classified balance sheet.</w:t>
      </w: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2019-12-13T01:01:56Z</dcterms:created>
  <dcterms:modified xsi:type="dcterms:W3CDTF">2019-12-13T01:01:56Z</dcterms:modified>
</cp:coreProperties>
</file>