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Date of Report (Date of earliest event reported) September 30,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October 29, 2008, Federal Realty Investment Trust issued supplemental data pertaining to its operations, as well as a press release, to report its financial results for the quarter ended September 30, 2008. The supplemental data and press release are furnished as Exhibit 99.1 hereto.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September 30, 2008 (including press release dated October 29, 2008)</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October 29, 2008</w:t>
      </w:r>
      <w:r>
        <w:rPr>
          <w:sz w:val="20"/>
          <w:szCs w:val="20"/>
          <w:color w:val="auto"/>
        </w:rPr>
        <w:tab/>
      </w:r>
      <w:r>
        <w:rPr>
          <w:rFonts w:ascii="Arial" w:cs="Arial" w:eastAsia="Arial" w:hAnsi="Arial"/>
          <w:sz w:val="16"/>
          <w:szCs w:val="16"/>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00"/>
          </w:cols>
          <w:pgMar w:left="240" w:top="27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Exh No.</w:t>
            </w:r>
          </w:p>
        </w:tc>
        <w:tc>
          <w:tcPr>
            <w:tcW w:w="540" w:type="dxa"/>
            <w:vAlign w:val="bottom"/>
          </w:tcPr>
          <w:p>
            <w:pPr>
              <w:spacing w:after="0"/>
              <w:rPr>
                <w:sz w:val="15"/>
                <w:szCs w:val="15"/>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Supplemental Information at September 30, 2008</w:t>
            </w:r>
          </w:p>
        </w:tc>
      </w:tr>
    </w:tbl>
    <w:p>
      <w:pPr>
        <w:sectPr>
          <w:pgSz w:w="11900" w:h="16838" w:orient="portrait"/>
          <w:cols w:equalWidth="0" w:num="1">
            <w:col w:w="11420"/>
          </w:cols>
          <w:pgMar w:left="240" w:top="280"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98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372"/>
        </w:trPr>
        <w:tc>
          <w:tcPr>
            <w:tcW w:w="8980" w:type="dxa"/>
            <w:vAlign w:val="bottom"/>
          </w:tcPr>
          <w:p>
            <w:pPr>
              <w:jc w:val="center"/>
              <w:ind w:left="2352"/>
              <w:spacing w:after="0"/>
              <w:rPr>
                <w:sz w:val="20"/>
                <w:szCs w:val="20"/>
                <w:color w:val="auto"/>
              </w:rPr>
            </w:pPr>
            <w:r>
              <w:rPr>
                <w:rFonts w:ascii="Arial" w:cs="Arial" w:eastAsia="Arial" w:hAnsi="Arial"/>
                <w:sz w:val="18"/>
                <w:szCs w:val="18"/>
                <w:b w:val="1"/>
                <w:bCs w:val="1"/>
                <w:color w:val="auto"/>
                <w:w w:val="99"/>
              </w:rPr>
              <w:t>FEDERAL REALTY INVESTMENT TRUST</w:t>
            </w:r>
          </w:p>
        </w:tc>
        <w:tc>
          <w:tcPr>
            <w:tcW w:w="2440" w:type="dxa"/>
            <w:vAlign w:val="bottom"/>
          </w:tcPr>
          <w:p>
            <w:pPr>
              <w:spacing w:after="0"/>
              <w:rPr>
                <w:sz w:val="24"/>
                <w:szCs w:val="24"/>
                <w:color w:val="auto"/>
              </w:rPr>
            </w:pPr>
          </w:p>
        </w:tc>
      </w:tr>
      <w:tr>
        <w:trPr>
          <w:trHeight w:val="216"/>
        </w:trPr>
        <w:tc>
          <w:tcPr>
            <w:tcW w:w="8980" w:type="dxa"/>
            <w:vAlign w:val="bottom"/>
          </w:tcPr>
          <w:p>
            <w:pPr>
              <w:jc w:val="center"/>
              <w:ind w:left="2372"/>
              <w:spacing w:after="0"/>
              <w:rPr>
                <w:sz w:val="20"/>
                <w:szCs w:val="20"/>
                <w:color w:val="auto"/>
              </w:rPr>
            </w:pPr>
            <w:r>
              <w:rPr>
                <w:rFonts w:ascii="Arial" w:cs="Arial" w:eastAsia="Arial" w:hAnsi="Arial"/>
                <w:sz w:val="18"/>
                <w:szCs w:val="18"/>
                <w:color w:val="auto"/>
                <w:w w:val="94"/>
              </w:rPr>
              <w:t>SUPPLEMENTAL INFORMATION</w:t>
            </w:r>
          </w:p>
        </w:tc>
        <w:tc>
          <w:tcPr>
            <w:tcW w:w="2440" w:type="dxa"/>
            <w:vAlign w:val="bottom"/>
          </w:tcPr>
          <w:p>
            <w:pPr>
              <w:spacing w:after="0"/>
              <w:rPr>
                <w:sz w:val="18"/>
                <w:szCs w:val="18"/>
                <w:color w:val="auto"/>
              </w:rPr>
            </w:pPr>
          </w:p>
        </w:tc>
      </w:tr>
      <w:tr>
        <w:trPr>
          <w:trHeight w:val="222"/>
        </w:trPr>
        <w:tc>
          <w:tcPr>
            <w:tcW w:w="8980" w:type="dxa"/>
            <w:vAlign w:val="bottom"/>
          </w:tcPr>
          <w:p>
            <w:pPr>
              <w:jc w:val="center"/>
              <w:ind w:left="2352"/>
              <w:spacing w:after="0"/>
              <w:rPr>
                <w:sz w:val="20"/>
                <w:szCs w:val="20"/>
                <w:color w:val="auto"/>
              </w:rPr>
            </w:pPr>
            <w:r>
              <w:rPr>
                <w:rFonts w:ascii="Arial" w:cs="Arial" w:eastAsia="Arial" w:hAnsi="Arial"/>
                <w:sz w:val="18"/>
                <w:szCs w:val="18"/>
                <w:color w:val="auto"/>
                <w:w w:val="87"/>
              </w:rPr>
              <w:t>September 30, 2008</w:t>
            </w:r>
          </w:p>
        </w:tc>
        <w:tc>
          <w:tcPr>
            <w:tcW w:w="2440" w:type="dxa"/>
            <w:vAlign w:val="bottom"/>
          </w:tcPr>
          <w:p>
            <w:pPr>
              <w:spacing w:after="0"/>
              <w:rPr>
                <w:sz w:val="19"/>
                <w:szCs w:val="19"/>
                <w:color w:val="auto"/>
              </w:rPr>
            </w:pPr>
          </w:p>
        </w:tc>
      </w:tr>
      <w:tr>
        <w:trPr>
          <w:trHeight w:val="378"/>
        </w:trPr>
        <w:tc>
          <w:tcPr>
            <w:tcW w:w="8980" w:type="dxa"/>
            <w:vAlign w:val="bottom"/>
          </w:tcPr>
          <w:p>
            <w:pPr>
              <w:jc w:val="center"/>
              <w:ind w:left="2372"/>
              <w:spacing w:after="0"/>
              <w:rPr>
                <w:sz w:val="20"/>
                <w:szCs w:val="20"/>
                <w:color w:val="auto"/>
              </w:rPr>
            </w:pPr>
            <w:r>
              <w:rPr>
                <w:rFonts w:ascii="Arial" w:cs="Arial" w:eastAsia="Arial" w:hAnsi="Arial"/>
                <w:sz w:val="18"/>
                <w:szCs w:val="18"/>
                <w:b w:val="1"/>
                <w:bCs w:val="1"/>
                <w:color w:val="auto"/>
                <w:w w:val="96"/>
              </w:rPr>
              <w:t>TABLE OF CONTENTS</w:t>
            </w:r>
          </w:p>
        </w:tc>
        <w:tc>
          <w:tcPr>
            <w:tcW w:w="2440" w:type="dxa"/>
            <w:vAlign w:val="bottom"/>
          </w:tcPr>
          <w:p>
            <w:pPr>
              <w:spacing w:after="0"/>
              <w:rPr>
                <w:sz w:val="24"/>
                <w:szCs w:val="24"/>
                <w:color w:val="auto"/>
              </w:rPr>
            </w:pPr>
          </w:p>
        </w:tc>
      </w:tr>
      <w:tr>
        <w:trPr>
          <w:trHeight w:val="419"/>
        </w:trPr>
        <w:tc>
          <w:tcPr>
            <w:tcW w:w="8980" w:type="dxa"/>
            <w:vAlign w:val="bottom"/>
          </w:tcPr>
          <w:p>
            <w:pPr>
              <w:spacing w:after="0"/>
              <w:rPr>
                <w:sz w:val="20"/>
                <w:szCs w:val="20"/>
                <w:color w:val="auto"/>
              </w:rPr>
            </w:pPr>
            <w:r>
              <w:rPr>
                <w:rFonts w:ascii="Arial" w:cs="Arial" w:eastAsia="Arial" w:hAnsi="Arial"/>
                <w:sz w:val="18"/>
                <w:szCs w:val="18"/>
                <w:color w:val="auto"/>
              </w:rPr>
              <w:t>1.   Third Quarter 2008 Earnings Press Release</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8980" w:type="dxa"/>
            <w:vAlign w:val="bottom"/>
          </w:tcPr>
          <w:p>
            <w:pPr>
              <w:spacing w:after="0"/>
              <w:rPr>
                <w:sz w:val="20"/>
                <w:szCs w:val="20"/>
                <w:color w:val="auto"/>
              </w:rPr>
            </w:pPr>
            <w:r>
              <w:rPr>
                <w:rFonts w:ascii="Arial" w:cs="Arial" w:eastAsia="Arial" w:hAnsi="Arial"/>
                <w:sz w:val="18"/>
                <w:szCs w:val="18"/>
                <w:color w:val="auto"/>
              </w:rPr>
              <w:t>2.   Financial Highlights</w:t>
            </w:r>
          </w:p>
        </w:tc>
        <w:tc>
          <w:tcPr>
            <w:tcW w:w="2440" w:type="dxa"/>
            <w:vAlign w:val="bottom"/>
          </w:tcPr>
          <w:p>
            <w:pPr>
              <w:spacing w:after="0"/>
              <w:rPr>
                <w:sz w:val="24"/>
                <w:szCs w:val="24"/>
                <w:color w:val="auto"/>
              </w:rPr>
            </w:pPr>
          </w:p>
        </w:tc>
      </w:tr>
      <w:tr>
        <w:trPr>
          <w:trHeight w:val="216"/>
        </w:trPr>
        <w:tc>
          <w:tcPr>
            <w:tcW w:w="8980" w:type="dxa"/>
            <w:vAlign w:val="bottom"/>
          </w:tcPr>
          <w:p>
            <w:pPr>
              <w:ind w:left="1200"/>
              <w:spacing w:after="0"/>
              <w:rPr>
                <w:sz w:val="20"/>
                <w:szCs w:val="20"/>
                <w:color w:val="auto"/>
              </w:rPr>
            </w:pPr>
            <w:r>
              <w:rPr>
                <w:rFonts w:ascii="Arial" w:cs="Arial" w:eastAsia="Arial" w:hAnsi="Arial"/>
                <w:sz w:val="18"/>
                <w:szCs w:val="18"/>
                <w:color w:val="auto"/>
              </w:rPr>
              <w:t>Summarized Income Statements</w:t>
            </w:r>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980" w:type="dxa"/>
            <w:vAlign w:val="bottom"/>
          </w:tcPr>
          <w:p>
            <w:pPr>
              <w:ind w:left="1200"/>
              <w:spacing w:after="0"/>
              <w:rPr>
                <w:sz w:val="20"/>
                <w:szCs w:val="20"/>
                <w:color w:val="auto"/>
              </w:rPr>
            </w:pPr>
            <w:r>
              <w:rPr>
                <w:rFonts w:ascii="Arial" w:cs="Arial" w:eastAsia="Arial" w:hAnsi="Arial"/>
                <w:sz w:val="18"/>
                <w:szCs w:val="18"/>
                <w:color w:val="auto"/>
              </w:rPr>
              <w:t>Summarized Balance Sheets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980" w:type="dxa"/>
            <w:vAlign w:val="bottom"/>
          </w:tcPr>
          <w:p>
            <w:pPr>
              <w:ind w:left="1200"/>
              <w:spacing w:after="0"/>
              <w:rPr>
                <w:sz w:val="20"/>
                <w:szCs w:val="20"/>
                <w:color w:val="auto"/>
              </w:rPr>
            </w:pPr>
            <w:r>
              <w:rPr>
                <w:rFonts w:ascii="Arial" w:cs="Arial" w:eastAsia="Arial" w:hAnsi="Arial"/>
                <w:sz w:val="18"/>
                <w:szCs w:val="18"/>
                <w:color w:val="auto"/>
              </w:rPr>
              <w:t>Funds From Operations / Summary of Capital Expenditures</w:t>
            </w:r>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980" w:type="dxa"/>
            <w:vAlign w:val="bottom"/>
          </w:tcPr>
          <w:p>
            <w:pPr>
              <w:ind w:left="1200"/>
              <w:spacing w:after="0"/>
              <w:rPr>
                <w:sz w:val="20"/>
                <w:szCs w:val="20"/>
                <w:color w:val="auto"/>
              </w:rPr>
            </w:pPr>
            <w:r>
              <w:rPr>
                <w:rFonts w:ascii="Arial" w:cs="Arial" w:eastAsia="Arial" w:hAnsi="Arial"/>
                <w:sz w:val="18"/>
                <w:szCs w:val="18"/>
                <w:color w:val="auto"/>
              </w:rPr>
              <w:t>Market Data</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8980" w:type="dxa"/>
            <w:vAlign w:val="bottom"/>
          </w:tcPr>
          <w:p>
            <w:pPr>
              <w:ind w:left="1200"/>
              <w:spacing w:after="0"/>
              <w:rPr>
                <w:sz w:val="20"/>
                <w:szCs w:val="20"/>
                <w:color w:val="auto"/>
              </w:rPr>
            </w:pPr>
            <w:r>
              <w:rPr>
                <w:rFonts w:ascii="Arial" w:cs="Arial" w:eastAsia="Arial" w:hAnsi="Arial"/>
                <w:sz w:val="18"/>
                <w:szCs w:val="18"/>
                <w:color w:val="auto"/>
              </w:rPr>
              <w:t>Components of Rental Income</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Summary of Outstanding Debt and Capital Lease Obligations</w:t>
            </w:r>
          </w:p>
        </w:tc>
        <w:tc>
          <w:tcPr>
            <w:tcW w:w="3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280" w:type="dxa"/>
            <w:vAlign w:val="bottom"/>
          </w:tcPr>
          <w:p>
            <w:pPr>
              <w:spacing w:after="0"/>
              <w:rPr>
                <w:sz w:val="19"/>
                <w:szCs w:val="19"/>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Summary of Debt Maturities</w:t>
            </w:r>
          </w:p>
        </w:tc>
        <w:tc>
          <w:tcPr>
            <w:tcW w:w="3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8100" w:type="dxa"/>
            <w:vAlign w:val="bottom"/>
          </w:tcPr>
          <w:p>
            <w:pPr>
              <w:ind w:left="60"/>
              <w:spacing w:after="0"/>
              <w:rPr>
                <w:sz w:val="20"/>
                <w:szCs w:val="20"/>
                <w:color w:val="auto"/>
              </w:rPr>
            </w:pPr>
            <w:r>
              <w:rPr>
                <w:rFonts w:ascii="Arial" w:cs="Arial" w:eastAsia="Arial" w:hAnsi="Arial"/>
                <w:sz w:val="18"/>
                <w:szCs w:val="18"/>
                <w:color w:val="auto"/>
              </w:rPr>
              <w:t>Summary of Redevelopment Opportunities</w:t>
            </w:r>
          </w:p>
        </w:tc>
        <w:tc>
          <w:tcPr>
            <w:tcW w:w="3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8100" w:type="dxa"/>
            <w:vAlign w:val="bottom"/>
          </w:tcPr>
          <w:p>
            <w:pPr>
              <w:ind w:left="60"/>
              <w:spacing w:after="0"/>
              <w:rPr>
                <w:sz w:val="20"/>
                <w:szCs w:val="20"/>
                <w:color w:val="auto"/>
              </w:rPr>
            </w:pPr>
            <w:r>
              <w:rPr>
                <w:rFonts w:ascii="Arial" w:cs="Arial" w:eastAsia="Arial" w:hAnsi="Arial"/>
                <w:sz w:val="18"/>
                <w:szCs w:val="18"/>
                <w:color w:val="auto"/>
              </w:rPr>
              <w:t>2008 Significant Acquisitions and Dispositions</w:t>
            </w:r>
          </w:p>
        </w:tc>
        <w:tc>
          <w:tcPr>
            <w:tcW w:w="3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8100" w:type="dxa"/>
            <w:vAlign w:val="bottom"/>
          </w:tcPr>
          <w:p>
            <w:pPr>
              <w:ind w:left="60"/>
              <w:spacing w:after="0"/>
              <w:rPr>
                <w:sz w:val="20"/>
                <w:szCs w:val="20"/>
                <w:color w:val="auto"/>
              </w:rPr>
            </w:pPr>
            <w:r>
              <w:rPr>
                <w:rFonts w:ascii="Arial" w:cs="Arial" w:eastAsia="Arial" w:hAnsi="Arial"/>
                <w:sz w:val="18"/>
                <w:szCs w:val="18"/>
                <w:color w:val="auto"/>
              </w:rPr>
              <w:t>Real Estate Status Report</w:t>
            </w:r>
          </w:p>
        </w:tc>
        <w:tc>
          <w:tcPr>
            <w:tcW w:w="3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8100" w:type="dxa"/>
            <w:vAlign w:val="bottom"/>
          </w:tcPr>
          <w:p>
            <w:pPr>
              <w:ind w:left="60"/>
              <w:spacing w:after="0"/>
              <w:rPr>
                <w:sz w:val="20"/>
                <w:szCs w:val="20"/>
                <w:color w:val="auto"/>
              </w:rPr>
            </w:pPr>
            <w:r>
              <w:rPr>
                <w:rFonts w:ascii="Arial" w:cs="Arial" w:eastAsia="Arial" w:hAnsi="Arial"/>
                <w:sz w:val="18"/>
                <w:szCs w:val="18"/>
                <w:color w:val="auto"/>
              </w:rPr>
              <w:t>Retail Leasing Summary</w:t>
            </w:r>
          </w:p>
        </w:tc>
        <w:tc>
          <w:tcPr>
            <w:tcW w:w="3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8100" w:type="dxa"/>
            <w:vAlign w:val="bottom"/>
          </w:tcPr>
          <w:p>
            <w:pPr>
              <w:ind w:left="60"/>
              <w:spacing w:after="0"/>
              <w:rPr>
                <w:sz w:val="20"/>
                <w:szCs w:val="20"/>
                <w:color w:val="auto"/>
              </w:rPr>
            </w:pPr>
            <w:r>
              <w:rPr>
                <w:rFonts w:ascii="Arial" w:cs="Arial" w:eastAsia="Arial" w:hAnsi="Arial"/>
                <w:sz w:val="18"/>
                <w:szCs w:val="18"/>
                <w:color w:val="auto"/>
              </w:rPr>
              <w:t>Lease Expirations</w:t>
            </w:r>
          </w:p>
        </w:tc>
        <w:tc>
          <w:tcPr>
            <w:tcW w:w="3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8100" w:type="dxa"/>
            <w:vAlign w:val="bottom"/>
          </w:tcPr>
          <w:p>
            <w:pPr>
              <w:ind w:left="60"/>
              <w:spacing w:after="0"/>
              <w:rPr>
                <w:sz w:val="20"/>
                <w:szCs w:val="20"/>
                <w:color w:val="auto"/>
              </w:rPr>
            </w:pPr>
            <w:r>
              <w:rPr>
                <w:rFonts w:ascii="Arial" w:cs="Arial" w:eastAsia="Arial" w:hAnsi="Arial"/>
                <w:sz w:val="18"/>
                <w:szCs w:val="18"/>
                <w:color w:val="auto"/>
              </w:rPr>
              <w:t>Portfolio Leased Statistics</w:t>
            </w:r>
          </w:p>
        </w:tc>
        <w:tc>
          <w:tcPr>
            <w:tcW w:w="3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8100" w:type="dxa"/>
            <w:vAlign w:val="bottom"/>
          </w:tcPr>
          <w:p>
            <w:pPr>
              <w:ind w:left="60"/>
              <w:spacing w:after="0"/>
              <w:rPr>
                <w:sz w:val="20"/>
                <w:szCs w:val="20"/>
                <w:color w:val="auto"/>
              </w:rPr>
            </w:pPr>
            <w:r>
              <w:rPr>
                <w:rFonts w:ascii="Arial" w:cs="Arial" w:eastAsia="Arial" w:hAnsi="Arial"/>
                <w:sz w:val="18"/>
                <w:szCs w:val="18"/>
                <w:color w:val="auto"/>
              </w:rPr>
              <w:t>Summary of Top 25 Tenants</w:t>
            </w:r>
          </w:p>
        </w:tc>
        <w:tc>
          <w:tcPr>
            <w:tcW w:w="3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8100" w:type="dxa"/>
            <w:vAlign w:val="bottom"/>
          </w:tcPr>
          <w:p>
            <w:pPr>
              <w:ind w:left="60"/>
              <w:spacing w:after="0"/>
              <w:rPr>
                <w:sz w:val="20"/>
                <w:szCs w:val="20"/>
                <w:color w:val="auto"/>
              </w:rPr>
            </w:pPr>
            <w:r>
              <w:rPr>
                <w:rFonts w:ascii="Arial" w:cs="Arial" w:eastAsia="Arial" w:hAnsi="Arial"/>
                <w:sz w:val="18"/>
                <w:szCs w:val="18"/>
                <w:color w:val="auto"/>
              </w:rPr>
              <w:t>Reconciliation of Net Income to FFO Guidance</w:t>
            </w:r>
          </w:p>
        </w:tc>
        <w:tc>
          <w:tcPr>
            <w:tcW w:w="3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8100" w:type="dxa"/>
            <w:vAlign w:val="bottom"/>
          </w:tcPr>
          <w:p>
            <w:pPr>
              <w:ind w:left="60"/>
              <w:spacing w:after="0"/>
              <w:rPr>
                <w:sz w:val="20"/>
                <w:szCs w:val="20"/>
                <w:color w:val="auto"/>
              </w:rPr>
            </w:pPr>
            <w:r>
              <w:rPr>
                <w:rFonts w:ascii="Arial" w:cs="Arial" w:eastAsia="Arial" w:hAnsi="Arial"/>
                <w:sz w:val="18"/>
                <w:szCs w:val="18"/>
                <w:color w:val="auto"/>
              </w:rPr>
              <w:t>Joint Venture Disclosure</w:t>
            </w:r>
          </w:p>
        </w:tc>
        <w:tc>
          <w:tcPr>
            <w:tcW w:w="304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Summarized Income Statements and Balance Sheets</w:t>
            </w:r>
          </w:p>
        </w:tc>
        <w:tc>
          <w:tcPr>
            <w:tcW w:w="30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8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Summary of Outstanding Debt and Debt Maturities</w:t>
            </w:r>
          </w:p>
        </w:tc>
        <w:tc>
          <w:tcPr>
            <w:tcW w:w="3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280" w:type="dxa"/>
            <w:vAlign w:val="bottom"/>
          </w:tcPr>
          <w:p>
            <w:pPr>
              <w:spacing w:after="0"/>
              <w:rPr>
                <w:sz w:val="19"/>
                <w:szCs w:val="19"/>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Real Estate Status Report</w:t>
            </w:r>
          </w:p>
        </w:tc>
        <w:tc>
          <w:tcPr>
            <w:tcW w:w="3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8100" w:type="dxa"/>
            <w:vAlign w:val="bottom"/>
          </w:tcPr>
          <w:p>
            <w:pPr>
              <w:ind w:left="60"/>
              <w:spacing w:after="0"/>
              <w:rPr>
                <w:sz w:val="20"/>
                <w:szCs w:val="20"/>
                <w:color w:val="auto"/>
              </w:rPr>
            </w:pPr>
            <w:r>
              <w:rPr>
                <w:rFonts w:ascii="Arial" w:cs="Arial" w:eastAsia="Arial" w:hAnsi="Arial"/>
                <w:sz w:val="18"/>
                <w:szCs w:val="18"/>
                <w:color w:val="auto"/>
              </w:rPr>
              <w:t>Glossary of Terms</w:t>
            </w:r>
          </w:p>
        </w:tc>
        <w:tc>
          <w:tcPr>
            <w:tcW w:w="304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Safe Harbor Language</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27, 2008, and include the following:</w:t>
      </w:r>
    </w:p>
    <w:p>
      <w:pPr>
        <w:spacing w:after="0" w:line="6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i w:val="1"/>
          <w:iCs w:val="1"/>
          <w:color w:val="auto"/>
        </w:rPr>
      </w:pPr>
    </w:p>
    <w:p>
      <w:pPr>
        <w:ind w:left="900" w:right="300" w:hanging="325"/>
        <w:spacing w:after="0" w:line="332" w:lineRule="auto"/>
        <w:tabs>
          <w:tab w:leader="none" w:pos="9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4" w:lineRule="exact"/>
        <w:rPr>
          <w:rFonts w:ascii="Arial" w:cs="Arial" w:eastAsia="Arial" w:hAnsi="Arial"/>
          <w:sz w:val="16"/>
          <w:szCs w:val="16"/>
          <w:i w:val="1"/>
          <w:iCs w:val="1"/>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i w:val="1"/>
          <w:iCs w:val="1"/>
          <w:color w:val="auto"/>
        </w:rPr>
      </w:pPr>
    </w:p>
    <w:p>
      <w:pPr>
        <w:ind w:left="900" w:hanging="325"/>
        <w:spacing w:after="0" w:line="298" w:lineRule="auto"/>
        <w:tabs>
          <w:tab w:leader="none" w:pos="90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31" w:lineRule="exact"/>
        <w:rPr>
          <w:rFonts w:ascii="Arial" w:cs="Arial" w:eastAsia="Arial" w:hAnsi="Arial"/>
          <w:sz w:val="16"/>
          <w:szCs w:val="16"/>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that our growth will be limited if we cannot obtain additional capital;</w:t>
      </w:r>
    </w:p>
    <w:p>
      <w:pPr>
        <w:spacing w:after="0" w:line="90" w:lineRule="exact"/>
        <w:rPr>
          <w:rFonts w:ascii="Arial" w:cs="Arial" w:eastAsia="Arial" w:hAnsi="Arial"/>
          <w:sz w:val="18"/>
          <w:szCs w:val="18"/>
          <w:i w:val="1"/>
          <w:iCs w:val="1"/>
          <w:color w:val="auto"/>
        </w:rPr>
      </w:pPr>
    </w:p>
    <w:p>
      <w:pPr>
        <w:ind w:left="90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i w:val="1"/>
          <w:iCs w:val="1"/>
          <w:color w:val="auto"/>
        </w:rPr>
      </w:pPr>
    </w:p>
    <w:p>
      <w:pPr>
        <w:ind w:left="900" w:right="20" w:hanging="325"/>
        <w:spacing w:after="0" w:line="259" w:lineRule="auto"/>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27, 2008.</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397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3360" w:type="dxa"/>
            <w:vAlign w:val="bottom"/>
          </w:tcPr>
          <w:p>
            <w:pPr>
              <w:spacing w:after="0"/>
              <w:rPr>
                <w:sz w:val="19"/>
                <w:szCs w:val="19"/>
                <w:color w:val="auto"/>
              </w:rPr>
            </w:pPr>
          </w:p>
        </w:tc>
      </w:tr>
      <w:tr>
        <w:trPr>
          <w:trHeight w:val="380"/>
        </w:trPr>
        <w:tc>
          <w:tcPr>
            <w:tcW w:w="7660" w:type="dxa"/>
            <w:vAlign w:val="bottom"/>
            <w:gridSpan w:val="2"/>
          </w:tcPr>
          <w:p>
            <w:pPr>
              <w:spacing w:after="0"/>
              <w:rPr>
                <w:sz w:val="20"/>
                <w:szCs w:val="20"/>
                <w:color w:val="auto"/>
              </w:rPr>
            </w:pPr>
            <w:r>
              <w:rPr>
                <w:rFonts w:ascii="Arial" w:cs="Arial" w:eastAsia="Arial" w:hAnsi="Arial"/>
                <w:sz w:val="18"/>
                <w:szCs w:val="18"/>
                <w:i w:val="1"/>
                <w:iCs w:val="1"/>
                <w:color w:val="auto"/>
              </w:rPr>
              <w:t>Investor and Media Inquiries</w:t>
            </w:r>
          </w:p>
        </w:tc>
        <w:tc>
          <w:tcPr>
            <w:tcW w:w="3360" w:type="dxa"/>
            <w:vAlign w:val="bottom"/>
          </w:tcPr>
          <w:p>
            <w:pPr>
              <w:spacing w:after="0"/>
              <w:rPr>
                <w:sz w:val="24"/>
                <w:szCs w:val="24"/>
                <w:color w:val="auto"/>
              </w:rPr>
            </w:pPr>
          </w:p>
        </w:tc>
      </w:tr>
      <w:tr>
        <w:trPr>
          <w:trHeight w:val="228"/>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Gina Birdsall</w:t>
            </w:r>
          </w:p>
        </w:tc>
        <w:tc>
          <w:tcPr>
            <w:tcW w:w="5600" w:type="dxa"/>
            <w:vAlign w:val="bottom"/>
          </w:tcPr>
          <w:p>
            <w:pPr>
              <w:spacing w:after="0"/>
              <w:rPr>
                <w:sz w:val="19"/>
                <w:szCs w:val="19"/>
                <w:color w:val="auto"/>
              </w:rPr>
            </w:pPr>
          </w:p>
        </w:tc>
        <w:tc>
          <w:tcPr>
            <w:tcW w:w="3360" w:type="dxa"/>
            <w:vAlign w:val="bottom"/>
          </w:tcPr>
          <w:p>
            <w:pPr>
              <w:ind w:left="1120"/>
              <w:spacing w:after="0"/>
              <w:rPr>
                <w:sz w:val="20"/>
                <w:szCs w:val="20"/>
                <w:color w:val="auto"/>
              </w:rPr>
            </w:pPr>
            <w:r>
              <w:rPr>
                <w:rFonts w:ascii="Arial" w:cs="Arial" w:eastAsia="Arial" w:hAnsi="Arial"/>
                <w:sz w:val="18"/>
                <w:szCs w:val="18"/>
                <w:color w:val="auto"/>
              </w:rPr>
              <w:t>Janelle Stevenson</w:t>
            </w: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3360" w:type="dxa"/>
            <w:vAlign w:val="bottom"/>
          </w:tcPr>
          <w:p>
            <w:pPr>
              <w:ind w:left="1120"/>
              <w:spacing w:after="0"/>
              <w:rPr>
                <w:sz w:val="20"/>
                <w:szCs w:val="20"/>
                <w:color w:val="auto"/>
              </w:rPr>
            </w:pPr>
            <w:r>
              <w:rPr>
                <w:rFonts w:ascii="Arial" w:cs="Arial" w:eastAsia="Arial" w:hAnsi="Arial"/>
                <w:sz w:val="18"/>
                <w:szCs w:val="18"/>
                <w:color w:val="auto"/>
              </w:rPr>
              <w:t>Corporate Communications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301/998-8265</w:t>
            </w:r>
          </w:p>
        </w:tc>
        <w:tc>
          <w:tcPr>
            <w:tcW w:w="5600" w:type="dxa"/>
            <w:vAlign w:val="bottom"/>
          </w:tcPr>
          <w:p>
            <w:pPr>
              <w:spacing w:after="0"/>
              <w:rPr>
                <w:sz w:val="18"/>
                <w:szCs w:val="18"/>
                <w:color w:val="auto"/>
              </w:rPr>
            </w:pPr>
          </w:p>
        </w:tc>
        <w:tc>
          <w:tcPr>
            <w:tcW w:w="3360" w:type="dxa"/>
            <w:vAlign w:val="bottom"/>
          </w:tcPr>
          <w:p>
            <w:pPr>
              <w:ind w:left="1120"/>
              <w:spacing w:after="0"/>
              <w:rPr>
                <w:sz w:val="20"/>
                <w:szCs w:val="20"/>
                <w:color w:val="auto"/>
              </w:rPr>
            </w:pPr>
            <w:r>
              <w:rPr>
                <w:rFonts w:ascii="Arial" w:cs="Arial" w:eastAsia="Arial" w:hAnsi="Arial"/>
                <w:sz w:val="18"/>
                <w:szCs w:val="18"/>
                <w:color w:val="auto"/>
              </w:rPr>
              <w:t>301/998-8185</w:t>
            </w:r>
          </w:p>
        </w:tc>
      </w:tr>
      <w:tr>
        <w:trPr>
          <w:trHeight w:val="222"/>
        </w:trPr>
        <w:tc>
          <w:tcPr>
            <w:tcW w:w="7660" w:type="dxa"/>
            <w:vAlign w:val="bottom"/>
            <w:gridSpan w:val="2"/>
          </w:tcPr>
          <w:p>
            <w:pPr>
              <w:spacing w:after="0"/>
              <w:rPr>
                <w:sz w:val="20"/>
                <w:szCs w:val="20"/>
                <w:color w:val="auto"/>
              </w:rPr>
            </w:pPr>
            <w:r>
              <w:rPr>
                <w:rFonts w:ascii="Arial" w:cs="Arial" w:eastAsia="Arial" w:hAnsi="Arial"/>
                <w:sz w:val="18"/>
                <w:szCs w:val="18"/>
                <w:i w:val="1"/>
                <w:iCs w:val="1"/>
                <w:color w:val="auto"/>
              </w:rPr>
              <w:t>gbirdsall@federalrealty.com</w:t>
            </w:r>
          </w:p>
        </w:tc>
        <w:tc>
          <w:tcPr>
            <w:tcW w:w="3360" w:type="dxa"/>
            <w:vAlign w:val="bottom"/>
          </w:tcPr>
          <w:p>
            <w:pPr>
              <w:ind w:left="1120"/>
              <w:spacing w:after="0"/>
              <w:rPr>
                <w:sz w:val="20"/>
                <w:szCs w:val="20"/>
                <w:color w:val="auto"/>
              </w:rPr>
            </w:pPr>
            <w:r>
              <w:rPr>
                <w:rFonts w:ascii="Arial" w:cs="Arial" w:eastAsia="Arial" w:hAnsi="Arial"/>
                <w:sz w:val="18"/>
                <w:szCs w:val="18"/>
                <w:i w:val="1"/>
                <w:iCs w:val="1"/>
                <w:color w:val="auto"/>
                <w:w w:val="86"/>
              </w:rPr>
              <w:t>jmstevenson@federalrealty.com</w:t>
            </w:r>
          </w:p>
        </w:tc>
      </w:tr>
      <w:tr>
        <w:trPr>
          <w:trHeight w:val="366"/>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FEDERAL REALTY INVESTMENT TRUST ANNOUNCES THIRD QUARTER 2008</w:t>
            </w:r>
          </w:p>
        </w:tc>
        <w:tc>
          <w:tcPr>
            <w:tcW w:w="3360" w:type="dxa"/>
            <w:vAlign w:val="bottom"/>
          </w:tcPr>
          <w:p>
            <w:pPr>
              <w:spacing w:after="0"/>
              <w:rPr>
                <w:sz w:val="24"/>
                <w:szCs w:val="24"/>
                <w:color w:val="auto"/>
              </w:rPr>
            </w:pPr>
          </w:p>
        </w:tc>
      </w:tr>
      <w:tr>
        <w:trPr>
          <w:trHeight w:val="228"/>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OPERATING RESULTS</w:t>
            </w:r>
          </w:p>
        </w:tc>
        <w:tc>
          <w:tcPr>
            <w:tcW w:w="3360" w:type="dxa"/>
            <w:vAlign w:val="bottom"/>
          </w:tcPr>
          <w:p>
            <w:pPr>
              <w:spacing w:after="0"/>
              <w:rPr>
                <w:sz w:val="19"/>
                <w:szCs w:val="19"/>
                <w:color w:val="auto"/>
              </w:rPr>
            </w:pPr>
          </w:p>
        </w:tc>
      </w:tr>
    </w:tbl>
    <w:p>
      <w:pPr>
        <w:spacing w:after="0" w:line="15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ROCKVILLE, Md. (October 29, 2008) – Federal Realty Investment Trust (NYSE:FRT) today reported operating results for its third quarter ended September 30, 2008.</w:t>
      </w:r>
    </w:p>
    <w:p>
      <w:pPr>
        <w:spacing w:after="0" w:line="51" w:lineRule="exact"/>
        <w:rPr>
          <w:sz w:val="20"/>
          <w:szCs w:val="20"/>
          <w:color w:val="auto"/>
        </w:rPr>
      </w:pPr>
    </w:p>
    <w:p>
      <w:pPr>
        <w:ind w:left="900" w:right="1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Funds from operations available for common shareholders (FFO) per diluted share was $0.98 and earnings per diluted common share was $0.63 for the quarter ended September 30, 2008, versus $0.92 and $0.41, respectively, for third quarter 2007.</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FFO per diluted share was $2.87 and earnings per diluted common share was $1.62 for the nine months ended September 30, 2008, versus $2.71 and $1.30, respectively, for the nine months ended September 30, 2007.</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Rent increases on lease rollovers for retail space for which there was a prior tenant were 23% on a cash-basis and 42% on a GAAP-basis for the quarter ended September 30, 2008.</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Trust’s portfolio was 95.5% leased and 94.8% occupied as of September 30, 2008.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Guidance for 2008 FFO per diluted share remains unchanged at $3.89 to $3.92.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For third quarter 2008, Federal Realty reported FFO of $58.3 million, or $0.98 per diluted share. This compares to FFO of $52.5 million, or $0.92 per diluted share, reported for third quarter 2007. For the nine months ended September 30, 2008, Federal Realty reported FFO of $170.4 million, or $2.87 per diluted share compared to FFO of $154.0 million, or $2.71 per diluted share, for the same nine-month period in 2007.</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 income available for common shareholders was $37.0 million and earnings per diluted common share was $0.63 for the quarter ended September 30, 2008, versus $23.4 million and $0.41, respectively, for third quarter 2007. Year-to-date, Federal Realty reported net income available for common shareholders of $95.7 million, or $1.62 per diluted common share. This compares to net income available for common shareholders of $73.1 million, or $1.30 per diluted common share, for the nine months ended September 30, 2007.</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ectPr>
          <w:pgSz w:w="11900" w:h="16838" w:orient="portrait"/>
          <w:cols w:equalWidth="0" w:num="1">
            <w:col w:w="11420"/>
          </w:cols>
          <w:pgMar w:left="240" w:top="144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2007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a same-center basis, property operating income increased 4.8% including redevelopments and expansions, and 2.9% excluding redevelopments and expansions over third quarter 2007. These same-center results exclude a $1.2 million option payment received and reported in third quarter 2007 associated with a terminated purchase option with respect to one of Federal Realty’s properties. Including this payment in third quarter 2007 property operating income results in an increase of 3.3% including redevelopments and expansions and 1.4% excluding redevelopments and expansions.</w:t>
      </w:r>
    </w:p>
    <w:p>
      <w:pPr>
        <w:spacing w:after="0" w:line="3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Overall, the Trust’s portfolio was 95.5% leased and 94.8% occupied as of September 30, 2008, compared to 96.4% and 95.1%, respectively, on September 30, 2007. Federal Realty’s same-center portfolio was 96.0% leased and 95.7% occupied on September 30, 2008, compared to 96.7% and 95.9%, respectively, on September 30, 2007.</w:t>
      </w:r>
    </w:p>
    <w:p>
      <w:pPr>
        <w:spacing w:after="0" w:line="5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third quarter 2008, the Trust signed 76 leases for 369,000 square feet of retail space. On a comparable space basis (</w:t>
      </w:r>
      <w:r>
        <w:rPr>
          <w:rFonts w:ascii="Arial" w:cs="Arial" w:eastAsia="Arial" w:hAnsi="Arial"/>
          <w:sz w:val="16"/>
          <w:szCs w:val="16"/>
          <w:i w:val="1"/>
          <w:iCs w:val="1"/>
          <w:color w:val="auto"/>
        </w:rPr>
        <w:t>i.e.</w:t>
      </w:r>
      <w:r>
        <w:rPr>
          <w:rFonts w:ascii="Arial" w:cs="Arial" w:eastAsia="Arial" w:hAnsi="Arial"/>
          <w:sz w:val="16"/>
          <w:szCs w:val="16"/>
          <w:color w:val="auto"/>
        </w:rPr>
        <w:t>, spaces for which there was a former tenant), the Trust leased 351,000 square feet at an average cash-basis contractual rent increase per square foot (</w:t>
      </w:r>
      <w:r>
        <w:rPr>
          <w:rFonts w:ascii="Arial" w:cs="Arial" w:eastAsia="Arial" w:hAnsi="Arial"/>
          <w:sz w:val="16"/>
          <w:szCs w:val="16"/>
          <w:i w:val="1"/>
          <w:iCs w:val="1"/>
          <w:color w:val="auto"/>
        </w:rPr>
        <w:t>i.e.</w:t>
      </w:r>
      <w:r>
        <w:rPr>
          <w:rFonts w:ascii="Arial" w:cs="Arial" w:eastAsia="Arial" w:hAnsi="Arial"/>
          <w:sz w:val="16"/>
          <w:szCs w:val="16"/>
          <w:color w:val="auto"/>
        </w:rPr>
        <w:t>, excluding the impact of straight-line rents) of 23%. The average contractual rent on this comparable space for the first year of the new lease is $25.03 per square foot compared to the average contractual rent of $20.28 per square foot for the last year of the prior lease. The previous average contractual rent is calculated by including both the minimum rent and the percentage rent actually paid during the last year of the lease term for the re-leased space. On a GAAP basis (</w:t>
      </w:r>
      <w:r>
        <w:rPr>
          <w:rFonts w:ascii="Arial" w:cs="Arial" w:eastAsia="Arial" w:hAnsi="Arial"/>
          <w:sz w:val="16"/>
          <w:szCs w:val="16"/>
          <w:i w:val="1"/>
          <w:iCs w:val="1"/>
          <w:color w:val="auto"/>
        </w:rPr>
        <w:t>i.e.</w:t>
      </w:r>
      <w:r>
        <w:rPr>
          <w:rFonts w:ascii="Arial" w:cs="Arial" w:eastAsia="Arial" w:hAnsi="Arial"/>
          <w:sz w:val="16"/>
          <w:szCs w:val="16"/>
          <w:color w:val="auto"/>
        </w:rPr>
        <w:t>, including the impact of straight-line rents), rent increases per square foot for comparable retail space averaged 42% for third quarter 2008. As of September 30, 2008, Federal Realty’s average contractual, cash basis minimum rent for retail and commercial space in its portfolio is $21.63 per square foot.</w:t>
      </w:r>
    </w:p>
    <w:p>
      <w:pPr>
        <w:spacing w:after="0" w:line="3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third quarter results were very solid given the state of the current economy,” commented Donald C. Wood, president and chief executive officer of Federal Realty Investment Trust. “Our conservative operating strategy, which includes low leverage levels combined with high quality retail properties as its core, tends to really shine through in times like these.”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Federal Realty also announced today that its Board of Trustees declared a regular quarterly cash dividend of $0.65 per share on its common shares, resulting in an indicated annual rate of $2.60 per share. The regular common dividend will be payable on January 15, 2009, to common shareholders of record as of January 2, 2009.</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2008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9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Federal Realty’s guidance for 2008 FFO per diluted share remains unchanged at $3.89 to $3.92 and its 2008 earnings per diluted common share guidance increased to a range of $2.18 to $2.21.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96" w:lineRule="exact"/>
        <w:rPr>
          <w:sz w:val="20"/>
          <w:szCs w:val="20"/>
          <w:color w:val="auto"/>
        </w:rPr>
      </w:pPr>
    </w:p>
    <w:p>
      <w:pPr>
        <w:ind w:left="900" w:hanging="325"/>
        <w:spacing w:after="0" w:line="25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September 8, 2008—Acquired Courtyard Shops, a 127,000 square foot Publix-anchored neighborhood shopping center located in Wellington, Florida, an affluent community in central Palm Beach County, Florida. Federal Realty acquired the property from an institutional owner for $37.9 million. Courtyard Shops boasts average household incomes in excess of $115,000 within a 3-mile radius of the property, a highly productive Publix store, and potential for strong NOI growth. In addition, the property benefits from significant barriers to new competition due to considerable portions of Wellington being protected as an equestrian preserve established to keep the community’s character intact as Wellington is world-famous for its equestrian events and polo clubs.</w:t>
      </w:r>
    </w:p>
    <w:p>
      <w:pPr>
        <w:spacing w:after="0" w:line="63" w:lineRule="exact"/>
        <w:rPr>
          <w:rFonts w:ascii="Arial" w:cs="Arial" w:eastAsia="Arial" w:hAnsi="Arial"/>
          <w:sz w:val="18"/>
          <w:szCs w:val="18"/>
          <w:color w:val="auto"/>
        </w:rPr>
      </w:pPr>
    </w:p>
    <w:p>
      <w:pPr>
        <w:ind w:left="900" w:right="40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August 26, 2008—Announced the promotion of Andrew P. Blocher to the position of senior vice president, chief financial officer and treasurer effective September 1, 2008, succeeding Joseph M. Squeri, who left the Trust to pursue other professional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third quarter 2008 earnings conference call, which is scheduled for October 30, 2008, at 11 a.m. Eastern Daylight Time. To participate, please call (866) 831-6234 five to ten minutes prior to the call’s start time and use the passcode EARNINGS (required). Federal Realty will also provide an online webcast on the Company’s website, www.federalrealty.com, which will remain available for 30 days following the call. A telephone recording of the call will also be available through November 28, 2008, by dialing (888) 286-8010 and entering the passcode 54745083.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96" w:lineRule="exact"/>
        <w:rPr>
          <w:sz w:val="20"/>
          <w:szCs w:val="20"/>
          <w:color w:val="auto"/>
        </w:rPr>
      </w:pPr>
    </w:p>
    <w:p>
      <w:pPr>
        <w:ind w:right="240"/>
        <w:spacing w:after="0" w:line="284"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18.1 million square feet located primarily in strategically selected metropolitan markets in the Northeast, Mid-Atlantic, and California. In addition, the Trust has an ownership interest in approximately</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1.0 million square feet of retail space through a joint venture in which the Trust has a 30% interest. Our operating portfolio (excluding joint venture properties) was 95.5% leased to national, regional, and local retailers as of September 30, 2008, with no single tenant accounting for more than approximately 2.6% of annualized base</w:t>
      </w:r>
    </w:p>
    <w:p>
      <w:pPr>
        <w:sectPr>
          <w:pgSz w:w="11900" w:h="16838" w:orient="portrait"/>
          <w:cols w:equalWidth="0" w:num="1">
            <w:col w:w="11340"/>
          </w:cols>
          <w:pgMar w:left="240" w:top="280"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2008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65"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rent. Federal Realty has paid quarterly dividends to its shareholders continuously since its founding in 1962, and has increased its dividend rate for 41 consecutive years, the longest record in the REIT industry. Federal Realty is an S&amp;P MidCap 400 company and its shares are traded on the NYSE under the symbol FRT.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27, 2008 and include the following:</w:t>
      </w:r>
    </w:p>
    <w:p>
      <w:pPr>
        <w:spacing w:after="0" w:line="6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February 27, 2008.</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Income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338"/>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1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thousands,</w:t>
            </w:r>
          </w:p>
        </w:tc>
        <w:tc>
          <w:tcPr>
            <w:tcW w:w="2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73"/>
              </w:rPr>
              <w:t>except</w:t>
            </w:r>
          </w:p>
        </w:tc>
        <w:tc>
          <w:tcPr>
            <w:tcW w:w="680" w:type="dxa"/>
            <w:vAlign w:val="bottom"/>
            <w:gridSpan w:val="2"/>
          </w:tcPr>
          <w:p>
            <w:pPr>
              <w:jc w:val="right"/>
              <w:ind w:right="14"/>
              <w:spacing w:after="0" w:line="129" w:lineRule="exact"/>
              <w:rPr>
                <w:sz w:val="20"/>
                <w:szCs w:val="20"/>
                <w:color w:val="auto"/>
              </w:rPr>
            </w:pPr>
            <w:r>
              <w:rPr>
                <w:rFonts w:ascii="Arial" w:cs="Arial" w:eastAsia="Arial" w:hAnsi="Arial"/>
                <w:sz w:val="14"/>
                <w:szCs w:val="14"/>
                <w:b w:val="1"/>
                <w:bCs w:val="1"/>
                <w:color w:val="auto"/>
                <w:w w:val="88"/>
              </w:rPr>
              <w:t>per share</w:t>
            </w:r>
          </w:p>
        </w:tc>
        <w:tc>
          <w:tcPr>
            <w:tcW w:w="2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71"/>
              </w:rPr>
              <w:t>data)</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center"/>
              <w:ind w:right="312"/>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126,654</w:t>
            </w:r>
          </w:p>
        </w:tc>
        <w:tc>
          <w:tcPr>
            <w:tcW w:w="16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98"/>
              <w:spacing w:after="0"/>
              <w:rPr>
                <w:sz w:val="20"/>
                <w:szCs w:val="20"/>
                <w:color w:val="auto"/>
              </w:rPr>
            </w:pPr>
            <w:r>
              <w:rPr>
                <w:rFonts w:ascii="Arial" w:cs="Arial" w:eastAsia="Arial" w:hAnsi="Arial"/>
                <w:sz w:val="18"/>
                <w:szCs w:val="18"/>
                <w:color w:val="auto"/>
                <w:w w:val="86"/>
              </w:rPr>
              <w:t>117,801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w w:val="86"/>
              </w:rPr>
              <w:t>371,792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343,821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12,015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2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131,767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123,564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6"/>
              </w:rPr>
              <w:t>387,149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356,757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81,011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41,331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19,451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81,837</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223,630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201,135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55,412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54,092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w w:val="86"/>
              </w:rPr>
              <w:t>163,519</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155,622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interest income</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w w:val="92"/>
              </w:rPr>
              <w:t>(25,337)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8"/>
              <w:spacing w:after="0"/>
              <w:rPr>
                <w:sz w:val="20"/>
                <w:szCs w:val="20"/>
                <w:color w:val="auto"/>
              </w:rPr>
            </w:pPr>
            <w:r>
              <w:rPr>
                <w:rFonts w:ascii="Arial" w:cs="Arial" w:eastAsia="Arial" w:hAnsi="Arial"/>
                <w:sz w:val="18"/>
                <w:szCs w:val="18"/>
                <w:color w:val="auto"/>
                <w:w w:val="92"/>
              </w:rPr>
              <w:t>(28,732)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(74,166)</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(84,247)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2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4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minority interests</w:t>
            </w: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91,195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(1,315)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(1,629)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(4,056)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21"/>
        </w:trPr>
        <w:tc>
          <w:tcPr>
            <w:tcW w:w="52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87,139</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Gain (loss) on sale of real estate from discontinued operations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(2,900)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7,438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Results from discontinued operations</w:t>
            </w:r>
          </w:p>
        </w:tc>
        <w:tc>
          <w:tcPr>
            <w:tcW w:w="2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vMerge w:val="continue"/>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38"/>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8,923</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96,062</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38"/>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52"/>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95,656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gridSpan w:val="2"/>
            <w:vMerge w:val="continue"/>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8"/>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420"/>
              <w:spacing w:after="0"/>
              <w:rPr>
                <w:sz w:val="20"/>
                <w:szCs w:val="20"/>
                <w:color w:val="auto"/>
              </w:rPr>
            </w:pPr>
            <w:r>
              <w:rPr>
                <w:rFonts w:ascii="Arial" w:cs="Arial" w:eastAsia="Arial" w:hAnsi="Arial"/>
                <w:sz w:val="18"/>
                <w:szCs w:val="18"/>
                <w:color w:val="auto"/>
              </w:rPr>
              <w:t>Weighted average number of common shares, basic</w:t>
            </w: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58,720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56,302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58,624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0.43</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1.47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0.63</w:t>
            </w:r>
          </w:p>
        </w:tc>
        <w:tc>
          <w:tcPr>
            <w:tcW w:w="16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12"/>
              <w:spacing w:after="0"/>
              <w:rPr>
                <w:sz w:val="20"/>
                <w:szCs w:val="20"/>
                <w:color w:val="auto"/>
              </w:rPr>
            </w:pPr>
            <w:r>
              <w:rPr>
                <w:rFonts w:ascii="Arial" w:cs="Arial" w:eastAsia="Arial" w:hAnsi="Arial"/>
                <w:sz w:val="18"/>
                <w:szCs w:val="18"/>
                <w:color w:val="auto"/>
              </w:rPr>
              <w:t>1.62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diluted</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58,902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560" w:type="dxa"/>
            <w:vAlign w:val="bottom"/>
            <w:vMerge w:val="restart"/>
          </w:tcPr>
          <w:p>
            <w:pPr>
              <w:jc w:val="right"/>
              <w:ind w:right="195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1200" w:type="dxa"/>
            <w:vAlign w:val="bottom"/>
            <w:gridSpan w:val="4"/>
          </w:tcPr>
          <w:p>
            <w:pPr>
              <w:jc w:val="right"/>
              <w:ind w:right="513"/>
              <w:spacing w:after="0" w:line="129" w:lineRule="exact"/>
              <w:rPr>
                <w:sz w:val="20"/>
                <w:szCs w:val="20"/>
                <w:color w:val="auto"/>
              </w:rPr>
            </w:pPr>
            <w:r>
              <w:rPr>
                <w:rFonts w:ascii="Arial" w:cs="Arial" w:eastAsia="Arial" w:hAnsi="Arial"/>
                <w:sz w:val="14"/>
                <w:szCs w:val="14"/>
                <w:b w:val="1"/>
                <w:bCs w:val="1"/>
                <w:color w:val="auto"/>
                <w:w w:val="76"/>
              </w:rPr>
              <w:t>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4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4500" w:type="dxa"/>
            <w:vAlign w:val="bottom"/>
            <w:gridSpan w:val="2"/>
            <w:shd w:val="clear" w:color="auto" w:fill="CCEEFF"/>
          </w:tcPr>
          <w:p>
            <w:pPr>
              <w:ind w:left="43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3,547,709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3,267,081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Construction-in-progress</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91,169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Assets held for sale (discontinued operations)</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3,638,878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3,452,847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5"/>
              </w:rPr>
              <w:t>(822,291)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(756,703)</w:t>
            </w:r>
          </w:p>
        </w:tc>
        <w:tc>
          <w:tcPr>
            <w:tcW w:w="0" w:type="dxa"/>
            <w:vAlign w:val="bottom"/>
          </w:tcPr>
          <w:p>
            <w:pPr>
              <w:spacing w:after="0"/>
              <w:rPr>
                <w:sz w:val="1"/>
                <w:szCs w:val="1"/>
                <w:color w:val="auto"/>
              </w:rPr>
            </w:pPr>
          </w:p>
        </w:tc>
      </w:tr>
      <w:tr>
        <w:trPr>
          <w:trHeight w:val="221"/>
        </w:trPr>
        <w:tc>
          <w:tcPr>
            <w:tcW w:w="4940" w:type="dxa"/>
            <w:vAlign w:val="bottom"/>
            <w:gridSpan w:val="2"/>
          </w:tcPr>
          <w:p>
            <w:pPr>
              <w:spacing w:after="0"/>
              <w:rPr>
                <w:sz w:val="20"/>
                <w:szCs w:val="20"/>
                <w:color w:val="auto"/>
              </w:rPr>
            </w:pPr>
            <w:r>
              <w:rPr>
                <w:rFonts w:ascii="Arial" w:cs="Arial" w:eastAsia="Arial" w:hAnsi="Arial"/>
                <w:sz w:val="18"/>
                <w:szCs w:val="18"/>
                <w:color w:val="auto"/>
              </w:rPr>
              <w:t>Net real estate</w:t>
            </w:r>
          </w:p>
        </w:tc>
        <w:tc>
          <w:tcPr>
            <w:tcW w:w="4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2,816,587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2,696,144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Accounts and notes receivable</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69,439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Mortgage notes receivable</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Investment in real estate partnership</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4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500" w:type="dxa"/>
            <w:vAlign w:val="bottom"/>
            <w:gridSpan w:val="2"/>
          </w:tcPr>
          <w:p>
            <w:pPr>
              <w:ind w:left="43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w w:val="87"/>
              </w:rPr>
              <w:t>3,111,542</w:t>
            </w:r>
          </w:p>
        </w:tc>
        <w:tc>
          <w:tcPr>
            <w:tcW w:w="260" w:type="dxa"/>
            <w:vAlign w:val="bottom"/>
            <w:gridSpan w:val="2"/>
          </w:tcPr>
          <w:p>
            <w:pPr>
              <w:ind w:left="1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2,989,297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Mortgages payable and capital lease obligations</w:t>
            </w:r>
          </w:p>
        </w:tc>
        <w:tc>
          <w:tcPr>
            <w:tcW w:w="4500" w:type="dxa"/>
            <w:vAlign w:val="bottom"/>
            <w:gridSpan w:val="2"/>
            <w:shd w:val="clear" w:color="auto" w:fill="CCEEFF"/>
          </w:tcPr>
          <w:p>
            <w:pPr>
              <w:ind w:left="43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455,982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341,912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notes and debentures</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4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1,962,792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1,842,847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4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32,085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Preferred stock</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4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1,106,668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1,104,635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4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1,116,665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1,114,632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4500" w:type="dxa"/>
            <w:vAlign w:val="bottom"/>
            <w:gridSpan w:val="2"/>
            <w:shd w:val="clear" w:color="auto" w:fill="CCEEFF"/>
          </w:tcPr>
          <w:p>
            <w:pPr>
              <w:ind w:left="438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7"/>
              </w:rPr>
              <w:t>3,111,542</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2,989,297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380" w:type="dxa"/>
            <w:vAlign w:val="bottom"/>
            <w:vMerge w:val="restart"/>
          </w:tcPr>
          <w:p>
            <w:pPr>
              <w:jc w:val="right"/>
              <w:ind w:right="3472"/>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60" w:type="dxa"/>
            <w:vAlign w:val="bottom"/>
            <w:gridSpan w:val="7"/>
          </w:tcPr>
          <w:p>
            <w:pPr>
              <w:jc w:val="right"/>
              <w:ind w:right="378"/>
              <w:spacing w:after="0"/>
              <w:rPr>
                <w:sz w:val="20"/>
                <w:szCs w:val="20"/>
                <w:color w:val="auto"/>
              </w:rPr>
            </w:pPr>
            <w:r>
              <w:rPr>
                <w:rFonts w:ascii="Arial" w:cs="Arial" w:eastAsia="Arial" w:hAnsi="Arial"/>
                <w:sz w:val="14"/>
                <w:szCs w:val="14"/>
                <w:b w:val="1"/>
                <w:bCs w:val="1"/>
                <w:color w:val="auto"/>
                <w:w w:val="88"/>
              </w:rPr>
              <w:t>Three months ended September 30,</w:t>
            </w:r>
          </w:p>
        </w:tc>
        <w:tc>
          <w:tcPr>
            <w:tcW w:w="2280" w:type="dxa"/>
            <w:vAlign w:val="bottom"/>
            <w:gridSpan w:val="7"/>
          </w:tcPr>
          <w:p>
            <w:pPr>
              <w:ind w:left="8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(in thousands,</w:t>
            </w: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w w:val="73"/>
              </w:rPr>
              <w:t>except</w:t>
            </w: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1"/>
              </w:rPr>
              <w:t>per share data)</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Funds from Operations available for common shareholders (FFO) (1)</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jc w:val="right"/>
              <w:ind w:right="22"/>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37,102</w:t>
            </w: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23,515</w:t>
            </w: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96,062</w:t>
            </w: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jc w:val="right"/>
              <w:ind w:right="43"/>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73,369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(Gain) loss on sale of real estate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Depreciation and amortization of real estate assets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26,037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23,651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74,037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71,910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Depreciation of joint venture real estate assets</w:t>
            </w:r>
          </w:p>
        </w:tc>
        <w:tc>
          <w:tcPr>
            <w:tcW w:w="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Funds from operations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170,094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Dividends on preferred stock</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38"/>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8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4"/>
          </w:tcPr>
          <w:p>
            <w:pPr>
              <w:ind w:left="420"/>
              <w:spacing w:after="0"/>
              <w:rPr>
                <w:sz w:val="20"/>
                <w:szCs w:val="20"/>
                <w:color w:val="auto"/>
              </w:rPr>
            </w:pPr>
            <w:r>
              <w:rPr>
                <w:rFonts w:ascii="Arial" w:cs="Arial" w:eastAsia="Arial" w:hAnsi="Arial"/>
                <w:sz w:val="18"/>
                <w:szCs w:val="18"/>
                <w:color w:val="auto"/>
              </w:rPr>
              <w:t>FFO</w:t>
            </w: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58,276</w:t>
            </w:r>
          </w:p>
        </w:tc>
        <w:tc>
          <w:tcPr>
            <w:tcW w:w="300" w:type="dxa"/>
            <w:vAlign w:val="bottom"/>
          </w:tcPr>
          <w:p>
            <w:pPr>
              <w:spacing w:after="0"/>
              <w:rPr>
                <w:sz w:val="19"/>
                <w:szCs w:val="19"/>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52,478</w:t>
            </w:r>
          </w:p>
        </w:tc>
        <w:tc>
          <w:tcPr>
            <w:tcW w:w="3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170,395</w:t>
            </w:r>
          </w:p>
        </w:tc>
        <w:tc>
          <w:tcPr>
            <w:tcW w:w="280" w:type="dxa"/>
            <w:vAlign w:val="bottom"/>
          </w:tcPr>
          <w:p>
            <w:pPr>
              <w:spacing w:after="0"/>
              <w:rPr>
                <w:sz w:val="19"/>
                <w:szCs w:val="19"/>
                <w:color w:val="auto"/>
              </w:rPr>
            </w:pPr>
          </w:p>
        </w:tc>
        <w:tc>
          <w:tcPr>
            <w:tcW w:w="32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153,983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FFO per diluted share</w:t>
            </w:r>
          </w:p>
        </w:tc>
        <w:tc>
          <w:tcPr>
            <w:tcW w:w="8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gridSpan w:val="4"/>
            <w:vMerge w:val="restart"/>
          </w:tcPr>
          <w:p>
            <w:pPr>
              <w:ind w:left="860"/>
              <w:spacing w:after="0"/>
              <w:rPr>
                <w:sz w:val="20"/>
                <w:szCs w:val="20"/>
                <w:color w:val="auto"/>
              </w:rPr>
            </w:pPr>
            <w:r>
              <w:rPr>
                <w:rFonts w:ascii="Arial" w:cs="Arial" w:eastAsia="Arial" w:hAnsi="Arial"/>
                <w:sz w:val="18"/>
                <w:szCs w:val="18"/>
                <w:color w:val="auto"/>
              </w:rPr>
              <w:t>Weighted average number of common shares, diluted</w:t>
            </w: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gridSpan w:val="4"/>
            <w:vMerge w:val="continue"/>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59,327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57,148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59,280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56,885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Summary of Capital Expenditures</w:t>
            </w: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Non-maintenance capital expenditures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Development, redevelopment and expansions</w:t>
            </w:r>
          </w:p>
        </w:tc>
        <w:tc>
          <w:tcPr>
            <w:tcW w:w="10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4"/>
          </w:tcPr>
          <w:p>
            <w:pPr>
              <w:ind w:left="860"/>
              <w:spacing w:after="0"/>
              <w:rPr>
                <w:sz w:val="20"/>
                <w:szCs w:val="20"/>
                <w:color w:val="auto"/>
              </w:rPr>
            </w:pPr>
            <w:r>
              <w:rPr>
                <w:rFonts w:ascii="Arial" w:cs="Arial" w:eastAsia="Arial" w:hAnsi="Arial"/>
                <w:sz w:val="18"/>
                <w:szCs w:val="18"/>
                <w:color w:val="auto"/>
              </w:rPr>
              <w:t>Tenant improvements and incentives</w:t>
            </w:r>
          </w:p>
        </w:tc>
        <w:tc>
          <w:tcPr>
            <w:tcW w:w="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5,099</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91,053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90,765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4"/>
          </w:tcPr>
          <w:p>
            <w:pPr>
              <w:ind w:left="420"/>
              <w:spacing w:after="0"/>
              <w:rPr>
                <w:sz w:val="20"/>
                <w:szCs w:val="20"/>
                <w:color w:val="auto"/>
              </w:rPr>
            </w:pPr>
            <w:r>
              <w:rPr>
                <w:rFonts w:ascii="Arial" w:cs="Arial" w:eastAsia="Arial" w:hAnsi="Arial"/>
                <w:sz w:val="18"/>
                <w:szCs w:val="18"/>
                <w:color w:val="auto"/>
              </w:rPr>
              <w:t>Maintenance capital expenditures</w:t>
            </w:r>
          </w:p>
        </w:tc>
        <w:tc>
          <w:tcPr>
            <w:tcW w:w="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0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100,016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97,114</w:t>
            </w:r>
          </w:p>
        </w:tc>
        <w:tc>
          <w:tcPr>
            <w:tcW w:w="0" w:type="dxa"/>
            <w:vAlign w:val="bottom"/>
          </w:tcPr>
          <w:p>
            <w:pPr>
              <w:spacing w:after="0"/>
              <w:rPr>
                <w:sz w:val="1"/>
                <w:szCs w:val="1"/>
                <w:color w:val="auto"/>
              </w:rPr>
            </w:pPr>
          </w:p>
        </w:tc>
      </w:tr>
      <w:tr>
        <w:trPr>
          <w:trHeight w:val="20"/>
        </w:trPr>
        <w:tc>
          <w:tcPr>
            <w:tcW w:w="5740" w:type="dxa"/>
            <w:vAlign w:val="bottom"/>
            <w:gridSpan w:val="5"/>
            <w:vMerge w:val="restart"/>
          </w:tcPr>
          <w:p>
            <w:pPr>
              <w:spacing w:after="0"/>
              <w:rPr>
                <w:sz w:val="20"/>
                <w:szCs w:val="20"/>
                <w:color w:val="auto"/>
              </w:rPr>
            </w:pPr>
            <w:r>
              <w:rPr>
                <w:rFonts w:ascii="Arial" w:cs="Arial" w:eastAsia="Arial" w:hAnsi="Arial"/>
                <w:sz w:val="18"/>
                <w:szCs w:val="18"/>
                <w:color w:val="auto"/>
              </w:rPr>
              <w:t>Dividends and Payout Ratios</w:t>
            </w: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40" w:type="dxa"/>
            <w:vAlign w:val="bottom"/>
            <w:gridSpan w:val="5"/>
            <w:vMerge w:val="continue"/>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Regular common dividends declared</w:t>
            </w:r>
          </w:p>
        </w:tc>
        <w:tc>
          <w:tcPr>
            <w:tcW w:w="10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110,104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99,328</w:t>
            </w:r>
          </w:p>
        </w:tc>
        <w:tc>
          <w:tcPr>
            <w:tcW w:w="0" w:type="dxa"/>
            <w:vAlign w:val="bottom"/>
          </w:tcPr>
          <w:p>
            <w:pPr>
              <w:spacing w:after="0"/>
              <w:rPr>
                <w:sz w:val="1"/>
                <w:szCs w:val="1"/>
                <w:color w:val="auto"/>
              </w:rPr>
            </w:pPr>
          </w:p>
        </w:tc>
      </w:tr>
      <w:tr>
        <w:trPr>
          <w:trHeight w:val="322"/>
        </w:trPr>
        <w:tc>
          <w:tcPr>
            <w:tcW w:w="5740" w:type="dxa"/>
            <w:vAlign w:val="bottom"/>
            <w:gridSpan w:val="5"/>
          </w:tcPr>
          <w:p>
            <w:pPr>
              <w:spacing w:after="0"/>
              <w:rPr>
                <w:sz w:val="20"/>
                <w:szCs w:val="20"/>
                <w:color w:val="auto"/>
              </w:rPr>
            </w:pPr>
            <w:r>
              <w:rPr>
                <w:rFonts w:ascii="Arial" w:cs="Arial" w:eastAsia="Arial" w:hAnsi="Arial"/>
                <w:sz w:val="18"/>
                <w:szCs w:val="18"/>
                <w:color w:val="auto"/>
              </w:rPr>
              <w:t>Dividend payout ratio as a percentage of FFO</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38"/>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w w:val="87"/>
              </w:rPr>
              <w:t>September 30,</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(in thousands,</w:t>
            </w:r>
          </w:p>
        </w:tc>
        <w:tc>
          <w:tcPr>
            <w:tcW w:w="4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4"/>
              </w:rPr>
              <w:t>except</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per share data)</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data</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440"/>
              <w:spacing w:after="0"/>
              <w:rPr>
                <w:sz w:val="20"/>
                <w:szCs w:val="20"/>
                <w:color w:val="auto"/>
              </w:rPr>
            </w:pPr>
            <w:r>
              <w:rPr>
                <w:rFonts w:ascii="Arial" w:cs="Arial" w:eastAsia="Arial" w:hAnsi="Arial"/>
                <w:sz w:val="18"/>
                <w:szCs w:val="18"/>
                <w:color w:val="auto"/>
              </w:rPr>
              <w:t>Common shares outstanding (1)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58,974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56,604</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Market price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88.60</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ind w:left="880"/>
              <w:spacing w:after="0"/>
              <w:rPr>
                <w:sz w:val="20"/>
                <w:szCs w:val="20"/>
                <w:color w:val="auto"/>
              </w:rPr>
            </w:pPr>
            <w:r>
              <w:rPr>
                <w:rFonts w:ascii="Arial" w:cs="Arial" w:eastAsia="Arial" w:hAnsi="Arial"/>
                <w:sz w:val="18"/>
                <w:szCs w:val="18"/>
                <w:color w:val="auto"/>
              </w:rPr>
              <w:t>Common equity market capitalization</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8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5,048,174</w:t>
            </w:r>
          </w:p>
        </w:tc>
        <w:tc>
          <w:tcPr>
            <w:tcW w:w="300" w:type="dxa"/>
            <w:vAlign w:val="bottom"/>
          </w:tcPr>
          <w:p>
            <w:pPr>
              <w:spacing w:after="0"/>
              <w:rPr>
                <w:sz w:val="20"/>
                <w:szCs w:val="20"/>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5,015,114</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Series 1 preferred shares outstanding (2)</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440"/>
              <w:spacing w:after="0"/>
              <w:rPr>
                <w:sz w:val="20"/>
                <w:szCs w:val="20"/>
                <w:color w:val="auto"/>
              </w:rPr>
            </w:pPr>
            <w:r>
              <w:rPr>
                <w:rFonts w:ascii="Arial" w:cs="Arial" w:eastAsia="Arial" w:hAnsi="Arial"/>
                <w:sz w:val="18"/>
                <w:szCs w:val="18"/>
                <w:color w:val="auto"/>
              </w:rPr>
              <w:t>Liquidation price per Series 1 preferred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25.00</w:t>
            </w:r>
          </w:p>
        </w:tc>
        <w:tc>
          <w:tcPr>
            <w:tcW w:w="30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Series 1 preferred equity market capitalization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ind w:left="440"/>
              <w:spacing w:after="0"/>
              <w:rPr>
                <w:sz w:val="20"/>
                <w:szCs w:val="20"/>
                <w:color w:val="auto"/>
              </w:rPr>
            </w:pPr>
            <w:r>
              <w:rPr>
                <w:rFonts w:ascii="Arial" w:cs="Arial" w:eastAsia="Arial" w:hAnsi="Arial"/>
                <w:sz w:val="18"/>
                <w:szCs w:val="18"/>
                <w:color w:val="auto"/>
              </w:rPr>
              <w:t>Equity market capitalization</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8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5,058,174</w:t>
            </w:r>
          </w:p>
        </w:tc>
        <w:tc>
          <w:tcPr>
            <w:tcW w:w="300" w:type="dxa"/>
            <w:vAlign w:val="bottom"/>
          </w:tcPr>
          <w:p>
            <w:pPr>
              <w:spacing w:after="0"/>
              <w:rPr>
                <w:sz w:val="19"/>
                <w:szCs w:val="19"/>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5,025,114</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debt (3)</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1,754,521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1,834,903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80" w:type="dxa"/>
            <w:vAlign w:val="bottom"/>
            <w:gridSpan w:val="2"/>
          </w:tcPr>
          <w:p>
            <w:pPr>
              <w:ind w:left="440"/>
              <w:spacing w:after="0"/>
              <w:rPr>
                <w:sz w:val="20"/>
                <w:szCs w:val="20"/>
                <w:color w:val="auto"/>
              </w:rPr>
            </w:pPr>
            <w:r>
              <w:rPr>
                <w:rFonts w:ascii="Arial" w:cs="Arial" w:eastAsia="Arial" w:hAnsi="Arial"/>
                <w:sz w:val="18"/>
                <w:szCs w:val="18"/>
                <w:color w:val="auto"/>
              </w:rPr>
              <w:t>Total market capitalization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6,812,695</w:t>
            </w:r>
          </w:p>
        </w:tc>
        <w:tc>
          <w:tcPr>
            <w:tcW w:w="300" w:type="dxa"/>
            <w:vAlign w:val="bottom"/>
          </w:tcPr>
          <w:p>
            <w:pPr>
              <w:spacing w:after="0"/>
              <w:rPr>
                <w:sz w:val="19"/>
                <w:szCs w:val="19"/>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6,860,017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debt to market capitalization at then current market price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2"/>
        </w:trPr>
        <w:tc>
          <w:tcPr>
            <w:tcW w:w="8880" w:type="dxa"/>
            <w:vAlign w:val="bottom"/>
            <w:gridSpan w:val="2"/>
          </w:tcPr>
          <w:p>
            <w:pPr>
              <w:ind w:left="440"/>
              <w:spacing w:after="0"/>
              <w:rPr>
                <w:sz w:val="20"/>
                <w:szCs w:val="20"/>
                <w:color w:val="auto"/>
              </w:rPr>
            </w:pPr>
            <w:r>
              <w:rPr>
                <w:rFonts w:ascii="Arial" w:cs="Arial" w:eastAsia="Arial" w:hAnsi="Arial"/>
                <w:sz w:val="18"/>
                <w:szCs w:val="18"/>
                <w:color w:val="auto"/>
              </w:rPr>
              <w:t>Total debt to market capitalization at constant common share price of $88.60</w:t>
            </w:r>
          </w:p>
        </w:tc>
        <w:tc>
          <w:tcPr>
            <w:tcW w:w="120" w:type="dxa"/>
            <w:vAlign w:val="bottom"/>
          </w:tcPr>
          <w:p>
            <w:pPr>
              <w:spacing w:after="0"/>
              <w:rPr>
                <w:sz w:val="24"/>
                <w:szCs w:val="24"/>
                <w:color w:val="auto"/>
              </w:rPr>
            </w:pPr>
          </w:p>
        </w:tc>
        <w:tc>
          <w:tcPr>
            <w:tcW w:w="1120" w:type="dxa"/>
            <w:vAlign w:val="bottom"/>
            <w:gridSpan w:val="2"/>
          </w:tcPr>
          <w:p>
            <w:pPr>
              <w:jc w:val="right"/>
              <w:ind w:right="92"/>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debt to market capitalization at 10/28/08 closing market price of $55.84 (4)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23"/>
        </w:trPr>
        <w:tc>
          <w:tcPr>
            <w:tcW w:w="8880" w:type="dxa"/>
            <w:vAlign w:val="bottom"/>
            <w:gridSpan w:val="2"/>
          </w:tcPr>
          <w:p>
            <w:pPr>
              <w:ind w:left="440"/>
              <w:spacing w:after="0"/>
              <w:rPr>
                <w:sz w:val="20"/>
                <w:szCs w:val="20"/>
                <w:color w:val="auto"/>
              </w:rPr>
            </w:pPr>
            <w:r>
              <w:rPr>
                <w:rFonts w:ascii="Arial" w:cs="Arial" w:eastAsia="Arial" w:hAnsi="Arial"/>
                <w:sz w:val="18"/>
                <w:szCs w:val="18"/>
                <w:color w:val="auto"/>
              </w:rPr>
              <w:t>Fixed rate debt ratio:</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Fixed rate debt and capital lease obligations (5)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8880" w:type="dxa"/>
            <w:vAlign w:val="bottom"/>
            <w:gridSpan w:val="2"/>
          </w:tcPr>
          <w:p>
            <w:pPr>
              <w:ind w:left="880"/>
              <w:spacing w:after="0"/>
              <w:rPr>
                <w:sz w:val="20"/>
                <w:szCs w:val="20"/>
                <w:color w:val="auto"/>
              </w:rPr>
            </w:pPr>
            <w:r>
              <w:rPr>
                <w:rFonts w:ascii="Arial" w:cs="Arial" w:eastAsia="Arial" w:hAnsi="Arial"/>
                <w:sz w:val="18"/>
                <w:szCs w:val="18"/>
                <w:color w:val="auto"/>
              </w:rPr>
              <w:t>Variable rate debt</w:t>
            </w:r>
          </w:p>
        </w:tc>
        <w:tc>
          <w:tcPr>
            <w:tcW w:w="120" w:type="dxa"/>
            <w:vAlign w:val="bottom"/>
          </w:tcPr>
          <w:p>
            <w:pPr>
              <w:spacing w:after="0"/>
              <w:rPr>
                <w:sz w:val="18"/>
                <w:szCs w:val="18"/>
                <w:color w:val="auto"/>
              </w:rPr>
            </w:pPr>
          </w:p>
        </w:tc>
        <w:tc>
          <w:tcPr>
            <w:tcW w:w="1120" w:type="dxa"/>
            <w:vAlign w:val="bottom"/>
            <w:gridSpan w:val="2"/>
          </w:tcPr>
          <w:p>
            <w:pPr>
              <w:jc w:val="right"/>
              <w:ind w:right="92"/>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8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60,466,238 shares issued net of 1,492,173 shares held in Treasury as of September 30, 2008. As of September 30, 2007, consists of 58,091,319 shares issued net of 1,487,407 shares held in Treasury. Amounts do not include 376,260 and 380,938 Operating Partnership Units outstanding at September 30, 2008 and 2007, respectively.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shares, issued March 8, 2007, are unregistered.</w:t>
      </w:r>
    </w:p>
    <w:p>
      <w:pPr>
        <w:spacing w:after="0" w:line="9" w:lineRule="exact"/>
        <w:rPr>
          <w:rFonts w:ascii="Arial" w:cs="Arial" w:eastAsia="Arial" w:hAnsi="Arial"/>
          <w:sz w:val="18"/>
          <w:szCs w:val="18"/>
          <w:color w:val="auto"/>
        </w:rPr>
      </w:pPr>
    </w:p>
    <w:p>
      <w:pPr>
        <w:jc w:val="both"/>
        <w:ind w:left="460" w:right="32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debt includes capital leases, mortgages payable, notes payable, senior notes and debentures, net of premiums and discounts from our consolidated balance sheet. It does not include the $24.4 million which is the Trust’s 30% share of the total $81.4 million debt of the partnership with a discretionary fund created and advised by ING Clarion Partners.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information is being provided to reflect updated market conditions.</w:t>
      </w:r>
    </w:p>
    <w:p>
      <w:pPr>
        <w:spacing w:after="0" w:line="9" w:lineRule="exact"/>
        <w:rPr>
          <w:rFonts w:ascii="Arial" w:cs="Arial" w:eastAsia="Arial" w:hAnsi="Arial"/>
          <w:sz w:val="18"/>
          <w:szCs w:val="18"/>
          <w:color w:val="auto"/>
        </w:rPr>
      </w:pPr>
    </w:p>
    <w:p>
      <w:pPr>
        <w:ind w:left="460" w:right="300" w:hanging="452"/>
        <w:spacing w:after="0" w:line="295"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February 21, 2008, we entered into two interest rate swap agreements to fix the variable portion of our $200 million term note through November 6, 2008. The first swap fixed the variable rate at 2.725% on a notional amount of $100 million and the second swap fixed the variable rate at 2.852% on a notional amount of $100 million for a combined fixed rate of 2.789%. As the interest rate on the term loan was effectively fixed by the two swap agreements through November 6, 2008, the $200 million term loan is included in fixed rate debt.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Rental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w w:val="94"/>
              </w:rPr>
              <w:t>Three months ended</w:t>
            </w:r>
          </w:p>
        </w:tc>
        <w:tc>
          <w:tcPr>
            <w:tcW w:w="320" w:type="dxa"/>
            <w:vAlign w:val="bottom"/>
          </w:tcPr>
          <w:p>
            <w:pPr>
              <w:spacing w:after="0"/>
              <w:rPr>
                <w:sz w:val="14"/>
                <w:szCs w:val="14"/>
                <w:color w:val="auto"/>
              </w:rPr>
            </w:pPr>
          </w:p>
        </w:tc>
        <w:tc>
          <w:tcPr>
            <w:tcW w:w="1680" w:type="dxa"/>
            <w:vAlign w:val="bottom"/>
            <w:gridSpan w:val="4"/>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680" w:type="dxa"/>
            <w:vAlign w:val="bottom"/>
            <w:gridSpan w:val="4"/>
          </w:tcPr>
          <w:p>
            <w:pPr>
              <w:ind w:left="4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jc w:val="right"/>
              <w:ind w:right="315"/>
              <w:spacing w:after="0" w:line="142" w:lineRule="exact"/>
              <w:rPr>
                <w:sz w:val="20"/>
                <w:szCs w:val="20"/>
                <w:color w:val="auto"/>
              </w:rPr>
            </w:pPr>
            <w:r>
              <w:rPr>
                <w:rFonts w:ascii="Arial" w:cs="Arial" w:eastAsia="Arial" w:hAnsi="Arial"/>
                <w:sz w:val="14"/>
                <w:szCs w:val="14"/>
                <w:b w:val="1"/>
                <w:bCs w:val="1"/>
                <w:color w:val="auto"/>
                <w:w w:val="71"/>
              </w:rPr>
              <w:t>thousands)</w:t>
            </w:r>
          </w:p>
        </w:tc>
        <w:tc>
          <w:tcPr>
            <w:tcW w:w="320" w:type="dxa"/>
            <w:vAlign w:val="bottom"/>
          </w:tcPr>
          <w:p>
            <w:pPr>
              <w:spacing w:after="0"/>
              <w:rPr>
                <w:sz w:val="12"/>
                <w:szCs w:val="12"/>
                <w:color w:val="auto"/>
              </w:rPr>
            </w:pPr>
          </w:p>
        </w:tc>
        <w:tc>
          <w:tcPr>
            <w:tcW w:w="680" w:type="dxa"/>
            <w:vAlign w:val="bottom"/>
          </w:tcPr>
          <w:p>
            <w:pPr>
              <w:ind w:left="420"/>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2"/>
          </w:tcPr>
          <w:p>
            <w:pPr>
              <w:jc w:val="right"/>
              <w:ind w:right="342"/>
              <w:spacing w:after="0" w:line="142" w:lineRule="exact"/>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rents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8"/>
                <w:szCs w:val="18"/>
                <w:color w:val="auto"/>
              </w:rPr>
              <w:t>Retail and commercial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92,294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87,332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$273,123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$256,649</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Residential (2)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12,970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11,277</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Cost reimbursements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23,838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76,085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66,893</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rents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2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3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4,310</w:t>
            </w:r>
          </w:p>
        </w:tc>
        <w:tc>
          <w:tcPr>
            <w:tcW w:w="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126,654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117,801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371,792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343,821</w:t>
            </w:r>
          </w:p>
        </w:tc>
        <w:tc>
          <w:tcPr>
            <w:tcW w:w="2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Minimum rents include $1.3 million and $1.8 million for the three months ended September 30, 2008 and 2007, respectively, and $4.2 million and $6.2 million for the nine months ended September 30, 2008 and 2007, respectively, to recognize minimum rents on a straight-line basis. In addition, minimum rents include $0.6 million and $0.9 million for the three months ended September 30, 2008 and 2007, respectively, and $1.9 million and $2.2 million for the nine months ended September 30, 2008 and 2007, to recognize income from the amortization of in-place leases in accordance with SFAS No. 141.</w:t>
      </w:r>
    </w:p>
    <w:p>
      <w:pPr>
        <w:spacing w:after="0" w:line="2" w:lineRule="exact"/>
        <w:rPr>
          <w:rFonts w:ascii="Arial" w:cs="Arial" w:eastAsia="Arial" w:hAnsi="Arial"/>
          <w:sz w:val="16"/>
          <w:szCs w:val="16"/>
          <w:color w:val="auto"/>
        </w:rPr>
      </w:pPr>
    </w:p>
    <w:p>
      <w:pPr>
        <w:jc w:val="both"/>
        <w:ind w:left="460" w:right="32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Residential minimum rents consist of the rental amounts for residential units at Rollingwood Apartments, the Crest at Congressional Plaza Apartments, Santana Row, and for 2008, Arlington East (Bethesda Row). The first rental units at Arlington East were delivered and became rent paying in late May 2008. Lease-up of these rental units will continue through 2008.</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Capital Lease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Stated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Weighted average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interest rate as of</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Balance as of</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effective rate at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Maturity date</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30, 2008</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 2008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September 30, 2008 (j)</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Mortgage loans (a)</w:t>
            </w: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164 E. Houston Street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10/06/08</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(b)</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tcPr>
          <w:p>
            <w:pPr>
              <w:ind w:left="420"/>
              <w:spacing w:after="0"/>
              <w:rPr>
                <w:sz w:val="20"/>
                <w:szCs w:val="20"/>
                <w:color w:val="auto"/>
              </w:rPr>
            </w:pPr>
            <w:r>
              <w:rPr>
                <w:rFonts w:ascii="Arial" w:cs="Arial" w:eastAsia="Arial" w:hAnsi="Arial"/>
                <w:sz w:val="18"/>
                <w:szCs w:val="18"/>
                <w:color w:val="auto"/>
              </w:rPr>
              <w:t>White Marsh Other</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12/31/08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6.060%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Mercer Mall</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04/01/09</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tcPr>
          <w:p>
            <w:pPr>
              <w:ind w:left="420"/>
              <w:spacing w:after="0"/>
              <w:rPr>
                <w:sz w:val="20"/>
                <w:szCs w:val="20"/>
                <w:color w:val="auto"/>
              </w:rPr>
            </w:pPr>
            <w:r>
              <w:rPr>
                <w:rFonts w:ascii="Arial" w:cs="Arial" w:eastAsia="Arial" w:hAnsi="Arial"/>
                <w:sz w:val="18"/>
                <w:szCs w:val="18"/>
                <w:color w:val="auto"/>
              </w:rPr>
              <w:t>Federal Plaza</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06/01/11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6.750%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33,265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Tysons Station</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09/01/11</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tcPr>
          <w:p>
            <w:pPr>
              <w:ind w:left="420"/>
              <w:spacing w:after="0"/>
              <w:rPr>
                <w:sz w:val="20"/>
                <w:szCs w:val="20"/>
                <w:color w:val="auto"/>
              </w:rPr>
            </w:pPr>
            <w:r>
              <w:rPr>
                <w:rFonts w:ascii="Arial" w:cs="Arial" w:eastAsia="Arial" w:hAnsi="Arial"/>
                <w:sz w:val="18"/>
                <w:szCs w:val="18"/>
                <w:color w:val="auto"/>
              </w:rPr>
              <w:t>Courtyard Shops</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07/01/12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6.870%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7,782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Bethesda Row</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01/01/13</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tcPr>
          <w:p>
            <w:pPr>
              <w:ind w:left="420"/>
              <w:spacing w:after="0"/>
              <w:rPr>
                <w:sz w:val="20"/>
                <w:szCs w:val="20"/>
                <w:color w:val="auto"/>
              </w:rPr>
            </w:pPr>
            <w:r>
              <w:rPr>
                <w:rFonts w:ascii="Arial" w:cs="Arial" w:eastAsia="Arial" w:hAnsi="Arial"/>
                <w:sz w:val="18"/>
                <w:szCs w:val="18"/>
                <w:color w:val="auto"/>
              </w:rPr>
              <w:t>Bethesda Row</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02/01/13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5.050%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White Marsh Plaza</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04/01/13</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6.040%</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(c)</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tcPr>
          <w:p>
            <w:pPr>
              <w:ind w:left="420"/>
              <w:spacing w:after="0"/>
              <w:rPr>
                <w:sz w:val="20"/>
                <w:szCs w:val="20"/>
                <w:color w:val="auto"/>
              </w:rPr>
            </w:pPr>
            <w:r>
              <w:rPr>
                <w:rFonts w:ascii="Arial" w:cs="Arial" w:eastAsia="Arial" w:hAnsi="Arial"/>
                <w:sz w:val="18"/>
                <w:szCs w:val="18"/>
                <w:color w:val="auto"/>
              </w:rPr>
              <w:t>Crow Canyon</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08/11/13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5.400%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21,311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Melville Mall</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09/01/14</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5.250%</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(d)</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tcPr>
          <w:p>
            <w:pPr>
              <w:ind w:left="420"/>
              <w:spacing w:after="0"/>
              <w:rPr>
                <w:sz w:val="20"/>
                <w:szCs w:val="20"/>
                <w:color w:val="auto"/>
              </w:rPr>
            </w:pPr>
            <w:r>
              <w:rPr>
                <w:rFonts w:ascii="Arial" w:cs="Arial" w:eastAsia="Arial" w:hAnsi="Arial"/>
                <w:sz w:val="18"/>
                <w:szCs w:val="18"/>
                <w:color w:val="auto"/>
              </w:rPr>
              <w:t>THE AVENUE at White Marsh</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01/01/15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5.460%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60,275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Barracks Road</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11/01/15</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tcPr>
          <w:p>
            <w:pPr>
              <w:ind w:left="420"/>
              <w:spacing w:after="0"/>
              <w:rPr>
                <w:sz w:val="20"/>
                <w:szCs w:val="20"/>
                <w:color w:val="auto"/>
              </w:rPr>
            </w:pPr>
            <w:r>
              <w:rPr>
                <w:rFonts w:ascii="Arial" w:cs="Arial" w:eastAsia="Arial" w:hAnsi="Arial"/>
                <w:sz w:val="18"/>
                <w:szCs w:val="18"/>
                <w:color w:val="auto"/>
              </w:rPr>
              <w:t>Hauppauge</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11/01/15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7.950%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15,660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Lawrence Park</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11/01/15</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tcPr>
          <w:p>
            <w:pPr>
              <w:ind w:left="420"/>
              <w:spacing w:after="0"/>
              <w:rPr>
                <w:sz w:val="20"/>
                <w:szCs w:val="20"/>
                <w:color w:val="auto"/>
              </w:rPr>
            </w:pPr>
            <w:r>
              <w:rPr>
                <w:rFonts w:ascii="Arial" w:cs="Arial" w:eastAsia="Arial" w:hAnsi="Arial"/>
                <w:sz w:val="18"/>
                <w:szCs w:val="18"/>
                <w:color w:val="auto"/>
              </w:rPr>
              <w:t>Wildwood</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11/01/15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7.950%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25,881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Wynnewood</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11/01/15</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tcPr>
          <w:p>
            <w:pPr>
              <w:ind w:left="420"/>
              <w:spacing w:after="0"/>
              <w:rPr>
                <w:sz w:val="20"/>
                <w:szCs w:val="20"/>
                <w:color w:val="auto"/>
              </w:rPr>
            </w:pPr>
            <w:r>
              <w:rPr>
                <w:rFonts w:ascii="Arial" w:cs="Arial" w:eastAsia="Arial" w:hAnsi="Arial"/>
                <w:sz w:val="18"/>
                <w:szCs w:val="18"/>
                <w:color w:val="auto"/>
              </w:rPr>
              <w:t>Brick Plaza</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11/01/15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7.415%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30,771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Shoppers’ World</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01/31/21</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5"/>
          </w:tcPr>
          <w:p>
            <w:pPr>
              <w:ind w:left="420"/>
              <w:spacing w:after="0"/>
              <w:rPr>
                <w:sz w:val="20"/>
                <w:szCs w:val="20"/>
                <w:color w:val="auto"/>
              </w:rPr>
            </w:pPr>
            <w:r>
              <w:rPr>
                <w:rFonts w:ascii="Arial" w:cs="Arial" w:eastAsia="Arial" w:hAnsi="Arial"/>
                <w:sz w:val="18"/>
                <w:szCs w:val="18"/>
                <w:color w:val="auto"/>
              </w:rPr>
              <w:t>Mount Vernon</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04/15/28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5.660%</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(e)</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11,722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Chelsea</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01/15/31</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gridSpan w:val="5"/>
          </w:tcPr>
          <w:p>
            <w:pPr>
              <w:ind w:left="860"/>
              <w:spacing w:after="0"/>
              <w:rPr>
                <w:sz w:val="20"/>
                <w:szCs w:val="20"/>
                <w:color w:val="auto"/>
              </w:rPr>
            </w:pPr>
            <w:r>
              <w:rPr>
                <w:rFonts w:ascii="Arial" w:cs="Arial" w:eastAsia="Arial" w:hAnsi="Arial"/>
                <w:sz w:val="18"/>
                <w:szCs w:val="18"/>
                <w:color w:val="auto"/>
              </w:rPr>
              <w:t>Subtotal</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392,580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Net unamortized discount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5"/>
          </w:tcPr>
          <w:p>
            <w:pPr>
              <w:ind w:left="860"/>
              <w:spacing w:after="0"/>
              <w:rPr>
                <w:sz w:val="20"/>
                <w:szCs w:val="20"/>
                <w:color w:val="auto"/>
              </w:rPr>
            </w:pPr>
            <w:r>
              <w:rPr>
                <w:rFonts w:ascii="Arial" w:cs="Arial" w:eastAsia="Arial" w:hAnsi="Arial"/>
                <w:sz w:val="18"/>
                <w:szCs w:val="18"/>
                <w:color w:val="auto"/>
              </w:rPr>
              <w:t>Total mortgage loans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392,199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6.80%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Notes payable</w:t>
            </w: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Term note</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11/06/09</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LIBOR + 0.575%</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(f)</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tcPr>
          <w:p>
            <w:pPr>
              <w:ind w:left="420"/>
              <w:spacing w:after="0"/>
              <w:rPr>
                <w:sz w:val="20"/>
                <w:szCs w:val="20"/>
                <w:color w:val="auto"/>
              </w:rPr>
            </w:pPr>
            <w:r>
              <w:rPr>
                <w:rFonts w:ascii="Arial" w:cs="Arial" w:eastAsia="Arial" w:hAnsi="Arial"/>
                <w:sz w:val="18"/>
                <w:szCs w:val="18"/>
                <w:color w:val="auto"/>
              </w:rPr>
              <w:t>Other</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04/01/12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6.500%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Perring Plaza renovation</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01/31/13</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Revolving credit facility</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07/27/10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LIBOR + 0.425%</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(g)</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5"/>
          </w:tcPr>
          <w:p>
            <w:pPr>
              <w:ind w:left="420"/>
              <w:spacing w:after="0"/>
              <w:rPr>
                <w:sz w:val="20"/>
                <w:szCs w:val="20"/>
                <w:color w:val="auto"/>
              </w:rPr>
            </w:pPr>
            <w:r>
              <w:rPr>
                <w:rFonts w:ascii="Arial" w:cs="Arial" w:eastAsia="Arial" w:hAnsi="Arial"/>
                <w:sz w:val="18"/>
                <w:szCs w:val="18"/>
                <w:color w:val="auto"/>
              </w:rPr>
              <w:t>Escondido (Municipal bonds)</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10/01/16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2.413%</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(h)</w:t>
            </w: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notes payable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341,912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183"/>
        </w:trPr>
        <w:tc>
          <w:tcPr>
            <w:tcW w:w="4480" w:type="dxa"/>
            <w:vAlign w:val="bottom"/>
            <w:gridSpan w:val="6"/>
          </w:tcPr>
          <w:p>
            <w:pPr>
              <w:spacing w:after="0" w:line="182" w:lineRule="exact"/>
              <w:rPr>
                <w:sz w:val="20"/>
                <w:szCs w:val="20"/>
                <w:color w:val="auto"/>
              </w:rPr>
            </w:pPr>
            <w:r>
              <w:rPr>
                <w:rFonts w:ascii="Arial" w:cs="Arial" w:eastAsia="Arial" w:hAnsi="Arial"/>
                <w:sz w:val="18"/>
                <w:szCs w:val="18"/>
                <w:color w:val="auto"/>
              </w:rPr>
              <w:t>Senior notes and debentures</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tcPr>
          <w:p>
            <w:pPr>
              <w:ind w:left="420"/>
              <w:spacing w:after="0"/>
              <w:rPr>
                <w:sz w:val="20"/>
                <w:szCs w:val="20"/>
                <w:color w:val="auto"/>
              </w:rPr>
            </w:pPr>
            <w:r>
              <w:rPr>
                <w:rFonts w:ascii="Arial" w:cs="Arial" w:eastAsia="Arial" w:hAnsi="Arial"/>
                <w:sz w:val="18"/>
                <w:szCs w:val="18"/>
                <w:color w:val="auto"/>
              </w:rPr>
              <w:t>8.75% notes</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12/01/09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8.750%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175,000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4.50% notes</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02/15/11</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tcPr>
          <w:p>
            <w:pPr>
              <w:ind w:left="420"/>
              <w:spacing w:after="0"/>
              <w:rPr>
                <w:sz w:val="20"/>
                <w:szCs w:val="20"/>
                <w:color w:val="auto"/>
              </w:rPr>
            </w:pPr>
            <w:r>
              <w:rPr>
                <w:rFonts w:ascii="Arial" w:cs="Arial" w:eastAsia="Arial" w:hAnsi="Arial"/>
                <w:sz w:val="18"/>
                <w:szCs w:val="18"/>
                <w:color w:val="auto"/>
              </w:rPr>
              <w:t>6.00% notes</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07/15/12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6.000%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175,000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5.40% notes</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12/01/13</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tcPr>
          <w:p>
            <w:pPr>
              <w:ind w:left="420"/>
              <w:spacing w:after="0"/>
              <w:rPr>
                <w:sz w:val="20"/>
                <w:szCs w:val="20"/>
                <w:color w:val="auto"/>
              </w:rPr>
            </w:pPr>
            <w:r>
              <w:rPr>
                <w:rFonts w:ascii="Arial" w:cs="Arial" w:eastAsia="Arial" w:hAnsi="Arial"/>
                <w:sz w:val="18"/>
                <w:szCs w:val="18"/>
                <w:color w:val="auto"/>
              </w:rPr>
              <w:t>5.65% notes</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06/01/16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5.650%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6.20% notes</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01/15/17</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tcPr>
          <w:p>
            <w:pPr>
              <w:ind w:left="420"/>
              <w:spacing w:after="0"/>
              <w:rPr>
                <w:sz w:val="20"/>
                <w:szCs w:val="20"/>
                <w:color w:val="auto"/>
              </w:rPr>
            </w:pPr>
            <w:r>
              <w:rPr>
                <w:rFonts w:ascii="Arial" w:cs="Arial" w:eastAsia="Arial" w:hAnsi="Arial"/>
                <w:sz w:val="18"/>
                <w:szCs w:val="18"/>
                <w:color w:val="auto"/>
              </w:rPr>
              <w:t>7.48% debentures</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08/15/26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7.480%</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(i)</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6.82% medium term notes</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08/01/27</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gridSpan w:val="5"/>
          </w:tcPr>
          <w:p>
            <w:pPr>
              <w:ind w:left="860"/>
              <w:spacing w:after="0"/>
              <w:rPr>
                <w:sz w:val="20"/>
                <w:szCs w:val="20"/>
                <w:color w:val="auto"/>
              </w:rPr>
            </w:pPr>
            <w:r>
              <w:rPr>
                <w:rFonts w:ascii="Arial" w:cs="Arial" w:eastAsia="Arial" w:hAnsi="Arial"/>
                <w:sz w:val="18"/>
                <w:szCs w:val="18"/>
                <w:color w:val="auto"/>
              </w:rPr>
              <w:t>Subtotal</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954,200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Net unamortized premium</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5"/>
          </w:tcPr>
          <w:p>
            <w:pPr>
              <w:ind w:left="860"/>
              <w:spacing w:after="0"/>
              <w:rPr>
                <w:sz w:val="20"/>
                <w:szCs w:val="20"/>
                <w:color w:val="auto"/>
              </w:rPr>
            </w:pPr>
            <w:r>
              <w:rPr>
                <w:rFonts w:ascii="Arial" w:cs="Arial" w:eastAsia="Arial" w:hAnsi="Arial"/>
                <w:sz w:val="18"/>
                <w:szCs w:val="18"/>
                <w:color w:val="auto"/>
              </w:rPr>
              <w:t>Total senior notes and debentures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956,627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6.42%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2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7"/>
              </w:rPr>
              <w:t>Capital lease obligations</w:t>
            </w:r>
          </w:p>
        </w:tc>
        <w:tc>
          <w:tcPr>
            <w:tcW w:w="2740" w:type="dxa"/>
            <w:vAlign w:val="bottom"/>
            <w:tcBorders>
              <w:bottom w:val="single" w:sz="8" w:color="CCEEFF"/>
            </w:tcBorders>
            <w:gridSpan w:val="2"/>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5"/>
          </w:tcPr>
          <w:p>
            <w:pPr>
              <w:ind w:left="420"/>
              <w:spacing w:after="0"/>
              <w:rPr>
                <w:sz w:val="20"/>
                <w:szCs w:val="20"/>
                <w:color w:val="auto"/>
              </w:rPr>
            </w:pPr>
            <w:r>
              <w:rPr>
                <w:rFonts w:ascii="Arial" w:cs="Arial" w:eastAsia="Arial" w:hAnsi="Arial"/>
                <w:sz w:val="18"/>
                <w:szCs w:val="18"/>
                <w:color w:val="auto"/>
              </w:rPr>
              <w:t>Various</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Various through 2106</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Various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63,783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6.94%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debt and capital lease obligations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1,754,521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6"/>
            <w:vMerge w:val="restart"/>
          </w:tcPr>
          <w:p>
            <w:pPr>
              <w:spacing w:after="0"/>
              <w:rPr>
                <w:sz w:val="20"/>
                <w:szCs w:val="20"/>
                <w:color w:val="auto"/>
              </w:rPr>
            </w:pPr>
            <w:r>
              <w:rPr>
                <w:rFonts w:ascii="Arial" w:cs="Arial" w:eastAsia="Arial" w:hAnsi="Arial"/>
                <w:sz w:val="18"/>
                <w:szCs w:val="18"/>
                <w:color w:val="auto"/>
              </w:rPr>
              <w:t>Total fixed rate debt and capital lease obligations</w:t>
            </w: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92%</w:t>
            </w:r>
          </w:p>
        </w:tc>
        <w:tc>
          <w:tcPr>
            <w:tcW w:w="15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6.18%</w:t>
            </w: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80" w:type="dxa"/>
            <w:vAlign w:val="bottom"/>
            <w:gridSpan w:val="6"/>
            <w:vMerge w:val="continue"/>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1,616,121</w:t>
            </w:r>
          </w:p>
        </w:tc>
        <w:tc>
          <w:tcPr>
            <w:tcW w:w="16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variable rate debt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138,400</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(k)</w:t>
            </w:r>
          </w:p>
        </w:tc>
        <w:tc>
          <w:tcPr>
            <w:tcW w:w="0" w:type="dxa"/>
            <w:vAlign w:val="bottom"/>
          </w:tcPr>
          <w:p>
            <w:pPr>
              <w:spacing w:after="0"/>
              <w:rPr>
                <w:sz w:val="1"/>
                <w:szCs w:val="1"/>
                <w:color w:val="auto"/>
              </w:rPr>
            </w:pPr>
          </w:p>
        </w:tc>
      </w:tr>
      <w:tr>
        <w:trPr>
          <w:trHeight w:val="20"/>
        </w:trPr>
        <w:tc>
          <w:tcPr>
            <w:tcW w:w="4480" w:type="dxa"/>
            <w:vAlign w:val="bottom"/>
            <w:gridSpan w:val="6"/>
            <w:vMerge w:val="restart"/>
          </w:tcPr>
          <w:p>
            <w:pPr>
              <w:spacing w:after="0"/>
              <w:rPr>
                <w:sz w:val="20"/>
                <w:szCs w:val="20"/>
                <w:color w:val="auto"/>
              </w:rPr>
            </w:pPr>
            <w:r>
              <w:rPr>
                <w:rFonts w:ascii="Arial" w:cs="Arial" w:eastAsia="Arial" w:hAnsi="Arial"/>
                <w:sz w:val="18"/>
                <w:szCs w:val="18"/>
                <w:color w:val="auto"/>
              </w:rPr>
              <w:t>TOTAL DEBT AND CAPITAL LEASES OBLIGATIONS</w:t>
            </w: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gridSpan w:val="6"/>
            <w:vMerge w:val="continue"/>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1,754,521</w:t>
            </w:r>
          </w:p>
        </w:tc>
        <w:tc>
          <w:tcPr>
            <w:tcW w:w="1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100%</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5.98%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w:t>
            </w:r>
          </w:p>
        </w:tc>
        <w:tc>
          <w:tcPr>
            <w:tcW w:w="200" w:type="dxa"/>
            <w:vAlign w:val="bottom"/>
          </w:tcPr>
          <w:p>
            <w:pPr>
              <w:spacing w:after="0"/>
              <w:rPr>
                <w:sz w:val="13"/>
                <w:szCs w:val="13"/>
                <w:color w:val="auto"/>
              </w:rPr>
            </w:pPr>
          </w:p>
        </w:tc>
        <w:tc>
          <w:tcPr>
            <w:tcW w:w="660" w:type="dxa"/>
            <w:vAlign w:val="bottom"/>
            <w:gridSpan w:val="3"/>
          </w:tcPr>
          <w:p>
            <w:pPr>
              <w:jc w:val="center"/>
              <w:ind w:left="326"/>
              <w:spacing w:after="0"/>
              <w:rPr>
                <w:sz w:val="20"/>
                <w:szCs w:val="20"/>
                <w:color w:val="auto"/>
              </w:rPr>
            </w:pPr>
            <w:r>
              <w:rPr>
                <w:rFonts w:ascii="Arial" w:cs="Arial" w:eastAsia="Arial" w:hAnsi="Arial"/>
                <w:sz w:val="14"/>
                <w:szCs w:val="14"/>
                <w:b w:val="1"/>
                <w:bCs w:val="1"/>
                <w:color w:val="auto"/>
                <w:w w:val="85"/>
              </w:rPr>
              <w:t>Nine</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15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200" w:type="dxa"/>
            <w:vAlign w:val="bottom"/>
          </w:tcPr>
          <w:p>
            <w:pPr>
              <w:spacing w:after="0"/>
              <w:rPr>
                <w:sz w:val="12"/>
                <w:szCs w:val="12"/>
                <w:color w:val="auto"/>
              </w:rPr>
            </w:pPr>
          </w:p>
        </w:tc>
        <w:tc>
          <w:tcPr>
            <w:tcW w:w="108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months ended</w:t>
            </w:r>
          </w:p>
        </w:tc>
      </w:tr>
      <w:tr>
        <w:trPr>
          <w:trHeight w:val="161"/>
        </w:trPr>
        <w:tc>
          <w:tcPr>
            <w:tcW w:w="15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200" w:type="dxa"/>
            <w:vAlign w:val="bottom"/>
          </w:tcPr>
          <w:p>
            <w:pPr>
              <w:spacing w:after="0"/>
              <w:rPr>
                <w:sz w:val="14"/>
                <w:szCs w:val="14"/>
                <w:color w:val="auto"/>
              </w:rPr>
            </w:pPr>
          </w:p>
        </w:tc>
        <w:tc>
          <w:tcPr>
            <w:tcW w:w="10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15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2"/>
                <w:szCs w:val="12"/>
                <w:color w:val="auto"/>
              </w:rPr>
            </w:pPr>
          </w:p>
        </w:tc>
      </w:tr>
      <w:tr>
        <w:trPr>
          <w:trHeight w:val="190"/>
        </w:trPr>
        <w:tc>
          <w:tcPr>
            <w:tcW w:w="15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8"/>
              </w:rPr>
              <w:t>Operational Statistics</w:t>
            </w:r>
          </w:p>
        </w:tc>
        <w:tc>
          <w:tcPr>
            <w:tcW w:w="66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8180" w:type="dxa"/>
            <w:vAlign w:val="bottom"/>
            <w:gridSpan w:val="2"/>
          </w:tcPr>
          <w:p>
            <w:pPr>
              <w:ind w:left="440"/>
              <w:spacing w:after="0"/>
              <w:rPr>
                <w:sz w:val="20"/>
                <w:szCs w:val="20"/>
                <w:color w:val="auto"/>
              </w:rPr>
            </w:pPr>
            <w:r>
              <w:rPr>
                <w:rFonts w:ascii="Arial" w:cs="Arial" w:eastAsia="Arial" w:hAnsi="Arial"/>
                <w:sz w:val="18"/>
                <w:szCs w:val="18"/>
                <w:color w:val="auto"/>
              </w:rPr>
              <w:t>Ratio of EBITDA to combined fixed charges and preferred share dividends (l)</w:t>
            </w:r>
          </w:p>
        </w:tc>
        <w:tc>
          <w:tcPr>
            <w:tcW w:w="6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3.39x</w:t>
            </w:r>
          </w:p>
        </w:tc>
        <w:tc>
          <w:tcPr>
            <w:tcW w:w="440" w:type="dxa"/>
            <w:vAlign w:val="bottom"/>
          </w:tcPr>
          <w:p>
            <w:pPr>
              <w:jc w:val="center"/>
              <w:spacing w:after="0"/>
              <w:rPr>
                <w:sz w:val="20"/>
                <w:szCs w:val="20"/>
                <w:color w:val="auto"/>
              </w:rPr>
            </w:pPr>
            <w:r>
              <w:rPr>
                <w:rFonts w:ascii="Arial" w:cs="Arial" w:eastAsia="Arial" w:hAnsi="Arial"/>
                <w:sz w:val="18"/>
                <w:szCs w:val="18"/>
                <w:color w:val="auto"/>
                <w:w w:val="90"/>
              </w:rPr>
              <w:t>2.41x</w:t>
            </w:r>
          </w:p>
        </w:tc>
        <w:tc>
          <w:tcPr>
            <w:tcW w:w="200" w:type="dxa"/>
            <w:vAlign w:val="bottom"/>
          </w:tcPr>
          <w:p>
            <w:pPr>
              <w:spacing w:after="0"/>
              <w:rPr>
                <w:sz w:val="18"/>
                <w:szCs w:val="18"/>
                <w:color w:val="auto"/>
              </w:rPr>
            </w:pPr>
          </w:p>
        </w:tc>
        <w:tc>
          <w:tcPr>
            <w:tcW w:w="66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3.13x</w:t>
            </w:r>
          </w:p>
        </w:tc>
        <w:tc>
          <w:tcPr>
            <w:tcW w:w="400" w:type="dxa"/>
            <w:vAlign w:val="bottom"/>
          </w:tcPr>
          <w:p>
            <w:pPr>
              <w:jc w:val="center"/>
              <w:spacing w:after="0"/>
              <w:rPr>
                <w:sz w:val="20"/>
                <w:szCs w:val="20"/>
                <w:color w:val="auto"/>
              </w:rPr>
            </w:pPr>
            <w:r>
              <w:rPr>
                <w:rFonts w:ascii="Arial" w:cs="Arial" w:eastAsia="Arial" w:hAnsi="Arial"/>
                <w:sz w:val="18"/>
                <w:szCs w:val="18"/>
                <w:color w:val="auto"/>
                <w:w w:val="90"/>
              </w:rPr>
              <w:t>2.47x</w:t>
            </w:r>
          </w:p>
        </w:tc>
        <w:tc>
          <w:tcPr>
            <w:tcW w:w="20" w:type="dxa"/>
            <w:vAlign w:val="bottom"/>
          </w:tcPr>
          <w:p>
            <w:pPr>
              <w:spacing w:after="0"/>
              <w:rPr>
                <w:sz w:val="18"/>
                <w:szCs w:val="18"/>
                <w:color w:val="auto"/>
              </w:rPr>
            </w:pPr>
          </w:p>
        </w:tc>
      </w:tr>
      <w:tr>
        <w:trPr>
          <w:trHeight w:val="208"/>
        </w:trPr>
        <w:tc>
          <w:tcPr>
            <w:tcW w:w="8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Ratio of adjusted EBITDA to combined fixed charges and preferred share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8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dividends (l)</w:t>
            </w:r>
          </w:p>
        </w:tc>
        <w:tc>
          <w:tcPr>
            <w:tcW w:w="6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3.11x</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2.49x</w:t>
            </w:r>
          </w:p>
        </w:tc>
        <w:tc>
          <w:tcPr>
            <w:tcW w:w="2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3.03x</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2.48x</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14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Mortgage loans do not include our 30% share ($24.4 million) of the $81.4 million debt of the partnership with a discretionary fund created and advised by ING Clarion Partners.</w:t>
      </w:r>
    </w:p>
    <w:p>
      <w:pPr>
        <w:sectPr>
          <w:pgSz w:w="11900" w:h="16838" w:orient="portrait"/>
          <w:cols w:equalWidth="0" w:num="1">
            <w:col w:w="11420"/>
          </w:cols>
          <w:pgMar w:left="240" w:top="274" w:right="239" w:bottom="0" w:gutter="0" w:footer="0" w:header="0"/>
        </w:sectPr>
      </w:pPr>
    </w:p>
    <w:bookmarkStart w:id="16" w:name="page17"/>
    <w:bookmarkEnd w:id="16"/>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mortgage loan and accrued interest were paid off on October 6, 2008.</w:t>
      </w:r>
    </w:p>
    <w:p>
      <w:pPr>
        <w:spacing w:after="0" w:line="15" w:lineRule="exact"/>
        <w:rPr>
          <w:rFonts w:ascii="Arial" w:cs="Arial" w:eastAsia="Arial" w:hAnsi="Arial"/>
          <w:sz w:val="18"/>
          <w:szCs w:val="18"/>
          <w:color w:val="auto"/>
        </w:rPr>
      </w:pPr>
    </w:p>
    <w:p>
      <w:pPr>
        <w:ind w:left="452" w:right="320" w:hanging="452"/>
        <w:spacing w:after="0" w:line="281" w:lineRule="auto"/>
        <w:tabs>
          <w:tab w:leader="none" w:pos="4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interest rate of 6.04% represents the weighted average interest rate for two mortgage loans secured by this property. The loan balance represents an interest-only loan of $4.35 million at a stated rate of 6.18% and the remaining balance at a stated rate of 5.96%.</w:t>
      </w:r>
    </w:p>
    <w:p>
      <w:pPr>
        <w:spacing w:after="0" w:line="1" w:lineRule="exact"/>
        <w:rPr>
          <w:rFonts w:ascii="Arial" w:cs="Arial" w:eastAsia="Arial" w:hAnsi="Arial"/>
          <w:sz w:val="16"/>
          <w:szCs w:val="16"/>
          <w:color w:val="auto"/>
        </w:rPr>
      </w:pPr>
    </w:p>
    <w:p>
      <w:pPr>
        <w:jc w:val="both"/>
        <w:ind w:left="452" w:right="10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8"/>
          <w:szCs w:val="18"/>
          <w:color w:val="auto"/>
        </w:rPr>
      </w:pPr>
    </w:p>
    <w:p>
      <w:pPr>
        <w:ind w:left="452" w:right="64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anytime thereafter.</w:t>
      </w:r>
    </w:p>
    <w:p>
      <w:pPr>
        <w:ind w:left="452" w:hanging="452"/>
        <w:spacing w:after="0" w:line="281" w:lineRule="auto"/>
        <w:tabs>
          <w:tab w:leader="none" w:pos="4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July 2008, we exercised our option and extended the maturity date to November 6, 2009. On February 21, 2008, we entered into two interest rate swap agreements to fix the variable portion of this debt through November 6, 2008. The first swap fixed the variable rate at 2.725% on a notional amount of $100 million and the second swap fixed the variable rate at 2.852% on a notional amount of $100 million for a combined fixed rate of 2.789%. The weighted average effective rate, before amortization of debt fees, was 3.41% and 3.68% for the three and nine months ended September 30, 2008, respectively.</w:t>
      </w:r>
    </w:p>
    <w:p>
      <w:pPr>
        <w:spacing w:after="0" w:line="2" w:lineRule="exact"/>
        <w:rPr>
          <w:rFonts w:ascii="Arial" w:cs="Arial" w:eastAsia="Arial" w:hAnsi="Arial"/>
          <w:sz w:val="16"/>
          <w:szCs w:val="16"/>
          <w:color w:val="auto"/>
        </w:rPr>
      </w:pPr>
    </w:p>
    <w:p>
      <w:pPr>
        <w:ind w:left="452" w:right="28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weighted average effective interest rate, before amortization of debt fees, was 3.01% and 3.02% for the three and nine months ended September 30, 2008, respectively. This credit facility matures on July 27, 2010, subject to a one-year extension at our option.</w:t>
      </w:r>
    </w:p>
    <w:p>
      <w:pPr>
        <w:ind w:left="452" w:hanging="452"/>
        <w:spacing w:after="0"/>
        <w:tabs>
          <w:tab w:leader="none" w:pos="4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bonds bear interest at a variable rate determined weekly which would enable the bonds to be remarketed at 100% of their principal amount.</w:t>
      </w:r>
    </w:p>
    <w:p>
      <w:pPr>
        <w:spacing w:after="0" w:line="32" w:lineRule="exact"/>
        <w:rPr>
          <w:rFonts w:ascii="Arial" w:cs="Arial" w:eastAsia="Arial" w:hAnsi="Arial"/>
          <w:sz w:val="16"/>
          <w:szCs w:val="16"/>
          <w:color w:val="auto"/>
        </w:rPr>
      </w:pPr>
    </w:p>
    <w:p>
      <w:pPr>
        <w:ind w:left="452" w:right="80" w:hanging="452"/>
        <w:spacing w:after="0" w:line="250"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August 15, 2008, one of the holders redeemed $20.8 million of the outstanding $50.0 million balance. The notice period for additional redemptions has expired.</w:t>
      </w:r>
    </w:p>
    <w:p>
      <w:pPr>
        <w:ind w:left="452" w:hanging="452"/>
        <w:spacing w:after="0"/>
        <w:tabs>
          <w:tab w:leader="none" w:pos="4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effective interest rate includes the amortization of any deferred financing fees, discounts and premiums, if applicable.</w:t>
      </w:r>
    </w:p>
    <w:p>
      <w:pPr>
        <w:spacing w:after="0" w:line="32" w:lineRule="exact"/>
        <w:rPr>
          <w:rFonts w:ascii="Arial" w:cs="Arial" w:eastAsia="Arial" w:hAnsi="Arial"/>
          <w:sz w:val="16"/>
          <w:szCs w:val="16"/>
          <w:color w:val="auto"/>
        </w:rPr>
      </w:pPr>
    </w:p>
    <w:p>
      <w:pPr>
        <w:ind w:left="452" w:right="200" w:hanging="452"/>
        <w:spacing w:after="0" w:line="281" w:lineRule="auto"/>
        <w:tabs>
          <w:tab w:leader="none" w:pos="45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effective interest rate excludes $0.1 million in quarterly financing fees on our revolving credit facility which had a $129.0 million balance on September 30, 2008. On November 6, 2008, the interest rate swap agreements, which effectively fix the interest rate on our $200 million term note, will terminate. As a result, subsequent to November 6, 2008, the note will be classified as variable rate debt.</w:t>
      </w:r>
    </w:p>
    <w:p>
      <w:pPr>
        <w:spacing w:after="0" w:line="2" w:lineRule="exact"/>
        <w:rPr>
          <w:rFonts w:ascii="Arial" w:cs="Arial" w:eastAsia="Arial" w:hAnsi="Arial"/>
          <w:sz w:val="16"/>
          <w:szCs w:val="16"/>
          <w:color w:val="auto"/>
        </w:rPr>
      </w:pPr>
    </w:p>
    <w:p>
      <w:pPr>
        <w:ind w:left="452" w:right="20" w:hanging="452"/>
        <w:spacing w:after="0" w:line="254" w:lineRule="auto"/>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Fixed charges consist of interest on borrowed funds (including capitalized interest), amortization of debt discount or premium and expense and the portion of rent expense representing an interest factor. EBITDA includes $7.4 million in gain on sale for both the three and nine months ended September 30, 2008, and $2.9 million and $1.1 million in loss on sale for the three and nine months ended September 30, 2007, respectively. Adjusted EBITDA is reconciled to net income in the Glossary of Terms.</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13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DEBT MATURITIES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Scheduled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Percent of</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524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Arial" w:cs="Arial" w:eastAsia="Arial" w:hAnsi="Arial"/>
                <w:sz w:val="14"/>
                <w:szCs w:val="14"/>
                <w:b w:val="1"/>
                <w:bCs w:val="1"/>
                <w:color w:val="auto"/>
                <w:w w:val="87"/>
              </w:rPr>
              <w:t>Maturities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84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Debt Maturing</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Debt Maturing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2009</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9,588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379,348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388,936</w:t>
            </w:r>
          </w:p>
        </w:tc>
        <w:tc>
          <w:tcPr>
            <w:tcW w:w="8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22.2%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138,880</w:t>
            </w:r>
          </w:p>
        </w:tc>
        <w:tc>
          <w:tcPr>
            <w:tcW w:w="8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2011</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112,252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122,158</w:t>
            </w:r>
          </w:p>
        </w:tc>
        <w:tc>
          <w:tcPr>
            <w:tcW w:w="8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191,889</w:t>
            </w:r>
          </w:p>
        </w:tc>
        <w:tc>
          <w:tcPr>
            <w:tcW w:w="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2013</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186,884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196,099</w:t>
            </w:r>
          </w:p>
        </w:tc>
        <w:tc>
          <w:tcPr>
            <w:tcW w:w="8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29,291</w:t>
            </w:r>
          </w:p>
        </w:tc>
        <w:tc>
          <w:tcPr>
            <w:tcW w:w="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2015</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198,391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205,315</w:t>
            </w:r>
          </w:p>
        </w:tc>
        <w:tc>
          <w:tcPr>
            <w:tcW w:w="8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137,376</w:t>
            </w:r>
          </w:p>
        </w:tc>
        <w:tc>
          <w:tcPr>
            <w:tcW w:w="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2017</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3,184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203,184</w:t>
            </w:r>
          </w:p>
        </w:tc>
        <w:tc>
          <w:tcPr>
            <w:tcW w:w="8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136,348</w:t>
            </w:r>
          </w:p>
        </w:tc>
        <w:tc>
          <w:tcPr>
            <w:tcW w:w="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40" w:type="dxa"/>
            <w:vAlign w:val="bottom"/>
            <w:gridSpan w:val="2"/>
            <w:vMerge w:val="restart"/>
          </w:tcPr>
          <w:p>
            <w:pPr>
              <w:ind w:left="5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vMerge w:val="restart"/>
          </w:tcPr>
          <w:p>
            <w:pPr>
              <w:jc w:val="right"/>
              <w:ind w:right="232"/>
              <w:spacing w:after="0"/>
              <w:rPr>
                <w:sz w:val="20"/>
                <w:szCs w:val="20"/>
                <w:color w:val="auto"/>
              </w:rPr>
            </w:pPr>
            <w:r>
              <w:rPr>
                <w:rFonts w:ascii="Arial" w:cs="Arial" w:eastAsia="Arial" w:hAnsi="Arial"/>
                <w:sz w:val="18"/>
                <w:szCs w:val="18"/>
                <w:color w:val="auto"/>
              </w:rPr>
              <w:t>(2)</w:t>
            </w: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94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136,172</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1,616,303</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1,752,475</w:t>
            </w:r>
          </w:p>
        </w:tc>
        <w:tc>
          <w:tcPr>
            <w:tcW w:w="840" w:type="dxa"/>
            <w:vAlign w:val="bottom"/>
            <w:vMerge w:val="continue"/>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3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$300 million four-year revolving credit facility matures on July 27, 2010, subject to a one-year extension at our option. As of September 30, 2008, there was $129.0 million drawn under this credit facility.</w:t>
      </w:r>
    </w:p>
    <w:p>
      <w:pPr>
        <w:ind w:left="460" w:right="56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discount or premium on certain mortgage loans, senior notes and debentures as of September 30, 2008.</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Redevelopment Opportunities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Redevelopment Opportunities (1) ($ millions)</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83"/>
              </w:rPr>
              <w:t>Cost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Projected</w:t>
            </w: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Projected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Property</w:t>
            </w: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Location</w:t>
            </w:r>
          </w:p>
        </w:tc>
        <w:tc>
          <w:tcPr>
            <w:tcW w:w="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Opportunity</w:t>
            </w:r>
          </w:p>
        </w:tc>
        <w:tc>
          <w:tcPr>
            <w:tcW w:w="22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ROI (2)</w:t>
            </w:r>
          </w:p>
        </w:tc>
        <w:tc>
          <w:tcPr>
            <w:tcW w:w="380" w:type="dxa"/>
            <w:vAlign w:val="bottom"/>
          </w:tcPr>
          <w:p>
            <w:pPr>
              <w:spacing w:after="0"/>
              <w:rPr>
                <w:sz w:val="14"/>
                <w:szCs w:val="14"/>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Cost (1)</w:t>
            </w:r>
          </w:p>
        </w:tc>
        <w:tc>
          <w:tcPr>
            <w:tcW w:w="200" w:type="dxa"/>
            <w:vAlign w:val="bottom"/>
          </w:tcPr>
          <w:p>
            <w:pPr>
              <w:spacing w:after="0"/>
              <w:rPr>
                <w:sz w:val="14"/>
                <w:szCs w:val="14"/>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Projects Anticipated to Stabilize in 2008 (3)</w:t>
            </w:r>
          </w:p>
        </w:tc>
        <w:tc>
          <w:tcPr>
            <w:tcW w:w="2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Arlington East</w:t>
            </w:r>
          </w:p>
        </w:tc>
        <w:tc>
          <w:tcPr>
            <w:tcW w:w="1600" w:type="dxa"/>
            <w:vAlign w:val="bottom"/>
            <w:gridSpan w:val="3"/>
          </w:tcPr>
          <w:p>
            <w:pPr>
              <w:ind w:left="160"/>
              <w:spacing w:after="0"/>
              <w:rPr>
                <w:sz w:val="20"/>
                <w:szCs w:val="20"/>
                <w:color w:val="auto"/>
              </w:rPr>
            </w:pPr>
            <w:r>
              <w:rPr>
                <w:rFonts w:ascii="Arial" w:cs="Arial" w:eastAsia="Arial" w:hAnsi="Arial"/>
                <w:sz w:val="18"/>
                <w:szCs w:val="18"/>
                <w:color w:val="auto"/>
              </w:rPr>
              <w:t>Bethesda, MD</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w w:val="95"/>
              </w:rPr>
              <w:t>Ground floor retail, four levels of residential units above retail, two</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levels of below grade parking</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Eastgate</w:t>
            </w:r>
          </w:p>
        </w:tc>
        <w:tc>
          <w:tcPr>
            <w:tcW w:w="1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Chapel Hill, NC</w:t>
            </w: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Center redevelopment including new grocery anchor, façade</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renovation and site improvements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gridSpan w:val="9"/>
            <w:vMerge w:val="restart"/>
          </w:tcPr>
          <w:p>
            <w:pPr>
              <w:ind w:left="420"/>
              <w:spacing w:after="0"/>
              <w:rPr>
                <w:sz w:val="20"/>
                <w:szCs w:val="20"/>
                <w:color w:val="auto"/>
              </w:rPr>
            </w:pPr>
            <w:r>
              <w:rPr>
                <w:rFonts w:ascii="Arial" w:cs="Arial" w:eastAsia="Arial" w:hAnsi="Arial"/>
                <w:sz w:val="18"/>
                <w:szCs w:val="18"/>
                <w:b w:val="1"/>
                <w:bCs w:val="1"/>
                <w:color w:val="auto"/>
              </w:rPr>
              <w:t>Subtotal: Projects Anticipated to Stabilize in 2008 (3) (4)</w:t>
            </w: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gridSpan w:val="9"/>
            <w:vMerge w:val="continue"/>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26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Projects Anticipated to Stabilize in 2009 (3) (5)</w:t>
            </w:r>
          </w:p>
        </w:tc>
        <w:tc>
          <w:tcPr>
            <w:tcW w:w="2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Santana Row</w:t>
            </w:r>
          </w:p>
        </w:tc>
        <w:tc>
          <w:tcPr>
            <w:tcW w:w="1600" w:type="dxa"/>
            <w:vAlign w:val="bottom"/>
            <w:gridSpan w:val="3"/>
          </w:tcPr>
          <w:p>
            <w:pPr>
              <w:ind w:left="160"/>
              <w:spacing w:after="0"/>
              <w:rPr>
                <w:sz w:val="20"/>
                <w:szCs w:val="20"/>
                <w:color w:val="auto"/>
              </w:rPr>
            </w:pPr>
            <w:r>
              <w:rPr>
                <w:rFonts w:ascii="Arial" w:cs="Arial" w:eastAsia="Arial" w:hAnsi="Arial"/>
                <w:sz w:val="18"/>
                <w:szCs w:val="18"/>
                <w:color w:val="auto"/>
              </w:rPr>
              <w:t>San Jose, CA</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w w:val="96"/>
              </w:rPr>
              <w:t>5-story building with 15,000 square feet of ground level retail and</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65,000 square feet of office space</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Hollywood Galaxy Building</w:t>
            </w:r>
          </w:p>
        </w:tc>
        <w:tc>
          <w:tcPr>
            <w:tcW w:w="1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Hollywood, CA</w:t>
            </w: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1"/>
              </w:rPr>
              <w:t>Re-tenanting three level entertainment center and converting project</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into urban neighborhood community center</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Houston Street</w:t>
            </w:r>
          </w:p>
        </w:tc>
        <w:tc>
          <w:tcPr>
            <w:tcW w:w="1600" w:type="dxa"/>
            <w:vAlign w:val="bottom"/>
            <w:gridSpan w:val="3"/>
          </w:tcPr>
          <w:p>
            <w:pPr>
              <w:ind w:left="160"/>
              <w:spacing w:after="0"/>
              <w:rPr>
                <w:sz w:val="20"/>
                <w:szCs w:val="20"/>
                <w:color w:val="auto"/>
              </w:rPr>
            </w:pPr>
            <w:r>
              <w:rPr>
                <w:rFonts w:ascii="Arial" w:cs="Arial" w:eastAsia="Arial" w:hAnsi="Arial"/>
                <w:sz w:val="18"/>
                <w:szCs w:val="18"/>
                <w:color w:val="auto"/>
              </w:rPr>
              <w:t>San Antonio, TX</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Construction of a new building with ground level leased to</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Walgreen’s pharmacy and office above</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Village of Shirlington—Phase III &amp;</w:t>
            </w:r>
          </w:p>
        </w:tc>
        <w:tc>
          <w:tcPr>
            <w:tcW w:w="1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Arlington, VA</w:t>
            </w: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8"/>
              </w:rPr>
              <w:t>Ground lease to hotel operator and ground floor retail as part of</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IV</w:t>
            </w: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office building development (by others)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gridSpan w:val="9"/>
            <w:vMerge w:val="restart"/>
          </w:tcPr>
          <w:p>
            <w:pPr>
              <w:ind w:left="420"/>
              <w:spacing w:after="0"/>
              <w:rPr>
                <w:sz w:val="20"/>
                <w:szCs w:val="20"/>
                <w:color w:val="auto"/>
              </w:rPr>
            </w:pPr>
            <w:r>
              <w:rPr>
                <w:rFonts w:ascii="Arial" w:cs="Arial" w:eastAsia="Arial" w:hAnsi="Arial"/>
                <w:sz w:val="18"/>
                <w:szCs w:val="18"/>
                <w:b w:val="1"/>
                <w:bCs w:val="1"/>
                <w:color w:val="auto"/>
              </w:rPr>
              <w:t>Subtotal: Projects Anticipated to Stabilize in 2009 (3) (4) (5)</w:t>
            </w: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gridSpan w:val="9"/>
            <w:vMerge w:val="continue"/>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6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Total: Projects Anticipated to Stabilize in 2008 and 2009 (3) (4)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7"/>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80" w:type="dxa"/>
            <w:vAlign w:val="bottom"/>
            <w:gridSpan w:val="7"/>
          </w:tcPr>
          <w:p>
            <w:pPr>
              <w:spacing w:after="0"/>
              <w:rPr>
                <w:sz w:val="14"/>
                <w:szCs w:val="14"/>
                <w:color w:val="auto"/>
              </w:rPr>
            </w:pPr>
          </w:p>
        </w:tc>
        <w:tc>
          <w:tcPr>
            <w:tcW w:w="2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Borders>
              <w:top w:val="single" w:sz="8" w:color="auto"/>
            </w:tcBorders>
            <w:gridSpan w:val="6"/>
          </w:tcPr>
          <w:p>
            <w:pPr>
              <w:spacing w:after="0"/>
              <w:rPr>
                <w:sz w:val="20"/>
                <w:szCs w:val="20"/>
                <w:color w:val="auto"/>
              </w:rPr>
            </w:pPr>
            <w:r>
              <w:rPr>
                <w:rFonts w:ascii="Arial" w:cs="Arial" w:eastAsia="Arial" w:hAnsi="Arial"/>
                <w:sz w:val="18"/>
                <w:szCs w:val="18"/>
                <w:b w:val="1"/>
                <w:bCs w:val="1"/>
                <w:color w:val="auto"/>
                <w:w w:val="94"/>
              </w:rPr>
              <w:t>Potential future redevelopment pipeline includes (6):</w:t>
            </w:r>
          </w:p>
        </w:tc>
        <w:tc>
          <w:tcPr>
            <w:tcW w:w="2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Property</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Location</w:t>
            </w:r>
          </w:p>
        </w:tc>
        <w:tc>
          <w:tcPr>
            <w:tcW w:w="5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Opportunity</w:t>
            </w:r>
          </w:p>
        </w:tc>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Assembly Square</w:t>
            </w:r>
          </w:p>
        </w:tc>
        <w:tc>
          <w:tcPr>
            <w:tcW w:w="1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Somerville, MA</w:t>
            </w: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Potential substantial transit oriented mixed-use development</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Bala Cynwyd</w:t>
            </w:r>
          </w:p>
        </w:tc>
        <w:tc>
          <w:tcPr>
            <w:tcW w:w="1600" w:type="dxa"/>
            <w:vAlign w:val="bottom"/>
            <w:gridSpan w:val="3"/>
          </w:tcPr>
          <w:p>
            <w:pPr>
              <w:ind w:left="160"/>
              <w:spacing w:after="0"/>
              <w:rPr>
                <w:sz w:val="20"/>
                <w:szCs w:val="20"/>
                <w:color w:val="auto"/>
              </w:rPr>
            </w:pPr>
            <w:r>
              <w:rPr>
                <w:rFonts w:ascii="Arial" w:cs="Arial" w:eastAsia="Arial" w:hAnsi="Arial"/>
                <w:sz w:val="18"/>
                <w:szCs w:val="18"/>
                <w:color w:val="auto"/>
              </w:rPr>
              <w:t>Bala Cynwyd, PA</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w w:val="96"/>
              </w:rPr>
              <w:t>Redevelopment of nine acres of land for a transit oriented mixed-</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use project or retail center</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Barracks Road</w:t>
            </w:r>
          </w:p>
        </w:tc>
        <w:tc>
          <w:tcPr>
            <w:tcW w:w="1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6"/>
              </w:rPr>
              <w:t>Charlottesville, VA</w:t>
            </w: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Anchor re-tenanting, pad re-tenanting, and site improvements</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Brick Plaza</w:t>
            </w:r>
          </w:p>
        </w:tc>
        <w:tc>
          <w:tcPr>
            <w:tcW w:w="1600" w:type="dxa"/>
            <w:vAlign w:val="bottom"/>
            <w:gridSpan w:val="3"/>
          </w:tcPr>
          <w:p>
            <w:pPr>
              <w:ind w:left="160"/>
              <w:spacing w:after="0"/>
              <w:rPr>
                <w:sz w:val="20"/>
                <w:szCs w:val="20"/>
                <w:color w:val="auto"/>
              </w:rPr>
            </w:pPr>
            <w:r>
              <w:rPr>
                <w:rFonts w:ascii="Arial" w:cs="Arial" w:eastAsia="Arial" w:hAnsi="Arial"/>
                <w:sz w:val="18"/>
                <w:szCs w:val="18"/>
                <w:color w:val="auto"/>
              </w:rPr>
              <w:t>Brick, NJ</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Redvelopment and expansion of existing pad site</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Bethesda Row</w:t>
            </w:r>
          </w:p>
        </w:tc>
        <w:tc>
          <w:tcPr>
            <w:tcW w:w="1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Bethesda, MD</w:t>
            </w: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9"/>
              </w:rPr>
              <w:t>Anchor re-tenanting and modifications of building on Hampden</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Lane</w:t>
            </w: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Courthouse Center</w:t>
            </w:r>
          </w:p>
        </w:tc>
        <w:tc>
          <w:tcPr>
            <w:tcW w:w="1600" w:type="dxa"/>
            <w:vAlign w:val="bottom"/>
            <w:gridSpan w:val="3"/>
          </w:tcPr>
          <w:p>
            <w:pPr>
              <w:ind w:left="160"/>
              <w:spacing w:after="0"/>
              <w:rPr>
                <w:sz w:val="20"/>
                <w:szCs w:val="20"/>
                <w:color w:val="auto"/>
              </w:rPr>
            </w:pPr>
            <w:r>
              <w:rPr>
                <w:rFonts w:ascii="Arial" w:cs="Arial" w:eastAsia="Arial" w:hAnsi="Arial"/>
                <w:sz w:val="18"/>
                <w:szCs w:val="18"/>
                <w:color w:val="auto"/>
              </w:rPr>
              <w:t>Rockville, MD</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Center redevelopment adjacent to Rockville Town Square</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Plaza</w:t>
            </w:r>
          </w:p>
        </w:tc>
        <w:tc>
          <w:tcPr>
            <w:tcW w:w="1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Rockville, MD</w:t>
            </w: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Pad building opportunities</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Flourtown</w:t>
            </w:r>
          </w:p>
        </w:tc>
        <w:tc>
          <w:tcPr>
            <w:tcW w:w="1600" w:type="dxa"/>
            <w:vAlign w:val="bottom"/>
            <w:gridSpan w:val="3"/>
          </w:tcPr>
          <w:p>
            <w:pPr>
              <w:ind w:left="160"/>
              <w:spacing w:after="0"/>
              <w:rPr>
                <w:sz w:val="20"/>
                <w:szCs w:val="20"/>
                <w:color w:val="auto"/>
              </w:rPr>
            </w:pPr>
            <w:r>
              <w:rPr>
                <w:rFonts w:ascii="Arial" w:cs="Arial" w:eastAsia="Arial" w:hAnsi="Arial"/>
                <w:sz w:val="18"/>
                <w:szCs w:val="18"/>
                <w:color w:val="auto"/>
              </w:rPr>
              <w:t>Flourtown, PA</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w w:val="99"/>
              </w:rPr>
              <w:t>Anchor re-tenanting, small shop demolition, new retail building,</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façade renovation, and site improvements</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Hollywood Peterson Building</w:t>
            </w:r>
          </w:p>
        </w:tc>
        <w:tc>
          <w:tcPr>
            <w:tcW w:w="1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Hollywood, CA</w:t>
            </w: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2"/>
              </w:rPr>
              <w:t>Co-terminus leases create potential for property redevelopment and</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expansion</w:t>
            </w: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Lancaster</w:t>
            </w:r>
          </w:p>
        </w:tc>
        <w:tc>
          <w:tcPr>
            <w:tcW w:w="1600" w:type="dxa"/>
            <w:vAlign w:val="bottom"/>
            <w:gridSpan w:val="3"/>
          </w:tcPr>
          <w:p>
            <w:pPr>
              <w:ind w:left="160"/>
              <w:spacing w:after="0"/>
              <w:rPr>
                <w:sz w:val="20"/>
                <w:szCs w:val="20"/>
                <w:color w:val="auto"/>
              </w:rPr>
            </w:pPr>
            <w:r>
              <w:rPr>
                <w:rFonts w:ascii="Arial" w:cs="Arial" w:eastAsia="Arial" w:hAnsi="Arial"/>
                <w:sz w:val="18"/>
                <w:szCs w:val="18"/>
                <w:color w:val="auto"/>
              </w:rPr>
              <w:t>Lancaster, PA</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w w:val="96"/>
              </w:rPr>
              <w:t>Renovation and expansion of existing grocer, new bank pad, and</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façade renovation</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Linden Square</w:t>
            </w:r>
          </w:p>
        </w:tc>
        <w:tc>
          <w:tcPr>
            <w:tcW w:w="1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Wellesley, MA</w:t>
            </w: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Additional phases of infill redevelopment</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Mercer Mall</w:t>
            </w:r>
          </w:p>
        </w:tc>
        <w:tc>
          <w:tcPr>
            <w:tcW w:w="1600" w:type="dxa"/>
            <w:vAlign w:val="bottom"/>
            <w:gridSpan w:val="3"/>
          </w:tcPr>
          <w:p>
            <w:pPr>
              <w:ind w:left="160"/>
              <w:spacing w:after="0"/>
              <w:rPr>
                <w:sz w:val="20"/>
                <w:szCs w:val="20"/>
                <w:color w:val="auto"/>
              </w:rPr>
            </w:pPr>
            <w:r>
              <w:rPr>
                <w:rFonts w:ascii="Arial" w:cs="Arial" w:eastAsia="Arial" w:hAnsi="Arial"/>
                <w:sz w:val="18"/>
                <w:szCs w:val="18"/>
                <w:color w:val="auto"/>
              </w:rPr>
              <w:t>Lawrenceville, NJ</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Construction of new outparcel</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Mid-Pike Plaza</w:t>
            </w:r>
          </w:p>
        </w:tc>
        <w:tc>
          <w:tcPr>
            <w:tcW w:w="1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Rockville, MD</w:t>
            </w: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9"/>
              </w:rPr>
              <w:t>Co-terminus leases create potential for retail redevelopment or</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transit oriented mixed-use development</w:t>
            </w: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Pike 7</w:t>
            </w:r>
          </w:p>
        </w:tc>
        <w:tc>
          <w:tcPr>
            <w:tcW w:w="1600" w:type="dxa"/>
            <w:vAlign w:val="bottom"/>
            <w:gridSpan w:val="3"/>
          </w:tcPr>
          <w:p>
            <w:pPr>
              <w:ind w:left="160"/>
              <w:spacing w:after="0"/>
              <w:rPr>
                <w:sz w:val="20"/>
                <w:szCs w:val="20"/>
                <w:color w:val="auto"/>
              </w:rPr>
            </w:pPr>
            <w:r>
              <w:rPr>
                <w:rFonts w:ascii="Arial" w:cs="Arial" w:eastAsia="Arial" w:hAnsi="Arial"/>
                <w:sz w:val="18"/>
                <w:szCs w:val="18"/>
                <w:color w:val="auto"/>
              </w:rPr>
              <w:t>Vienna, VA</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w w:val="99"/>
              </w:rPr>
              <w:t>Co-terminus leases create potential for retail redevelopment or</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mixed-use development</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Santana Row</w:t>
            </w:r>
          </w:p>
        </w:tc>
        <w:tc>
          <w:tcPr>
            <w:tcW w:w="1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San Jose, CA</w:t>
            </w: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Future phases of mixed-use development</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Town Center of New Britain</w:t>
            </w:r>
          </w:p>
        </w:tc>
        <w:tc>
          <w:tcPr>
            <w:tcW w:w="1600" w:type="dxa"/>
            <w:vAlign w:val="bottom"/>
            <w:gridSpan w:val="3"/>
          </w:tcPr>
          <w:p>
            <w:pPr>
              <w:ind w:left="160"/>
              <w:spacing w:after="0"/>
              <w:rPr>
                <w:sz w:val="20"/>
                <w:szCs w:val="20"/>
                <w:color w:val="auto"/>
              </w:rPr>
            </w:pPr>
            <w:r>
              <w:rPr>
                <w:rFonts w:ascii="Arial" w:cs="Arial" w:eastAsia="Arial" w:hAnsi="Arial"/>
                <w:sz w:val="18"/>
                <w:szCs w:val="18"/>
                <w:color w:val="auto"/>
              </w:rPr>
              <w:t>New Britain, PA</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Renovation and expansion of existing grocer</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Westgate</w:t>
            </w:r>
          </w:p>
        </w:tc>
        <w:tc>
          <w:tcPr>
            <w:tcW w:w="1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San Jose, CA</w:t>
            </w:r>
          </w:p>
        </w:tc>
        <w:tc>
          <w:tcPr>
            <w:tcW w:w="51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Center redevelopment</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jc w:val="both"/>
        <w:ind w:left="460" w:right="200" w:hanging="452"/>
        <w:spacing w:after="0" w:line="284"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1" w:lineRule="exact"/>
        <w:rPr>
          <w:rFonts w:ascii="Arial" w:cs="Arial" w:eastAsia="Arial" w:hAnsi="Arial"/>
          <w:sz w:val="16"/>
          <w:szCs w:val="16"/>
          <w:color w:val="auto"/>
        </w:rPr>
      </w:pPr>
    </w:p>
    <w:p>
      <w:pPr>
        <w:ind w:left="460" w:right="26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being paid for the redevelopment space and any other space taken out of service to accommodate the redevelopment. Projected ROI does NOT include peripheral impacts, such as the impact on future lease rollovers at the property or the impact on the long-term value of the property.</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Stabilization is the year in which 95% occupancy of the redeveloped space is achieved.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subtotals and totals reflect cost weighted-average ROIs.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$55 million of development capital at Linden Square, anticipated at acquisition of this in-process development.</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future redevelopment opportunities are being explored by the Trust. There is no guaranty that the Trust will ultimately pursue or complete any or all of these opportunities.</w:t>
      </w:r>
    </w:p>
    <w:p>
      <w:pPr>
        <w:sectPr>
          <w:pgSz w:w="11900" w:h="16838" w:orient="portrait"/>
          <w:cols w:equalWidth="0" w:num="1">
            <w:col w:w="11420"/>
          </w:cols>
          <w:pgMar w:left="240" w:top="274" w:right="239" w:bottom="1157"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274" w:right="239" w:bottom="1157"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Significant Acquisitions and Dispositions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 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Realty Investment Trust Significant Acquisitions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260" w:type="dxa"/>
            <w:vAlign w:val="bottom"/>
          </w:tcPr>
          <w:p>
            <w:pPr>
              <w:spacing w:after="0"/>
              <w:rPr>
                <w:sz w:val="15"/>
                <w:szCs w:val="15"/>
                <w:color w:val="auto"/>
              </w:rPr>
            </w:pPr>
          </w:p>
        </w:tc>
        <w:tc>
          <w:tcPr>
            <w:tcW w:w="2720" w:type="dxa"/>
            <w:vAlign w:val="bottom"/>
            <w:gridSpan w:val="2"/>
          </w:tcPr>
          <w:p>
            <w:pPr>
              <w:ind w:left="1100"/>
              <w:spacing w:after="0"/>
              <w:rPr>
                <w:sz w:val="20"/>
                <w:szCs w:val="20"/>
                <w:color w:val="auto"/>
              </w:rPr>
            </w:pPr>
            <w:r>
              <w:rPr>
                <w:rFonts w:ascii="Arial" w:cs="Arial" w:eastAsia="Arial" w:hAnsi="Arial"/>
                <w:sz w:val="14"/>
                <w:szCs w:val="14"/>
                <w:b w:val="1"/>
                <w:bCs w:val="1"/>
                <w:color w:val="auto"/>
              </w:rPr>
              <w:t>Property</w:t>
            </w:r>
          </w:p>
        </w:tc>
        <w:tc>
          <w:tcPr>
            <w:tcW w:w="240" w:type="dxa"/>
            <w:vAlign w:val="bottom"/>
          </w:tcPr>
          <w:p>
            <w:pPr>
              <w:spacing w:after="0"/>
              <w:rPr>
                <w:sz w:val="15"/>
                <w:szCs w:val="15"/>
                <w:color w:val="auto"/>
              </w:rPr>
            </w:pPr>
          </w:p>
        </w:tc>
        <w:tc>
          <w:tcPr>
            <w:tcW w:w="1600" w:type="dxa"/>
            <w:vAlign w:val="bottom"/>
          </w:tcPr>
          <w:p>
            <w:pPr>
              <w:ind w:left="480"/>
              <w:spacing w:after="0"/>
              <w:rPr>
                <w:sz w:val="20"/>
                <w:szCs w:val="20"/>
                <w:color w:val="auto"/>
              </w:rPr>
            </w:pPr>
            <w:r>
              <w:rPr>
                <w:rFonts w:ascii="Arial" w:cs="Arial" w:eastAsia="Arial" w:hAnsi="Arial"/>
                <w:sz w:val="14"/>
                <w:szCs w:val="14"/>
                <w:b w:val="1"/>
                <w:bCs w:val="1"/>
                <w:color w:val="auto"/>
              </w:rPr>
              <w:t>City / State</w:t>
            </w:r>
          </w:p>
        </w:tc>
        <w:tc>
          <w:tcPr>
            <w:tcW w:w="240" w:type="dxa"/>
            <w:vAlign w:val="bottom"/>
          </w:tcPr>
          <w:p>
            <w:pPr>
              <w:spacing w:after="0"/>
              <w:rPr>
                <w:sz w:val="15"/>
                <w:szCs w:val="15"/>
                <w:color w:val="auto"/>
              </w:rPr>
            </w:pP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GLA</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Purchase price</w:t>
            </w:r>
          </w:p>
        </w:tc>
        <w:tc>
          <w:tcPr>
            <w:tcW w:w="1400" w:type="dxa"/>
            <w:vAlign w:val="bottom"/>
          </w:tcPr>
          <w:p>
            <w:pPr>
              <w:ind w:left="260"/>
              <w:spacing w:after="0"/>
              <w:rPr>
                <w:sz w:val="20"/>
                <w:szCs w:val="20"/>
                <w:color w:val="auto"/>
              </w:rPr>
            </w:pPr>
            <w:r>
              <w:rPr>
                <w:rFonts w:ascii="Arial" w:cs="Arial" w:eastAsia="Arial" w:hAnsi="Arial"/>
                <w:sz w:val="14"/>
                <w:szCs w:val="14"/>
                <w:b w:val="1"/>
                <w:bCs w:val="1"/>
                <w:color w:val="auto"/>
              </w:rPr>
              <w:t>Anchor tenants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(in square feet)</w:t>
            </w:r>
          </w:p>
        </w:tc>
        <w:tc>
          <w:tcPr>
            <w:tcW w:w="24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(in millions)</w:t>
            </w:r>
          </w:p>
        </w:tc>
        <w:tc>
          <w:tcPr>
            <w:tcW w:w="44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May 30, 2008</w:t>
            </w:r>
          </w:p>
        </w:tc>
        <w:tc>
          <w:tcPr>
            <w:tcW w:w="2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 Mar Village</w:t>
            </w:r>
          </w:p>
        </w:tc>
        <w:tc>
          <w:tcPr>
            <w:tcW w:w="1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Boca Raton, FL</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5"/>
              </w:rPr>
              <w:t>Winn Dixie &amp; CVS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July 11, 2008</w:t>
            </w:r>
          </w:p>
        </w:tc>
        <w:tc>
          <w:tcPr>
            <w:tcW w:w="2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7015 &amp; 7045 Beracasa Way</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(Del Mar Village)</w:t>
            </w:r>
          </w:p>
        </w:tc>
        <w:tc>
          <w:tcPr>
            <w:tcW w:w="1840" w:type="dxa"/>
            <w:vAlign w:val="bottom"/>
            <w:gridSpan w:val="2"/>
          </w:tcPr>
          <w:p>
            <w:pPr>
              <w:ind w:left="240"/>
              <w:spacing w:after="0"/>
              <w:rPr>
                <w:sz w:val="20"/>
                <w:szCs w:val="20"/>
                <w:color w:val="auto"/>
              </w:rPr>
            </w:pPr>
            <w:r>
              <w:rPr>
                <w:rFonts w:ascii="Arial" w:cs="Arial" w:eastAsia="Arial" w:hAnsi="Arial"/>
                <w:sz w:val="18"/>
                <w:szCs w:val="18"/>
                <w:color w:val="auto"/>
              </w:rPr>
              <w:t>Boca Raton, FL</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July 16, 2008</w:t>
            </w:r>
          </w:p>
        </w:tc>
        <w:tc>
          <w:tcPr>
            <w:tcW w:w="2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Chelsea Commons Phase II</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(Chelsea Commons)</w:t>
            </w:r>
          </w:p>
        </w:tc>
        <w:tc>
          <w:tcPr>
            <w:tcW w:w="1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Chelsea, MA</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September 4, 2008</w:t>
            </w:r>
          </w:p>
        </w:tc>
        <w:tc>
          <w:tcPr>
            <w:tcW w:w="2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Courtyard Shops</w:t>
            </w:r>
          </w:p>
        </w:tc>
        <w:tc>
          <w:tcPr>
            <w:tcW w:w="1840" w:type="dxa"/>
            <w:vAlign w:val="bottom"/>
            <w:gridSpan w:val="2"/>
          </w:tcPr>
          <w:p>
            <w:pPr>
              <w:ind w:left="240"/>
              <w:spacing w:after="0"/>
              <w:rPr>
                <w:sz w:val="20"/>
                <w:szCs w:val="20"/>
                <w:color w:val="auto"/>
              </w:rPr>
            </w:pPr>
            <w:r>
              <w:rPr>
                <w:rFonts w:ascii="Arial" w:cs="Arial" w:eastAsia="Arial" w:hAnsi="Arial"/>
                <w:sz w:val="18"/>
                <w:szCs w:val="18"/>
                <w:color w:val="auto"/>
              </w:rPr>
              <w:t>Wellington, FL</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127,000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37.9</w:t>
            </w:r>
          </w:p>
        </w:tc>
        <w:tc>
          <w:tcPr>
            <w:tcW w:w="4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Publix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September 25 and 30, 2008</w:t>
            </w:r>
          </w:p>
        </w:tc>
        <w:tc>
          <w:tcPr>
            <w:tcW w:w="2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Bethesda Row</w:t>
            </w:r>
          </w:p>
        </w:tc>
        <w:tc>
          <w:tcPr>
            <w:tcW w:w="1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Bethesda, MD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38.8(1)</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331,000</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5"/>
            <w:vMerge w:val="restart"/>
          </w:tcPr>
          <w:p>
            <w:pPr>
              <w:spacing w:after="0"/>
              <w:rPr>
                <w:sz w:val="20"/>
                <w:szCs w:val="20"/>
                <w:color w:val="auto"/>
              </w:rPr>
            </w:pPr>
            <w:r>
              <w:rPr>
                <w:rFonts w:ascii="Arial" w:cs="Arial" w:eastAsia="Arial" w:hAnsi="Arial"/>
                <w:sz w:val="18"/>
                <w:szCs w:val="18"/>
                <w:color w:val="auto"/>
              </w:rPr>
              <w:t>Federal Realty Investment Trust Significant Dispositions</w:t>
            </w: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2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260" w:type="dxa"/>
            <w:vAlign w:val="bottom"/>
          </w:tcPr>
          <w:p>
            <w:pPr>
              <w:spacing w:after="0"/>
              <w:rPr>
                <w:sz w:val="24"/>
                <w:szCs w:val="24"/>
                <w:color w:val="auto"/>
              </w:rPr>
            </w:pPr>
          </w:p>
        </w:tc>
        <w:tc>
          <w:tcPr>
            <w:tcW w:w="2720" w:type="dxa"/>
            <w:vAlign w:val="bottom"/>
            <w:gridSpan w:val="2"/>
          </w:tcPr>
          <w:p>
            <w:pPr>
              <w:ind w:left="1100"/>
              <w:spacing w:after="0"/>
              <w:rPr>
                <w:sz w:val="20"/>
                <w:szCs w:val="20"/>
                <w:color w:val="auto"/>
              </w:rPr>
            </w:pPr>
            <w:r>
              <w:rPr>
                <w:rFonts w:ascii="Arial" w:cs="Arial" w:eastAsia="Arial" w:hAnsi="Arial"/>
                <w:sz w:val="14"/>
                <w:szCs w:val="14"/>
                <w:b w:val="1"/>
                <w:bCs w:val="1"/>
                <w:color w:val="auto"/>
              </w:rPr>
              <w:t>Property</w:t>
            </w:r>
          </w:p>
        </w:tc>
        <w:tc>
          <w:tcPr>
            <w:tcW w:w="240" w:type="dxa"/>
            <w:vAlign w:val="bottom"/>
          </w:tcPr>
          <w:p>
            <w:pPr>
              <w:spacing w:after="0"/>
              <w:rPr>
                <w:sz w:val="24"/>
                <w:szCs w:val="24"/>
                <w:color w:val="auto"/>
              </w:rPr>
            </w:pPr>
          </w:p>
        </w:tc>
        <w:tc>
          <w:tcPr>
            <w:tcW w:w="1600" w:type="dxa"/>
            <w:vAlign w:val="bottom"/>
          </w:tcPr>
          <w:p>
            <w:pPr>
              <w:ind w:left="480"/>
              <w:spacing w:after="0"/>
              <w:rPr>
                <w:sz w:val="20"/>
                <w:szCs w:val="20"/>
                <w:color w:val="auto"/>
              </w:rPr>
            </w:pPr>
            <w:r>
              <w:rPr>
                <w:rFonts w:ascii="Arial" w:cs="Arial" w:eastAsia="Arial" w:hAnsi="Arial"/>
                <w:sz w:val="14"/>
                <w:szCs w:val="14"/>
                <w:b w:val="1"/>
                <w:bCs w:val="1"/>
                <w:color w:val="auto"/>
              </w:rPr>
              <w:t>City / State</w:t>
            </w:r>
          </w:p>
        </w:tc>
        <w:tc>
          <w:tcPr>
            <w:tcW w:w="240" w:type="dxa"/>
            <w:vAlign w:val="bottom"/>
          </w:tcPr>
          <w:p>
            <w:pPr>
              <w:spacing w:after="0"/>
              <w:rPr>
                <w:sz w:val="24"/>
                <w:szCs w:val="24"/>
                <w:color w:val="auto"/>
              </w:rPr>
            </w:pP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GLA</w:t>
            </w:r>
          </w:p>
        </w:tc>
        <w:tc>
          <w:tcPr>
            <w:tcW w:w="100" w:type="dxa"/>
            <w:vAlign w:val="bottom"/>
          </w:tcPr>
          <w:p>
            <w:pPr>
              <w:spacing w:after="0"/>
              <w:rPr>
                <w:sz w:val="24"/>
                <w:szCs w:val="2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Sales price</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September 25 and 30, 2008</w:t>
            </w:r>
          </w:p>
        </w:tc>
        <w:tc>
          <w:tcPr>
            <w:tcW w:w="2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 Land Parcels: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38.8(1)</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87"/>
              </w:rPr>
              <w:t>The Shoppes at Nottingham Square</w:t>
            </w:r>
          </w:p>
        </w:tc>
        <w:tc>
          <w:tcPr>
            <w:tcW w:w="1840" w:type="dxa"/>
            <w:vAlign w:val="bottom"/>
            <w:gridSpan w:val="2"/>
          </w:tcPr>
          <w:p>
            <w:pPr>
              <w:ind w:left="240"/>
              <w:spacing w:after="0"/>
              <w:rPr>
                <w:sz w:val="20"/>
                <w:szCs w:val="20"/>
                <w:color w:val="auto"/>
              </w:rPr>
            </w:pPr>
            <w:r>
              <w:rPr>
                <w:rFonts w:ascii="Arial" w:cs="Arial" w:eastAsia="Arial" w:hAnsi="Arial"/>
                <w:sz w:val="18"/>
                <w:szCs w:val="18"/>
                <w:color w:val="auto"/>
              </w:rPr>
              <w:t>White Marsh, MD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134,000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White Marsh Other</w:t>
            </w:r>
          </w:p>
        </w:tc>
        <w:tc>
          <w:tcPr>
            <w:tcW w:w="1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White Marsh, MD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White Marsh Other (2)</w:t>
            </w:r>
          </w:p>
        </w:tc>
        <w:tc>
          <w:tcPr>
            <w:tcW w:w="1840" w:type="dxa"/>
            <w:vAlign w:val="bottom"/>
            <w:gridSpan w:val="2"/>
          </w:tcPr>
          <w:p>
            <w:pPr>
              <w:ind w:left="240"/>
              <w:spacing w:after="0"/>
              <w:rPr>
                <w:sz w:val="20"/>
                <w:szCs w:val="20"/>
                <w:color w:val="auto"/>
              </w:rPr>
            </w:pPr>
            <w:r>
              <w:rPr>
                <w:rFonts w:ascii="Arial" w:cs="Arial" w:eastAsia="Arial" w:hAnsi="Arial"/>
                <w:sz w:val="18"/>
                <w:szCs w:val="18"/>
                <w:color w:val="auto"/>
              </w:rPr>
              <w:t>White Marsh, MD</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North Dartmouth</w:t>
            </w:r>
          </w:p>
        </w:tc>
        <w:tc>
          <w:tcPr>
            <w:tcW w:w="1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2"/>
              </w:rPr>
              <w:t>North Dartmouth, MA</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2"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September 25 and 30, 2008, we completed exchange transactions whereby we sold our fee interest in four land parcels that were subject to long-term ground leases with tenants and acquired the fee interest in two land parcels under our Bethesda Row property. Three of the land parcels sold were in White Marsh, MD, and one parcel was in North Dartmouth, MA. Prior to the transactions, the land parcels at Bethesda Row were encumbered by capital lease obligations which were extinguished as part of the transactions.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land parcel was subject to a ground lease covering 50,000 square feet of office space not included in our gross leasable area.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Mortgage</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and/or</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7"/>
              </w:rPr>
              <w:t>Real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Grocery</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5"/>
              </w:rPr>
              <w:t>Estate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0"/>
              </w:rPr>
              <w:t>Lease</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Anchor</w:t>
            </w:r>
          </w:p>
        </w:tc>
        <w:tc>
          <w:tcPr>
            <w:tcW w:w="80" w:type="dxa"/>
            <w:vAlign w:val="bottom"/>
          </w:tcPr>
          <w:p>
            <w:pPr>
              <w:spacing w:after="0"/>
              <w:rPr>
                <w:sz w:val="12"/>
                <w:szCs w:val="12"/>
                <w:color w:val="auto"/>
              </w:rPr>
            </w:pPr>
          </w:p>
        </w:tc>
        <w:tc>
          <w:tcPr>
            <w:tcW w:w="8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Grocery</w:t>
            </w:r>
          </w:p>
        </w:tc>
        <w:tc>
          <w:tcPr>
            <w:tcW w:w="40" w:type="dxa"/>
            <w:vAlign w:val="bottom"/>
          </w:tcPr>
          <w:p>
            <w:pPr>
              <w:spacing w:after="0"/>
              <w:rPr>
                <w:sz w:val="12"/>
                <w:szCs w:val="12"/>
                <w:color w:val="auto"/>
              </w:rPr>
            </w:pPr>
          </w:p>
        </w:tc>
        <w:tc>
          <w:tcPr>
            <w:tcW w:w="20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Other Principal Tenants</w:t>
            </w:r>
          </w:p>
        </w:tc>
        <w:tc>
          <w:tcPr>
            <w:tcW w:w="0" w:type="dxa"/>
            <w:vAlign w:val="bottom"/>
          </w:tcPr>
          <w:p>
            <w:pPr>
              <w:spacing w:after="0"/>
              <w:rPr>
                <w:sz w:val="1"/>
                <w:szCs w:val="1"/>
                <w:color w:val="auto"/>
              </w:rPr>
            </w:pPr>
          </w:p>
        </w:tc>
      </w:tr>
      <w:tr>
        <w:trPr>
          <w:trHeight w:val="161"/>
        </w:trPr>
        <w:tc>
          <w:tcPr>
            <w:tcW w:w="2040" w:type="dxa"/>
            <w:vAlign w:val="bottom"/>
            <w:gridSpan w:val="11"/>
          </w:tcPr>
          <w:p>
            <w:pPr>
              <w:spacing w:after="0"/>
              <w:rPr>
                <w:sz w:val="20"/>
                <w:szCs w:val="20"/>
                <w:color w:val="auto"/>
              </w:rPr>
            </w:pPr>
            <w:r>
              <w:rPr>
                <w:rFonts w:ascii="Arial" w:cs="Arial" w:eastAsia="Arial" w:hAnsi="Arial"/>
                <w:sz w:val="14"/>
                <w:szCs w:val="14"/>
                <w:b w:val="1"/>
                <w:bCs w:val="1"/>
                <w:color w:val="auto"/>
              </w:rPr>
              <w:t>Property Name</w:t>
            </w:r>
          </w:p>
        </w:tc>
        <w:tc>
          <w:tcPr>
            <w:tcW w:w="240" w:type="dxa"/>
            <w:vAlign w:val="bottom"/>
          </w:tcPr>
          <w:p>
            <w:pPr>
              <w:spacing w:after="0"/>
              <w:rPr>
                <w:sz w:val="14"/>
                <w:szCs w:val="14"/>
                <w:color w:val="auto"/>
              </w:rPr>
            </w:pPr>
          </w:p>
        </w:tc>
        <w:tc>
          <w:tcPr>
            <w:tcW w:w="2180" w:type="dxa"/>
            <w:vAlign w:val="bottom"/>
            <w:gridSpan w:val="2"/>
          </w:tcPr>
          <w:p>
            <w:pPr>
              <w:ind w:left="560"/>
              <w:spacing w:after="0"/>
              <w:rPr>
                <w:sz w:val="20"/>
                <w:szCs w:val="20"/>
                <w:color w:val="auto"/>
              </w:rPr>
            </w:pPr>
            <w:r>
              <w:rPr>
                <w:rFonts w:ascii="Arial" w:cs="Arial" w:eastAsia="Arial" w:hAnsi="Arial"/>
                <w:sz w:val="14"/>
                <w:szCs w:val="14"/>
                <w:b w:val="1"/>
                <w:bCs w:val="1"/>
                <w:color w:val="auto"/>
              </w:rPr>
              <w:t>MSA Description</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8"/>
              </w:rPr>
              <w:t>Acquired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52"/>
              <w:spacing w:after="0"/>
              <w:rPr>
                <w:sz w:val="20"/>
                <w:szCs w:val="20"/>
                <w:color w:val="auto"/>
              </w:rPr>
            </w:pPr>
            <w:r>
              <w:rPr>
                <w:rFonts w:ascii="Arial" w:cs="Arial" w:eastAsia="Arial" w:hAnsi="Arial"/>
                <w:sz w:val="14"/>
                <w:szCs w:val="14"/>
                <w:b w:val="1"/>
                <w:bCs w:val="1"/>
                <w:color w:val="auto"/>
                <w:w w:val="84"/>
              </w:rPr>
              <w:t>at Cost</w:t>
            </w:r>
          </w:p>
        </w:tc>
        <w:tc>
          <w:tcPr>
            <w:tcW w:w="60" w:type="dxa"/>
            <w:vAlign w:val="bottom"/>
          </w:tcPr>
          <w:p>
            <w:pPr>
              <w:spacing w:after="0"/>
              <w:rPr>
                <w:sz w:val="14"/>
                <w:szCs w:val="14"/>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Obligation (1)</w:t>
            </w:r>
          </w:p>
        </w:tc>
        <w:tc>
          <w:tcPr>
            <w:tcW w:w="20" w:type="dxa"/>
            <w:vAlign w:val="bottom"/>
          </w:tcPr>
          <w:p>
            <w:pPr>
              <w:spacing w:after="0"/>
              <w:rPr>
                <w:sz w:val="14"/>
                <w:szCs w:val="14"/>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GLA (2) Leased</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0"/>
              </w:rPr>
              <w:t>GLA (3)</w:t>
            </w:r>
          </w:p>
        </w:tc>
        <w:tc>
          <w:tcPr>
            <w:tcW w:w="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w w:val="99"/>
              </w:rPr>
              <w:t>Anchor (3)</w:t>
            </w:r>
          </w:p>
        </w:tc>
        <w:tc>
          <w:tcPr>
            <w:tcW w:w="4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20" w:type="dxa"/>
            <w:vAlign w:val="bottom"/>
            <w:gridSpan w:val="10"/>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East Region</w:t>
            </w:r>
          </w:p>
        </w:tc>
        <w:tc>
          <w:tcPr>
            <w:tcW w:w="24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87"/>
              </w:rPr>
              <w:t>Washington Metropolitan Area</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2" w:lineRule="exact"/>
              <w:rPr>
                <w:sz w:val="20"/>
                <w:szCs w:val="20"/>
                <w:color w:val="auto"/>
              </w:rPr>
            </w:pPr>
            <w:r>
              <w:rPr>
                <w:rFonts w:ascii="Arial" w:cs="Arial" w:eastAsia="Arial" w:hAnsi="Arial"/>
                <w:sz w:val="14"/>
                <w:szCs w:val="14"/>
                <w:color w:val="auto"/>
              </w:rPr>
              <w:t>Bethesda Row</w:t>
            </w:r>
          </w:p>
        </w:tc>
        <w:tc>
          <w:tcPr>
            <w:tcW w:w="2420" w:type="dxa"/>
            <w:vAlign w:val="bottom"/>
            <w:gridSpan w:val="3"/>
            <w:shd w:val="clear" w:color="auto" w:fill="CCEEFF"/>
          </w:tcPr>
          <w:p>
            <w:pPr>
              <w:ind w:left="40"/>
              <w:spacing w:after="0" w:line="142" w:lineRule="exact"/>
              <w:rPr>
                <w:sz w:val="20"/>
                <w:szCs w:val="20"/>
                <w:color w:val="auto"/>
              </w:rPr>
            </w:pPr>
            <w:r>
              <w:rPr>
                <w:rFonts w:ascii="Arial" w:cs="Arial" w:eastAsia="Arial" w:hAnsi="Arial"/>
                <w:sz w:val="14"/>
                <w:szCs w:val="14"/>
                <w:color w:val="auto"/>
              </w:rPr>
              <w:t>(4) Washington, DC-MD- VA</w:t>
            </w:r>
          </w:p>
        </w:tc>
        <w:tc>
          <w:tcPr>
            <w:tcW w:w="6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83"/>
              </w:rPr>
              <w:t>1993-2006</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186,843</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25,486</w:t>
            </w:r>
          </w:p>
        </w:tc>
        <w:tc>
          <w:tcPr>
            <w:tcW w:w="5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521,000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96%</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40,000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Giant Food</w:t>
            </w: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1"/>
              </w:rPr>
              <w:t>Barnes &amp; Noble / Landmark Theater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tcPr>
          <w:p>
            <w:pPr>
              <w:spacing w:after="0" w:line="149" w:lineRule="exact"/>
              <w:rPr>
                <w:sz w:val="20"/>
                <w:szCs w:val="20"/>
                <w:color w:val="auto"/>
              </w:rPr>
            </w:pPr>
            <w:r>
              <w:rPr>
                <w:rFonts w:ascii="Arial" w:cs="Arial" w:eastAsia="Arial" w:hAnsi="Arial"/>
                <w:sz w:val="14"/>
                <w:szCs w:val="14"/>
                <w:color w:val="auto"/>
              </w:rPr>
              <w:t>Congressional Plaza</w:t>
            </w:r>
          </w:p>
        </w:tc>
        <w:tc>
          <w:tcPr>
            <w:tcW w:w="24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(5) Washington, DC-MD-VA</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1965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69,806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334,000</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93%</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28,000</w:t>
            </w:r>
          </w:p>
        </w:tc>
        <w:tc>
          <w:tcPr>
            <w:tcW w:w="8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w w:val="94"/>
              </w:rPr>
              <w:t>Whole Foods</w:t>
            </w:r>
          </w:p>
        </w:tc>
        <w:tc>
          <w:tcPr>
            <w:tcW w:w="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Buy Buy Baby/Container Store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Courthouse Center</w:t>
            </w: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Washington, DC-MD- VA</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tcPr>
          <w:p>
            <w:pPr>
              <w:spacing w:after="0" w:line="149" w:lineRule="exact"/>
              <w:rPr>
                <w:sz w:val="20"/>
                <w:szCs w:val="20"/>
                <w:color w:val="auto"/>
              </w:rPr>
            </w:pPr>
            <w:r>
              <w:rPr>
                <w:rFonts w:ascii="Arial" w:cs="Arial" w:eastAsia="Arial" w:hAnsi="Arial"/>
                <w:sz w:val="14"/>
                <w:szCs w:val="14"/>
                <w:color w:val="auto"/>
              </w:rPr>
              <w:t>Falls Plaza/Falls Plaza-East</w:t>
            </w:r>
          </w:p>
        </w:tc>
        <w:tc>
          <w:tcPr>
            <w:tcW w:w="24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Washington, DC-MD-VA</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3"/>
              </w:rPr>
              <w:t>1967-1972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11,982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144,000</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98%</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51,000</w:t>
            </w:r>
          </w:p>
        </w:tc>
        <w:tc>
          <w:tcPr>
            <w:tcW w:w="8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CVS / Staples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Federal Plaza</w:t>
            </w: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62,130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33,265</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TJ Maxx / Micro Center / Ross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10"/>
          </w:tcPr>
          <w:p>
            <w:pPr>
              <w:spacing w:after="0" w:line="138" w:lineRule="exact"/>
              <w:rPr>
                <w:sz w:val="20"/>
                <w:szCs w:val="20"/>
                <w:color w:val="auto"/>
              </w:rPr>
            </w:pPr>
            <w:r>
              <w:rPr>
                <w:rFonts w:ascii="Arial" w:cs="Arial" w:eastAsia="Arial" w:hAnsi="Arial"/>
                <w:sz w:val="14"/>
                <w:szCs w:val="14"/>
                <w:color w:val="auto"/>
              </w:rPr>
              <w:t>Friendship Center</w:t>
            </w:r>
          </w:p>
        </w:tc>
        <w:tc>
          <w:tcPr>
            <w:tcW w:w="240" w:type="dxa"/>
            <w:vAlign w:val="bottom"/>
          </w:tcPr>
          <w:p>
            <w:pPr>
              <w:spacing w:after="0"/>
              <w:rPr>
                <w:sz w:val="11"/>
                <w:szCs w:val="11"/>
                <w:color w:val="auto"/>
              </w:rPr>
            </w:pPr>
          </w:p>
        </w:tc>
        <w:tc>
          <w:tcPr>
            <w:tcW w:w="2180" w:type="dxa"/>
            <w:vAlign w:val="bottom"/>
            <w:gridSpan w:val="2"/>
          </w:tcPr>
          <w:p>
            <w:pPr>
              <w:spacing w:after="0" w:line="138" w:lineRule="exact"/>
              <w:rPr>
                <w:sz w:val="20"/>
                <w:szCs w:val="20"/>
                <w:color w:val="auto"/>
              </w:rPr>
            </w:pPr>
            <w:r>
              <w:rPr>
                <w:rFonts w:ascii="Arial" w:cs="Arial" w:eastAsia="Arial" w:hAnsi="Arial"/>
                <w:sz w:val="14"/>
                <w:szCs w:val="14"/>
                <w:color w:val="auto"/>
              </w:rPr>
              <w:t>Washington, DC-MD-VA</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2001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33,342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119,000</w:t>
            </w:r>
          </w:p>
        </w:tc>
        <w:tc>
          <w:tcPr>
            <w:tcW w:w="56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Borders / Linens ‘n Things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Pr>
          <w:p>
            <w:pPr>
              <w:spacing w:after="0" w:line="159" w:lineRule="exact"/>
              <w:rPr>
                <w:sz w:val="20"/>
                <w:szCs w:val="20"/>
                <w:color w:val="auto"/>
              </w:rPr>
            </w:pPr>
            <w:r>
              <w:rPr>
                <w:rFonts w:ascii="Arial" w:cs="Arial" w:eastAsia="Arial" w:hAnsi="Arial"/>
                <w:sz w:val="14"/>
                <w:szCs w:val="14"/>
                <w:color w:val="auto"/>
              </w:rPr>
              <w:t>Maggiano’s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Gaithersburg Square</w:t>
            </w: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23,979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209,000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8"/>
              </w:rPr>
              <w:t>Bed, Bath &amp; Beyond / Borders / 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tcPr>
          <w:p>
            <w:pPr>
              <w:spacing w:after="0" w:line="149" w:lineRule="exact"/>
              <w:rPr>
                <w:sz w:val="20"/>
                <w:szCs w:val="20"/>
                <w:color w:val="auto"/>
              </w:rPr>
            </w:pPr>
            <w:r>
              <w:rPr>
                <w:rFonts w:ascii="Arial" w:cs="Arial" w:eastAsia="Arial" w:hAnsi="Arial"/>
                <w:sz w:val="14"/>
                <w:szCs w:val="14"/>
                <w:color w:val="auto"/>
              </w:rPr>
              <w:t>Idylwood Plaza</w:t>
            </w:r>
          </w:p>
        </w:tc>
        <w:tc>
          <w:tcPr>
            <w:tcW w:w="24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Washington, DC-MD-VA</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1994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15,548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73,000</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8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w w:val="94"/>
              </w:rPr>
              <w:t>Whole Foods</w:t>
            </w:r>
          </w:p>
        </w:tc>
        <w:tc>
          <w:tcPr>
            <w:tcW w:w="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Laurel</w:t>
            </w: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47,617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386,000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61,000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Giant Food</w:t>
            </w: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tcPr>
          <w:p>
            <w:pPr>
              <w:spacing w:after="0" w:line="149" w:lineRule="exact"/>
              <w:rPr>
                <w:sz w:val="20"/>
                <w:szCs w:val="20"/>
                <w:color w:val="auto"/>
              </w:rPr>
            </w:pPr>
            <w:r>
              <w:rPr>
                <w:rFonts w:ascii="Arial" w:cs="Arial" w:eastAsia="Arial" w:hAnsi="Arial"/>
                <w:sz w:val="14"/>
                <w:szCs w:val="14"/>
                <w:color w:val="auto"/>
              </w:rPr>
              <w:t>Leesburg Plaza</w:t>
            </w:r>
          </w:p>
        </w:tc>
        <w:tc>
          <w:tcPr>
            <w:tcW w:w="24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(6) Washington, DC-MD-VA</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1998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34,158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236,000</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55,000</w:t>
            </w:r>
          </w:p>
        </w:tc>
        <w:tc>
          <w:tcPr>
            <w:tcW w:w="8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w w:val="96"/>
              </w:rPr>
              <w:t>Petsmart / Pier One / Office Depot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Loehmann’s Plaza</w:t>
            </w: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31,981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269,000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97%</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58,000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Giant Food</w:t>
            </w: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Bally Total Fitness / Loehmann’s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10"/>
          </w:tcPr>
          <w:p>
            <w:pPr>
              <w:spacing w:after="0" w:line="138" w:lineRule="exact"/>
              <w:rPr>
                <w:sz w:val="20"/>
                <w:szCs w:val="20"/>
                <w:color w:val="auto"/>
              </w:rPr>
            </w:pPr>
            <w:r>
              <w:rPr>
                <w:rFonts w:ascii="Arial" w:cs="Arial" w:eastAsia="Arial" w:hAnsi="Arial"/>
                <w:sz w:val="14"/>
                <w:szCs w:val="14"/>
                <w:color w:val="auto"/>
              </w:rPr>
              <w:t>Mid-Pike Plaza</w:t>
            </w:r>
          </w:p>
        </w:tc>
        <w:tc>
          <w:tcPr>
            <w:tcW w:w="240" w:type="dxa"/>
            <w:vAlign w:val="bottom"/>
          </w:tcPr>
          <w:p>
            <w:pPr>
              <w:spacing w:after="0"/>
              <w:rPr>
                <w:sz w:val="11"/>
                <w:szCs w:val="11"/>
                <w:color w:val="auto"/>
              </w:rPr>
            </w:pPr>
          </w:p>
        </w:tc>
        <w:tc>
          <w:tcPr>
            <w:tcW w:w="2180" w:type="dxa"/>
            <w:vAlign w:val="bottom"/>
            <w:gridSpan w:val="2"/>
          </w:tcPr>
          <w:p>
            <w:pPr>
              <w:spacing w:after="0" w:line="138" w:lineRule="exact"/>
              <w:rPr>
                <w:sz w:val="20"/>
                <w:szCs w:val="20"/>
                <w:color w:val="auto"/>
              </w:rPr>
            </w:pPr>
            <w:r>
              <w:rPr>
                <w:rFonts w:ascii="Arial" w:cs="Arial" w:eastAsia="Arial" w:hAnsi="Arial"/>
                <w:sz w:val="14"/>
                <w:szCs w:val="14"/>
                <w:color w:val="auto"/>
              </w:rPr>
              <w:t>Washington, DC-MD-VA</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1982</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44,214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309,000</w:t>
            </w:r>
          </w:p>
        </w:tc>
        <w:tc>
          <w:tcPr>
            <w:tcW w:w="40" w:type="dxa"/>
            <w:vAlign w:val="bottom"/>
          </w:tcPr>
          <w:p>
            <w:pPr>
              <w:spacing w:after="0"/>
              <w:rPr>
                <w:sz w:val="11"/>
                <w:szCs w:val="11"/>
                <w:color w:val="auto"/>
              </w:rPr>
            </w:pPr>
          </w:p>
        </w:tc>
        <w:tc>
          <w:tcPr>
            <w:tcW w:w="56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Linens ‘n Things / Toys R Us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Bally Total Fitness / AC Moore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Filene’s Basement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39" w:lineRule="exact"/>
              <w:rPr>
                <w:sz w:val="20"/>
                <w:szCs w:val="20"/>
                <w:color w:val="auto"/>
              </w:rPr>
            </w:pPr>
            <w:r>
              <w:rPr>
                <w:rFonts w:ascii="Arial" w:cs="Arial" w:eastAsia="Arial" w:hAnsi="Arial"/>
                <w:sz w:val="14"/>
                <w:szCs w:val="14"/>
                <w:color w:val="auto"/>
              </w:rPr>
              <w:t>Mount Vernon/South Valley/</w:t>
            </w:r>
          </w:p>
        </w:tc>
        <w:tc>
          <w:tcPr>
            <w:tcW w:w="2420" w:type="dxa"/>
            <w:vAlign w:val="bottom"/>
            <w:gridSpan w:val="3"/>
            <w:shd w:val="clear" w:color="auto" w:fill="CCEEFF"/>
          </w:tcPr>
          <w:p>
            <w:pPr>
              <w:ind w:left="40"/>
              <w:spacing w:after="0" w:line="139" w:lineRule="exact"/>
              <w:rPr>
                <w:sz w:val="20"/>
                <w:szCs w:val="20"/>
                <w:color w:val="auto"/>
              </w:rPr>
            </w:pPr>
            <w:r>
              <w:rPr>
                <w:rFonts w:ascii="Arial" w:cs="Arial" w:eastAsia="Arial" w:hAnsi="Arial"/>
                <w:sz w:val="14"/>
                <w:szCs w:val="14"/>
                <w:color w:val="auto"/>
              </w:rPr>
              <w:t>(6) Washington, DC-MD-VA</w:t>
            </w:r>
          </w:p>
        </w:tc>
        <w:tc>
          <w:tcPr>
            <w:tcW w:w="60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4"/>
                <w:szCs w:val="14"/>
                <w:color w:val="auto"/>
                <w:w w:val="83"/>
              </w:rPr>
              <w:t>2003-2006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76,920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4"/>
                <w:szCs w:val="14"/>
                <w:color w:val="auto"/>
              </w:rPr>
              <w:t>11,722</w:t>
            </w:r>
          </w:p>
        </w:tc>
        <w:tc>
          <w:tcPr>
            <w:tcW w:w="5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565,000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4"/>
                <w:szCs w:val="14"/>
                <w:color w:val="auto"/>
              </w:rPr>
              <w:t>95%</w:t>
            </w:r>
          </w:p>
        </w:tc>
        <w:tc>
          <w:tcPr>
            <w:tcW w:w="4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62,000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Shoppers</w:t>
            </w: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Bed, Bath &amp; Beyond / Michaels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ind w:left="120"/>
              <w:spacing w:after="0" w:line="149" w:lineRule="exact"/>
              <w:rPr>
                <w:sz w:val="20"/>
                <w:szCs w:val="20"/>
                <w:color w:val="auto"/>
              </w:rPr>
            </w:pPr>
            <w:r>
              <w:rPr>
                <w:rFonts w:ascii="Arial" w:cs="Arial" w:eastAsia="Arial" w:hAnsi="Arial"/>
                <w:sz w:val="14"/>
                <w:szCs w:val="14"/>
                <w:color w:val="auto"/>
              </w:rPr>
              <w:t>7770 Richmond Hwy</w:t>
            </w:r>
          </w:p>
        </w:tc>
        <w:tc>
          <w:tcPr>
            <w:tcW w:w="2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Food</w:t>
            </w: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Home Depot /</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4"/>
                <w:szCs w:val="14"/>
                <w:color w:val="auto"/>
              </w:rPr>
              <w:t>Warehouse</w:t>
            </w:r>
          </w:p>
        </w:tc>
        <w:tc>
          <w:tcPr>
            <w:tcW w:w="40" w:type="dxa"/>
            <w:vAlign w:val="bottom"/>
            <w:shd w:val="clear" w:color="auto" w:fill="CCEEFF"/>
          </w:tcPr>
          <w:p>
            <w:pPr>
              <w:spacing w:after="0"/>
              <w:rPr>
                <w:sz w:val="15"/>
                <w:szCs w:val="15"/>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TJ Maxx / Gold’s Gym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tcPr>
          <w:p>
            <w:pPr>
              <w:spacing w:after="0" w:line="149" w:lineRule="exact"/>
              <w:rPr>
                <w:sz w:val="20"/>
                <w:szCs w:val="20"/>
                <w:color w:val="auto"/>
              </w:rPr>
            </w:pPr>
            <w:r>
              <w:rPr>
                <w:rFonts w:ascii="Arial" w:cs="Arial" w:eastAsia="Arial" w:hAnsi="Arial"/>
                <w:sz w:val="14"/>
                <w:szCs w:val="14"/>
                <w:color w:val="auto"/>
              </w:rPr>
              <w:t>Old Keene Mill</w:t>
            </w:r>
          </w:p>
        </w:tc>
        <w:tc>
          <w:tcPr>
            <w:tcW w:w="24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Washington, DC-MD-VA</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1976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5,873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92,000</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24,000</w:t>
            </w:r>
          </w:p>
        </w:tc>
        <w:tc>
          <w:tcPr>
            <w:tcW w:w="8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w w:val="94"/>
              </w:rPr>
              <w:t>Whole Foods</w:t>
            </w:r>
          </w:p>
        </w:tc>
        <w:tc>
          <w:tcPr>
            <w:tcW w:w="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Pan Am</w:t>
            </w: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227,000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63,000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Safeway</w:t>
            </w: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Micro Center / Michaels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10"/>
          </w:tcPr>
          <w:p>
            <w:pPr>
              <w:spacing w:after="0" w:line="138" w:lineRule="exact"/>
              <w:rPr>
                <w:sz w:val="20"/>
                <w:szCs w:val="20"/>
                <w:color w:val="auto"/>
              </w:rPr>
            </w:pPr>
            <w:r>
              <w:rPr>
                <w:rFonts w:ascii="Arial" w:cs="Arial" w:eastAsia="Arial" w:hAnsi="Arial"/>
                <w:sz w:val="14"/>
                <w:szCs w:val="14"/>
                <w:color w:val="auto"/>
              </w:rPr>
              <w:t>Pentagon Row</w:t>
            </w:r>
          </w:p>
        </w:tc>
        <w:tc>
          <w:tcPr>
            <w:tcW w:w="240" w:type="dxa"/>
            <w:vAlign w:val="bottom"/>
          </w:tcPr>
          <w:p>
            <w:pPr>
              <w:spacing w:after="0"/>
              <w:rPr>
                <w:sz w:val="11"/>
                <w:szCs w:val="11"/>
                <w:color w:val="auto"/>
              </w:rPr>
            </w:pPr>
          </w:p>
        </w:tc>
        <w:tc>
          <w:tcPr>
            <w:tcW w:w="2180" w:type="dxa"/>
            <w:vAlign w:val="bottom"/>
            <w:gridSpan w:val="2"/>
          </w:tcPr>
          <w:p>
            <w:pPr>
              <w:spacing w:after="0" w:line="138" w:lineRule="exact"/>
              <w:rPr>
                <w:sz w:val="20"/>
                <w:szCs w:val="20"/>
                <w:color w:val="auto"/>
              </w:rPr>
            </w:pPr>
            <w:r>
              <w:rPr>
                <w:rFonts w:ascii="Arial" w:cs="Arial" w:eastAsia="Arial" w:hAnsi="Arial"/>
                <w:sz w:val="14"/>
                <w:szCs w:val="14"/>
                <w:color w:val="auto"/>
              </w:rPr>
              <w:t>Washington, DC-MD-VA</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1999</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87,780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296,000</w:t>
            </w:r>
          </w:p>
        </w:tc>
        <w:tc>
          <w:tcPr>
            <w:tcW w:w="40" w:type="dxa"/>
            <w:vAlign w:val="bottom"/>
          </w:tcPr>
          <w:p>
            <w:pPr>
              <w:spacing w:after="0"/>
              <w:rPr>
                <w:sz w:val="11"/>
                <w:szCs w:val="11"/>
                <w:color w:val="auto"/>
              </w:rPr>
            </w:pPr>
          </w:p>
        </w:tc>
        <w:tc>
          <w:tcPr>
            <w:tcW w:w="56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99%</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45,000</w:t>
            </w:r>
          </w:p>
        </w:tc>
        <w:tc>
          <w:tcPr>
            <w:tcW w:w="80" w:type="dxa"/>
            <w:vAlign w:val="bottom"/>
          </w:tcPr>
          <w:p>
            <w:pPr>
              <w:spacing w:after="0"/>
              <w:rPr>
                <w:sz w:val="11"/>
                <w:szCs w:val="11"/>
                <w:color w:val="auto"/>
              </w:rPr>
            </w:pPr>
          </w:p>
        </w:tc>
        <w:tc>
          <w:tcPr>
            <w:tcW w:w="800" w:type="dxa"/>
            <w:vAlign w:val="bottom"/>
          </w:tcPr>
          <w:p>
            <w:pPr>
              <w:spacing w:after="0" w:line="138" w:lineRule="exact"/>
              <w:rPr>
                <w:sz w:val="20"/>
                <w:szCs w:val="20"/>
                <w:color w:val="auto"/>
              </w:rPr>
            </w:pPr>
            <w:r>
              <w:rPr>
                <w:rFonts w:ascii="Arial" w:cs="Arial" w:eastAsia="Arial" w:hAnsi="Arial"/>
                <w:sz w:val="14"/>
                <w:szCs w:val="14"/>
                <w:color w:val="auto"/>
                <w:w w:val="95"/>
              </w:rPr>
              <w:t>Harris Teeter</w:t>
            </w:r>
          </w:p>
        </w:tc>
        <w:tc>
          <w:tcPr>
            <w:tcW w:w="4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Bally Total Fitness / Bed, Bath &amp;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Pr>
          <w:p>
            <w:pPr>
              <w:spacing w:after="0" w:line="159" w:lineRule="exact"/>
              <w:rPr>
                <w:sz w:val="20"/>
                <w:szCs w:val="20"/>
                <w:color w:val="auto"/>
              </w:rPr>
            </w:pPr>
            <w:r>
              <w:rPr>
                <w:rFonts w:ascii="Arial" w:cs="Arial" w:eastAsia="Arial" w:hAnsi="Arial"/>
                <w:sz w:val="14"/>
                <w:szCs w:val="14"/>
                <w:color w:val="auto"/>
              </w:rPr>
              <w:t>Beyond / DSW / Cost Plus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Pike 7</w:t>
            </w: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34,835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DSW / Staples / TJ Maxx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tcPr>
          <w:p>
            <w:pPr>
              <w:spacing w:after="0" w:line="149" w:lineRule="exact"/>
              <w:rPr>
                <w:sz w:val="20"/>
                <w:szCs w:val="20"/>
                <w:color w:val="auto"/>
              </w:rPr>
            </w:pPr>
            <w:r>
              <w:rPr>
                <w:rFonts w:ascii="Arial" w:cs="Arial" w:eastAsia="Arial" w:hAnsi="Arial"/>
                <w:sz w:val="14"/>
                <w:szCs w:val="14"/>
                <w:color w:val="auto"/>
              </w:rPr>
              <w:t>Quince Orchard</w:t>
            </w:r>
          </w:p>
        </w:tc>
        <w:tc>
          <w:tcPr>
            <w:tcW w:w="24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Washington, DC-MD-VA</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1993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20,923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253,000</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24,000</w:t>
            </w:r>
          </w:p>
        </w:tc>
        <w:tc>
          <w:tcPr>
            <w:tcW w:w="8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Magruders</w:t>
            </w:r>
          </w:p>
        </w:tc>
        <w:tc>
          <w:tcPr>
            <w:tcW w:w="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Circuit City / Staples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Rockville Town Square</w:t>
            </w: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3"/>
              </w:rPr>
              <w:t>2006-2007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36,722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CVS / Gold’s Gym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tcPr>
          <w:p>
            <w:pPr>
              <w:spacing w:after="0" w:line="149" w:lineRule="exact"/>
              <w:rPr>
                <w:sz w:val="20"/>
                <w:szCs w:val="20"/>
                <w:color w:val="auto"/>
              </w:rPr>
            </w:pPr>
            <w:r>
              <w:rPr>
                <w:rFonts w:ascii="Arial" w:cs="Arial" w:eastAsia="Arial" w:hAnsi="Arial"/>
                <w:sz w:val="14"/>
                <w:szCs w:val="14"/>
                <w:color w:val="auto"/>
              </w:rPr>
              <w:t>Rollingwood Apartments</w:t>
            </w:r>
          </w:p>
        </w:tc>
        <w:tc>
          <w:tcPr>
            <w:tcW w:w="24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Washington, DC-MD-VA</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1971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7,128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N/A</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97%</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Sam’s Park &amp; Shop</w:t>
            </w: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12,130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tcPr>
          <w:p>
            <w:pPr>
              <w:spacing w:after="0" w:line="149" w:lineRule="exact"/>
              <w:rPr>
                <w:sz w:val="20"/>
                <w:szCs w:val="20"/>
                <w:color w:val="auto"/>
              </w:rPr>
            </w:pPr>
            <w:r>
              <w:rPr>
                <w:rFonts w:ascii="Arial" w:cs="Arial" w:eastAsia="Arial" w:hAnsi="Arial"/>
                <w:sz w:val="14"/>
                <w:szCs w:val="14"/>
                <w:color w:val="auto"/>
              </w:rPr>
              <w:t>Tower</w:t>
            </w:r>
          </w:p>
        </w:tc>
        <w:tc>
          <w:tcPr>
            <w:tcW w:w="24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Washington, DC-MD-VA</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1998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19,734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112,000</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Talbots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Tyson’s Station</w:t>
            </w: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6,111</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tcPr>
          <w:p>
            <w:pPr>
              <w:spacing w:after="0" w:line="149" w:lineRule="exact"/>
              <w:rPr>
                <w:sz w:val="20"/>
                <w:szCs w:val="20"/>
                <w:color w:val="auto"/>
              </w:rPr>
            </w:pPr>
            <w:r>
              <w:rPr>
                <w:rFonts w:ascii="Arial" w:cs="Arial" w:eastAsia="Arial" w:hAnsi="Arial"/>
                <w:sz w:val="14"/>
                <w:szCs w:val="14"/>
                <w:color w:val="auto"/>
              </w:rPr>
              <w:t>Village at Shirlington</w:t>
            </w:r>
          </w:p>
        </w:tc>
        <w:tc>
          <w:tcPr>
            <w:tcW w:w="24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(4) Washington, DC-MD-VA</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1995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50,580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6,252</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245,000</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98%</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28,000</w:t>
            </w:r>
          </w:p>
        </w:tc>
        <w:tc>
          <w:tcPr>
            <w:tcW w:w="8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w w:val="95"/>
              </w:rPr>
              <w:t>Harris Teeter</w:t>
            </w:r>
          </w:p>
        </w:tc>
        <w:tc>
          <w:tcPr>
            <w:tcW w:w="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w w:val="98"/>
              </w:rPr>
              <w:t>AMC Loews / Carlyle Grand Café</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Wildwood</w:t>
            </w: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25,881</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Balducci’s</w:t>
            </w: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Total Washington Metropolitan Area</w:t>
            </w: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967,882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6"/>
              </w:rPr>
              <w:t>5,204,000</w:t>
            </w:r>
          </w:p>
        </w:tc>
        <w:tc>
          <w:tcPr>
            <w:tcW w:w="4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96%</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20" w:type="dxa"/>
            <w:vAlign w:val="bottom"/>
            <w:gridSpan w:val="9"/>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New York / New Jersey</w:t>
            </w:r>
          </w:p>
        </w:tc>
        <w:tc>
          <w:tcPr>
            <w:tcW w:w="24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20" w:type="dxa"/>
            <w:vAlign w:val="bottom"/>
            <w:gridSpan w:val="10"/>
          </w:tcPr>
          <w:p>
            <w:pPr>
              <w:spacing w:after="0" w:line="131" w:lineRule="exact"/>
              <w:rPr>
                <w:sz w:val="20"/>
                <w:szCs w:val="20"/>
                <w:color w:val="auto"/>
              </w:rPr>
            </w:pPr>
            <w:r>
              <w:rPr>
                <w:rFonts w:ascii="Arial" w:cs="Arial" w:eastAsia="Arial" w:hAnsi="Arial"/>
                <w:sz w:val="14"/>
                <w:szCs w:val="14"/>
                <w:color w:val="auto"/>
              </w:rPr>
              <w:t>Brick Plaza</w:t>
            </w:r>
          </w:p>
        </w:tc>
        <w:tc>
          <w:tcPr>
            <w:tcW w:w="240" w:type="dxa"/>
            <w:vAlign w:val="bottom"/>
          </w:tcPr>
          <w:p>
            <w:pPr>
              <w:spacing w:after="0"/>
              <w:rPr>
                <w:sz w:val="11"/>
                <w:szCs w:val="11"/>
                <w:color w:val="auto"/>
              </w:rPr>
            </w:pPr>
          </w:p>
        </w:tc>
        <w:tc>
          <w:tcPr>
            <w:tcW w:w="2180" w:type="dxa"/>
            <w:vAlign w:val="bottom"/>
            <w:gridSpan w:val="2"/>
          </w:tcPr>
          <w:p>
            <w:pPr>
              <w:spacing w:after="0" w:line="131" w:lineRule="exact"/>
              <w:rPr>
                <w:sz w:val="20"/>
                <w:szCs w:val="20"/>
                <w:color w:val="auto"/>
              </w:rPr>
            </w:pPr>
            <w:r>
              <w:rPr>
                <w:rFonts w:ascii="Arial" w:cs="Arial" w:eastAsia="Arial" w:hAnsi="Arial"/>
                <w:sz w:val="14"/>
                <w:szCs w:val="14"/>
                <w:color w:val="auto"/>
              </w:rPr>
              <w:t>Monmouth-Ocean, NJ</w:t>
            </w:r>
          </w:p>
        </w:tc>
        <w:tc>
          <w:tcPr>
            <w:tcW w:w="580" w:type="dxa"/>
            <w:vAlign w:val="bottom"/>
          </w:tcPr>
          <w:p>
            <w:pPr>
              <w:jc w:val="right"/>
              <w:spacing w:after="0" w:line="131" w:lineRule="exact"/>
              <w:rPr>
                <w:sz w:val="20"/>
                <w:szCs w:val="20"/>
                <w:color w:val="auto"/>
              </w:rPr>
            </w:pPr>
            <w:r>
              <w:rPr>
                <w:rFonts w:ascii="Arial" w:cs="Arial" w:eastAsia="Arial" w:hAnsi="Arial"/>
                <w:sz w:val="14"/>
                <w:szCs w:val="14"/>
                <w:color w:val="auto"/>
              </w:rPr>
              <w:t>1989</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Arial" w:cs="Arial" w:eastAsia="Arial" w:hAnsi="Arial"/>
                <w:sz w:val="14"/>
                <w:szCs w:val="14"/>
                <w:color w:val="auto"/>
              </w:rPr>
              <w:t>56,269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1" w:lineRule="exact"/>
              <w:rPr>
                <w:sz w:val="20"/>
                <w:szCs w:val="20"/>
                <w:color w:val="auto"/>
              </w:rPr>
            </w:pPr>
            <w:r>
              <w:rPr>
                <w:rFonts w:ascii="Arial" w:cs="Arial" w:eastAsia="Arial" w:hAnsi="Arial"/>
                <w:sz w:val="14"/>
                <w:szCs w:val="14"/>
                <w:color w:val="auto"/>
              </w:rPr>
              <w:t>30,771</w:t>
            </w:r>
          </w:p>
        </w:tc>
        <w:tc>
          <w:tcPr>
            <w:tcW w:w="56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409,000</w:t>
            </w:r>
          </w:p>
        </w:tc>
        <w:tc>
          <w:tcPr>
            <w:tcW w:w="40" w:type="dxa"/>
            <w:vAlign w:val="bottom"/>
          </w:tcPr>
          <w:p>
            <w:pPr>
              <w:spacing w:after="0"/>
              <w:rPr>
                <w:sz w:val="11"/>
                <w:szCs w:val="11"/>
                <w:color w:val="auto"/>
              </w:rPr>
            </w:pPr>
          </w:p>
        </w:tc>
        <w:tc>
          <w:tcPr>
            <w:tcW w:w="560" w:type="dxa"/>
            <w:vAlign w:val="bottom"/>
            <w:gridSpan w:val="2"/>
          </w:tcPr>
          <w:p>
            <w:pPr>
              <w:jc w:val="right"/>
              <w:ind w:right="40"/>
              <w:spacing w:after="0" w:line="131"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31" w:lineRule="exact"/>
              <w:rPr>
                <w:sz w:val="20"/>
                <w:szCs w:val="20"/>
                <w:color w:val="auto"/>
              </w:rPr>
            </w:pPr>
            <w:r>
              <w:rPr>
                <w:rFonts w:ascii="Arial" w:cs="Arial" w:eastAsia="Arial" w:hAnsi="Arial"/>
                <w:sz w:val="14"/>
                <w:szCs w:val="14"/>
                <w:color w:val="auto"/>
              </w:rPr>
              <w:t>66,000</w:t>
            </w:r>
          </w:p>
        </w:tc>
        <w:tc>
          <w:tcPr>
            <w:tcW w:w="80" w:type="dxa"/>
            <w:vAlign w:val="bottom"/>
          </w:tcPr>
          <w:p>
            <w:pPr>
              <w:spacing w:after="0"/>
              <w:rPr>
                <w:sz w:val="11"/>
                <w:szCs w:val="11"/>
                <w:color w:val="auto"/>
              </w:rPr>
            </w:pPr>
          </w:p>
        </w:tc>
        <w:tc>
          <w:tcPr>
            <w:tcW w:w="800" w:type="dxa"/>
            <w:vAlign w:val="bottom"/>
          </w:tcPr>
          <w:p>
            <w:pPr>
              <w:spacing w:after="0" w:line="131" w:lineRule="exact"/>
              <w:rPr>
                <w:sz w:val="20"/>
                <w:szCs w:val="20"/>
                <w:color w:val="auto"/>
              </w:rPr>
            </w:pPr>
            <w:r>
              <w:rPr>
                <w:rFonts w:ascii="Arial" w:cs="Arial" w:eastAsia="Arial" w:hAnsi="Arial"/>
                <w:sz w:val="14"/>
                <w:szCs w:val="14"/>
                <w:color w:val="auto"/>
              </w:rPr>
              <w:t>A&amp;P</w:t>
            </w:r>
          </w:p>
        </w:tc>
        <w:tc>
          <w:tcPr>
            <w:tcW w:w="40" w:type="dxa"/>
            <w:vAlign w:val="bottom"/>
          </w:tcPr>
          <w:p>
            <w:pPr>
              <w:spacing w:after="0"/>
              <w:rPr>
                <w:sz w:val="11"/>
                <w:szCs w:val="11"/>
                <w:color w:val="auto"/>
              </w:rPr>
            </w:pPr>
          </w:p>
        </w:tc>
        <w:tc>
          <w:tcPr>
            <w:tcW w:w="2060" w:type="dxa"/>
            <w:vAlign w:val="bottom"/>
          </w:tcPr>
          <w:p>
            <w:pPr>
              <w:spacing w:after="0" w:line="131" w:lineRule="exact"/>
              <w:rPr>
                <w:sz w:val="20"/>
                <w:szCs w:val="20"/>
                <w:color w:val="auto"/>
              </w:rPr>
            </w:pPr>
            <w:r>
              <w:rPr>
                <w:rFonts w:ascii="Arial" w:cs="Arial" w:eastAsia="Arial" w:hAnsi="Arial"/>
                <w:sz w:val="14"/>
                <w:szCs w:val="14"/>
                <w:color w:val="auto"/>
              </w:rPr>
              <w:t>AMC Loews / Barnes &amp; Noble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Sports Authority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Forest Hills</w:t>
            </w: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York, NY</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Midway Theatre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10"/>
          </w:tcPr>
          <w:p>
            <w:pPr>
              <w:spacing w:after="0" w:line="138" w:lineRule="exact"/>
              <w:rPr>
                <w:sz w:val="20"/>
                <w:szCs w:val="20"/>
                <w:color w:val="auto"/>
              </w:rPr>
            </w:pPr>
            <w:r>
              <w:rPr>
                <w:rFonts w:ascii="Arial" w:cs="Arial" w:eastAsia="Arial" w:hAnsi="Arial"/>
                <w:sz w:val="14"/>
                <w:szCs w:val="14"/>
                <w:color w:val="auto"/>
              </w:rPr>
              <w:t>Fresh Meadows</w:t>
            </w:r>
          </w:p>
        </w:tc>
        <w:tc>
          <w:tcPr>
            <w:tcW w:w="240" w:type="dxa"/>
            <w:vAlign w:val="bottom"/>
          </w:tcPr>
          <w:p>
            <w:pPr>
              <w:spacing w:after="0"/>
              <w:rPr>
                <w:sz w:val="11"/>
                <w:szCs w:val="11"/>
                <w:color w:val="auto"/>
              </w:rPr>
            </w:pPr>
          </w:p>
        </w:tc>
        <w:tc>
          <w:tcPr>
            <w:tcW w:w="2180" w:type="dxa"/>
            <w:vAlign w:val="bottom"/>
            <w:gridSpan w:val="2"/>
          </w:tcPr>
          <w:p>
            <w:pPr>
              <w:spacing w:after="0" w:line="138" w:lineRule="exact"/>
              <w:rPr>
                <w:sz w:val="20"/>
                <w:szCs w:val="20"/>
                <w:color w:val="auto"/>
              </w:rPr>
            </w:pPr>
            <w:r>
              <w:rPr>
                <w:rFonts w:ascii="Arial" w:cs="Arial" w:eastAsia="Arial" w:hAnsi="Arial"/>
                <w:sz w:val="14"/>
                <w:szCs w:val="14"/>
                <w:color w:val="auto"/>
              </w:rPr>
              <w:t>New York, NY</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1997</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68,740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404,000</w:t>
            </w:r>
          </w:p>
        </w:tc>
        <w:tc>
          <w:tcPr>
            <w:tcW w:w="40" w:type="dxa"/>
            <w:vAlign w:val="bottom"/>
          </w:tcPr>
          <w:p>
            <w:pPr>
              <w:spacing w:after="0"/>
              <w:rPr>
                <w:sz w:val="11"/>
                <w:szCs w:val="11"/>
                <w:color w:val="auto"/>
              </w:rPr>
            </w:pPr>
          </w:p>
        </w:tc>
        <w:tc>
          <w:tcPr>
            <w:tcW w:w="56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96%</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15,000</w:t>
            </w:r>
          </w:p>
        </w:tc>
        <w:tc>
          <w:tcPr>
            <w:tcW w:w="80" w:type="dxa"/>
            <w:vAlign w:val="bottom"/>
          </w:tcPr>
          <w:p>
            <w:pPr>
              <w:spacing w:after="0"/>
              <w:rPr>
                <w:sz w:val="11"/>
                <w:szCs w:val="11"/>
                <w:color w:val="auto"/>
              </w:rPr>
            </w:pPr>
          </w:p>
        </w:tc>
        <w:tc>
          <w:tcPr>
            <w:tcW w:w="800" w:type="dxa"/>
            <w:vAlign w:val="bottom"/>
          </w:tcPr>
          <w:p>
            <w:pPr>
              <w:spacing w:after="0" w:line="138" w:lineRule="exact"/>
              <w:rPr>
                <w:sz w:val="20"/>
                <w:szCs w:val="20"/>
                <w:color w:val="auto"/>
              </w:rPr>
            </w:pPr>
            <w:r>
              <w:rPr>
                <w:rFonts w:ascii="Arial" w:cs="Arial" w:eastAsia="Arial" w:hAnsi="Arial"/>
                <w:sz w:val="14"/>
                <w:szCs w:val="14"/>
                <w:color w:val="auto"/>
                <w:w w:val="90"/>
              </w:rPr>
              <w:t>Island of Gold</w:t>
            </w:r>
          </w:p>
        </w:tc>
        <w:tc>
          <w:tcPr>
            <w:tcW w:w="4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w w:val="98"/>
              </w:rPr>
              <w:t>Filene’s Basement / Kohl’s / AMC</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Pr>
          <w:p>
            <w:pPr>
              <w:spacing w:after="0" w:line="159" w:lineRule="exact"/>
              <w:rPr>
                <w:sz w:val="20"/>
                <w:szCs w:val="20"/>
                <w:color w:val="auto"/>
              </w:rPr>
            </w:pPr>
            <w:r>
              <w:rPr>
                <w:rFonts w:ascii="Arial" w:cs="Arial" w:eastAsia="Arial" w:hAnsi="Arial"/>
                <w:sz w:val="14"/>
                <w:szCs w:val="14"/>
                <w:color w:val="auto"/>
              </w:rPr>
              <w:t>Loews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Hauppauge</w:t>
            </w: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Nassau-Suffolk, NY</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27,705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15,660</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61,000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Shop Rite</w:t>
            </w: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10"/>
          </w:tcPr>
          <w:p>
            <w:pPr>
              <w:spacing w:after="0" w:line="138" w:lineRule="exact"/>
              <w:rPr>
                <w:sz w:val="20"/>
                <w:szCs w:val="20"/>
                <w:color w:val="auto"/>
              </w:rPr>
            </w:pPr>
            <w:r>
              <w:rPr>
                <w:rFonts w:ascii="Arial" w:cs="Arial" w:eastAsia="Arial" w:hAnsi="Arial"/>
                <w:sz w:val="14"/>
                <w:szCs w:val="14"/>
                <w:color w:val="auto"/>
              </w:rPr>
              <w:t>Huntington</w:t>
            </w:r>
          </w:p>
        </w:tc>
        <w:tc>
          <w:tcPr>
            <w:tcW w:w="240" w:type="dxa"/>
            <w:vAlign w:val="bottom"/>
          </w:tcPr>
          <w:p>
            <w:pPr>
              <w:spacing w:after="0"/>
              <w:rPr>
                <w:sz w:val="11"/>
                <w:szCs w:val="11"/>
                <w:color w:val="auto"/>
              </w:rPr>
            </w:pPr>
          </w:p>
        </w:tc>
        <w:tc>
          <w:tcPr>
            <w:tcW w:w="2180" w:type="dxa"/>
            <w:vAlign w:val="bottom"/>
            <w:gridSpan w:val="2"/>
          </w:tcPr>
          <w:p>
            <w:pPr>
              <w:spacing w:after="0" w:line="138" w:lineRule="exact"/>
              <w:rPr>
                <w:sz w:val="20"/>
                <w:szCs w:val="20"/>
                <w:color w:val="auto"/>
              </w:rPr>
            </w:pPr>
            <w:r>
              <w:rPr>
                <w:rFonts w:ascii="Arial" w:cs="Arial" w:eastAsia="Arial" w:hAnsi="Arial"/>
                <w:sz w:val="14"/>
                <w:szCs w:val="14"/>
                <w:color w:val="auto"/>
              </w:rPr>
              <w:t>Nassau-Suffolk, NY</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1988</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38,041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279,000</w:t>
            </w:r>
          </w:p>
        </w:tc>
        <w:tc>
          <w:tcPr>
            <w:tcW w:w="40" w:type="dxa"/>
            <w:vAlign w:val="bottom"/>
          </w:tcPr>
          <w:p>
            <w:pPr>
              <w:spacing w:after="0"/>
              <w:rPr>
                <w:sz w:val="11"/>
                <w:szCs w:val="11"/>
                <w:color w:val="auto"/>
              </w:rPr>
            </w:pPr>
          </w:p>
        </w:tc>
        <w:tc>
          <w:tcPr>
            <w:tcW w:w="56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w w:val="99"/>
              </w:rPr>
              <w:t>Buy Buy Baby / Toys R Us / Bed,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Pr>
          <w:p>
            <w:pPr>
              <w:spacing w:after="0" w:line="159" w:lineRule="exact"/>
              <w:rPr>
                <w:sz w:val="20"/>
                <w:szCs w:val="20"/>
                <w:color w:val="auto"/>
              </w:rPr>
            </w:pPr>
            <w:r>
              <w:rPr>
                <w:rFonts w:ascii="Arial" w:cs="Arial" w:eastAsia="Arial" w:hAnsi="Arial"/>
                <w:sz w:val="14"/>
                <w:szCs w:val="14"/>
                <w:color w:val="auto"/>
              </w:rPr>
              <w:t>Bath &amp; Beyond / Barnes &amp; Noble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Melville Mall</w:t>
            </w:r>
          </w:p>
        </w:tc>
        <w:tc>
          <w:tcPr>
            <w:tcW w:w="242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(7) Nassau-Suffolk, NY</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68,571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24,619</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247,000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54,000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Waldbaum’s</w:t>
            </w: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Kohl’s / 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10"/>
          </w:tcPr>
          <w:p>
            <w:pPr>
              <w:spacing w:after="0" w:line="138" w:lineRule="exact"/>
              <w:rPr>
                <w:sz w:val="20"/>
                <w:szCs w:val="20"/>
                <w:color w:val="auto"/>
              </w:rPr>
            </w:pPr>
            <w:r>
              <w:rPr>
                <w:rFonts w:ascii="Arial" w:cs="Arial" w:eastAsia="Arial" w:hAnsi="Arial"/>
                <w:sz w:val="14"/>
                <w:szCs w:val="14"/>
                <w:color w:val="auto"/>
              </w:rPr>
              <w:t>Mercer Mall</w:t>
            </w:r>
          </w:p>
        </w:tc>
        <w:tc>
          <w:tcPr>
            <w:tcW w:w="2420" w:type="dxa"/>
            <w:vAlign w:val="bottom"/>
            <w:gridSpan w:val="3"/>
          </w:tcPr>
          <w:p>
            <w:pPr>
              <w:ind w:left="40"/>
              <w:spacing w:after="0" w:line="138" w:lineRule="exact"/>
              <w:rPr>
                <w:sz w:val="20"/>
                <w:szCs w:val="20"/>
                <w:color w:val="auto"/>
              </w:rPr>
            </w:pPr>
            <w:r>
              <w:rPr>
                <w:rFonts w:ascii="Arial" w:cs="Arial" w:eastAsia="Arial" w:hAnsi="Arial"/>
                <w:sz w:val="14"/>
                <w:szCs w:val="14"/>
                <w:color w:val="auto"/>
              </w:rPr>
              <w:t>(4) Trenton, NJ</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2003</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104,590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55,983</w:t>
            </w:r>
          </w:p>
        </w:tc>
        <w:tc>
          <w:tcPr>
            <w:tcW w:w="5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501,000</w:t>
            </w:r>
          </w:p>
        </w:tc>
        <w:tc>
          <w:tcPr>
            <w:tcW w:w="40" w:type="dxa"/>
            <w:vAlign w:val="bottom"/>
          </w:tcPr>
          <w:p>
            <w:pPr>
              <w:spacing w:after="0"/>
              <w:rPr>
                <w:sz w:val="11"/>
                <w:szCs w:val="11"/>
                <w:color w:val="auto"/>
              </w:rPr>
            </w:pPr>
          </w:p>
        </w:tc>
        <w:tc>
          <w:tcPr>
            <w:tcW w:w="56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99%</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75,000</w:t>
            </w:r>
          </w:p>
        </w:tc>
        <w:tc>
          <w:tcPr>
            <w:tcW w:w="80" w:type="dxa"/>
            <w:vAlign w:val="bottom"/>
          </w:tcPr>
          <w:p>
            <w:pPr>
              <w:spacing w:after="0"/>
              <w:rPr>
                <w:sz w:val="11"/>
                <w:szCs w:val="11"/>
                <w:color w:val="auto"/>
              </w:rPr>
            </w:pPr>
          </w:p>
        </w:tc>
        <w:tc>
          <w:tcPr>
            <w:tcW w:w="800" w:type="dxa"/>
            <w:vAlign w:val="bottom"/>
          </w:tcPr>
          <w:p>
            <w:pPr>
              <w:spacing w:after="0" w:line="138" w:lineRule="exact"/>
              <w:rPr>
                <w:sz w:val="20"/>
                <w:szCs w:val="20"/>
                <w:color w:val="auto"/>
              </w:rPr>
            </w:pPr>
            <w:r>
              <w:rPr>
                <w:rFonts w:ascii="Arial" w:cs="Arial" w:eastAsia="Arial" w:hAnsi="Arial"/>
                <w:sz w:val="14"/>
                <w:szCs w:val="14"/>
                <w:color w:val="auto"/>
              </w:rPr>
              <w:t>Shop Rite</w:t>
            </w:r>
          </w:p>
        </w:tc>
        <w:tc>
          <w:tcPr>
            <w:tcW w:w="4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Bed, Bath &amp; Beyond / DSW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TJ Maxx / Raymour &amp; Flanigan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Troy</w:t>
            </w: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Newark, NJ</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64,000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Pathmark</w:t>
            </w: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New York /New Jersey</w:t>
            </w: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395,193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6"/>
              </w:rPr>
              <w:t>2,226,000</w:t>
            </w:r>
          </w:p>
        </w:tc>
        <w:tc>
          <w:tcPr>
            <w:tcW w:w="4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99%</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20" w:type="dxa"/>
            <w:vAlign w:val="bottom"/>
            <w:gridSpan w:val="9"/>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Philadelphia Metropolitan</w:t>
            </w:r>
          </w:p>
        </w:tc>
        <w:tc>
          <w:tcPr>
            <w:tcW w:w="240" w:type="dxa"/>
            <w:vAlign w:val="bottom"/>
            <w:shd w:val="clear" w:color="auto" w:fill="CCEEFF"/>
          </w:tcPr>
          <w:p>
            <w:pPr>
              <w:spacing w:after="0"/>
              <w:rPr>
                <w:sz w:val="11"/>
                <w:szCs w:val="11"/>
                <w:color w:val="auto"/>
              </w:rPr>
            </w:pPr>
          </w:p>
        </w:tc>
        <w:tc>
          <w:tcPr>
            <w:tcW w:w="2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gridSpan w:val="6"/>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Area</w:t>
            </w:r>
          </w:p>
        </w:tc>
        <w:tc>
          <w:tcPr>
            <w:tcW w:w="300" w:type="dxa"/>
            <w:vAlign w:val="bottom"/>
            <w:tcBorders>
              <w:top w:val="single" w:sz="8" w:color="CCEEFF"/>
            </w:tcBorders>
            <w:gridSpan w:val="2"/>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20" w:type="dxa"/>
            <w:vAlign w:val="bottom"/>
            <w:gridSpan w:val="10"/>
          </w:tcPr>
          <w:p>
            <w:pPr>
              <w:spacing w:after="0" w:line="142" w:lineRule="exact"/>
              <w:rPr>
                <w:sz w:val="20"/>
                <w:szCs w:val="20"/>
                <w:color w:val="auto"/>
              </w:rPr>
            </w:pPr>
            <w:r>
              <w:rPr>
                <w:rFonts w:ascii="Arial" w:cs="Arial" w:eastAsia="Arial" w:hAnsi="Arial"/>
                <w:sz w:val="14"/>
                <w:szCs w:val="14"/>
                <w:color w:val="auto"/>
              </w:rPr>
              <w:t>Andorra</w:t>
            </w:r>
          </w:p>
        </w:tc>
        <w:tc>
          <w:tcPr>
            <w:tcW w:w="240" w:type="dxa"/>
            <w:vAlign w:val="bottom"/>
          </w:tcPr>
          <w:p>
            <w:pPr>
              <w:spacing w:after="0"/>
              <w:rPr>
                <w:sz w:val="12"/>
                <w:szCs w:val="12"/>
                <w:color w:val="auto"/>
              </w:rPr>
            </w:pPr>
          </w:p>
        </w:tc>
        <w:tc>
          <w:tcPr>
            <w:tcW w:w="2180" w:type="dxa"/>
            <w:vAlign w:val="bottom"/>
            <w:gridSpan w:val="2"/>
          </w:tcPr>
          <w:p>
            <w:pPr>
              <w:spacing w:after="0" w:line="142" w:lineRule="exact"/>
              <w:rPr>
                <w:sz w:val="20"/>
                <w:szCs w:val="20"/>
                <w:color w:val="auto"/>
              </w:rPr>
            </w:pPr>
            <w:r>
              <w:rPr>
                <w:rFonts w:ascii="Arial" w:cs="Arial" w:eastAsia="Arial" w:hAnsi="Arial"/>
                <w:sz w:val="14"/>
                <w:szCs w:val="14"/>
                <w:color w:val="auto"/>
              </w:rPr>
              <w:t>Philadelphia, PA-NJ</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1988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22,990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267,000</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94%</w:t>
            </w: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24,000</w:t>
            </w:r>
          </w:p>
        </w:tc>
        <w:tc>
          <w:tcPr>
            <w:tcW w:w="80" w:type="dxa"/>
            <w:vAlign w:val="bottom"/>
          </w:tcPr>
          <w:p>
            <w:pPr>
              <w:spacing w:after="0"/>
              <w:rPr>
                <w:sz w:val="12"/>
                <w:szCs w:val="12"/>
                <w:color w:val="auto"/>
              </w:rPr>
            </w:pPr>
          </w:p>
        </w:tc>
        <w:tc>
          <w:tcPr>
            <w:tcW w:w="2900" w:type="dxa"/>
            <w:vAlign w:val="bottom"/>
            <w:gridSpan w:val="3"/>
          </w:tcPr>
          <w:p>
            <w:pPr>
              <w:spacing w:after="0" w:line="142" w:lineRule="exact"/>
              <w:rPr>
                <w:sz w:val="20"/>
                <w:szCs w:val="20"/>
                <w:color w:val="auto"/>
              </w:rPr>
            </w:pPr>
            <w:r>
              <w:rPr>
                <w:rFonts w:ascii="Arial" w:cs="Arial" w:eastAsia="Arial" w:hAnsi="Arial"/>
                <w:sz w:val="14"/>
                <w:szCs w:val="14"/>
                <w:color w:val="auto"/>
              </w:rPr>
              <w:t>Acme Markets Kohl’s /Staples /L.A. Fitness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Bala Cynwyd</w:t>
            </w: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Philadelphia, PA-NJ</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33,997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280,000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w:t>
            </w:r>
          </w:p>
        </w:tc>
        <w:tc>
          <w:tcPr>
            <w:tcW w:w="80" w:type="dxa"/>
            <w:vAlign w:val="bottom"/>
            <w:shd w:val="clear" w:color="auto" w:fill="CCEEFF"/>
          </w:tcPr>
          <w:p>
            <w:pPr>
              <w:spacing w:after="0"/>
              <w:rPr>
                <w:sz w:val="12"/>
                <w:szCs w:val="12"/>
                <w:color w:val="auto"/>
              </w:rPr>
            </w:pPr>
          </w:p>
        </w:tc>
        <w:tc>
          <w:tcPr>
            <w:tcW w:w="2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Acme Markets Lord &amp; Taylor / L.A. Fitness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tcPr>
          <w:p>
            <w:pPr>
              <w:spacing w:after="0" w:line="149" w:lineRule="exact"/>
              <w:rPr>
                <w:sz w:val="20"/>
                <w:szCs w:val="20"/>
                <w:color w:val="auto"/>
              </w:rPr>
            </w:pPr>
            <w:r>
              <w:rPr>
                <w:rFonts w:ascii="Arial" w:cs="Arial" w:eastAsia="Arial" w:hAnsi="Arial"/>
                <w:sz w:val="14"/>
                <w:szCs w:val="14"/>
                <w:color w:val="auto"/>
              </w:rPr>
              <w:t>Ellisburg Circle</w:t>
            </w:r>
          </w:p>
        </w:tc>
        <w:tc>
          <w:tcPr>
            <w:tcW w:w="24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Philadelphia, PA-NJ</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1992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27,687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268,000</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47,000</w:t>
            </w:r>
          </w:p>
        </w:tc>
        <w:tc>
          <w:tcPr>
            <w:tcW w:w="8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Genuardi’s</w:t>
            </w:r>
          </w:p>
        </w:tc>
        <w:tc>
          <w:tcPr>
            <w:tcW w:w="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Buy Buy Baby / Stein 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Feasterville</w:t>
            </w: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Philadelphia, PA-NJ</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11,887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111,000</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53,000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Genuardi’s</w:t>
            </w: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OfficeMax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tcPr>
          <w:p>
            <w:pPr>
              <w:spacing w:after="0" w:line="149" w:lineRule="exact"/>
              <w:rPr>
                <w:sz w:val="20"/>
                <w:szCs w:val="20"/>
                <w:color w:val="auto"/>
              </w:rPr>
            </w:pPr>
            <w:r>
              <w:rPr>
                <w:rFonts w:ascii="Arial" w:cs="Arial" w:eastAsia="Arial" w:hAnsi="Arial"/>
                <w:sz w:val="14"/>
                <w:szCs w:val="14"/>
                <w:color w:val="auto"/>
              </w:rPr>
              <w:t>Flourtown</w:t>
            </w:r>
          </w:p>
        </w:tc>
        <w:tc>
          <w:tcPr>
            <w:tcW w:w="24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Philadelphia, PA-NJ</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1980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15,262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189,000</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86%</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42,000</w:t>
            </w:r>
          </w:p>
        </w:tc>
        <w:tc>
          <w:tcPr>
            <w:tcW w:w="8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Genuardi’s</w:t>
            </w:r>
          </w:p>
        </w:tc>
        <w:tc>
          <w:tcPr>
            <w:tcW w:w="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10"/>
            <w:shd w:val="clear" w:color="auto" w:fill="CCEEFF"/>
          </w:tcPr>
          <w:p>
            <w:pPr>
              <w:spacing w:after="0" w:line="138" w:lineRule="exact"/>
              <w:rPr>
                <w:sz w:val="20"/>
                <w:szCs w:val="20"/>
                <w:color w:val="auto"/>
              </w:rPr>
            </w:pPr>
            <w:r>
              <w:rPr>
                <w:rFonts w:ascii="Arial" w:cs="Arial" w:eastAsia="Arial" w:hAnsi="Arial"/>
                <w:sz w:val="14"/>
                <w:szCs w:val="14"/>
                <w:color w:val="auto"/>
              </w:rPr>
              <w:t>Langhorne Square</w:t>
            </w:r>
          </w:p>
        </w:tc>
        <w:tc>
          <w:tcPr>
            <w:tcW w:w="240" w:type="dxa"/>
            <w:vAlign w:val="bottom"/>
            <w:shd w:val="clear" w:color="auto" w:fill="CCEEFF"/>
          </w:tcPr>
          <w:p>
            <w:pPr>
              <w:spacing w:after="0"/>
              <w:rPr>
                <w:sz w:val="11"/>
                <w:szCs w:val="11"/>
                <w:color w:val="auto"/>
              </w:rPr>
            </w:pPr>
          </w:p>
        </w:tc>
        <w:tc>
          <w:tcPr>
            <w:tcW w:w="21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Philadelphia, PA-NJ</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1985</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18,781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216,000</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97%</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55,000</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Redner’s</w:t>
            </w:r>
          </w:p>
        </w:tc>
        <w:tc>
          <w:tcPr>
            <w:tcW w:w="4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Warehouse</w:t>
            </w: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Mkts.</w:t>
            </w:r>
          </w:p>
        </w:tc>
        <w:tc>
          <w:tcPr>
            <w:tcW w:w="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tcPr>
          <w:p>
            <w:pPr>
              <w:spacing w:after="0" w:line="149" w:lineRule="exact"/>
              <w:rPr>
                <w:sz w:val="20"/>
                <w:szCs w:val="20"/>
                <w:color w:val="auto"/>
              </w:rPr>
            </w:pPr>
            <w:r>
              <w:rPr>
                <w:rFonts w:ascii="Arial" w:cs="Arial" w:eastAsia="Arial" w:hAnsi="Arial"/>
                <w:sz w:val="14"/>
                <w:szCs w:val="14"/>
                <w:color w:val="auto"/>
              </w:rPr>
              <w:t>Lawrence Park</w:t>
            </w:r>
          </w:p>
        </w:tc>
        <w:tc>
          <w:tcPr>
            <w:tcW w:w="24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Philadelphia, PA-NJ</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1980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29,299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29,445</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353,000</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53,000</w:t>
            </w:r>
          </w:p>
        </w:tc>
        <w:tc>
          <w:tcPr>
            <w:tcW w:w="80" w:type="dxa"/>
            <w:vAlign w:val="bottom"/>
          </w:tcPr>
          <w:p>
            <w:pPr>
              <w:spacing w:after="0"/>
              <w:rPr>
                <w:sz w:val="12"/>
                <w:szCs w:val="12"/>
                <w:color w:val="auto"/>
              </w:rPr>
            </w:pPr>
          </w:p>
        </w:tc>
        <w:tc>
          <w:tcPr>
            <w:tcW w:w="2900" w:type="dxa"/>
            <w:vAlign w:val="bottom"/>
            <w:gridSpan w:val="3"/>
          </w:tcPr>
          <w:p>
            <w:pPr>
              <w:spacing w:after="0" w:line="149" w:lineRule="exact"/>
              <w:rPr>
                <w:sz w:val="20"/>
                <w:szCs w:val="20"/>
                <w:color w:val="auto"/>
              </w:rPr>
            </w:pPr>
            <w:r>
              <w:rPr>
                <w:rFonts w:ascii="Arial" w:cs="Arial" w:eastAsia="Arial" w:hAnsi="Arial"/>
                <w:sz w:val="14"/>
                <w:szCs w:val="14"/>
                <w:color w:val="auto"/>
              </w:rPr>
              <w:t>Acme Markets CHI / TJ Maxx / HomeGoods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Northeast</w:t>
            </w: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Philadelphia, PA-NJ</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22,510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286,000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Burlington Coat / 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tcPr>
          <w:p>
            <w:pPr>
              <w:spacing w:after="0" w:line="149" w:lineRule="exact"/>
              <w:rPr>
                <w:sz w:val="20"/>
                <w:szCs w:val="20"/>
                <w:color w:val="auto"/>
              </w:rPr>
            </w:pPr>
            <w:r>
              <w:rPr>
                <w:rFonts w:ascii="Arial" w:cs="Arial" w:eastAsia="Arial" w:hAnsi="Arial"/>
                <w:sz w:val="14"/>
                <w:szCs w:val="14"/>
                <w:color w:val="auto"/>
              </w:rPr>
              <w:t>Town Center of New Britain</w:t>
            </w:r>
          </w:p>
        </w:tc>
        <w:tc>
          <w:tcPr>
            <w:tcW w:w="24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Philadelphia, PA-NJ</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2006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14,048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124,000</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87%</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36,000</w:t>
            </w:r>
          </w:p>
        </w:tc>
        <w:tc>
          <w:tcPr>
            <w:tcW w:w="8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10"/>
            <w:shd w:val="clear" w:color="auto" w:fill="CCEEFF"/>
          </w:tcPr>
          <w:p>
            <w:pPr>
              <w:spacing w:after="0" w:line="138" w:lineRule="exact"/>
              <w:rPr>
                <w:sz w:val="20"/>
                <w:szCs w:val="20"/>
                <w:color w:val="auto"/>
              </w:rPr>
            </w:pPr>
            <w:r>
              <w:rPr>
                <w:rFonts w:ascii="Arial" w:cs="Arial" w:eastAsia="Arial" w:hAnsi="Arial"/>
                <w:sz w:val="14"/>
                <w:szCs w:val="14"/>
                <w:color w:val="auto"/>
              </w:rPr>
              <w:t>Willow Grove</w:t>
            </w:r>
          </w:p>
        </w:tc>
        <w:tc>
          <w:tcPr>
            <w:tcW w:w="240" w:type="dxa"/>
            <w:vAlign w:val="bottom"/>
            <w:shd w:val="clear" w:color="auto" w:fill="CCEEFF"/>
          </w:tcPr>
          <w:p>
            <w:pPr>
              <w:spacing w:after="0"/>
              <w:rPr>
                <w:sz w:val="11"/>
                <w:szCs w:val="11"/>
                <w:color w:val="auto"/>
              </w:rPr>
            </w:pPr>
          </w:p>
        </w:tc>
        <w:tc>
          <w:tcPr>
            <w:tcW w:w="21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Philadelphia, PA-NJ</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1984</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26,910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215,000</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Barnes &amp; Noble / Marshalls / Toys 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Us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10"/>
          </w:tcPr>
          <w:p>
            <w:pPr>
              <w:spacing w:after="0" w:line="138" w:lineRule="exact"/>
              <w:rPr>
                <w:sz w:val="20"/>
                <w:szCs w:val="20"/>
                <w:color w:val="auto"/>
              </w:rPr>
            </w:pPr>
            <w:r>
              <w:rPr>
                <w:rFonts w:ascii="Arial" w:cs="Arial" w:eastAsia="Arial" w:hAnsi="Arial"/>
                <w:sz w:val="14"/>
                <w:szCs w:val="14"/>
                <w:color w:val="auto"/>
              </w:rPr>
              <w:t>Wynnewood</w:t>
            </w:r>
          </w:p>
        </w:tc>
        <w:tc>
          <w:tcPr>
            <w:tcW w:w="240" w:type="dxa"/>
            <w:vAlign w:val="bottom"/>
          </w:tcPr>
          <w:p>
            <w:pPr>
              <w:spacing w:after="0"/>
              <w:rPr>
                <w:sz w:val="11"/>
                <w:szCs w:val="11"/>
                <w:color w:val="auto"/>
              </w:rPr>
            </w:pPr>
          </w:p>
        </w:tc>
        <w:tc>
          <w:tcPr>
            <w:tcW w:w="2180" w:type="dxa"/>
            <w:vAlign w:val="bottom"/>
            <w:gridSpan w:val="2"/>
          </w:tcPr>
          <w:p>
            <w:pPr>
              <w:spacing w:after="0" w:line="138" w:lineRule="exact"/>
              <w:rPr>
                <w:sz w:val="20"/>
                <w:szCs w:val="20"/>
                <w:color w:val="auto"/>
              </w:rPr>
            </w:pPr>
            <w:r>
              <w:rPr>
                <w:rFonts w:ascii="Arial" w:cs="Arial" w:eastAsia="Arial" w:hAnsi="Arial"/>
                <w:sz w:val="14"/>
                <w:szCs w:val="14"/>
                <w:color w:val="auto"/>
              </w:rPr>
              <w:t>Philadelphia, PA-NJ</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1996</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36,186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30,007</w:t>
            </w:r>
          </w:p>
        </w:tc>
        <w:tc>
          <w:tcPr>
            <w:tcW w:w="5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255,000</w:t>
            </w:r>
          </w:p>
        </w:tc>
        <w:tc>
          <w:tcPr>
            <w:tcW w:w="40" w:type="dxa"/>
            <w:vAlign w:val="bottom"/>
          </w:tcPr>
          <w:p>
            <w:pPr>
              <w:spacing w:after="0"/>
              <w:rPr>
                <w:sz w:val="11"/>
                <w:szCs w:val="11"/>
                <w:color w:val="auto"/>
              </w:rPr>
            </w:pPr>
          </w:p>
        </w:tc>
        <w:tc>
          <w:tcPr>
            <w:tcW w:w="56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97%</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98,000</w:t>
            </w:r>
          </w:p>
        </w:tc>
        <w:tc>
          <w:tcPr>
            <w:tcW w:w="80" w:type="dxa"/>
            <w:vAlign w:val="bottom"/>
          </w:tcPr>
          <w:p>
            <w:pPr>
              <w:spacing w:after="0"/>
              <w:rPr>
                <w:sz w:val="11"/>
                <w:szCs w:val="11"/>
                <w:color w:val="auto"/>
              </w:rPr>
            </w:pPr>
          </w:p>
        </w:tc>
        <w:tc>
          <w:tcPr>
            <w:tcW w:w="800" w:type="dxa"/>
            <w:vAlign w:val="bottom"/>
          </w:tcPr>
          <w:p>
            <w:pPr>
              <w:spacing w:after="0" w:line="138" w:lineRule="exact"/>
              <w:rPr>
                <w:sz w:val="20"/>
                <w:szCs w:val="20"/>
                <w:color w:val="auto"/>
              </w:rPr>
            </w:pPr>
            <w:r>
              <w:rPr>
                <w:rFonts w:ascii="Arial" w:cs="Arial" w:eastAsia="Arial" w:hAnsi="Arial"/>
                <w:sz w:val="14"/>
                <w:szCs w:val="14"/>
                <w:color w:val="auto"/>
              </w:rPr>
              <w:t>Genuardi’s</w:t>
            </w:r>
          </w:p>
        </w:tc>
        <w:tc>
          <w:tcPr>
            <w:tcW w:w="4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w w:val="92"/>
              </w:rPr>
              <w:t>Bed, Bath &amp; Beyond / Borders / Old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60" w:type="dxa"/>
            <w:vAlign w:val="bottom"/>
          </w:tcPr>
          <w:p>
            <w:pPr>
              <w:spacing w:after="0" w:line="159" w:lineRule="exact"/>
              <w:rPr>
                <w:sz w:val="20"/>
                <w:szCs w:val="20"/>
                <w:color w:val="auto"/>
              </w:rPr>
            </w:pPr>
            <w:r>
              <w:rPr>
                <w:rFonts w:ascii="Arial" w:cs="Arial" w:eastAsia="Arial" w:hAnsi="Arial"/>
                <w:sz w:val="14"/>
                <w:szCs w:val="14"/>
                <w:color w:val="auto"/>
              </w:rPr>
              <w:t>Navy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8"/>
              </w:rPr>
              <w:t>Total Philadelphia Metropolitan Area</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259,557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2,564,000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9"/>
          </w:tcPr>
          <w:p>
            <w:pPr>
              <w:spacing w:after="0" w:line="135" w:lineRule="exact"/>
              <w:rPr>
                <w:sz w:val="20"/>
                <w:szCs w:val="20"/>
                <w:color w:val="auto"/>
              </w:rPr>
            </w:pPr>
            <w:r>
              <w:rPr>
                <w:rFonts w:ascii="Arial" w:cs="Arial" w:eastAsia="Arial" w:hAnsi="Arial"/>
                <w:sz w:val="14"/>
                <w:szCs w:val="14"/>
                <w:b w:val="1"/>
                <w:bCs w:val="1"/>
                <w:color w:val="auto"/>
              </w:rPr>
              <w:t>New England</w:t>
            </w:r>
          </w:p>
        </w:tc>
        <w:tc>
          <w:tcPr>
            <w:tcW w:w="2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20" w:type="dxa"/>
            <w:vAlign w:val="bottom"/>
            <w:gridSpan w:val="10"/>
            <w:shd w:val="clear" w:color="auto" w:fill="CCEEFF"/>
          </w:tcPr>
          <w:p>
            <w:pPr>
              <w:spacing w:after="0" w:line="131" w:lineRule="exact"/>
              <w:rPr>
                <w:sz w:val="20"/>
                <w:szCs w:val="20"/>
                <w:color w:val="auto"/>
              </w:rPr>
            </w:pPr>
            <w:r>
              <w:rPr>
                <w:rFonts w:ascii="Arial" w:cs="Arial" w:eastAsia="Arial" w:hAnsi="Arial"/>
                <w:sz w:val="14"/>
                <w:szCs w:val="14"/>
                <w:color w:val="auto"/>
              </w:rPr>
              <w:t>Assembly Square</w:t>
            </w:r>
          </w:p>
        </w:tc>
        <w:tc>
          <w:tcPr>
            <w:tcW w:w="240" w:type="dxa"/>
            <w:vAlign w:val="bottom"/>
            <w:shd w:val="clear" w:color="auto" w:fill="CCEEFF"/>
          </w:tcPr>
          <w:p>
            <w:pPr>
              <w:spacing w:after="0"/>
              <w:rPr>
                <w:sz w:val="11"/>
                <w:szCs w:val="11"/>
                <w:color w:val="auto"/>
              </w:rPr>
            </w:pPr>
          </w:p>
        </w:tc>
        <w:tc>
          <w:tcPr>
            <w:tcW w:w="218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Boston-Cambridge-</w:t>
            </w:r>
          </w:p>
        </w:tc>
        <w:tc>
          <w:tcPr>
            <w:tcW w:w="60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4"/>
                <w:szCs w:val="14"/>
                <w:color w:val="auto"/>
                <w:w w:val="83"/>
              </w:rPr>
              <w:t>2005-2006</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132,066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332,000</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7"/>
              </w:rPr>
              <w:t>AC Moore / Bed, Bath &amp; Beyond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Quincy, MA-NH</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Christmas Tree Shops / Kmart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1"/>
              </w:rPr>
              <w:t>Staples / Sports Authority / 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10"/>
          </w:tcPr>
          <w:p>
            <w:pPr>
              <w:spacing w:after="0" w:line="138" w:lineRule="exact"/>
              <w:rPr>
                <w:sz w:val="20"/>
                <w:szCs w:val="20"/>
                <w:color w:val="auto"/>
              </w:rPr>
            </w:pPr>
            <w:r>
              <w:rPr>
                <w:rFonts w:ascii="Arial" w:cs="Arial" w:eastAsia="Arial" w:hAnsi="Arial"/>
                <w:sz w:val="14"/>
                <w:szCs w:val="14"/>
                <w:color w:val="auto"/>
              </w:rPr>
              <w:t>Chelsea Commons</w:t>
            </w:r>
          </w:p>
        </w:tc>
        <w:tc>
          <w:tcPr>
            <w:tcW w:w="2420" w:type="dxa"/>
            <w:vAlign w:val="bottom"/>
            <w:gridSpan w:val="3"/>
          </w:tcPr>
          <w:p>
            <w:pPr>
              <w:ind w:left="40"/>
              <w:spacing w:after="0" w:line="138" w:lineRule="exact"/>
              <w:rPr>
                <w:sz w:val="20"/>
                <w:szCs w:val="20"/>
                <w:color w:val="auto"/>
              </w:rPr>
            </w:pPr>
            <w:r>
              <w:rPr>
                <w:rFonts w:ascii="Arial" w:cs="Arial" w:eastAsia="Arial" w:hAnsi="Arial"/>
                <w:sz w:val="14"/>
                <w:szCs w:val="14"/>
                <w:color w:val="auto"/>
              </w:rPr>
              <w:t>(8) Boston-Cambridge-</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w w:val="83"/>
              </w:rPr>
              <w:t>2006-2008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28,929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8,136</w:t>
            </w:r>
          </w:p>
        </w:tc>
        <w:tc>
          <w:tcPr>
            <w:tcW w:w="5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222,000</w:t>
            </w:r>
          </w:p>
        </w:tc>
        <w:tc>
          <w:tcPr>
            <w:tcW w:w="40" w:type="dxa"/>
            <w:vAlign w:val="bottom"/>
          </w:tcPr>
          <w:p>
            <w:pPr>
              <w:spacing w:after="0"/>
              <w:rPr>
                <w:sz w:val="11"/>
                <w:szCs w:val="11"/>
                <w:color w:val="auto"/>
              </w:rPr>
            </w:pPr>
          </w:p>
        </w:tc>
        <w:tc>
          <w:tcPr>
            <w:tcW w:w="56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92%</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16,000</w:t>
            </w:r>
          </w:p>
        </w:tc>
        <w:tc>
          <w:tcPr>
            <w:tcW w:w="80" w:type="dxa"/>
            <w:vAlign w:val="bottom"/>
          </w:tcPr>
          <w:p>
            <w:pPr>
              <w:spacing w:after="0"/>
              <w:rPr>
                <w:sz w:val="11"/>
                <w:szCs w:val="11"/>
                <w:color w:val="auto"/>
              </w:rPr>
            </w:pPr>
          </w:p>
        </w:tc>
        <w:tc>
          <w:tcPr>
            <w:tcW w:w="800" w:type="dxa"/>
            <w:vAlign w:val="bottom"/>
          </w:tcPr>
          <w:p>
            <w:pPr>
              <w:spacing w:after="0" w:line="138" w:lineRule="exact"/>
              <w:rPr>
                <w:sz w:val="20"/>
                <w:szCs w:val="20"/>
                <w:color w:val="auto"/>
              </w:rPr>
            </w:pPr>
            <w:r>
              <w:rPr>
                <w:rFonts w:ascii="Arial" w:cs="Arial" w:eastAsia="Arial" w:hAnsi="Arial"/>
                <w:sz w:val="14"/>
                <w:szCs w:val="14"/>
                <w:color w:val="auto"/>
              </w:rPr>
              <w:t>Sav-A-Lot</w:t>
            </w:r>
          </w:p>
        </w:tc>
        <w:tc>
          <w:tcPr>
            <w:tcW w:w="4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Arial" w:cs="Arial" w:eastAsia="Arial" w:hAnsi="Arial"/>
                <w:sz w:val="14"/>
                <w:szCs w:val="14"/>
                <w:color w:val="auto"/>
              </w:rPr>
              <w:t>Quincy, MA-NH</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39" w:lineRule="exact"/>
              <w:rPr>
                <w:sz w:val="20"/>
                <w:szCs w:val="20"/>
                <w:color w:val="auto"/>
              </w:rPr>
            </w:pPr>
            <w:r>
              <w:rPr>
                <w:rFonts w:ascii="Arial" w:cs="Arial" w:eastAsia="Arial" w:hAnsi="Arial"/>
                <w:sz w:val="14"/>
                <w:szCs w:val="14"/>
                <w:color w:val="auto"/>
              </w:rPr>
              <w:t>Dedham Plaza</w:t>
            </w: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Boston-Cambridge-</w:t>
            </w:r>
          </w:p>
        </w:tc>
        <w:tc>
          <w:tcPr>
            <w:tcW w:w="5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1993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30,483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242,000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4"/>
                <w:szCs w:val="14"/>
                <w:color w:val="auto"/>
              </w:rPr>
              <w:t>88%</w:t>
            </w:r>
          </w:p>
        </w:tc>
        <w:tc>
          <w:tcPr>
            <w:tcW w:w="4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80,000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Star Market</w:t>
            </w: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Quincy, MA-NH</w:t>
            </w: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10"/>
          </w:tcPr>
          <w:p>
            <w:pPr>
              <w:spacing w:after="0" w:line="138" w:lineRule="exact"/>
              <w:rPr>
                <w:sz w:val="20"/>
                <w:szCs w:val="20"/>
                <w:color w:val="auto"/>
              </w:rPr>
            </w:pPr>
            <w:r>
              <w:rPr>
                <w:rFonts w:ascii="Arial" w:cs="Arial" w:eastAsia="Arial" w:hAnsi="Arial"/>
                <w:sz w:val="14"/>
                <w:szCs w:val="14"/>
                <w:color w:val="auto"/>
              </w:rPr>
              <w:t>Linden Square</w:t>
            </w:r>
          </w:p>
        </w:tc>
        <w:tc>
          <w:tcPr>
            <w:tcW w:w="240" w:type="dxa"/>
            <w:vAlign w:val="bottom"/>
          </w:tcPr>
          <w:p>
            <w:pPr>
              <w:spacing w:after="0"/>
              <w:rPr>
                <w:sz w:val="11"/>
                <w:szCs w:val="11"/>
                <w:color w:val="auto"/>
              </w:rPr>
            </w:pPr>
          </w:p>
        </w:tc>
        <w:tc>
          <w:tcPr>
            <w:tcW w:w="2180" w:type="dxa"/>
            <w:vAlign w:val="bottom"/>
            <w:gridSpan w:val="2"/>
          </w:tcPr>
          <w:p>
            <w:pPr>
              <w:spacing w:after="0" w:line="138" w:lineRule="exact"/>
              <w:rPr>
                <w:sz w:val="20"/>
                <w:szCs w:val="20"/>
                <w:color w:val="auto"/>
              </w:rPr>
            </w:pPr>
            <w:r>
              <w:rPr>
                <w:rFonts w:ascii="Arial" w:cs="Arial" w:eastAsia="Arial" w:hAnsi="Arial"/>
                <w:sz w:val="14"/>
                <w:szCs w:val="14"/>
                <w:color w:val="auto"/>
              </w:rPr>
              <w:t>Boston-Cambridge-</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w w:val="83"/>
              </w:rPr>
              <w:t>2006-2007</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140,478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210,000</w:t>
            </w:r>
          </w:p>
        </w:tc>
        <w:tc>
          <w:tcPr>
            <w:tcW w:w="40" w:type="dxa"/>
            <w:vAlign w:val="bottom"/>
          </w:tcPr>
          <w:p>
            <w:pPr>
              <w:spacing w:after="0"/>
              <w:rPr>
                <w:sz w:val="11"/>
                <w:szCs w:val="11"/>
                <w:color w:val="auto"/>
              </w:rPr>
            </w:pPr>
          </w:p>
        </w:tc>
        <w:tc>
          <w:tcPr>
            <w:tcW w:w="56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82%</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50,000</w:t>
            </w:r>
          </w:p>
        </w:tc>
        <w:tc>
          <w:tcPr>
            <w:tcW w:w="80" w:type="dxa"/>
            <w:vAlign w:val="bottom"/>
          </w:tcPr>
          <w:p>
            <w:pPr>
              <w:spacing w:after="0"/>
              <w:rPr>
                <w:sz w:val="11"/>
                <w:szCs w:val="11"/>
                <w:color w:val="auto"/>
              </w:rPr>
            </w:pPr>
          </w:p>
        </w:tc>
        <w:tc>
          <w:tcPr>
            <w:tcW w:w="800" w:type="dxa"/>
            <w:vAlign w:val="bottom"/>
          </w:tcPr>
          <w:p>
            <w:pPr>
              <w:spacing w:after="0" w:line="138" w:lineRule="exact"/>
              <w:rPr>
                <w:sz w:val="20"/>
                <w:szCs w:val="20"/>
                <w:color w:val="auto"/>
              </w:rPr>
            </w:pPr>
            <w:r>
              <w:rPr>
                <w:rFonts w:ascii="Arial" w:cs="Arial" w:eastAsia="Arial" w:hAnsi="Arial"/>
                <w:sz w:val="14"/>
                <w:szCs w:val="14"/>
                <w:color w:val="auto"/>
              </w:rPr>
              <w:t>Roche</w:t>
            </w:r>
          </w:p>
        </w:tc>
        <w:tc>
          <w:tcPr>
            <w:tcW w:w="4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CVS / Fitness Club for Women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Quincy, MA-NH</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Brothers</w:t>
            </w:r>
          </w:p>
        </w:tc>
        <w:tc>
          <w:tcPr>
            <w:tcW w:w="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Wellesley Volkswagen, Buick</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line="159" w:lineRule="exact"/>
              <w:rPr>
                <w:sz w:val="20"/>
                <w:szCs w:val="20"/>
                <w:color w:val="auto"/>
              </w:rPr>
            </w:pPr>
            <w:r>
              <w:rPr>
                <w:rFonts w:ascii="Arial" w:cs="Arial" w:eastAsia="Arial" w:hAnsi="Arial"/>
                <w:sz w:val="14"/>
                <w:szCs w:val="14"/>
                <w:color w:val="auto"/>
                <w:w w:val="89"/>
              </w:rPr>
              <w:t>Supermarkets</w:t>
            </w:r>
          </w:p>
        </w:tc>
        <w:tc>
          <w:tcPr>
            <w:tcW w:w="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10"/>
            <w:shd w:val="clear" w:color="auto" w:fill="CCEEFF"/>
          </w:tcPr>
          <w:p>
            <w:pPr>
              <w:spacing w:after="0" w:line="138" w:lineRule="exact"/>
              <w:rPr>
                <w:sz w:val="20"/>
                <w:szCs w:val="20"/>
                <w:color w:val="auto"/>
              </w:rPr>
            </w:pPr>
            <w:r>
              <w:rPr>
                <w:rFonts w:ascii="Arial" w:cs="Arial" w:eastAsia="Arial" w:hAnsi="Arial"/>
                <w:sz w:val="14"/>
                <w:szCs w:val="14"/>
                <w:color w:val="auto"/>
              </w:rPr>
              <w:t>North Dartmouth</w:t>
            </w:r>
          </w:p>
        </w:tc>
        <w:tc>
          <w:tcPr>
            <w:tcW w:w="240" w:type="dxa"/>
            <w:vAlign w:val="bottom"/>
            <w:shd w:val="clear" w:color="auto" w:fill="CCEEFF"/>
          </w:tcPr>
          <w:p>
            <w:pPr>
              <w:spacing w:after="0"/>
              <w:rPr>
                <w:sz w:val="11"/>
                <w:szCs w:val="11"/>
                <w:color w:val="auto"/>
              </w:rPr>
            </w:pPr>
          </w:p>
        </w:tc>
        <w:tc>
          <w:tcPr>
            <w:tcW w:w="21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Boston-Cambridge-</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2006</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9,368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48,000</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48,000</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Stop &amp; Shop</w:t>
            </w:r>
          </w:p>
        </w:tc>
        <w:tc>
          <w:tcPr>
            <w:tcW w:w="4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Quincy, MA-NH</w:t>
            </w: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10"/>
          </w:tcPr>
          <w:p>
            <w:pPr>
              <w:spacing w:after="0" w:line="138" w:lineRule="exact"/>
              <w:rPr>
                <w:sz w:val="20"/>
                <w:szCs w:val="20"/>
                <w:color w:val="auto"/>
              </w:rPr>
            </w:pPr>
            <w:r>
              <w:rPr>
                <w:rFonts w:ascii="Arial" w:cs="Arial" w:eastAsia="Arial" w:hAnsi="Arial"/>
                <w:sz w:val="14"/>
                <w:szCs w:val="14"/>
                <w:color w:val="auto"/>
              </w:rPr>
              <w:t>Queen Anne Plaza</w:t>
            </w:r>
          </w:p>
        </w:tc>
        <w:tc>
          <w:tcPr>
            <w:tcW w:w="240" w:type="dxa"/>
            <w:vAlign w:val="bottom"/>
          </w:tcPr>
          <w:p>
            <w:pPr>
              <w:spacing w:after="0"/>
              <w:rPr>
                <w:sz w:val="11"/>
                <w:szCs w:val="11"/>
                <w:color w:val="auto"/>
              </w:rPr>
            </w:pPr>
          </w:p>
        </w:tc>
        <w:tc>
          <w:tcPr>
            <w:tcW w:w="2180" w:type="dxa"/>
            <w:vAlign w:val="bottom"/>
            <w:gridSpan w:val="2"/>
          </w:tcPr>
          <w:p>
            <w:pPr>
              <w:spacing w:after="0" w:line="138" w:lineRule="exact"/>
              <w:rPr>
                <w:sz w:val="20"/>
                <w:szCs w:val="20"/>
                <w:color w:val="auto"/>
              </w:rPr>
            </w:pPr>
            <w:r>
              <w:rPr>
                <w:rFonts w:ascii="Arial" w:cs="Arial" w:eastAsia="Arial" w:hAnsi="Arial"/>
                <w:sz w:val="14"/>
                <w:szCs w:val="14"/>
                <w:color w:val="auto"/>
              </w:rPr>
              <w:t>Boston-Cambridge-</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1994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15,487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149,000</w:t>
            </w:r>
          </w:p>
        </w:tc>
        <w:tc>
          <w:tcPr>
            <w:tcW w:w="40" w:type="dxa"/>
            <w:vAlign w:val="bottom"/>
          </w:tcPr>
          <w:p>
            <w:pPr>
              <w:spacing w:after="0"/>
              <w:rPr>
                <w:sz w:val="11"/>
                <w:szCs w:val="11"/>
                <w:color w:val="auto"/>
              </w:rPr>
            </w:pPr>
          </w:p>
        </w:tc>
        <w:tc>
          <w:tcPr>
            <w:tcW w:w="56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50,000</w:t>
            </w:r>
          </w:p>
        </w:tc>
        <w:tc>
          <w:tcPr>
            <w:tcW w:w="80" w:type="dxa"/>
            <w:vAlign w:val="bottom"/>
          </w:tcPr>
          <w:p>
            <w:pPr>
              <w:spacing w:after="0"/>
              <w:rPr>
                <w:sz w:val="11"/>
                <w:szCs w:val="11"/>
                <w:color w:val="auto"/>
              </w:rPr>
            </w:pPr>
          </w:p>
        </w:tc>
        <w:tc>
          <w:tcPr>
            <w:tcW w:w="800" w:type="dxa"/>
            <w:vAlign w:val="bottom"/>
          </w:tcPr>
          <w:p>
            <w:pPr>
              <w:spacing w:after="0" w:line="138" w:lineRule="exact"/>
              <w:rPr>
                <w:sz w:val="20"/>
                <w:szCs w:val="20"/>
                <w:color w:val="auto"/>
              </w:rPr>
            </w:pPr>
            <w:r>
              <w:rPr>
                <w:rFonts w:ascii="Arial" w:cs="Arial" w:eastAsia="Arial" w:hAnsi="Arial"/>
                <w:sz w:val="14"/>
                <w:szCs w:val="14"/>
                <w:color w:val="auto"/>
              </w:rPr>
              <w:t>Hannaford</w:t>
            </w:r>
          </w:p>
        </w:tc>
        <w:tc>
          <w:tcPr>
            <w:tcW w:w="4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2"/>
          </w:tcPr>
          <w:p>
            <w:pPr>
              <w:spacing w:after="0" w:line="159" w:lineRule="exact"/>
              <w:rPr>
                <w:sz w:val="20"/>
                <w:szCs w:val="20"/>
                <w:color w:val="auto"/>
              </w:rPr>
            </w:pPr>
            <w:r>
              <w:rPr>
                <w:rFonts w:ascii="Arial" w:cs="Arial" w:eastAsia="Arial" w:hAnsi="Arial"/>
                <w:sz w:val="14"/>
                <w:szCs w:val="14"/>
                <w:color w:val="auto"/>
              </w:rPr>
              <w:t>Quincy, MA-NH</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10"/>
            <w:shd w:val="clear" w:color="auto" w:fill="CCEEFF"/>
          </w:tcPr>
          <w:p>
            <w:pPr>
              <w:spacing w:after="0" w:line="138" w:lineRule="exact"/>
              <w:rPr>
                <w:sz w:val="20"/>
                <w:szCs w:val="20"/>
                <w:color w:val="auto"/>
              </w:rPr>
            </w:pPr>
            <w:r>
              <w:rPr>
                <w:rFonts w:ascii="Arial" w:cs="Arial" w:eastAsia="Arial" w:hAnsi="Arial"/>
                <w:sz w:val="14"/>
                <w:szCs w:val="14"/>
                <w:color w:val="auto"/>
              </w:rPr>
              <w:t>Saugus Plaza</w:t>
            </w:r>
          </w:p>
        </w:tc>
        <w:tc>
          <w:tcPr>
            <w:tcW w:w="240" w:type="dxa"/>
            <w:vAlign w:val="bottom"/>
            <w:shd w:val="clear" w:color="auto" w:fill="CCEEFF"/>
          </w:tcPr>
          <w:p>
            <w:pPr>
              <w:spacing w:after="0"/>
              <w:rPr>
                <w:sz w:val="11"/>
                <w:szCs w:val="11"/>
                <w:color w:val="auto"/>
              </w:rPr>
            </w:pPr>
          </w:p>
        </w:tc>
        <w:tc>
          <w:tcPr>
            <w:tcW w:w="21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Boston-Cambridge-</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1996</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13,692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171,000</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94%</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55,000</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Super Stop &amp;</w:t>
            </w:r>
          </w:p>
        </w:tc>
        <w:tc>
          <w:tcPr>
            <w:tcW w:w="4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1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Quincy, MA-NH</w:t>
            </w: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Shop</w:t>
            </w:r>
          </w:p>
        </w:tc>
        <w:tc>
          <w:tcPr>
            <w:tcW w:w="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New England</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370,503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86"/>
              </w:rPr>
              <w:t>1,374,000</w:t>
            </w:r>
          </w:p>
        </w:tc>
        <w:tc>
          <w:tcPr>
            <w:tcW w:w="40" w:type="dxa"/>
            <w:vAlign w:val="bottom"/>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6"/>
              </w:rPr>
              <w:t>Baltimore</w:t>
            </w:r>
          </w:p>
        </w:tc>
        <w:tc>
          <w:tcPr>
            <w:tcW w:w="1240" w:type="dxa"/>
            <w:vAlign w:val="bottom"/>
            <w:tcBorders>
              <w:bottom w:val="single" w:sz="8" w:color="CCEEFF"/>
            </w:tcBorders>
            <w:gridSpan w:val="6"/>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1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10"/>
          </w:tcPr>
          <w:p>
            <w:pPr>
              <w:spacing w:after="0" w:line="142" w:lineRule="exact"/>
              <w:rPr>
                <w:sz w:val="20"/>
                <w:szCs w:val="20"/>
                <w:color w:val="auto"/>
              </w:rPr>
            </w:pPr>
            <w:r>
              <w:rPr>
                <w:rFonts w:ascii="Arial" w:cs="Arial" w:eastAsia="Arial" w:hAnsi="Arial"/>
                <w:sz w:val="14"/>
                <w:szCs w:val="14"/>
                <w:color w:val="auto"/>
              </w:rPr>
              <w:t>Governor Plaza</w:t>
            </w:r>
          </w:p>
        </w:tc>
        <w:tc>
          <w:tcPr>
            <w:tcW w:w="240" w:type="dxa"/>
            <w:vAlign w:val="bottom"/>
          </w:tcPr>
          <w:p>
            <w:pPr>
              <w:spacing w:after="0"/>
              <w:rPr>
                <w:sz w:val="12"/>
                <w:szCs w:val="12"/>
                <w:color w:val="auto"/>
              </w:rPr>
            </w:pPr>
          </w:p>
        </w:tc>
        <w:tc>
          <w:tcPr>
            <w:tcW w:w="2180" w:type="dxa"/>
            <w:vAlign w:val="bottom"/>
            <w:gridSpan w:val="2"/>
          </w:tcPr>
          <w:p>
            <w:pPr>
              <w:spacing w:after="0" w:line="142" w:lineRule="exact"/>
              <w:rPr>
                <w:sz w:val="20"/>
                <w:szCs w:val="20"/>
                <w:color w:val="auto"/>
              </w:rPr>
            </w:pPr>
            <w:r>
              <w:rPr>
                <w:rFonts w:ascii="Arial" w:cs="Arial" w:eastAsia="Arial" w:hAnsi="Arial"/>
                <w:sz w:val="14"/>
                <w:szCs w:val="14"/>
                <w:color w:val="auto"/>
              </w:rPr>
              <w:t>Baltimore, MD</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1985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21,739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269,000</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16,500</w:t>
            </w:r>
          </w:p>
        </w:tc>
        <w:tc>
          <w:tcPr>
            <w:tcW w:w="80" w:type="dxa"/>
            <w:vAlign w:val="bottom"/>
          </w:tcPr>
          <w:p>
            <w:pPr>
              <w:spacing w:after="0"/>
              <w:rPr>
                <w:sz w:val="12"/>
                <w:szCs w:val="12"/>
                <w:color w:val="auto"/>
              </w:rPr>
            </w:pPr>
          </w:p>
        </w:tc>
        <w:tc>
          <w:tcPr>
            <w:tcW w:w="800" w:type="dxa"/>
            <w:vAlign w:val="bottom"/>
          </w:tcPr>
          <w:p>
            <w:pPr>
              <w:spacing w:after="0" w:line="142" w:lineRule="exact"/>
              <w:rPr>
                <w:sz w:val="20"/>
                <w:szCs w:val="20"/>
                <w:color w:val="auto"/>
              </w:rPr>
            </w:pPr>
            <w:r>
              <w:rPr>
                <w:rFonts w:ascii="Arial" w:cs="Arial" w:eastAsia="Arial" w:hAnsi="Arial"/>
                <w:sz w:val="14"/>
                <w:szCs w:val="14"/>
                <w:color w:val="auto"/>
              </w:rPr>
              <w:t>Aldi</w:t>
            </w:r>
          </w:p>
        </w:tc>
        <w:tc>
          <w:tcPr>
            <w:tcW w:w="40" w:type="dxa"/>
            <w:vAlign w:val="bottom"/>
          </w:tcPr>
          <w:p>
            <w:pPr>
              <w:spacing w:after="0"/>
              <w:rPr>
                <w:sz w:val="12"/>
                <w:szCs w:val="12"/>
                <w:color w:val="auto"/>
              </w:rPr>
            </w:pPr>
          </w:p>
        </w:tc>
        <w:tc>
          <w:tcPr>
            <w:tcW w:w="2060" w:type="dxa"/>
            <w:vAlign w:val="bottom"/>
          </w:tcPr>
          <w:p>
            <w:pPr>
              <w:spacing w:after="0" w:line="142" w:lineRule="exact"/>
              <w:rPr>
                <w:sz w:val="20"/>
                <w:szCs w:val="20"/>
                <w:color w:val="auto"/>
              </w:rPr>
            </w:pPr>
            <w:r>
              <w:rPr>
                <w:rFonts w:ascii="Arial" w:cs="Arial" w:eastAsia="Arial" w:hAnsi="Arial"/>
                <w:sz w:val="14"/>
                <w:szCs w:val="14"/>
                <w:color w:val="auto"/>
              </w:rPr>
              <w:t>Bally Total Fitness / Office Depot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10"/>
            <w:shd w:val="clear" w:color="auto" w:fill="CCEEFF"/>
          </w:tcPr>
          <w:p>
            <w:pPr>
              <w:spacing w:after="0" w:line="138" w:lineRule="exact"/>
              <w:rPr>
                <w:sz w:val="20"/>
                <w:szCs w:val="20"/>
                <w:color w:val="auto"/>
              </w:rPr>
            </w:pPr>
            <w:r>
              <w:rPr>
                <w:rFonts w:ascii="Arial" w:cs="Arial" w:eastAsia="Arial" w:hAnsi="Arial"/>
                <w:sz w:val="14"/>
                <w:szCs w:val="14"/>
                <w:color w:val="auto"/>
              </w:rPr>
              <w:t>Perring Plaza</w:t>
            </w:r>
          </w:p>
        </w:tc>
        <w:tc>
          <w:tcPr>
            <w:tcW w:w="240" w:type="dxa"/>
            <w:vAlign w:val="bottom"/>
            <w:shd w:val="clear" w:color="auto" w:fill="CCEEFF"/>
          </w:tcPr>
          <w:p>
            <w:pPr>
              <w:spacing w:after="0"/>
              <w:rPr>
                <w:sz w:val="11"/>
                <w:szCs w:val="11"/>
                <w:color w:val="auto"/>
              </w:rPr>
            </w:pPr>
          </w:p>
        </w:tc>
        <w:tc>
          <w:tcPr>
            <w:tcW w:w="21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Baltimore, MD</w:t>
            </w: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1985</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26,591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402,000</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58,000</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Shoppers</w:t>
            </w:r>
          </w:p>
        </w:tc>
        <w:tc>
          <w:tcPr>
            <w:tcW w:w="4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Home Depot / Burlington Coat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Food</w:t>
            </w: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Factory / Jo-Ann Stores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Warehouse</w:t>
            </w:r>
          </w:p>
        </w:tc>
        <w:tc>
          <w:tcPr>
            <w:tcW w:w="4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10"/>
          </w:tcPr>
          <w:p>
            <w:pPr>
              <w:spacing w:after="0" w:line="138" w:lineRule="exact"/>
              <w:rPr>
                <w:sz w:val="20"/>
                <w:szCs w:val="20"/>
                <w:color w:val="auto"/>
              </w:rPr>
            </w:pPr>
            <w:r>
              <w:rPr>
                <w:rFonts w:ascii="Arial" w:cs="Arial" w:eastAsia="Arial" w:hAnsi="Arial"/>
                <w:sz w:val="14"/>
                <w:szCs w:val="14"/>
                <w:color w:val="auto"/>
              </w:rPr>
              <w:t>THE AVENUE at White Marsh</w:t>
            </w:r>
          </w:p>
        </w:tc>
        <w:tc>
          <w:tcPr>
            <w:tcW w:w="2420" w:type="dxa"/>
            <w:vAlign w:val="bottom"/>
            <w:gridSpan w:val="3"/>
          </w:tcPr>
          <w:p>
            <w:pPr>
              <w:ind w:left="40"/>
              <w:spacing w:after="0" w:line="138" w:lineRule="exact"/>
              <w:rPr>
                <w:sz w:val="20"/>
                <w:szCs w:val="20"/>
                <w:color w:val="auto"/>
              </w:rPr>
            </w:pPr>
            <w:r>
              <w:rPr>
                <w:rFonts w:ascii="Arial" w:cs="Arial" w:eastAsia="Arial" w:hAnsi="Arial"/>
                <w:sz w:val="14"/>
                <w:szCs w:val="14"/>
                <w:color w:val="auto"/>
              </w:rPr>
              <w:t>(9) Baltimore, MD</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94,246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60,275</w:t>
            </w:r>
          </w:p>
        </w:tc>
        <w:tc>
          <w:tcPr>
            <w:tcW w:w="5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298,000</w:t>
            </w:r>
          </w:p>
        </w:tc>
        <w:tc>
          <w:tcPr>
            <w:tcW w:w="40" w:type="dxa"/>
            <w:vAlign w:val="bottom"/>
          </w:tcPr>
          <w:p>
            <w:pPr>
              <w:spacing w:after="0"/>
              <w:rPr>
                <w:sz w:val="11"/>
                <w:szCs w:val="11"/>
                <w:color w:val="auto"/>
              </w:rPr>
            </w:pPr>
          </w:p>
        </w:tc>
        <w:tc>
          <w:tcPr>
            <w:tcW w:w="56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98%</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AMC Loews / Old Navy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Barnes &amp; Noble / AC Moore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w w:val="89"/>
              </w:rPr>
              <w:t>The Shoppes at Nottingham Square</w:t>
            </w: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Baltimore, MD</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tcPr>
          <w:p>
            <w:pPr>
              <w:spacing w:after="0" w:line="149" w:lineRule="exact"/>
              <w:rPr>
                <w:sz w:val="20"/>
                <w:szCs w:val="20"/>
                <w:color w:val="auto"/>
              </w:rPr>
            </w:pPr>
            <w:r>
              <w:rPr>
                <w:rFonts w:ascii="Arial" w:cs="Arial" w:eastAsia="Arial" w:hAnsi="Arial"/>
                <w:sz w:val="14"/>
                <w:szCs w:val="14"/>
                <w:color w:val="auto"/>
              </w:rPr>
              <w:t>White Marsh Plaza</w:t>
            </w:r>
          </w:p>
        </w:tc>
        <w:tc>
          <w:tcPr>
            <w:tcW w:w="24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Baltimore, MD</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24,900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10,186</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80,000</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98%</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54,000</w:t>
            </w:r>
          </w:p>
        </w:tc>
        <w:tc>
          <w:tcPr>
            <w:tcW w:w="80" w:type="dxa"/>
            <w:vAlign w:val="bottom"/>
          </w:tcPr>
          <w:p>
            <w:pPr>
              <w:spacing w:after="0"/>
              <w:rPr>
                <w:sz w:val="12"/>
                <w:szCs w:val="12"/>
                <w:color w:val="auto"/>
              </w:rPr>
            </w:pPr>
          </w:p>
        </w:tc>
        <w:tc>
          <w:tcPr>
            <w:tcW w:w="80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10"/>
            <w:shd w:val="clear" w:color="auto" w:fill="CCEEFF"/>
          </w:tcPr>
          <w:p>
            <w:pPr>
              <w:spacing w:after="0" w:line="149" w:lineRule="exact"/>
              <w:rPr>
                <w:sz w:val="20"/>
                <w:szCs w:val="20"/>
                <w:color w:val="auto"/>
              </w:rPr>
            </w:pPr>
            <w:r>
              <w:rPr>
                <w:rFonts w:ascii="Arial" w:cs="Arial" w:eastAsia="Arial" w:hAnsi="Arial"/>
                <w:sz w:val="14"/>
                <w:szCs w:val="14"/>
                <w:color w:val="auto"/>
              </w:rPr>
              <w:t>White Marsh Other</w:t>
            </w:r>
          </w:p>
        </w:tc>
        <w:tc>
          <w:tcPr>
            <w:tcW w:w="24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Baltimore, MD</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43,666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1,120</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49,000</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0" w:gutter="0" w:footer="0" w:header="0"/>
        </w:sectPr>
      </w:pPr>
    </w:p>
    <w:bookmarkStart w:id="21" w:name="page22"/>
    <w:bookmarkEnd w:id="21"/>
    <w:p>
      <w:pPr>
        <w:ind w:left="1080"/>
        <w:spacing w:after="0"/>
        <w:tabs>
          <w:tab w:leader="none" w:pos="4260" w:val="left"/>
          <w:tab w:leader="none" w:pos="5600" w:val="left"/>
          <w:tab w:leader="none" w:pos="6440" w:val="left"/>
        </w:tabs>
        <w:rPr>
          <w:sz w:val="20"/>
          <w:szCs w:val="20"/>
          <w:color w:val="auto"/>
        </w:rPr>
      </w:pPr>
      <w:r>
        <w:rPr>
          <w:rFonts w:ascii="Arial" w:cs="Arial" w:eastAsia="Arial" w:hAnsi="Arial"/>
          <w:sz w:val="14"/>
          <w:szCs w:val="14"/>
          <w:b w:val="1"/>
          <w:bCs w:val="1"/>
          <w:color w:val="auto"/>
        </w:rPr>
        <w:t>Total Baltimore</w:t>
      </w:r>
      <w:r>
        <w:rPr>
          <w:sz w:val="20"/>
          <w:szCs w:val="20"/>
          <w:color w:val="auto"/>
        </w:rPr>
        <w:tab/>
      </w:r>
      <w:r>
        <w:rPr>
          <w:rFonts w:ascii="Arial" w:cs="Arial" w:eastAsia="Arial" w:hAnsi="Arial"/>
          <w:sz w:val="14"/>
          <w:szCs w:val="14"/>
          <w:color w:val="auto"/>
        </w:rPr>
        <w:t>226,949</w:t>
      </w:r>
      <w:r>
        <w:rPr>
          <w:sz w:val="20"/>
          <w:szCs w:val="20"/>
          <w:color w:val="auto"/>
        </w:rPr>
        <w:tab/>
      </w:r>
      <w:r>
        <w:rPr>
          <w:rFonts w:ascii="Arial" w:cs="Arial" w:eastAsia="Arial" w:hAnsi="Arial"/>
          <w:sz w:val="14"/>
          <w:szCs w:val="14"/>
          <w:color w:val="auto"/>
        </w:rPr>
        <w:t>1,150,000</w:t>
      </w:r>
      <w:r>
        <w:rPr>
          <w:sz w:val="20"/>
          <w:szCs w:val="20"/>
          <w:color w:val="auto"/>
        </w:rPr>
        <w:tab/>
      </w:r>
      <w:r>
        <w:rPr>
          <w:rFonts w:ascii="Arial" w:cs="Arial" w:eastAsia="Arial" w:hAnsi="Arial"/>
          <w:sz w:val="12"/>
          <w:szCs w:val="12"/>
          <w:color w:val="auto"/>
        </w:rPr>
        <w:t>99%</w:t>
      </w:r>
    </w:p>
    <w:p>
      <w:pPr>
        <w:sectPr>
          <w:pgSz w:w="11900" w:h="16838" w:orient="portrait"/>
          <w:cols w:equalWidth="0" w:num="1">
            <w:col w:w="9019"/>
          </w:cols>
          <w:pgMar w:left="1440" w:top="127"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019"/>
          </w:cols>
          <w:pgMar w:left="1440" w:top="127"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Mortgage</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and/or</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7"/>
              </w:rPr>
              <w:t>Real</w:t>
            </w:r>
          </w:p>
        </w:tc>
        <w:tc>
          <w:tcPr>
            <w:tcW w:w="10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4"/>
                <w:szCs w:val="14"/>
                <w:b w:val="1"/>
                <w:bCs w:val="1"/>
                <w:color w:val="auto"/>
                <w:w w:val="85"/>
              </w:rPr>
              <w:t>Grocery</w:t>
            </w: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Year</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Estate</w:t>
            </w: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0"/>
              </w:rPr>
              <w:t>Lease</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9"/>
              </w:rPr>
              <w:t>Anchor</w:t>
            </w:r>
          </w:p>
        </w:tc>
        <w:tc>
          <w:tcPr>
            <w:tcW w:w="130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Grocery</w:t>
            </w:r>
          </w:p>
        </w:tc>
        <w:tc>
          <w:tcPr>
            <w:tcW w:w="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75"/>
        </w:trPr>
        <w:tc>
          <w:tcPr>
            <w:tcW w:w="1400" w:type="dxa"/>
            <w:vAlign w:val="bottom"/>
            <w:gridSpan w:val="9"/>
          </w:tcPr>
          <w:p>
            <w:pPr>
              <w:spacing w:after="0"/>
              <w:rPr>
                <w:sz w:val="20"/>
                <w:szCs w:val="20"/>
                <w:color w:val="auto"/>
              </w:rPr>
            </w:pPr>
            <w:r>
              <w:rPr>
                <w:rFonts w:ascii="Arial" w:cs="Arial" w:eastAsia="Arial" w:hAnsi="Arial"/>
                <w:sz w:val="14"/>
                <w:szCs w:val="14"/>
                <w:b w:val="1"/>
                <w:bCs w:val="1"/>
                <w:color w:val="auto"/>
              </w:rPr>
              <w:t>Property Name</w:t>
            </w:r>
          </w:p>
        </w:tc>
        <w:tc>
          <w:tcPr>
            <w:tcW w:w="600" w:type="dxa"/>
            <w:vAlign w:val="bottom"/>
          </w:tcPr>
          <w:p>
            <w:pPr>
              <w:spacing w:after="0"/>
              <w:rPr>
                <w:sz w:val="15"/>
                <w:szCs w:val="15"/>
                <w:color w:val="auto"/>
              </w:rPr>
            </w:pPr>
          </w:p>
        </w:tc>
        <w:tc>
          <w:tcPr>
            <w:tcW w:w="2420" w:type="dxa"/>
            <w:vAlign w:val="bottom"/>
          </w:tcPr>
          <w:p>
            <w:pPr>
              <w:ind w:left="720"/>
              <w:spacing w:after="0"/>
              <w:rPr>
                <w:sz w:val="20"/>
                <w:szCs w:val="20"/>
                <w:color w:val="auto"/>
              </w:rPr>
            </w:pPr>
            <w:r>
              <w:rPr>
                <w:rFonts w:ascii="Arial" w:cs="Arial" w:eastAsia="Arial" w:hAnsi="Arial"/>
                <w:sz w:val="14"/>
                <w:szCs w:val="14"/>
                <w:b w:val="1"/>
                <w:bCs w:val="1"/>
                <w:color w:val="auto"/>
              </w:rPr>
              <w:t>MSA Description</w:t>
            </w:r>
          </w:p>
        </w:tc>
        <w:tc>
          <w:tcPr>
            <w:tcW w:w="60" w:type="dxa"/>
            <w:vAlign w:val="bottom"/>
          </w:tcPr>
          <w:p>
            <w:pPr>
              <w:spacing w:after="0"/>
              <w:rPr>
                <w:sz w:val="15"/>
                <w:szCs w:val="15"/>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Acquired</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at Cost</w:t>
            </w: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Obligation (1)</w:t>
            </w:r>
          </w:p>
        </w:tc>
        <w:tc>
          <w:tcPr>
            <w:tcW w:w="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GLA (2)</w:t>
            </w: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Leased</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GLA (3)</w:t>
            </w:r>
          </w:p>
        </w:tc>
        <w:tc>
          <w:tcPr>
            <w:tcW w:w="1300" w:type="dxa"/>
            <w:vAlign w:val="bottom"/>
          </w:tcPr>
          <w:p>
            <w:pPr>
              <w:ind w:left="340"/>
              <w:spacing w:after="0"/>
              <w:rPr>
                <w:sz w:val="20"/>
                <w:szCs w:val="20"/>
                <w:color w:val="auto"/>
              </w:rPr>
            </w:pPr>
            <w:r>
              <w:rPr>
                <w:rFonts w:ascii="Arial" w:cs="Arial" w:eastAsia="Arial" w:hAnsi="Arial"/>
                <w:sz w:val="14"/>
                <w:szCs w:val="14"/>
                <w:b w:val="1"/>
                <w:bCs w:val="1"/>
                <w:color w:val="auto"/>
              </w:rPr>
              <w:t>Anchor (3)</w:t>
            </w:r>
          </w:p>
        </w:tc>
        <w:tc>
          <w:tcPr>
            <w:tcW w:w="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5"/>
              </w:rPr>
              <w:t>Tenants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3"/>
              </w:rPr>
              <w:t>Chicago</w:t>
            </w:r>
          </w:p>
        </w:tc>
        <w:tc>
          <w:tcPr>
            <w:tcW w:w="480" w:type="dxa"/>
            <w:vAlign w:val="bottom"/>
            <w:tcBorders>
              <w:bottom w:val="single" w:sz="8" w:color="CCEEFF"/>
            </w:tcBorders>
            <w:gridSpan w:val="4"/>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2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gridSpan w:val="8"/>
          </w:tcPr>
          <w:p>
            <w:pPr>
              <w:spacing w:after="0" w:line="142" w:lineRule="exact"/>
              <w:rPr>
                <w:sz w:val="20"/>
                <w:szCs w:val="20"/>
                <w:color w:val="auto"/>
              </w:rPr>
            </w:pPr>
            <w:r>
              <w:rPr>
                <w:rFonts w:ascii="Arial" w:cs="Arial" w:eastAsia="Arial" w:hAnsi="Arial"/>
                <w:sz w:val="14"/>
                <w:szCs w:val="14"/>
                <w:color w:val="auto"/>
              </w:rPr>
              <w:t>Crossroads</w:t>
            </w:r>
          </w:p>
        </w:tc>
        <w:tc>
          <w:tcPr>
            <w:tcW w:w="600" w:type="dxa"/>
            <w:vAlign w:val="bottom"/>
          </w:tcPr>
          <w:p>
            <w:pPr>
              <w:spacing w:after="0"/>
              <w:rPr>
                <w:sz w:val="12"/>
                <w:szCs w:val="12"/>
                <w:color w:val="auto"/>
              </w:rPr>
            </w:pPr>
          </w:p>
        </w:tc>
        <w:tc>
          <w:tcPr>
            <w:tcW w:w="2420" w:type="dxa"/>
            <w:vAlign w:val="bottom"/>
          </w:tcPr>
          <w:p>
            <w:pPr>
              <w:spacing w:after="0" w:line="142" w:lineRule="exact"/>
              <w:rPr>
                <w:sz w:val="20"/>
                <w:szCs w:val="20"/>
                <w:color w:val="auto"/>
              </w:rPr>
            </w:pPr>
            <w:r>
              <w:rPr>
                <w:rFonts w:ascii="Arial" w:cs="Arial" w:eastAsia="Arial" w:hAnsi="Arial"/>
                <w:sz w:val="14"/>
                <w:szCs w:val="14"/>
                <w:color w:val="auto"/>
              </w:rPr>
              <w:t>Chicago, IL</w:t>
            </w:r>
          </w:p>
        </w:tc>
        <w:tc>
          <w:tcPr>
            <w:tcW w:w="70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rPr>
              <w:t>1993</w:t>
            </w:r>
          </w:p>
        </w:tc>
        <w:tc>
          <w:tcPr>
            <w:tcW w:w="8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23,574</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rPr>
              <w:t>173,000</w:t>
            </w:r>
          </w:p>
        </w:tc>
        <w:tc>
          <w:tcPr>
            <w:tcW w:w="60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87%</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line="142" w:lineRule="exact"/>
              <w:rPr>
                <w:sz w:val="20"/>
                <w:szCs w:val="20"/>
                <w:color w:val="auto"/>
              </w:rPr>
            </w:pPr>
            <w:r>
              <w:rPr>
                <w:rFonts w:ascii="Arial" w:cs="Arial" w:eastAsia="Arial" w:hAnsi="Arial"/>
                <w:sz w:val="14"/>
                <w:szCs w:val="14"/>
                <w:color w:val="auto"/>
                <w:w w:val="93"/>
              </w:rPr>
              <w:t>Golfsmith Guitar Center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80" w:type="dxa"/>
            <w:vAlign w:val="bottom"/>
            <w:gridSpan w:val="8"/>
            <w:shd w:val="clear" w:color="auto" w:fill="CCEEFF"/>
          </w:tcPr>
          <w:p>
            <w:pPr>
              <w:spacing w:after="0" w:line="138" w:lineRule="exact"/>
              <w:rPr>
                <w:sz w:val="20"/>
                <w:szCs w:val="20"/>
                <w:color w:val="auto"/>
              </w:rPr>
            </w:pPr>
            <w:r>
              <w:rPr>
                <w:rFonts w:ascii="Arial" w:cs="Arial" w:eastAsia="Arial" w:hAnsi="Arial"/>
                <w:sz w:val="14"/>
                <w:szCs w:val="14"/>
                <w:color w:val="auto"/>
              </w:rPr>
              <w:t>Finley Square</w:t>
            </w:r>
          </w:p>
        </w:tc>
        <w:tc>
          <w:tcPr>
            <w:tcW w:w="6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Chicago, IL</w:t>
            </w:r>
          </w:p>
        </w:tc>
        <w:tc>
          <w:tcPr>
            <w:tcW w:w="7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1995</w:t>
            </w:r>
          </w:p>
        </w:tc>
        <w:tc>
          <w:tcPr>
            <w:tcW w:w="8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31,400</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315,000</w:t>
            </w:r>
          </w:p>
        </w:tc>
        <w:tc>
          <w:tcPr>
            <w:tcW w:w="6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Bed, Bath &amp; Beyond /</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4"/>
                <w:szCs w:val="14"/>
                <w:color w:val="auto"/>
                <w:w w:val="90"/>
              </w:rPr>
              <w:t>Buy Buy Baby/ Petsmart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8"/>
          </w:tcPr>
          <w:p>
            <w:pPr>
              <w:spacing w:after="0" w:line="149" w:lineRule="exact"/>
              <w:rPr>
                <w:sz w:val="20"/>
                <w:szCs w:val="20"/>
                <w:color w:val="auto"/>
              </w:rPr>
            </w:pPr>
            <w:r>
              <w:rPr>
                <w:rFonts w:ascii="Arial" w:cs="Arial" w:eastAsia="Arial" w:hAnsi="Arial"/>
                <w:sz w:val="14"/>
                <w:szCs w:val="14"/>
                <w:color w:val="auto"/>
              </w:rPr>
              <w:t>Garden Market</w:t>
            </w:r>
          </w:p>
        </w:tc>
        <w:tc>
          <w:tcPr>
            <w:tcW w:w="60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Chicago, IL</w:t>
            </w: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1994</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11,502</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140,000</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63,000</w:t>
            </w: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Dominick’s</w:t>
            </w:r>
          </w:p>
        </w:tc>
        <w:tc>
          <w:tcPr>
            <w:tcW w:w="4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8"/>
            <w:shd w:val="clear" w:color="auto" w:fill="CCEEFF"/>
          </w:tcPr>
          <w:p>
            <w:pPr>
              <w:spacing w:after="0" w:line="149" w:lineRule="exact"/>
              <w:rPr>
                <w:sz w:val="20"/>
                <w:szCs w:val="20"/>
                <w:color w:val="auto"/>
              </w:rPr>
            </w:pPr>
            <w:r>
              <w:rPr>
                <w:rFonts w:ascii="Arial" w:cs="Arial" w:eastAsia="Arial" w:hAnsi="Arial"/>
                <w:sz w:val="14"/>
                <w:szCs w:val="14"/>
                <w:color w:val="auto"/>
                <w:w w:val="99"/>
              </w:rPr>
              <w:t>North Lake Commons</w:t>
            </w:r>
          </w:p>
        </w:tc>
        <w:tc>
          <w:tcPr>
            <w:tcW w:w="6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Chicago, IL</w:t>
            </w: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1994</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13,618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129,000</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77,000</w:t>
            </w:r>
          </w:p>
        </w:tc>
        <w:tc>
          <w:tcPr>
            <w:tcW w:w="1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Dominick’s</w:t>
            </w:r>
          </w:p>
        </w:tc>
        <w:tc>
          <w:tcPr>
            <w:tcW w:w="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rPr>
              <w:t>Total Chicago</w:t>
            </w: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80,094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757,000</w:t>
            </w:r>
          </w:p>
        </w:tc>
        <w:tc>
          <w:tcPr>
            <w:tcW w:w="6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94%</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auto"/>
            </w:tcBorders>
            <w:gridSpan w:val="6"/>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6"/>
              </w:rPr>
              <w:t>South Florida</w:t>
            </w:r>
          </w:p>
        </w:tc>
        <w:tc>
          <w:tcPr>
            <w:tcW w:w="1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24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gridSpan w:val="8"/>
          </w:tcPr>
          <w:p>
            <w:pPr>
              <w:spacing w:after="0" w:line="142" w:lineRule="exact"/>
              <w:rPr>
                <w:sz w:val="20"/>
                <w:szCs w:val="20"/>
                <w:color w:val="auto"/>
              </w:rPr>
            </w:pPr>
            <w:r>
              <w:rPr>
                <w:rFonts w:ascii="Arial" w:cs="Arial" w:eastAsia="Arial" w:hAnsi="Arial"/>
                <w:sz w:val="14"/>
                <w:szCs w:val="14"/>
                <w:color w:val="auto"/>
              </w:rPr>
              <w:t>Courtyard Shops</w:t>
            </w: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(8)(10)</w:t>
            </w:r>
          </w:p>
        </w:tc>
        <w:tc>
          <w:tcPr>
            <w:tcW w:w="2420" w:type="dxa"/>
            <w:vAlign w:val="bottom"/>
          </w:tcPr>
          <w:p>
            <w:pPr>
              <w:spacing w:after="0" w:line="142" w:lineRule="exact"/>
              <w:rPr>
                <w:sz w:val="20"/>
                <w:szCs w:val="20"/>
                <w:color w:val="auto"/>
              </w:rPr>
            </w:pPr>
            <w:r>
              <w:rPr>
                <w:rFonts w:ascii="Arial" w:cs="Arial" w:eastAsia="Arial" w:hAnsi="Arial"/>
                <w:sz w:val="14"/>
                <w:szCs w:val="14"/>
                <w:color w:val="auto"/>
              </w:rPr>
              <w:t>Miami-Ft Lauderdale</w:t>
            </w:r>
          </w:p>
        </w:tc>
        <w:tc>
          <w:tcPr>
            <w:tcW w:w="70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rPr>
              <w:t>2008</w:t>
            </w:r>
          </w:p>
        </w:tc>
        <w:tc>
          <w:tcPr>
            <w:tcW w:w="8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38,267</w:t>
            </w: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7,782</w:t>
            </w:r>
          </w:p>
        </w:tc>
        <w:tc>
          <w:tcPr>
            <w:tcW w:w="68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rPr>
              <w:t>127,000</w:t>
            </w:r>
          </w:p>
        </w:tc>
        <w:tc>
          <w:tcPr>
            <w:tcW w:w="60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92%</w:t>
            </w:r>
          </w:p>
        </w:tc>
        <w:tc>
          <w:tcPr>
            <w:tcW w:w="54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49,000</w:t>
            </w:r>
          </w:p>
        </w:tc>
        <w:tc>
          <w:tcPr>
            <w:tcW w:w="1300" w:type="dxa"/>
            <w:vAlign w:val="bottom"/>
          </w:tcPr>
          <w:p>
            <w:pPr>
              <w:spacing w:after="0" w:line="142" w:lineRule="exact"/>
              <w:rPr>
                <w:sz w:val="20"/>
                <w:szCs w:val="20"/>
                <w:color w:val="auto"/>
              </w:rPr>
            </w:pPr>
            <w:r>
              <w:rPr>
                <w:rFonts w:ascii="Arial" w:cs="Arial" w:eastAsia="Arial" w:hAnsi="Arial"/>
                <w:sz w:val="14"/>
                <w:szCs w:val="14"/>
                <w:color w:val="auto"/>
              </w:rPr>
              <w:t>Publix</w:t>
            </w: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8"/>
            <w:shd w:val="clear" w:color="auto" w:fill="CCEEFF"/>
          </w:tcPr>
          <w:p>
            <w:pPr>
              <w:spacing w:after="0" w:line="149" w:lineRule="exact"/>
              <w:rPr>
                <w:sz w:val="20"/>
                <w:szCs w:val="20"/>
                <w:color w:val="auto"/>
              </w:rPr>
            </w:pPr>
            <w:r>
              <w:rPr>
                <w:rFonts w:ascii="Arial" w:cs="Arial" w:eastAsia="Arial" w:hAnsi="Arial"/>
                <w:sz w:val="14"/>
                <w:szCs w:val="14"/>
                <w:color w:val="auto"/>
              </w:rPr>
              <w:t>Del Mar Village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w:t>
            </w: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Miami-Ft Lauderdale</w:t>
            </w: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2008</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53,820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180,000</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44,000</w:t>
            </w:r>
          </w:p>
        </w:tc>
        <w:tc>
          <w:tcPr>
            <w:tcW w:w="1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Winn Dixie</w:t>
            </w:r>
          </w:p>
        </w:tc>
        <w:tc>
          <w:tcPr>
            <w:tcW w:w="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rPr>
              <w:t>Total South Florida</w:t>
            </w: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92,087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307,000</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92%</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gridSpan w:val="8"/>
            <w:shd w:val="clear" w:color="auto" w:fill="CCEEFF"/>
          </w:tcPr>
          <w:p>
            <w:pPr>
              <w:ind w:left="420"/>
              <w:spacing w:after="0" w:line="135" w:lineRule="exact"/>
              <w:rPr>
                <w:sz w:val="20"/>
                <w:szCs w:val="20"/>
                <w:color w:val="auto"/>
              </w:rPr>
            </w:pPr>
            <w:r>
              <w:rPr>
                <w:rFonts w:ascii="Arial" w:cs="Arial" w:eastAsia="Arial" w:hAnsi="Arial"/>
                <w:sz w:val="14"/>
                <w:szCs w:val="14"/>
                <w:b w:val="1"/>
                <w:bCs w:val="1"/>
                <w:color w:val="auto"/>
              </w:rPr>
              <w:t>East Region -</w:t>
            </w:r>
          </w:p>
        </w:tc>
        <w:tc>
          <w:tcPr>
            <w:tcW w:w="6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left w:val="single" w:sz="8" w:color="CCEEFF"/>
            </w:tcBorders>
            <w:gridSpan w:val="4"/>
            <w:shd w:val="clear" w:color="auto" w:fill="CCEEFF"/>
          </w:tcPr>
          <w:p>
            <w:pPr>
              <w:ind w:left="60"/>
              <w:spacing w:after="0" w:line="129" w:lineRule="exact"/>
              <w:rPr>
                <w:sz w:val="20"/>
                <w:szCs w:val="20"/>
                <w:color w:val="auto"/>
              </w:rPr>
            </w:pPr>
            <w:r>
              <w:rPr>
                <w:rFonts w:ascii="Arial" w:cs="Arial" w:eastAsia="Arial" w:hAnsi="Arial"/>
                <w:sz w:val="14"/>
                <w:szCs w:val="14"/>
                <w:b w:val="1"/>
                <w:bCs w:val="1"/>
                <w:color w:val="auto"/>
              </w:rPr>
              <w:t>Other</w:t>
            </w: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380" w:type="dxa"/>
            <w:vAlign w:val="bottom"/>
            <w:gridSpan w:val="8"/>
          </w:tcPr>
          <w:p>
            <w:pPr>
              <w:spacing w:after="0" w:line="131" w:lineRule="exact"/>
              <w:rPr>
                <w:sz w:val="20"/>
                <w:szCs w:val="20"/>
                <w:color w:val="auto"/>
              </w:rPr>
            </w:pPr>
            <w:r>
              <w:rPr>
                <w:rFonts w:ascii="Arial" w:cs="Arial" w:eastAsia="Arial" w:hAnsi="Arial"/>
                <w:sz w:val="14"/>
                <w:szCs w:val="14"/>
                <w:color w:val="auto"/>
              </w:rPr>
              <w:t>Barracks Road</w:t>
            </w:r>
          </w:p>
        </w:tc>
        <w:tc>
          <w:tcPr>
            <w:tcW w:w="600" w:type="dxa"/>
            <w:vAlign w:val="bottom"/>
          </w:tcPr>
          <w:p>
            <w:pPr>
              <w:spacing w:after="0"/>
              <w:rPr>
                <w:sz w:val="11"/>
                <w:szCs w:val="11"/>
                <w:color w:val="auto"/>
              </w:rPr>
            </w:pPr>
          </w:p>
        </w:tc>
        <w:tc>
          <w:tcPr>
            <w:tcW w:w="2420" w:type="dxa"/>
            <w:vAlign w:val="bottom"/>
          </w:tcPr>
          <w:p>
            <w:pPr>
              <w:spacing w:after="0" w:line="131" w:lineRule="exact"/>
              <w:rPr>
                <w:sz w:val="20"/>
                <w:szCs w:val="20"/>
                <w:color w:val="auto"/>
              </w:rPr>
            </w:pPr>
            <w:r>
              <w:rPr>
                <w:rFonts w:ascii="Arial" w:cs="Arial" w:eastAsia="Arial" w:hAnsi="Arial"/>
                <w:sz w:val="14"/>
                <w:szCs w:val="14"/>
                <w:color w:val="auto"/>
              </w:rPr>
              <w:t>Charlottesville, VA</w:t>
            </w:r>
          </w:p>
        </w:tc>
        <w:tc>
          <w:tcPr>
            <w:tcW w:w="700" w:type="dxa"/>
            <w:vAlign w:val="bottom"/>
            <w:gridSpan w:val="3"/>
          </w:tcPr>
          <w:p>
            <w:pPr>
              <w:jc w:val="right"/>
              <w:ind w:right="40"/>
              <w:spacing w:after="0" w:line="131" w:lineRule="exact"/>
              <w:rPr>
                <w:sz w:val="20"/>
                <w:szCs w:val="20"/>
                <w:color w:val="auto"/>
              </w:rPr>
            </w:pPr>
            <w:r>
              <w:rPr>
                <w:rFonts w:ascii="Arial" w:cs="Arial" w:eastAsia="Arial" w:hAnsi="Arial"/>
                <w:sz w:val="14"/>
                <w:szCs w:val="14"/>
                <w:color w:val="auto"/>
              </w:rPr>
              <w:t>1985</w:t>
            </w:r>
          </w:p>
        </w:tc>
        <w:tc>
          <w:tcPr>
            <w:tcW w:w="880" w:type="dxa"/>
            <w:vAlign w:val="bottom"/>
            <w:gridSpan w:val="2"/>
          </w:tcPr>
          <w:p>
            <w:pPr>
              <w:jc w:val="right"/>
              <w:ind w:right="40"/>
              <w:spacing w:after="0" w:line="131" w:lineRule="exact"/>
              <w:rPr>
                <w:sz w:val="20"/>
                <w:szCs w:val="20"/>
                <w:color w:val="auto"/>
              </w:rPr>
            </w:pPr>
            <w:r>
              <w:rPr>
                <w:rFonts w:ascii="Arial" w:cs="Arial" w:eastAsia="Arial" w:hAnsi="Arial"/>
                <w:sz w:val="14"/>
                <w:szCs w:val="14"/>
                <w:color w:val="auto"/>
              </w:rPr>
              <w:t>44,401</w:t>
            </w:r>
          </w:p>
        </w:tc>
        <w:tc>
          <w:tcPr>
            <w:tcW w:w="10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Arial" w:cs="Arial" w:eastAsia="Arial" w:hAnsi="Arial"/>
                <w:sz w:val="14"/>
                <w:szCs w:val="14"/>
                <w:color w:val="auto"/>
              </w:rPr>
              <w:t>41,542</w:t>
            </w:r>
          </w:p>
        </w:tc>
        <w:tc>
          <w:tcPr>
            <w:tcW w:w="680" w:type="dxa"/>
            <w:vAlign w:val="bottom"/>
            <w:gridSpan w:val="3"/>
          </w:tcPr>
          <w:p>
            <w:pPr>
              <w:jc w:val="right"/>
              <w:ind w:right="40"/>
              <w:spacing w:after="0" w:line="131" w:lineRule="exact"/>
              <w:rPr>
                <w:sz w:val="20"/>
                <w:szCs w:val="20"/>
                <w:color w:val="auto"/>
              </w:rPr>
            </w:pPr>
            <w:r>
              <w:rPr>
                <w:rFonts w:ascii="Arial" w:cs="Arial" w:eastAsia="Arial" w:hAnsi="Arial"/>
                <w:sz w:val="14"/>
                <w:szCs w:val="14"/>
                <w:color w:val="auto"/>
              </w:rPr>
              <w:t>488,000</w:t>
            </w:r>
          </w:p>
        </w:tc>
        <w:tc>
          <w:tcPr>
            <w:tcW w:w="600" w:type="dxa"/>
            <w:vAlign w:val="bottom"/>
            <w:gridSpan w:val="2"/>
          </w:tcPr>
          <w:p>
            <w:pPr>
              <w:jc w:val="right"/>
              <w:ind w:right="80"/>
              <w:spacing w:after="0" w:line="131" w:lineRule="exact"/>
              <w:rPr>
                <w:sz w:val="20"/>
                <w:szCs w:val="20"/>
                <w:color w:val="auto"/>
              </w:rPr>
            </w:pPr>
            <w:r>
              <w:rPr>
                <w:rFonts w:ascii="Arial" w:cs="Arial" w:eastAsia="Arial" w:hAnsi="Arial"/>
                <w:sz w:val="14"/>
                <w:szCs w:val="14"/>
                <w:color w:val="auto"/>
              </w:rPr>
              <w:t>94%</w:t>
            </w:r>
          </w:p>
        </w:tc>
        <w:tc>
          <w:tcPr>
            <w:tcW w:w="540" w:type="dxa"/>
            <w:vAlign w:val="bottom"/>
            <w:gridSpan w:val="2"/>
          </w:tcPr>
          <w:p>
            <w:pPr>
              <w:jc w:val="right"/>
              <w:ind w:right="60"/>
              <w:spacing w:after="0" w:line="131" w:lineRule="exact"/>
              <w:rPr>
                <w:sz w:val="20"/>
                <w:szCs w:val="20"/>
                <w:color w:val="auto"/>
              </w:rPr>
            </w:pPr>
            <w:r>
              <w:rPr>
                <w:rFonts w:ascii="Arial" w:cs="Arial" w:eastAsia="Arial" w:hAnsi="Arial"/>
                <w:sz w:val="14"/>
                <w:szCs w:val="14"/>
                <w:color w:val="auto"/>
              </w:rPr>
              <w:t>99,000</w:t>
            </w:r>
          </w:p>
        </w:tc>
        <w:tc>
          <w:tcPr>
            <w:tcW w:w="1300" w:type="dxa"/>
            <w:vAlign w:val="bottom"/>
          </w:tcPr>
          <w:p>
            <w:pPr>
              <w:spacing w:after="0" w:line="131" w:lineRule="exact"/>
              <w:rPr>
                <w:sz w:val="20"/>
                <w:szCs w:val="20"/>
                <w:color w:val="auto"/>
              </w:rPr>
            </w:pPr>
            <w:r>
              <w:rPr>
                <w:rFonts w:ascii="Arial" w:cs="Arial" w:eastAsia="Arial" w:hAnsi="Arial"/>
                <w:sz w:val="14"/>
                <w:szCs w:val="14"/>
                <w:color w:val="auto"/>
                <w:w w:val="94"/>
              </w:rPr>
              <w:t>Harris Teeter / Kroger</w:t>
            </w:r>
          </w:p>
        </w:tc>
        <w:tc>
          <w:tcPr>
            <w:tcW w:w="40" w:type="dxa"/>
            <w:vAlign w:val="bottom"/>
          </w:tcPr>
          <w:p>
            <w:pPr>
              <w:spacing w:after="0"/>
              <w:rPr>
                <w:sz w:val="11"/>
                <w:szCs w:val="11"/>
                <w:color w:val="auto"/>
              </w:rPr>
            </w:pPr>
          </w:p>
        </w:tc>
        <w:tc>
          <w:tcPr>
            <w:tcW w:w="1400" w:type="dxa"/>
            <w:vAlign w:val="bottom"/>
          </w:tcPr>
          <w:p>
            <w:pPr>
              <w:spacing w:after="0" w:line="131" w:lineRule="exact"/>
              <w:rPr>
                <w:sz w:val="20"/>
                <w:szCs w:val="20"/>
                <w:color w:val="auto"/>
              </w:rPr>
            </w:pPr>
            <w:r>
              <w:rPr>
                <w:rFonts w:ascii="Arial" w:cs="Arial" w:eastAsia="Arial" w:hAnsi="Arial"/>
                <w:sz w:val="14"/>
                <w:szCs w:val="14"/>
                <w:color w:val="auto"/>
              </w:rPr>
              <w:t>Bed, Bath &amp; Beyond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Barnes &amp; Noble / Old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line="159" w:lineRule="exact"/>
              <w:rPr>
                <w:sz w:val="20"/>
                <w:szCs w:val="20"/>
                <w:color w:val="auto"/>
              </w:rPr>
            </w:pPr>
            <w:r>
              <w:rPr>
                <w:rFonts w:ascii="Arial" w:cs="Arial" w:eastAsia="Arial" w:hAnsi="Arial"/>
                <w:sz w:val="14"/>
                <w:szCs w:val="14"/>
                <w:color w:val="auto"/>
              </w:rPr>
              <w:t>Navy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8"/>
            <w:shd w:val="clear" w:color="auto" w:fill="CCEEFF"/>
          </w:tcPr>
          <w:p>
            <w:pPr>
              <w:spacing w:after="0" w:line="149" w:lineRule="exact"/>
              <w:rPr>
                <w:sz w:val="20"/>
                <w:szCs w:val="20"/>
                <w:color w:val="auto"/>
              </w:rPr>
            </w:pPr>
            <w:r>
              <w:rPr>
                <w:rFonts w:ascii="Arial" w:cs="Arial" w:eastAsia="Arial" w:hAnsi="Arial"/>
                <w:sz w:val="14"/>
                <w:szCs w:val="14"/>
                <w:color w:val="auto"/>
              </w:rPr>
              <w:t>Bristol Plaza</w:t>
            </w:r>
          </w:p>
        </w:tc>
        <w:tc>
          <w:tcPr>
            <w:tcW w:w="6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Hartford, CT</w:t>
            </w: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1995</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26,850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272,000</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74,000</w:t>
            </w:r>
          </w:p>
        </w:tc>
        <w:tc>
          <w:tcPr>
            <w:tcW w:w="1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Stop &amp; Shop</w:t>
            </w:r>
          </w:p>
        </w:tc>
        <w:tc>
          <w:tcPr>
            <w:tcW w:w="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8"/>
          </w:tcPr>
          <w:p>
            <w:pPr>
              <w:spacing w:after="0" w:line="149" w:lineRule="exact"/>
              <w:rPr>
                <w:sz w:val="20"/>
                <w:szCs w:val="20"/>
                <w:color w:val="auto"/>
              </w:rPr>
            </w:pPr>
            <w:r>
              <w:rPr>
                <w:rFonts w:ascii="Arial" w:cs="Arial" w:eastAsia="Arial" w:hAnsi="Arial"/>
                <w:sz w:val="14"/>
                <w:szCs w:val="14"/>
                <w:color w:val="auto"/>
              </w:rPr>
              <w:t>Eastgate</w:t>
            </w:r>
          </w:p>
        </w:tc>
        <w:tc>
          <w:tcPr>
            <w:tcW w:w="60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Raleigh-Durham-Chapel Hill, NC</w:t>
            </w: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1986</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24,833</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155,000</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80" w:type="dxa"/>
            <w:vAlign w:val="bottom"/>
            <w:gridSpan w:val="8"/>
            <w:shd w:val="clear" w:color="auto" w:fill="CCEEFF"/>
          </w:tcPr>
          <w:p>
            <w:pPr>
              <w:spacing w:after="0" w:line="138" w:lineRule="exact"/>
              <w:rPr>
                <w:sz w:val="20"/>
                <w:szCs w:val="20"/>
                <w:color w:val="auto"/>
              </w:rPr>
            </w:pPr>
            <w:r>
              <w:rPr>
                <w:rFonts w:ascii="Arial" w:cs="Arial" w:eastAsia="Arial" w:hAnsi="Arial"/>
                <w:sz w:val="14"/>
                <w:szCs w:val="14"/>
                <w:color w:val="auto"/>
              </w:rPr>
              <w:t>Gratiot Plaza</w:t>
            </w:r>
          </w:p>
        </w:tc>
        <w:tc>
          <w:tcPr>
            <w:tcW w:w="6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Detroit, MI</w:t>
            </w:r>
          </w:p>
        </w:tc>
        <w:tc>
          <w:tcPr>
            <w:tcW w:w="7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1973</w:t>
            </w:r>
          </w:p>
        </w:tc>
        <w:tc>
          <w:tcPr>
            <w:tcW w:w="8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18,133</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217,000</w:t>
            </w:r>
          </w:p>
        </w:tc>
        <w:tc>
          <w:tcPr>
            <w:tcW w:w="6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99%</w:t>
            </w:r>
          </w:p>
        </w:tc>
        <w:tc>
          <w:tcPr>
            <w:tcW w:w="5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69,000</w:t>
            </w:r>
          </w:p>
        </w:tc>
        <w:tc>
          <w:tcPr>
            <w:tcW w:w="1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Kroger</w:t>
            </w:r>
          </w:p>
        </w:tc>
        <w:tc>
          <w:tcPr>
            <w:tcW w:w="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Bed, Bath &amp; Beyond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Best Buy / DSW</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8"/>
          </w:tcPr>
          <w:p>
            <w:pPr>
              <w:spacing w:after="0" w:line="149" w:lineRule="exact"/>
              <w:rPr>
                <w:sz w:val="20"/>
                <w:szCs w:val="20"/>
                <w:color w:val="auto"/>
              </w:rPr>
            </w:pPr>
            <w:r>
              <w:rPr>
                <w:rFonts w:ascii="Arial" w:cs="Arial" w:eastAsia="Arial" w:hAnsi="Arial"/>
                <w:sz w:val="14"/>
                <w:szCs w:val="14"/>
                <w:color w:val="auto"/>
              </w:rPr>
              <w:t>Greenwich Avenue</w:t>
            </w:r>
          </w:p>
        </w:tc>
        <w:tc>
          <w:tcPr>
            <w:tcW w:w="60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w w:val="88"/>
              </w:rPr>
              <w:t>New Haven-Bridgeport-Stamford-Waterbury</w:t>
            </w: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1995</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15,993</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42,000</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8"/>
            <w:shd w:val="clear" w:color="auto" w:fill="CCEEFF"/>
          </w:tcPr>
          <w:p>
            <w:pPr>
              <w:spacing w:after="0" w:line="149" w:lineRule="exact"/>
              <w:rPr>
                <w:sz w:val="20"/>
                <w:szCs w:val="20"/>
                <w:color w:val="auto"/>
              </w:rPr>
            </w:pPr>
            <w:r>
              <w:rPr>
                <w:rFonts w:ascii="Arial" w:cs="Arial" w:eastAsia="Arial" w:hAnsi="Arial"/>
                <w:sz w:val="14"/>
                <w:szCs w:val="14"/>
                <w:color w:val="auto"/>
              </w:rPr>
              <w:t>Lancaster</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Lancaster, PA</w:t>
            </w: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1980</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10,817</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4,907</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107,000</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39,000</w:t>
            </w:r>
          </w:p>
        </w:tc>
        <w:tc>
          <w:tcPr>
            <w:tcW w:w="1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Giant Food</w:t>
            </w:r>
          </w:p>
        </w:tc>
        <w:tc>
          <w:tcPr>
            <w:tcW w:w="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8"/>
          </w:tcPr>
          <w:p>
            <w:pPr>
              <w:spacing w:after="0" w:line="149" w:lineRule="exact"/>
              <w:rPr>
                <w:sz w:val="20"/>
                <w:szCs w:val="20"/>
                <w:color w:val="auto"/>
              </w:rPr>
            </w:pPr>
            <w:r>
              <w:rPr>
                <w:rFonts w:ascii="Arial" w:cs="Arial" w:eastAsia="Arial" w:hAnsi="Arial"/>
                <w:sz w:val="14"/>
                <w:szCs w:val="14"/>
                <w:color w:val="auto"/>
              </w:rPr>
              <w:t>Shoppers’ World</w:t>
            </w:r>
          </w:p>
        </w:tc>
        <w:tc>
          <w:tcPr>
            <w:tcW w:w="60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Charlottesville, VA</w:t>
            </w: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2007</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29,489</w:t>
            </w: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5,897</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170,000</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28,000</w:t>
            </w: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Whole Foods</w:t>
            </w:r>
          </w:p>
        </w:tc>
        <w:tc>
          <w:tcPr>
            <w:tcW w:w="4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80" w:type="dxa"/>
            <w:vAlign w:val="bottom"/>
            <w:gridSpan w:val="8"/>
            <w:shd w:val="clear" w:color="auto" w:fill="CCEEFF"/>
          </w:tcPr>
          <w:p>
            <w:pPr>
              <w:spacing w:after="0" w:line="138" w:lineRule="exact"/>
              <w:rPr>
                <w:sz w:val="20"/>
                <w:szCs w:val="20"/>
                <w:color w:val="auto"/>
              </w:rPr>
            </w:pPr>
            <w:r>
              <w:rPr>
                <w:rFonts w:ascii="Arial" w:cs="Arial" w:eastAsia="Arial" w:hAnsi="Arial"/>
                <w:sz w:val="14"/>
                <w:szCs w:val="14"/>
                <w:color w:val="auto"/>
                <w:w w:val="99"/>
              </w:rPr>
              <w:t>Shops at Willow Lawn</w:t>
            </w:r>
          </w:p>
        </w:tc>
        <w:tc>
          <w:tcPr>
            <w:tcW w:w="6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Richmond-Petersburg, VA</w:t>
            </w:r>
          </w:p>
        </w:tc>
        <w:tc>
          <w:tcPr>
            <w:tcW w:w="7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1983</w:t>
            </w:r>
          </w:p>
        </w:tc>
        <w:tc>
          <w:tcPr>
            <w:tcW w:w="8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75,885</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476,000</w:t>
            </w:r>
          </w:p>
        </w:tc>
        <w:tc>
          <w:tcPr>
            <w:tcW w:w="6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88%</w:t>
            </w:r>
          </w:p>
        </w:tc>
        <w:tc>
          <w:tcPr>
            <w:tcW w:w="5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60,000</w:t>
            </w:r>
          </w:p>
        </w:tc>
        <w:tc>
          <w:tcPr>
            <w:tcW w:w="1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Kroger</w:t>
            </w:r>
          </w:p>
        </w:tc>
        <w:tc>
          <w:tcPr>
            <w:tcW w:w="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Old Navy / Staples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Ross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20" w:type="dxa"/>
            <w:vAlign w:val="bottom"/>
          </w:tcPr>
          <w:p>
            <w:pPr>
              <w:spacing w:after="0" w:line="155" w:lineRule="exact"/>
              <w:rPr>
                <w:sz w:val="20"/>
                <w:szCs w:val="20"/>
                <w:color w:val="auto"/>
              </w:rPr>
            </w:pPr>
            <w:r>
              <w:rPr>
                <w:rFonts w:ascii="Arial" w:cs="Arial" w:eastAsia="Arial" w:hAnsi="Arial"/>
                <w:sz w:val="14"/>
                <w:szCs w:val="14"/>
                <w:b w:val="1"/>
                <w:bCs w:val="1"/>
                <w:color w:val="auto"/>
              </w:rPr>
              <w:t>Total East Region - Other</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246,401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6"/>
              </w:rPr>
              <w:t>1,927,000</w:t>
            </w:r>
          </w:p>
        </w:tc>
        <w:tc>
          <w:tcPr>
            <w:tcW w:w="6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92%</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East Region</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2,638,666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15,509,000</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gridSpan w:val="9"/>
          </w:tcPr>
          <w:p>
            <w:pPr>
              <w:spacing w:after="0" w:line="142" w:lineRule="exact"/>
              <w:rPr>
                <w:sz w:val="20"/>
                <w:szCs w:val="20"/>
                <w:color w:val="auto"/>
              </w:rPr>
            </w:pPr>
            <w:r>
              <w:rPr>
                <w:rFonts w:ascii="Arial" w:cs="Arial" w:eastAsia="Arial" w:hAnsi="Arial"/>
                <w:sz w:val="14"/>
                <w:szCs w:val="14"/>
                <w:b w:val="1"/>
                <w:bCs w:val="1"/>
                <w:color w:val="auto"/>
              </w:rPr>
              <w:t>West Region</w:t>
            </w:r>
          </w:p>
        </w:tc>
        <w:tc>
          <w:tcPr>
            <w:tcW w:w="6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4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California</w:t>
            </w:r>
          </w:p>
        </w:tc>
        <w:tc>
          <w:tcPr>
            <w:tcW w:w="500" w:type="dxa"/>
            <w:vAlign w:val="bottom"/>
            <w:gridSpan w:val="4"/>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1380" w:type="dxa"/>
            <w:vAlign w:val="bottom"/>
            <w:gridSpan w:val="8"/>
            <w:shd w:val="clear" w:color="auto" w:fill="CCEEFF"/>
          </w:tcPr>
          <w:p>
            <w:pPr>
              <w:spacing w:after="0" w:line="138" w:lineRule="exact"/>
              <w:rPr>
                <w:sz w:val="20"/>
                <w:szCs w:val="20"/>
                <w:color w:val="auto"/>
              </w:rPr>
            </w:pPr>
            <w:r>
              <w:rPr>
                <w:rFonts w:ascii="Arial" w:cs="Arial" w:eastAsia="Arial" w:hAnsi="Arial"/>
                <w:sz w:val="14"/>
                <w:szCs w:val="14"/>
                <w:color w:val="auto"/>
              </w:rPr>
              <w:t>Colorado Blvd</w:t>
            </w:r>
          </w:p>
        </w:tc>
        <w:tc>
          <w:tcPr>
            <w:tcW w:w="6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Los Angeles-Long Beach, CA</w:t>
            </w:r>
          </w:p>
        </w:tc>
        <w:tc>
          <w:tcPr>
            <w:tcW w:w="7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w w:val="95"/>
              </w:rPr>
              <w:t>1996-1998</w:t>
            </w:r>
          </w:p>
        </w:tc>
        <w:tc>
          <w:tcPr>
            <w:tcW w:w="8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16,649</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69,000</w:t>
            </w:r>
          </w:p>
        </w:tc>
        <w:tc>
          <w:tcPr>
            <w:tcW w:w="6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Pottery Barn / Banana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Republic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8"/>
          </w:tcPr>
          <w:p>
            <w:pPr>
              <w:spacing w:after="0" w:line="149" w:lineRule="exact"/>
              <w:rPr>
                <w:sz w:val="20"/>
                <w:szCs w:val="20"/>
                <w:color w:val="auto"/>
              </w:rPr>
            </w:pPr>
            <w:r>
              <w:rPr>
                <w:rFonts w:ascii="Arial" w:cs="Arial" w:eastAsia="Arial" w:hAnsi="Arial"/>
                <w:sz w:val="14"/>
                <w:szCs w:val="14"/>
                <w:color w:val="auto"/>
              </w:rPr>
              <w:t>Crow Canyon</w:t>
            </w:r>
          </w:p>
        </w:tc>
        <w:tc>
          <w:tcPr>
            <w:tcW w:w="60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San Ramon, CA</w:t>
            </w: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w w:val="95"/>
              </w:rPr>
              <w:t>2005-2007</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64,874</w:t>
            </w: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21,311</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242,000</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58,000</w:t>
            </w:r>
          </w:p>
        </w:tc>
        <w:tc>
          <w:tcPr>
            <w:tcW w:w="1300" w:type="dxa"/>
            <w:vAlign w:val="bottom"/>
          </w:tcPr>
          <w:p>
            <w:pPr>
              <w:spacing w:after="0" w:line="149" w:lineRule="exact"/>
              <w:rPr>
                <w:sz w:val="20"/>
                <w:szCs w:val="20"/>
                <w:color w:val="auto"/>
              </w:rPr>
            </w:pPr>
            <w:r>
              <w:rPr>
                <w:rFonts w:ascii="Arial" w:cs="Arial" w:eastAsia="Arial" w:hAnsi="Arial"/>
                <w:sz w:val="14"/>
                <w:szCs w:val="14"/>
                <w:color w:val="auto"/>
              </w:rPr>
              <w:t>Save Mart</w:t>
            </w:r>
          </w:p>
        </w:tc>
        <w:tc>
          <w:tcPr>
            <w:tcW w:w="4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Loehmann’s / Rite Aid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80" w:type="dxa"/>
            <w:vAlign w:val="bottom"/>
            <w:gridSpan w:val="8"/>
            <w:shd w:val="clear" w:color="auto" w:fill="CCEEFF"/>
          </w:tcPr>
          <w:p>
            <w:pPr>
              <w:spacing w:after="0" w:line="138" w:lineRule="exact"/>
              <w:rPr>
                <w:sz w:val="20"/>
                <w:szCs w:val="20"/>
                <w:color w:val="auto"/>
              </w:rPr>
            </w:pPr>
            <w:r>
              <w:rPr>
                <w:rFonts w:ascii="Arial" w:cs="Arial" w:eastAsia="Arial" w:hAnsi="Arial"/>
                <w:sz w:val="14"/>
                <w:szCs w:val="14"/>
                <w:color w:val="auto"/>
              </w:rPr>
              <w:t>Escondido</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w:t>
            </w:r>
          </w:p>
        </w:tc>
        <w:tc>
          <w:tcPr>
            <w:tcW w:w="2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San Diego, CA</w:t>
            </w:r>
          </w:p>
        </w:tc>
        <w:tc>
          <w:tcPr>
            <w:tcW w:w="7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1996</w:t>
            </w:r>
          </w:p>
        </w:tc>
        <w:tc>
          <w:tcPr>
            <w:tcW w:w="8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28,318</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222,000</w:t>
            </w:r>
          </w:p>
        </w:tc>
        <w:tc>
          <w:tcPr>
            <w:tcW w:w="6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96%</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Cost Plus / TJ Maxx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8"/>
          </w:tcPr>
          <w:p>
            <w:pPr>
              <w:spacing w:after="0" w:line="149" w:lineRule="exact"/>
              <w:rPr>
                <w:sz w:val="20"/>
                <w:szCs w:val="20"/>
                <w:color w:val="auto"/>
              </w:rPr>
            </w:pPr>
            <w:r>
              <w:rPr>
                <w:rFonts w:ascii="Arial" w:cs="Arial" w:eastAsia="Arial" w:hAnsi="Arial"/>
                <w:sz w:val="14"/>
                <w:szCs w:val="14"/>
                <w:color w:val="auto"/>
              </w:rPr>
              <w:t>Fifth Ave</w:t>
            </w:r>
          </w:p>
        </w:tc>
        <w:tc>
          <w:tcPr>
            <w:tcW w:w="60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San Diego, CA</w:t>
            </w: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w w:val="95"/>
              </w:rPr>
              <w:t>1996-1997</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12,969</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51,000</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Urban Outfitters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8"/>
            <w:shd w:val="clear" w:color="auto" w:fill="CCEEFF"/>
          </w:tcPr>
          <w:p>
            <w:pPr>
              <w:spacing w:after="0" w:line="149" w:lineRule="exact"/>
              <w:rPr>
                <w:sz w:val="20"/>
                <w:szCs w:val="20"/>
                <w:color w:val="auto"/>
              </w:rPr>
            </w:pPr>
            <w:r>
              <w:rPr>
                <w:rFonts w:ascii="Arial" w:cs="Arial" w:eastAsia="Arial" w:hAnsi="Arial"/>
                <w:sz w:val="14"/>
                <w:szCs w:val="14"/>
                <w:color w:val="auto"/>
              </w:rPr>
              <w:t>Hermosa Ave</w:t>
            </w:r>
          </w:p>
        </w:tc>
        <w:tc>
          <w:tcPr>
            <w:tcW w:w="6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 Angeles-Long Beach, CA</w:t>
            </w: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1997</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5,397</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22,000</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8"/>
          </w:tcPr>
          <w:p>
            <w:pPr>
              <w:spacing w:after="0" w:line="149" w:lineRule="exact"/>
              <w:rPr>
                <w:sz w:val="20"/>
                <w:szCs w:val="20"/>
                <w:color w:val="auto"/>
              </w:rPr>
            </w:pPr>
            <w:r>
              <w:rPr>
                <w:rFonts w:ascii="Arial" w:cs="Arial" w:eastAsia="Arial" w:hAnsi="Arial"/>
                <w:sz w:val="14"/>
                <w:szCs w:val="14"/>
                <w:color w:val="auto"/>
              </w:rPr>
              <w:t>Hollywood Blvd</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Los Angeles-Long Beach, CA</w:t>
            </w: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1999</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37,605</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153,000</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DSW / L.A. Fitness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8"/>
            <w:shd w:val="clear" w:color="auto" w:fill="CCEEFF"/>
          </w:tcPr>
          <w:p>
            <w:pPr>
              <w:spacing w:after="0" w:line="149" w:lineRule="exact"/>
              <w:rPr>
                <w:sz w:val="20"/>
                <w:szCs w:val="20"/>
                <w:color w:val="auto"/>
              </w:rPr>
            </w:pPr>
            <w:r>
              <w:rPr>
                <w:rFonts w:ascii="Arial" w:cs="Arial" w:eastAsia="Arial" w:hAnsi="Arial"/>
                <w:sz w:val="14"/>
                <w:szCs w:val="14"/>
                <w:color w:val="auto"/>
              </w:rPr>
              <w:t>Kings Court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Jose, CA</w:t>
            </w: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1998</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11,573</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79,000</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25,000</w:t>
            </w:r>
          </w:p>
        </w:tc>
        <w:tc>
          <w:tcPr>
            <w:tcW w:w="2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Lunardi’s Super Market Longs Drug Store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80" w:type="dxa"/>
            <w:vAlign w:val="bottom"/>
            <w:gridSpan w:val="8"/>
          </w:tcPr>
          <w:p>
            <w:pPr>
              <w:spacing w:after="0" w:line="138" w:lineRule="exact"/>
              <w:rPr>
                <w:sz w:val="20"/>
                <w:szCs w:val="20"/>
                <w:color w:val="auto"/>
              </w:rPr>
            </w:pPr>
            <w:r>
              <w:rPr>
                <w:rFonts w:ascii="Arial" w:cs="Arial" w:eastAsia="Arial" w:hAnsi="Arial"/>
                <w:sz w:val="14"/>
                <w:szCs w:val="14"/>
                <w:color w:val="auto"/>
              </w:rPr>
              <w:t>Old Town Center</w:t>
            </w:r>
          </w:p>
        </w:tc>
        <w:tc>
          <w:tcPr>
            <w:tcW w:w="600" w:type="dxa"/>
            <w:vAlign w:val="bottom"/>
          </w:tcPr>
          <w:p>
            <w:pPr>
              <w:spacing w:after="0"/>
              <w:rPr>
                <w:sz w:val="11"/>
                <w:szCs w:val="11"/>
                <w:color w:val="auto"/>
              </w:rPr>
            </w:pPr>
          </w:p>
        </w:tc>
        <w:tc>
          <w:tcPr>
            <w:tcW w:w="2420" w:type="dxa"/>
            <w:vAlign w:val="bottom"/>
          </w:tcPr>
          <w:p>
            <w:pPr>
              <w:spacing w:after="0" w:line="138" w:lineRule="exact"/>
              <w:rPr>
                <w:sz w:val="20"/>
                <w:szCs w:val="20"/>
                <w:color w:val="auto"/>
              </w:rPr>
            </w:pPr>
            <w:r>
              <w:rPr>
                <w:rFonts w:ascii="Arial" w:cs="Arial" w:eastAsia="Arial" w:hAnsi="Arial"/>
                <w:sz w:val="14"/>
                <w:szCs w:val="14"/>
                <w:color w:val="auto"/>
              </w:rPr>
              <w:t>San Jose, CA</w:t>
            </w:r>
          </w:p>
        </w:tc>
        <w:tc>
          <w:tcPr>
            <w:tcW w:w="70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1997</w:t>
            </w:r>
          </w:p>
        </w:tc>
        <w:tc>
          <w:tcPr>
            <w:tcW w:w="8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34,030</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95,000</w:t>
            </w:r>
          </w:p>
        </w:tc>
        <w:tc>
          <w:tcPr>
            <w:tcW w:w="6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95%</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4"/>
                <w:szCs w:val="14"/>
                <w:color w:val="auto"/>
              </w:rPr>
              <w:t>Borders / Gap Kids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line="159"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80" w:type="dxa"/>
            <w:vAlign w:val="bottom"/>
            <w:gridSpan w:val="8"/>
            <w:shd w:val="clear" w:color="auto" w:fill="CCEEFF"/>
          </w:tcPr>
          <w:p>
            <w:pPr>
              <w:spacing w:after="0" w:line="138" w:lineRule="exact"/>
              <w:rPr>
                <w:sz w:val="20"/>
                <w:szCs w:val="20"/>
                <w:color w:val="auto"/>
              </w:rPr>
            </w:pPr>
            <w:r>
              <w:rPr>
                <w:rFonts w:ascii="Arial" w:cs="Arial" w:eastAsia="Arial" w:hAnsi="Arial"/>
                <w:sz w:val="14"/>
                <w:szCs w:val="14"/>
                <w:color w:val="auto"/>
              </w:rPr>
              <w:t>Santana Row</w:t>
            </w:r>
          </w:p>
        </w:tc>
        <w:tc>
          <w:tcPr>
            <w:tcW w:w="6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San Jose, CA</w:t>
            </w:r>
          </w:p>
        </w:tc>
        <w:tc>
          <w:tcPr>
            <w:tcW w:w="7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1997</w:t>
            </w:r>
          </w:p>
        </w:tc>
        <w:tc>
          <w:tcPr>
            <w:tcW w:w="8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491,158</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562,000</w:t>
            </w:r>
          </w:p>
        </w:tc>
        <w:tc>
          <w:tcPr>
            <w:tcW w:w="6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Crate &amp; Barrel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Container Store / Best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Buy / Borders / CineArts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Theatre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80" w:type="dxa"/>
            <w:vAlign w:val="bottom"/>
            <w:gridSpan w:val="8"/>
          </w:tcPr>
          <w:p>
            <w:pPr>
              <w:spacing w:after="0" w:line="138" w:lineRule="exact"/>
              <w:rPr>
                <w:sz w:val="20"/>
                <w:szCs w:val="20"/>
                <w:color w:val="auto"/>
              </w:rPr>
            </w:pPr>
            <w:r>
              <w:rPr>
                <w:rFonts w:ascii="Arial" w:cs="Arial" w:eastAsia="Arial" w:hAnsi="Arial"/>
                <w:sz w:val="14"/>
                <w:szCs w:val="14"/>
                <w:color w:val="auto"/>
              </w:rPr>
              <w:t>Third St Promenade</w:t>
            </w:r>
          </w:p>
        </w:tc>
        <w:tc>
          <w:tcPr>
            <w:tcW w:w="600" w:type="dxa"/>
            <w:vAlign w:val="bottom"/>
          </w:tcPr>
          <w:p>
            <w:pPr>
              <w:spacing w:after="0"/>
              <w:rPr>
                <w:sz w:val="11"/>
                <w:szCs w:val="11"/>
                <w:color w:val="auto"/>
              </w:rPr>
            </w:pPr>
          </w:p>
        </w:tc>
        <w:tc>
          <w:tcPr>
            <w:tcW w:w="2420" w:type="dxa"/>
            <w:vAlign w:val="bottom"/>
          </w:tcPr>
          <w:p>
            <w:pPr>
              <w:spacing w:after="0" w:line="138" w:lineRule="exact"/>
              <w:rPr>
                <w:sz w:val="20"/>
                <w:szCs w:val="20"/>
                <w:color w:val="auto"/>
              </w:rPr>
            </w:pPr>
            <w:r>
              <w:rPr>
                <w:rFonts w:ascii="Arial" w:cs="Arial" w:eastAsia="Arial" w:hAnsi="Arial"/>
                <w:sz w:val="14"/>
                <w:szCs w:val="14"/>
                <w:color w:val="auto"/>
              </w:rPr>
              <w:t>Los Angeles-Long Beach, CA</w:t>
            </w:r>
          </w:p>
        </w:tc>
        <w:tc>
          <w:tcPr>
            <w:tcW w:w="70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w w:val="95"/>
              </w:rPr>
              <w:t>1996-2000</w:t>
            </w:r>
          </w:p>
        </w:tc>
        <w:tc>
          <w:tcPr>
            <w:tcW w:w="8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78,906</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211,000</w:t>
            </w:r>
          </w:p>
        </w:tc>
        <w:tc>
          <w:tcPr>
            <w:tcW w:w="6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99%</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tcPr>
          <w:p>
            <w:pPr>
              <w:spacing w:after="0" w:line="138" w:lineRule="exact"/>
              <w:rPr>
                <w:sz w:val="20"/>
                <w:szCs w:val="20"/>
                <w:color w:val="auto"/>
              </w:rPr>
            </w:pPr>
            <w:r>
              <w:rPr>
                <w:rFonts w:ascii="Arial" w:cs="Arial" w:eastAsia="Arial" w:hAnsi="Arial"/>
                <w:sz w:val="14"/>
                <w:szCs w:val="14"/>
                <w:color w:val="auto"/>
              </w:rPr>
              <w:t>J. Crew / Banana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rPr>
              <w:t>Republic / Old Navy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line="159" w:lineRule="exact"/>
              <w:rPr>
                <w:sz w:val="20"/>
                <w:szCs w:val="20"/>
                <w:color w:val="auto"/>
              </w:rPr>
            </w:pPr>
            <w:r>
              <w:rPr>
                <w:rFonts w:ascii="Arial" w:cs="Arial" w:eastAsia="Arial" w:hAnsi="Arial"/>
                <w:sz w:val="14"/>
                <w:szCs w:val="14"/>
                <w:color w:val="auto"/>
              </w:rPr>
              <w:t>Abercrombie &amp; Fitch</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80" w:type="dxa"/>
            <w:vAlign w:val="bottom"/>
            <w:gridSpan w:val="8"/>
            <w:shd w:val="clear" w:color="auto" w:fill="CCEEFF"/>
          </w:tcPr>
          <w:p>
            <w:pPr>
              <w:spacing w:after="0" w:line="138" w:lineRule="exact"/>
              <w:rPr>
                <w:sz w:val="20"/>
                <w:szCs w:val="20"/>
                <w:color w:val="auto"/>
              </w:rPr>
            </w:pPr>
            <w:r>
              <w:rPr>
                <w:rFonts w:ascii="Arial" w:cs="Arial" w:eastAsia="Arial" w:hAnsi="Arial"/>
                <w:sz w:val="14"/>
                <w:szCs w:val="14"/>
                <w:color w:val="auto"/>
              </w:rPr>
              <w:t>Westgate</w:t>
            </w:r>
          </w:p>
        </w:tc>
        <w:tc>
          <w:tcPr>
            <w:tcW w:w="60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San Jose, CA</w:t>
            </w:r>
          </w:p>
        </w:tc>
        <w:tc>
          <w:tcPr>
            <w:tcW w:w="70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2004</w:t>
            </w:r>
          </w:p>
        </w:tc>
        <w:tc>
          <w:tcPr>
            <w:tcW w:w="88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116,023</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645,000</w:t>
            </w:r>
          </w:p>
        </w:tc>
        <w:tc>
          <w:tcPr>
            <w:tcW w:w="6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96%</w:t>
            </w:r>
          </w:p>
        </w:tc>
        <w:tc>
          <w:tcPr>
            <w:tcW w:w="5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38,000</w:t>
            </w:r>
          </w:p>
        </w:tc>
        <w:tc>
          <w:tcPr>
            <w:tcW w:w="1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Safeway</w:t>
            </w:r>
          </w:p>
        </w:tc>
        <w:tc>
          <w:tcPr>
            <w:tcW w:w="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Target / Burlington Coat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Factory / Barnes &amp;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Noble / 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gridSpan w:val="8"/>
          </w:tcPr>
          <w:p>
            <w:pPr>
              <w:spacing w:after="0" w:line="149" w:lineRule="exact"/>
              <w:rPr>
                <w:sz w:val="20"/>
                <w:szCs w:val="20"/>
                <w:color w:val="auto"/>
              </w:rPr>
            </w:pPr>
            <w:r>
              <w:rPr>
                <w:rFonts w:ascii="Arial" w:cs="Arial" w:eastAsia="Arial" w:hAnsi="Arial"/>
                <w:sz w:val="14"/>
                <w:szCs w:val="14"/>
                <w:color w:val="auto"/>
              </w:rPr>
              <w:t>150 Post Street</w:t>
            </w:r>
          </w:p>
        </w:tc>
        <w:tc>
          <w:tcPr>
            <w:tcW w:w="60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San Francisco, CA</w:t>
            </w:r>
          </w:p>
        </w:tc>
        <w:tc>
          <w:tcPr>
            <w:tcW w:w="7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1997</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37,503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102,000</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line="149" w:lineRule="exact"/>
              <w:rPr>
                <w:sz w:val="20"/>
                <w:szCs w:val="20"/>
                <w:color w:val="auto"/>
              </w:rPr>
            </w:pPr>
            <w:r>
              <w:rPr>
                <w:rFonts w:ascii="Arial" w:cs="Arial" w:eastAsia="Arial" w:hAnsi="Arial"/>
                <w:sz w:val="14"/>
                <w:szCs w:val="14"/>
                <w:color w:val="auto"/>
                <w:w w:val="91"/>
              </w:rPr>
              <w:t>Brooks Brothers / H &amp; 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California</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935,005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2,453,000</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gridSpan w:val="8"/>
          </w:tcPr>
          <w:p>
            <w:pPr>
              <w:ind w:left="420"/>
              <w:spacing w:after="0" w:line="135" w:lineRule="exact"/>
              <w:rPr>
                <w:sz w:val="20"/>
                <w:szCs w:val="20"/>
                <w:color w:val="auto"/>
              </w:rPr>
            </w:pPr>
            <w:r>
              <w:rPr>
                <w:rFonts w:ascii="Arial" w:cs="Arial" w:eastAsia="Arial" w:hAnsi="Arial"/>
                <w:sz w:val="14"/>
                <w:szCs w:val="14"/>
                <w:b w:val="1"/>
                <w:bCs w:val="1"/>
                <w:color w:val="auto"/>
              </w:rPr>
              <w:t>West Region -</w:t>
            </w:r>
          </w:p>
        </w:tc>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5"/>
          </w:tcPr>
          <w:p>
            <w:pPr>
              <w:ind w:left="60"/>
              <w:spacing w:after="0" w:line="12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w w:val="77"/>
              </w:rPr>
              <w:t>Houston St</w:t>
            </w:r>
          </w:p>
        </w:tc>
        <w:tc>
          <w:tcPr>
            <w:tcW w:w="400" w:type="dxa"/>
            <w:vAlign w:val="bottom"/>
            <w:tcBorders>
              <w:top w:val="single" w:sz="8" w:color="auto"/>
              <w:left w:val="single" w:sz="8" w:color="CCEEFF"/>
              <w:right w:val="single" w:sz="8" w:color="CCEEFF"/>
            </w:tcBorders>
            <w:gridSpan w:val="3"/>
            <w:shd w:val="clear" w:color="auto" w:fill="CCEEFF"/>
          </w:tcPr>
          <w:p>
            <w:pPr>
              <w:spacing w:after="0"/>
              <w:rPr>
                <w:sz w:val="12"/>
                <w:szCs w:val="12"/>
                <w:color w:val="auto"/>
              </w:rPr>
            </w:pPr>
          </w:p>
        </w:tc>
        <w:tc>
          <w:tcPr>
            <w:tcW w:w="400" w:type="dxa"/>
            <w:vAlign w:val="bottom"/>
            <w:gridSpan w:val="3"/>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San Antonio, TX</w:t>
            </w:r>
          </w:p>
        </w:tc>
        <w:tc>
          <w:tcPr>
            <w:tcW w:w="70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1998</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65,207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168,000</w:t>
            </w:r>
          </w:p>
        </w:tc>
        <w:tc>
          <w:tcPr>
            <w:tcW w:w="6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77%</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Hotel Valencia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rPr>
              <w:t>Total West Region</w:t>
            </w: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95%</w:t>
            </w: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1,000,212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6"/>
              </w:rPr>
              <w:t>2,621,000</w:t>
            </w:r>
          </w:p>
        </w:tc>
        <w:tc>
          <w:tcPr>
            <w:tcW w:w="60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80" w:type="dxa"/>
            <w:vAlign w:val="bottom"/>
            <w:gridSpan w:val="8"/>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Grand Total</w:t>
            </w:r>
          </w:p>
        </w:tc>
        <w:tc>
          <w:tcPr>
            <w:tcW w:w="6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3,638,878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44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456,363 18,130,000</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96%</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580" w:right="100" w:hanging="572"/>
        <w:spacing w:after="0" w:line="250"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mortgage or capital lease obligations differ from the total reported on the consolidated balance sheet due to the unamortized discount or premium on certain mortgage payables.</w:t>
      </w: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newly created redevelopment square footage not yet in service, as well as residential and hotel square footage.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Grocery anchor is defined as a grocery tenant leasing 15,000 square feet or more.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Portion of property subject to capital lease obligation.</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Trust has a 64.1% ownership interest in the property.</w:t>
      </w:r>
    </w:p>
    <w:p>
      <w:pPr>
        <w:spacing w:after="0" w:line="9" w:lineRule="exact"/>
        <w:rPr>
          <w:rFonts w:ascii="Arial" w:cs="Arial" w:eastAsia="Arial" w:hAnsi="Arial"/>
          <w:sz w:val="18"/>
          <w:szCs w:val="18"/>
          <w:color w:val="auto"/>
        </w:rPr>
      </w:pPr>
    </w:p>
    <w:p>
      <w:pPr>
        <w:ind w:left="580" w:right="60" w:hanging="572"/>
        <w:spacing w:after="0" w:line="250"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Property owned in a “downreit” partnership, of which a wholly owned subsidiary of the Trust is the sole general partner, with third party partners holding operating partnership units.</w:t>
      </w:r>
    </w:p>
    <w:p>
      <w:pPr>
        <w:ind w:left="580" w:right="260" w:hanging="572"/>
        <w:spacing w:after="0" w:line="281"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spacing w:after="0" w:line="1" w:lineRule="exact"/>
        <w:rPr>
          <w:rFonts w:ascii="Arial" w:cs="Arial" w:eastAsia="Arial" w:hAnsi="Arial"/>
          <w:sz w:val="16"/>
          <w:szCs w:val="16"/>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preliminary allocation of the purchase price has been made and will be finalized after various valuation studies are complete.</w:t>
      </w:r>
    </w:p>
    <w:p>
      <w:pPr>
        <w:spacing w:after="0" w:line="9" w:lineRule="exact"/>
        <w:rPr>
          <w:rFonts w:ascii="Arial" w:cs="Arial" w:eastAsia="Arial" w:hAnsi="Arial"/>
          <w:sz w:val="18"/>
          <w:szCs w:val="18"/>
          <w:color w:val="auto"/>
        </w:rPr>
      </w:pPr>
    </w:p>
    <w:p>
      <w:pPr>
        <w:ind w:left="580" w:right="320" w:hanging="572"/>
        <w:spacing w:after="0" w:line="250"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50% of the ownership of this property is in a “downreit” partnership, of which a wholly owned subsidiary of the Trust is the sole general partner, with third party partners holding operating partnership units.</w:t>
      </w:r>
    </w:p>
    <w:p>
      <w:pPr>
        <w:ind w:left="580" w:right="500" w:hanging="572"/>
        <w:spacing w:after="0" w:line="250"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connection with the acquisitions of these properties, we entered into Reverse Section 1031 like-kind exchange agreements with third party intermediaries. Since we control the respective properties and retain all of the economic benefits and risks associated with them, we consolidate the properties and their operations.</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Property subject to capital lease obligation.</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Trust has a 70% ownership interest in the property.</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Trust has a 90% ownership interest in the property.</w:t>
      </w:r>
    </w:p>
    <w:p>
      <w:pPr>
        <w:sectPr>
          <w:pgSz w:w="11900" w:h="16838" w:orient="portrait"/>
          <w:cols w:equalWidth="0" w:num="1">
            <w:col w:w="11420"/>
          </w:cols>
          <w:pgMar w:left="240" w:top="274" w:right="239" w:bottom="306"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74" w:right="239" w:bottom="306"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Lease Summary - Comparable (2)</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jc w:val="right"/>
              <w:ind w:right="360"/>
              <w:spacing w:after="0" w:line="159" w:lineRule="exact"/>
              <w:rPr>
                <w:sz w:val="20"/>
                <w:szCs w:val="20"/>
                <w:color w:val="auto"/>
              </w:rPr>
            </w:pPr>
            <w:r>
              <w:rPr>
                <w:rFonts w:ascii="Arial" w:cs="Arial" w:eastAsia="Arial" w:hAnsi="Arial"/>
                <w:sz w:val="14"/>
                <w:szCs w:val="14"/>
                <w:b w:val="1"/>
                <w:bCs w:val="1"/>
                <w:color w:val="auto"/>
                <w:w w:val="86"/>
              </w:rPr>
              <w:t>Straight-</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lined</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Cash</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Basis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Number</w:t>
            </w:r>
          </w:p>
        </w:tc>
        <w:tc>
          <w:tcPr>
            <w:tcW w:w="9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Prior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Basis %</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Increase</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75"/>
              </w:rPr>
              <w:t>of</w:t>
            </w:r>
          </w:p>
        </w:tc>
        <w:tc>
          <w:tcPr>
            <w:tcW w:w="9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74"/>
              </w:rPr>
              <w:t>Comparable</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77"/>
              </w:rPr>
              <w:t>Contractual</w:t>
            </w:r>
          </w:p>
        </w:tc>
        <w:tc>
          <w:tcPr>
            <w:tcW w:w="2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Rent (4)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Annual</w:t>
            </w: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Increase</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Over</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7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7"/>
              </w:rPr>
              <w:t>Tenant</w:t>
            </w:r>
          </w:p>
        </w:tc>
        <w:tc>
          <w:tcPr>
            <w:tcW w:w="20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79"/>
              </w:rPr>
              <w:t>Leases</w:t>
            </w:r>
          </w:p>
        </w:tc>
        <w:tc>
          <w:tcPr>
            <w:tcW w:w="9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Leases</w:t>
            </w:r>
          </w:p>
        </w:tc>
        <w:tc>
          <w:tcPr>
            <w:tcW w:w="180" w:type="dxa"/>
            <w:vAlign w:val="bottom"/>
          </w:tcPr>
          <w:p>
            <w:pPr>
              <w:spacing w:after="0"/>
              <w:rPr>
                <w:sz w:val="12"/>
                <w:szCs w:val="12"/>
                <w:color w:val="auto"/>
              </w:rPr>
            </w:pPr>
          </w:p>
        </w:tc>
        <w:tc>
          <w:tcPr>
            <w:tcW w:w="7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GLA</w:t>
            </w:r>
          </w:p>
        </w:tc>
        <w:tc>
          <w:tcPr>
            <w:tcW w:w="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Rent (3)</w:t>
            </w:r>
          </w:p>
        </w:tc>
        <w:tc>
          <w:tcPr>
            <w:tcW w:w="26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Per Sq.</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Increase</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Over</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Prior</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Lease</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20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61"/>
        </w:trPr>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8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1"/>
              </w:rPr>
              <w:t>Signed</w:t>
            </w:r>
          </w:p>
        </w:tc>
        <w:tc>
          <w:tcPr>
            <w:tcW w:w="9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Signed</w:t>
            </w:r>
          </w:p>
        </w:tc>
        <w:tc>
          <w:tcPr>
            <w:tcW w:w="180" w:type="dxa"/>
            <w:vAlign w:val="bottom"/>
          </w:tcPr>
          <w:p>
            <w:pPr>
              <w:spacing w:after="0"/>
              <w:rPr>
                <w:sz w:val="14"/>
                <w:szCs w:val="14"/>
                <w:color w:val="auto"/>
              </w:rPr>
            </w:pPr>
          </w:p>
        </w:tc>
        <w:tc>
          <w:tcPr>
            <w:tcW w:w="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7"/>
              </w:rPr>
              <w:t>Signed</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Per Sq. Ft.</w:t>
            </w:r>
          </w:p>
        </w:tc>
        <w:tc>
          <w:tcPr>
            <w:tcW w:w="26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Ft.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in Rent</w:t>
            </w: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Prior Rent</w:t>
            </w: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Rent</w:t>
            </w:r>
          </w:p>
        </w:tc>
        <w:tc>
          <w:tcPr>
            <w:tcW w:w="170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Term (5)    &amp; Incentives (6)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 2008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9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351,310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840" w:type="dxa"/>
            <w:vAlign w:val="bottom"/>
            <w:tcBorders>
              <w:left w:val="single" w:sz="8" w:color="CCEEFF"/>
            </w:tcBorders>
            <w:gridSpan w:val="3"/>
            <w:shd w:val="clear" w:color="auto" w:fill="CCEEFF"/>
          </w:tcPr>
          <w:p>
            <w:pPr>
              <w:jc w:val="center"/>
              <w:ind w:left="92"/>
              <w:spacing w:after="0"/>
              <w:rPr>
                <w:sz w:val="20"/>
                <w:szCs w:val="20"/>
                <w:color w:val="auto"/>
              </w:rPr>
            </w:pPr>
            <w:r>
              <w:rPr>
                <w:rFonts w:ascii="Arial" w:cs="Arial" w:eastAsia="Arial" w:hAnsi="Arial"/>
                <w:sz w:val="18"/>
                <w:szCs w:val="18"/>
                <w:color w:val="auto"/>
                <w:w w:val="90"/>
              </w:rPr>
              <w:t>$20.28</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$1,669,056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2,728,958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2nd Quarter 2008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100%</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239,207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36.39</w:t>
            </w:r>
          </w:p>
        </w:tc>
        <w:tc>
          <w:tcPr>
            <w:tcW w:w="840" w:type="dxa"/>
            <w:vAlign w:val="bottom"/>
            <w:gridSpan w:val="3"/>
          </w:tcPr>
          <w:p>
            <w:pPr>
              <w:jc w:val="center"/>
              <w:ind w:left="92"/>
              <w:spacing w:after="0"/>
              <w:rPr>
                <w:sz w:val="20"/>
                <w:szCs w:val="20"/>
                <w:color w:val="auto"/>
              </w:rPr>
            </w:pPr>
            <w:r>
              <w:rPr>
                <w:rFonts w:ascii="Arial" w:cs="Arial" w:eastAsia="Arial" w:hAnsi="Arial"/>
                <w:sz w:val="18"/>
                <w:szCs w:val="18"/>
                <w:color w:val="auto"/>
                <w:w w:val="90"/>
              </w:rPr>
              <w:t>$29.21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9"/>
              </w:rPr>
              <w:t>$1,717,881</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2,316,197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Quarter 2008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9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268,608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840" w:type="dxa"/>
            <w:vAlign w:val="bottom"/>
            <w:tcBorders>
              <w:left w:val="single" w:sz="8" w:color="CCEEFF"/>
            </w:tcBorders>
            <w:gridSpan w:val="3"/>
            <w:shd w:val="clear" w:color="auto" w:fill="CCEEFF"/>
          </w:tcPr>
          <w:p>
            <w:pPr>
              <w:jc w:val="center"/>
              <w:ind w:left="92"/>
              <w:spacing w:after="0"/>
              <w:rPr>
                <w:sz w:val="20"/>
                <w:szCs w:val="20"/>
                <w:color w:val="auto"/>
              </w:rPr>
            </w:pPr>
            <w:r>
              <w:rPr>
                <w:rFonts w:ascii="Arial" w:cs="Arial" w:eastAsia="Arial" w:hAnsi="Arial"/>
                <w:sz w:val="18"/>
                <w:szCs w:val="18"/>
                <w:color w:val="auto"/>
                <w:w w:val="90"/>
              </w:rPr>
              <w:t>$23.73</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$1,494,431</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2,209,591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4th Quarter 2007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100%</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471,853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19.65</w:t>
            </w:r>
          </w:p>
        </w:tc>
        <w:tc>
          <w:tcPr>
            <w:tcW w:w="840" w:type="dxa"/>
            <w:vAlign w:val="bottom"/>
            <w:gridSpan w:val="3"/>
          </w:tcPr>
          <w:p>
            <w:pPr>
              <w:jc w:val="center"/>
              <w:ind w:left="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16.04</w:t>
            </w: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1,701,647</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2,360,410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9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4"/>
              </w:rPr>
              <w:t>1,330,978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840" w:type="dxa"/>
            <w:vAlign w:val="bottom"/>
            <w:tcBorders>
              <w:left w:val="single" w:sz="8" w:color="CCEEFF"/>
            </w:tcBorders>
            <w:gridSpan w:val="3"/>
            <w:shd w:val="clear" w:color="auto" w:fill="CCEEFF"/>
          </w:tcPr>
          <w:p>
            <w:pPr>
              <w:jc w:val="center"/>
              <w:ind w:left="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21.08</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6,583,015</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9,615,156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00" w:type="dxa"/>
            <w:vAlign w:val="bottom"/>
            <w:gridSpan w:val="10"/>
          </w:tcPr>
          <w:p>
            <w:pPr>
              <w:spacing w:after="0"/>
              <w:rPr>
                <w:sz w:val="20"/>
                <w:szCs w:val="20"/>
                <w:color w:val="auto"/>
              </w:rPr>
            </w:pPr>
            <w:r>
              <w:rPr>
                <w:rFonts w:ascii="Arial" w:cs="Arial" w:eastAsia="Arial" w:hAnsi="Arial"/>
                <w:sz w:val="18"/>
                <w:szCs w:val="18"/>
                <w:b w:val="1"/>
                <w:bCs w:val="1"/>
                <w:color w:val="auto"/>
              </w:rPr>
              <w:t>New Lease Summary - Comparable (2)</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Straight-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lined</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Cash</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Basis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Number</w:t>
            </w:r>
          </w:p>
        </w:tc>
        <w:tc>
          <w:tcPr>
            <w:tcW w:w="9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Prior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Basis %</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Increase</w:t>
            </w: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9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Comparable</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9"/>
              </w:rPr>
              <w:t>Contractual</w:t>
            </w:r>
          </w:p>
        </w:tc>
        <w:tc>
          <w:tcPr>
            <w:tcW w:w="260" w:type="dxa"/>
            <w:vAlign w:val="bottom"/>
          </w:tcPr>
          <w:p>
            <w:pPr>
              <w:spacing w:after="0"/>
              <w:rPr>
                <w:sz w:val="12"/>
                <w:szCs w:val="12"/>
                <w:color w:val="auto"/>
              </w:rPr>
            </w:pPr>
          </w:p>
        </w:tc>
        <w:tc>
          <w:tcPr>
            <w:tcW w:w="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Rent (4)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Annual</w:t>
            </w: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Increase</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Over</w:t>
            </w: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2"/>
                <w:szCs w:val="12"/>
                <w:color w:val="auto"/>
              </w:rPr>
            </w:pPr>
          </w:p>
        </w:tc>
        <w:tc>
          <w:tcPr>
            <w:tcW w:w="7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7"/>
              </w:rPr>
              <w:t>Tenant</w:t>
            </w:r>
          </w:p>
        </w:tc>
        <w:tc>
          <w:tcPr>
            <w:tcW w:w="20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79"/>
              </w:rPr>
              <w:t>Leases</w:t>
            </w:r>
          </w:p>
        </w:tc>
        <w:tc>
          <w:tcPr>
            <w:tcW w:w="9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79"/>
              </w:rPr>
              <w:t>Leases</w:t>
            </w:r>
          </w:p>
        </w:tc>
        <w:tc>
          <w:tcPr>
            <w:tcW w:w="180" w:type="dxa"/>
            <w:vAlign w:val="bottom"/>
          </w:tcPr>
          <w:p>
            <w:pPr>
              <w:spacing w:after="0"/>
              <w:rPr>
                <w:sz w:val="12"/>
                <w:szCs w:val="12"/>
                <w:color w:val="auto"/>
              </w:rPr>
            </w:pPr>
          </w:p>
        </w:tc>
        <w:tc>
          <w:tcPr>
            <w:tcW w:w="7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GLA</w:t>
            </w:r>
          </w:p>
        </w:tc>
        <w:tc>
          <w:tcPr>
            <w:tcW w:w="6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Rent (3)</w:t>
            </w:r>
          </w:p>
        </w:tc>
        <w:tc>
          <w:tcPr>
            <w:tcW w:w="26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Per Sq.</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Increase</w:t>
            </w: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Over</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Prior</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Lease</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20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61"/>
        </w:trPr>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7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Signed</w:t>
            </w: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1"/>
              </w:rPr>
              <w:t>Signed</w:t>
            </w:r>
          </w:p>
        </w:tc>
        <w:tc>
          <w:tcPr>
            <w:tcW w:w="180" w:type="dxa"/>
            <w:vAlign w:val="bottom"/>
          </w:tcPr>
          <w:p>
            <w:pPr>
              <w:spacing w:after="0"/>
              <w:rPr>
                <w:sz w:val="14"/>
                <w:szCs w:val="14"/>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Signed</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9"/>
              </w:rPr>
              <w:t>Per Sq. Ft.</w:t>
            </w:r>
          </w:p>
        </w:tc>
        <w:tc>
          <w:tcPr>
            <w:tcW w:w="260" w:type="dxa"/>
            <w:vAlign w:val="bottom"/>
          </w:tcPr>
          <w:p>
            <w:pPr>
              <w:spacing w:after="0"/>
              <w:rPr>
                <w:sz w:val="14"/>
                <w:szCs w:val="14"/>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Ft.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 Rent</w:t>
            </w: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Prior Rent</w:t>
            </w: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Rent</w:t>
            </w:r>
          </w:p>
        </w:tc>
        <w:tc>
          <w:tcPr>
            <w:tcW w:w="170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Term (5)    &amp; Incentives (6)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 2008</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20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93,768</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720" w:type="dxa"/>
            <w:vAlign w:val="bottom"/>
            <w:tcBorders>
              <w:left w:val="single" w:sz="8" w:color="CCEEFF"/>
            </w:tcBorders>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0"/>
              </w:rPr>
              <w:t>$29.76</w:t>
            </w:r>
          </w:p>
        </w:tc>
        <w:tc>
          <w:tcPr>
            <w:tcW w:w="12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$1,257,073</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2,224,958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2nd Quarter 2008</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115,097</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34.23</w:t>
            </w:r>
          </w:p>
        </w:tc>
        <w:tc>
          <w:tcPr>
            <w:tcW w:w="720" w:type="dxa"/>
            <w:vAlign w:val="bottom"/>
            <w:gridSpan w:val="2"/>
          </w:tcPr>
          <w:p>
            <w:pPr>
              <w:jc w:val="center"/>
              <w:ind w:left="132"/>
              <w:spacing w:after="0"/>
              <w:rPr>
                <w:sz w:val="20"/>
                <w:szCs w:val="20"/>
                <w:color w:val="auto"/>
              </w:rPr>
            </w:pPr>
            <w:r>
              <w:rPr>
                <w:rFonts w:ascii="Arial" w:cs="Arial" w:eastAsia="Arial" w:hAnsi="Arial"/>
                <w:sz w:val="18"/>
                <w:szCs w:val="18"/>
                <w:color w:val="auto"/>
                <w:w w:val="90"/>
              </w:rPr>
              <w:t>$26.46</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894,253</w:t>
            </w:r>
          </w:p>
        </w:tc>
        <w:tc>
          <w:tcPr>
            <w:tcW w:w="2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1,770,940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Quarter 2008</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20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106,860</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720" w:type="dxa"/>
            <w:vAlign w:val="bottom"/>
            <w:tcBorders>
              <w:left w:val="single" w:sz="8" w:color="CCEEFF"/>
            </w:tcBorders>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0"/>
              </w:rPr>
              <w:t>$28.39</w:t>
            </w:r>
          </w:p>
        </w:tc>
        <w:tc>
          <w:tcPr>
            <w:tcW w:w="12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880,956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2,204,591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4th Quarter 2007</w:t>
            </w:r>
          </w:p>
        </w:tc>
        <w:tc>
          <w:tcPr>
            <w:tcW w:w="1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118,389</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20.47</w:t>
            </w:r>
          </w:p>
        </w:tc>
        <w:tc>
          <w:tcPr>
            <w:tcW w:w="720" w:type="dxa"/>
            <w:vAlign w:val="bottom"/>
            <w:gridSpan w:val="2"/>
          </w:tcPr>
          <w:p>
            <w:pPr>
              <w:jc w:val="center"/>
              <w:ind w:left="1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16.35</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487,942</w:t>
            </w:r>
          </w:p>
        </w:tc>
        <w:tc>
          <w:tcPr>
            <w:tcW w:w="2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2,345,410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20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434,114</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720" w:type="dxa"/>
            <w:vAlign w:val="bottom"/>
            <w:tcBorders>
              <w:left w:val="single" w:sz="8" w:color="CCEEFF"/>
            </w:tcBorders>
            <w:gridSpan w:val="2"/>
            <w:shd w:val="clear" w:color="auto" w:fill="CCEEFF"/>
          </w:tcPr>
          <w:p>
            <w:pPr>
              <w:jc w:val="center"/>
              <w:ind w:left="1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24.89</w:t>
            </w:r>
          </w:p>
        </w:tc>
        <w:tc>
          <w:tcPr>
            <w:tcW w:w="12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3,520,224</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8,545,899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gridSpan w:val="4"/>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0" w:type="dxa"/>
            <w:vAlign w:val="bottom"/>
            <w:gridSpan w:val="13"/>
          </w:tcPr>
          <w:p>
            <w:pPr>
              <w:spacing w:after="0"/>
              <w:rPr>
                <w:sz w:val="20"/>
                <w:szCs w:val="20"/>
                <w:color w:val="auto"/>
              </w:rPr>
            </w:pPr>
            <w:r>
              <w:rPr>
                <w:rFonts w:ascii="Arial" w:cs="Arial" w:eastAsia="Arial" w:hAnsi="Arial"/>
                <w:sz w:val="18"/>
                <w:szCs w:val="18"/>
                <w:b w:val="1"/>
                <w:bCs w:val="1"/>
                <w:color w:val="auto"/>
              </w:rPr>
              <w:t>Renewal Lease Summary - Comparable (2) (7)</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Straight-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lined</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Cash</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Basis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Number</w:t>
            </w:r>
          </w:p>
        </w:tc>
        <w:tc>
          <w:tcPr>
            <w:tcW w:w="9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Prior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Basis %</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Increase</w:t>
            </w: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75"/>
              </w:rPr>
              <w:t>of</w:t>
            </w:r>
          </w:p>
        </w:tc>
        <w:tc>
          <w:tcPr>
            <w:tcW w:w="9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Comparable</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77"/>
              </w:rPr>
              <w:t>Contractual</w:t>
            </w:r>
          </w:p>
        </w:tc>
        <w:tc>
          <w:tcPr>
            <w:tcW w:w="2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Rent (4)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Annual</w:t>
            </w: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Increase</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Over</w:t>
            </w: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2"/>
                <w:szCs w:val="12"/>
                <w:color w:val="auto"/>
              </w:rPr>
            </w:pPr>
          </w:p>
        </w:tc>
        <w:tc>
          <w:tcPr>
            <w:tcW w:w="7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7"/>
              </w:rPr>
              <w:t>Tenant</w:t>
            </w:r>
          </w:p>
        </w:tc>
        <w:tc>
          <w:tcPr>
            <w:tcW w:w="20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79"/>
              </w:rPr>
              <w:t>Leases</w:t>
            </w: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79"/>
              </w:rPr>
              <w:t>Leases</w:t>
            </w:r>
          </w:p>
        </w:tc>
        <w:tc>
          <w:tcPr>
            <w:tcW w:w="18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GLA</w:t>
            </w:r>
          </w:p>
        </w:tc>
        <w:tc>
          <w:tcPr>
            <w:tcW w:w="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Rent (3)</w:t>
            </w:r>
          </w:p>
        </w:tc>
        <w:tc>
          <w:tcPr>
            <w:tcW w:w="26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Per Sq.</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Increase</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Over</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Prior</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Lease</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20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61"/>
        </w:trPr>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1"/>
              </w:rPr>
              <w:t>Signed</w:t>
            </w: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Signed</w:t>
            </w:r>
          </w:p>
        </w:tc>
        <w:tc>
          <w:tcPr>
            <w:tcW w:w="1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Signed</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Per Sq. Ft.</w:t>
            </w:r>
          </w:p>
        </w:tc>
        <w:tc>
          <w:tcPr>
            <w:tcW w:w="26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Ft.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in Rent</w:t>
            </w: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Prior Rent</w:t>
            </w: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Rent</w:t>
            </w:r>
          </w:p>
        </w:tc>
        <w:tc>
          <w:tcPr>
            <w:tcW w:w="170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Term (5)    &amp; Incentives (6)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 Quarter 2008</w:t>
            </w:r>
          </w:p>
        </w:tc>
        <w:tc>
          <w:tcPr>
            <w:tcW w:w="8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9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257,542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840" w:type="dxa"/>
            <w:vAlign w:val="bottom"/>
            <w:tcBorders>
              <w:left w:val="single" w:sz="8" w:color="CCEEFF"/>
            </w:tcBorders>
            <w:gridSpan w:val="3"/>
            <w:shd w:val="clear" w:color="auto" w:fill="CCEEFF"/>
          </w:tcPr>
          <w:p>
            <w:pPr>
              <w:jc w:val="center"/>
              <w:ind w:left="92"/>
              <w:spacing w:after="0"/>
              <w:rPr>
                <w:sz w:val="20"/>
                <w:szCs w:val="20"/>
                <w:color w:val="auto"/>
              </w:rPr>
            </w:pPr>
            <w:r>
              <w:rPr>
                <w:rFonts w:ascii="Arial" w:cs="Arial" w:eastAsia="Arial" w:hAnsi="Arial"/>
                <w:sz w:val="18"/>
                <w:szCs w:val="18"/>
                <w:color w:val="auto"/>
                <w:w w:val="90"/>
              </w:rPr>
              <w:t>$16.83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411,983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2nd Quarter 2008</w:t>
            </w:r>
          </w:p>
        </w:tc>
        <w:tc>
          <w:tcPr>
            <w:tcW w:w="820" w:type="dxa"/>
            <w:vAlign w:val="bottom"/>
            <w:gridSpan w:val="4"/>
          </w:tcPr>
          <w:p>
            <w:pPr>
              <w:jc w:val="right"/>
              <w:ind w:right="200"/>
              <w:spacing w:after="0"/>
              <w:rPr>
                <w:sz w:val="20"/>
                <w:szCs w:val="20"/>
                <w:color w:val="auto"/>
              </w:rPr>
            </w:pPr>
            <w:r>
              <w:rPr>
                <w:rFonts w:ascii="Arial" w:cs="Arial" w:eastAsia="Arial" w:hAnsi="Arial"/>
                <w:sz w:val="18"/>
                <w:szCs w:val="18"/>
                <w:color w:val="auto"/>
              </w:rPr>
              <w:t>53</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63%</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124,110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38.40</w:t>
            </w:r>
          </w:p>
        </w:tc>
        <w:tc>
          <w:tcPr>
            <w:tcW w:w="840" w:type="dxa"/>
            <w:vAlign w:val="bottom"/>
            <w:gridSpan w:val="3"/>
          </w:tcPr>
          <w:p>
            <w:pPr>
              <w:jc w:val="center"/>
              <w:ind w:left="92"/>
              <w:spacing w:after="0"/>
              <w:rPr>
                <w:sz w:val="20"/>
                <w:szCs w:val="20"/>
                <w:color w:val="auto"/>
              </w:rPr>
            </w:pPr>
            <w:r>
              <w:rPr>
                <w:rFonts w:ascii="Arial" w:cs="Arial" w:eastAsia="Arial" w:hAnsi="Arial"/>
                <w:sz w:val="18"/>
                <w:szCs w:val="18"/>
                <w:color w:val="auto"/>
                <w:w w:val="90"/>
              </w:rPr>
              <w:t>$31.76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823,628</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545,257</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1st Quarter 2008</w:t>
            </w:r>
          </w:p>
        </w:tc>
        <w:tc>
          <w:tcPr>
            <w:tcW w:w="8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9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161,748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840" w:type="dxa"/>
            <w:vAlign w:val="bottom"/>
            <w:tcBorders>
              <w:left w:val="single" w:sz="8" w:color="CCEEFF"/>
            </w:tcBorders>
            <w:gridSpan w:val="3"/>
            <w:shd w:val="clear" w:color="auto" w:fill="CCEEFF"/>
          </w:tcPr>
          <w:p>
            <w:pPr>
              <w:jc w:val="center"/>
              <w:ind w:left="92"/>
              <w:spacing w:after="0"/>
              <w:rPr>
                <w:sz w:val="20"/>
                <w:szCs w:val="20"/>
                <w:color w:val="auto"/>
              </w:rPr>
            </w:pPr>
            <w:r>
              <w:rPr>
                <w:rFonts w:ascii="Arial" w:cs="Arial" w:eastAsia="Arial" w:hAnsi="Arial"/>
                <w:sz w:val="18"/>
                <w:szCs w:val="18"/>
                <w:color w:val="auto"/>
                <w:w w:val="90"/>
              </w:rPr>
              <w:t>$20.65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613,475</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4th Quarter 2007</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74%</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353,464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19.37</w:t>
            </w:r>
          </w:p>
        </w:tc>
        <w:tc>
          <w:tcPr>
            <w:tcW w:w="840" w:type="dxa"/>
            <w:vAlign w:val="bottom"/>
            <w:gridSpan w:val="3"/>
          </w:tcPr>
          <w:p>
            <w:pPr>
              <w:jc w:val="center"/>
              <w:ind w:left="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15.94</w:t>
            </w: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1,213,705</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15,000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9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896,864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840" w:type="dxa"/>
            <w:vAlign w:val="bottom"/>
            <w:tcBorders>
              <w:left w:val="single" w:sz="8" w:color="CCEEFF"/>
            </w:tcBorders>
            <w:gridSpan w:val="3"/>
            <w:shd w:val="clear" w:color="auto" w:fill="CCEEFF"/>
          </w:tcPr>
          <w:p>
            <w:pPr>
              <w:jc w:val="center"/>
              <w:ind w:left="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19.23</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3,062,791</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1,069,257</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Lease Summary - Comparable and Non-comparable (2)</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18"/>
              <w:spacing w:after="0" w:line="15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320" w:type="dxa"/>
            <w:vAlign w:val="bottom"/>
          </w:tcPr>
          <w:p>
            <w:pPr>
              <w:spacing w:after="0"/>
              <w:rPr>
                <w:sz w:val="12"/>
                <w:szCs w:val="12"/>
                <w:color w:val="auto"/>
              </w:rPr>
            </w:pPr>
          </w:p>
        </w:tc>
        <w:tc>
          <w:tcPr>
            <w:tcW w:w="8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Weighted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Tenant</w:t>
            </w:r>
          </w:p>
        </w:tc>
        <w:tc>
          <w:tcPr>
            <w:tcW w:w="32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0" w:type="dxa"/>
            <w:vAlign w:val="bottom"/>
          </w:tcPr>
          <w:p>
            <w:pPr>
              <w:spacing w:after="0"/>
              <w:rPr>
                <w:sz w:val="1"/>
                <w:szCs w:val="1"/>
                <w:color w:val="auto"/>
              </w:rPr>
            </w:pPr>
          </w:p>
        </w:tc>
      </w:tr>
      <w:tr>
        <w:trPr>
          <w:trHeight w:val="149"/>
        </w:trPr>
        <w:tc>
          <w:tcPr>
            <w:tcW w:w="17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Quarter</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Rent (3)</w:t>
            </w:r>
          </w:p>
        </w:tc>
        <w:tc>
          <w:tcPr>
            <w:tcW w:w="32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Average</w:t>
            </w:r>
          </w:p>
        </w:tc>
        <w:tc>
          <w:tcPr>
            <w:tcW w:w="3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Improvements</w:t>
            </w:r>
          </w:p>
        </w:tc>
        <w:tc>
          <w:tcPr>
            <w:tcW w:w="3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0" w:type="dxa"/>
            <w:vAlign w:val="bottom"/>
          </w:tcPr>
          <w:p>
            <w:pPr>
              <w:spacing w:after="0"/>
              <w:rPr>
                <w:sz w:val="1"/>
                <w:szCs w:val="1"/>
                <w:color w:val="auto"/>
              </w:rPr>
            </w:pPr>
          </w:p>
        </w:tc>
      </w:tr>
      <w:tr>
        <w:trPr>
          <w:trHeight w:val="148"/>
        </w:trPr>
        <w:tc>
          <w:tcPr>
            <w:tcW w:w="1720" w:type="dxa"/>
            <w:vAlign w:val="bottom"/>
            <w:gridSpan w:val="4"/>
            <w:vMerge w:val="continue"/>
          </w:tcPr>
          <w:p>
            <w:pPr>
              <w:spacing w:after="0"/>
              <w:rPr>
                <w:sz w:val="12"/>
                <w:szCs w:val="12"/>
                <w:color w:val="auto"/>
              </w:rPr>
            </w:pPr>
          </w:p>
        </w:tc>
        <w:tc>
          <w:tcPr>
            <w:tcW w:w="114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Leases Signed</w:t>
            </w:r>
          </w:p>
        </w:tc>
        <w:tc>
          <w:tcPr>
            <w:tcW w:w="7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7"/>
              </w:rPr>
              <w:t>GLA Signed</w:t>
            </w:r>
          </w:p>
        </w:tc>
        <w:tc>
          <w:tcPr>
            <w:tcW w:w="320" w:type="dxa"/>
            <w:vAlign w:val="bottom"/>
          </w:tcPr>
          <w:p>
            <w:pPr>
              <w:spacing w:after="0"/>
              <w:rPr>
                <w:sz w:val="12"/>
                <w:szCs w:val="12"/>
                <w:color w:val="auto"/>
              </w:rPr>
            </w:pPr>
          </w:p>
        </w:tc>
        <w:tc>
          <w:tcPr>
            <w:tcW w:w="7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2"/>
              </w:rPr>
              <w:t>Per Sq. Ft.</w:t>
            </w:r>
          </w:p>
        </w:tc>
        <w:tc>
          <w:tcPr>
            <w:tcW w:w="320" w:type="dxa"/>
            <w:vAlign w:val="bottom"/>
          </w:tcPr>
          <w:p>
            <w:pPr>
              <w:spacing w:after="0"/>
              <w:rPr>
                <w:sz w:val="12"/>
                <w:szCs w:val="12"/>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4"/>
              </w:rPr>
              <w:t>Lease Term (5)</w:t>
            </w:r>
          </w:p>
        </w:tc>
        <w:tc>
          <w:tcPr>
            <w:tcW w:w="340" w:type="dxa"/>
            <w:vAlign w:val="bottom"/>
          </w:tcPr>
          <w:p>
            <w:pPr>
              <w:spacing w:after="0"/>
              <w:rPr>
                <w:sz w:val="12"/>
                <w:szCs w:val="12"/>
                <w:color w:val="auto"/>
              </w:rPr>
            </w:pPr>
          </w:p>
        </w:tc>
        <w:tc>
          <w:tcPr>
            <w:tcW w:w="9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6"/>
              </w:rPr>
              <w:t>&amp; Incentives (6)</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8"/>
              <w:spacing w:after="0" w:line="148" w:lineRule="exact"/>
              <w:rPr>
                <w:sz w:val="20"/>
                <w:szCs w:val="20"/>
                <w:color w:val="auto"/>
              </w:rPr>
            </w:pPr>
            <w:r>
              <w:rPr>
                <w:rFonts w:ascii="Arial" w:cs="Arial" w:eastAsia="Arial" w:hAnsi="Arial"/>
                <w:sz w:val="14"/>
                <w:szCs w:val="14"/>
                <w:b w:val="1"/>
                <w:bCs w:val="1"/>
                <w:color w:val="auto"/>
                <w:w w:val="89"/>
              </w:rPr>
              <w:t>Per Sq. Ft.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3rd Quarter 2008</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369,323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3,721,035</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8"/>
                <w:szCs w:val="18"/>
                <w:color w:val="auto"/>
              </w:rPr>
              <w:t>2nd Quarter 2008</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90</w:t>
            </w:r>
          </w:p>
        </w:tc>
        <w:tc>
          <w:tcPr>
            <w:tcW w:w="720" w:type="dxa"/>
            <w:vAlign w:val="bottom"/>
          </w:tcPr>
          <w:p>
            <w:pPr>
              <w:jc w:val="right"/>
              <w:spacing w:after="0"/>
              <w:rPr>
                <w:sz w:val="20"/>
                <w:szCs w:val="20"/>
                <w:color w:val="auto"/>
              </w:rPr>
            </w:pPr>
            <w:r>
              <w:rPr>
                <w:rFonts w:ascii="Arial" w:cs="Arial" w:eastAsia="Arial" w:hAnsi="Arial"/>
                <w:sz w:val="18"/>
                <w:szCs w:val="18"/>
                <w:color w:val="auto"/>
              </w:rPr>
              <w:t>253,048</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36.40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2,940,855</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1st Quarter 2008</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295,646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3,005,202</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8"/>
                <w:szCs w:val="18"/>
                <w:color w:val="auto"/>
              </w:rPr>
              <w:t>4th Quarter 2007</w:t>
            </w: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482,730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20.36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2,686,086</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1,400,747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12,353,178</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Comparable leases represent those leases signed on spaces for which there was a former tenant.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rent represents minimum rent and percentage rent, if any, paid by the prior tenant in the final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Renewal leases represent expiring leases rolling over with the same tenant in the same location. All other leases are categorized as new.</w:t>
      </w:r>
    </w:p>
    <w:p>
      <w:pPr>
        <w:sectPr>
          <w:pgSz w:w="11900" w:h="16838" w:orient="portrait"/>
          <w:cols w:equalWidth="0" w:num="1">
            <w:col w:w="11420"/>
          </w:cols>
          <w:pgMar w:left="240" w:top="274"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74"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Assumes no exercise of lease options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5"/>
              </w:rPr>
              <w:t>Anchor Tenants (1)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4"/>
              </w:rPr>
              <w:t>Small Shop Tenants</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 of Small</w:t>
            </w:r>
          </w:p>
        </w:tc>
        <w:tc>
          <w:tcPr>
            <w:tcW w:w="1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2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Expiring SF</w:t>
            </w:r>
          </w:p>
        </w:tc>
        <w:tc>
          <w:tcPr>
            <w:tcW w:w="2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Anchor SF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PSF (2)</w:t>
            </w:r>
          </w:p>
        </w:tc>
        <w:tc>
          <w:tcPr>
            <w:tcW w:w="1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7"/>
              </w:rPr>
              <w:t>Expiring SF</w:t>
            </w:r>
          </w:p>
        </w:tc>
        <w:tc>
          <w:tcPr>
            <w:tcW w:w="18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Shop SF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PSF (2)</w:t>
            </w: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Expiring SF</w:t>
            </w: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Total SF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217,000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572,000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10.92</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772,000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27.75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1,344,000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12.01</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1,000,000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1,720,000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2011</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14.78</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1,134,000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30.17</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1,844,000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1,022,000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13.10</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1,062,000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2,084,000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1,054,000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11%</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14.43</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955,000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31.76</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2,009,000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1,196,000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16.82</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446,000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1,642,000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467,000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15.60</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430,000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28.26</w:t>
            </w:r>
          </w:p>
        </w:tc>
        <w:tc>
          <w:tcPr>
            <w:tcW w:w="780" w:type="dxa"/>
            <w:vAlign w:val="bottom"/>
          </w:tcPr>
          <w:p>
            <w:pPr>
              <w:jc w:val="right"/>
              <w:spacing w:after="0"/>
              <w:rPr>
                <w:sz w:val="20"/>
                <w:szCs w:val="20"/>
                <w:color w:val="auto"/>
              </w:rPr>
            </w:pPr>
            <w:r>
              <w:rPr>
                <w:rFonts w:ascii="Arial" w:cs="Arial" w:eastAsia="Arial" w:hAnsi="Arial"/>
                <w:sz w:val="18"/>
                <w:szCs w:val="18"/>
                <w:color w:val="auto"/>
              </w:rPr>
              <w:t>897,000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414,000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2017</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17.18</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431,000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31.97</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1,054,000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2,905,000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573,000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3,478,000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(3)</w:t>
            </w: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20" w:type="dxa"/>
            <w:vAlign w:val="bottom"/>
            <w:gridSpan w:val="4"/>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9,653,000</w:t>
            </w:r>
          </w:p>
        </w:tc>
        <w:tc>
          <w:tcPr>
            <w:tcW w:w="2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14.93</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7,434,000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30.33</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17,087,000</w:t>
            </w:r>
          </w:p>
        </w:tc>
        <w:tc>
          <w:tcPr>
            <w:tcW w:w="2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3120" w:type="dxa"/>
            <w:vAlign w:val="bottom"/>
            <w:gridSpan w:val="5"/>
          </w:tcPr>
          <w:p>
            <w:pPr>
              <w:spacing w:after="0"/>
              <w:rPr>
                <w:sz w:val="20"/>
                <w:szCs w:val="20"/>
                <w:color w:val="auto"/>
              </w:rPr>
            </w:pPr>
            <w:r>
              <w:rPr>
                <w:rFonts w:ascii="Arial" w:cs="Arial" w:eastAsia="Arial" w:hAnsi="Arial"/>
                <w:sz w:val="18"/>
                <w:szCs w:val="18"/>
                <w:b w:val="1"/>
                <w:bCs w:val="1"/>
                <w:color w:val="auto"/>
                <w:w w:val="89"/>
              </w:rPr>
              <w:t>Assumes all lease options are exercised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5"/>
              </w:rPr>
              <w:t>Anchor Tenants (1)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4"/>
              </w:rPr>
              <w:t>Small Shop Tenants</w:t>
            </w:r>
          </w:p>
        </w:tc>
        <w:tc>
          <w:tcPr>
            <w:tcW w:w="7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 of Small</w:t>
            </w:r>
          </w:p>
        </w:tc>
        <w:tc>
          <w:tcPr>
            <w:tcW w:w="1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1"/>
              </w:rPr>
              <w:t>Minimum Rent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2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Expiring SF</w:t>
            </w:r>
          </w:p>
        </w:tc>
        <w:tc>
          <w:tcPr>
            <w:tcW w:w="2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Anchor SF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PSF (2)</w:t>
            </w:r>
          </w:p>
        </w:tc>
        <w:tc>
          <w:tcPr>
            <w:tcW w:w="12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7"/>
              </w:rPr>
              <w:t>Expiring SF</w:t>
            </w:r>
          </w:p>
        </w:tc>
        <w:tc>
          <w:tcPr>
            <w:tcW w:w="18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Shop SF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PSF (2)</w:t>
            </w: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Expiring SF</w:t>
            </w: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Total SF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172,000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251,000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11.86</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453,000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29.54</w:t>
            </w:r>
          </w:p>
        </w:tc>
        <w:tc>
          <w:tcPr>
            <w:tcW w:w="780" w:type="dxa"/>
            <w:vAlign w:val="bottom"/>
          </w:tcPr>
          <w:p>
            <w:pPr>
              <w:jc w:val="right"/>
              <w:spacing w:after="0"/>
              <w:rPr>
                <w:sz w:val="20"/>
                <w:szCs w:val="20"/>
                <w:color w:val="auto"/>
              </w:rPr>
            </w:pPr>
            <w:r>
              <w:rPr>
                <w:rFonts w:ascii="Arial" w:cs="Arial" w:eastAsia="Arial" w:hAnsi="Arial"/>
                <w:sz w:val="18"/>
                <w:szCs w:val="18"/>
                <w:color w:val="auto"/>
              </w:rPr>
              <w:t>704,000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8.49</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538,000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2011</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7.19</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640,000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28.94</w:t>
            </w:r>
          </w:p>
        </w:tc>
        <w:tc>
          <w:tcPr>
            <w:tcW w:w="780" w:type="dxa"/>
            <w:vAlign w:val="bottom"/>
          </w:tcPr>
          <w:p>
            <w:pPr>
              <w:jc w:val="right"/>
              <w:spacing w:after="0"/>
              <w:rPr>
                <w:sz w:val="20"/>
                <w:szCs w:val="20"/>
                <w:color w:val="auto"/>
              </w:rPr>
            </w:pPr>
            <w:r>
              <w:rPr>
                <w:rFonts w:ascii="Arial" w:cs="Arial" w:eastAsia="Arial" w:hAnsi="Arial"/>
                <w:sz w:val="18"/>
                <w:szCs w:val="18"/>
                <w:color w:val="auto"/>
              </w:rPr>
              <w:t>683,000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14.92</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614,000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15.11</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532,000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30.60</w:t>
            </w:r>
          </w:p>
        </w:tc>
        <w:tc>
          <w:tcPr>
            <w:tcW w:w="780" w:type="dxa"/>
            <w:vAlign w:val="bottom"/>
          </w:tcPr>
          <w:p>
            <w:pPr>
              <w:jc w:val="right"/>
              <w:spacing w:after="0"/>
              <w:rPr>
                <w:sz w:val="20"/>
                <w:szCs w:val="20"/>
                <w:color w:val="auto"/>
              </w:rPr>
            </w:pPr>
            <w:r>
              <w:rPr>
                <w:rFonts w:ascii="Arial" w:cs="Arial" w:eastAsia="Arial" w:hAnsi="Arial"/>
                <w:sz w:val="18"/>
                <w:szCs w:val="18"/>
                <w:color w:val="auto"/>
              </w:rPr>
              <w:t>659,000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12.27</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437,000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711,000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17.17</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416,000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26.03</w:t>
            </w:r>
          </w:p>
        </w:tc>
        <w:tc>
          <w:tcPr>
            <w:tcW w:w="780" w:type="dxa"/>
            <w:vAlign w:val="bottom"/>
          </w:tcPr>
          <w:p>
            <w:pPr>
              <w:jc w:val="right"/>
              <w:spacing w:after="0"/>
              <w:rPr>
                <w:sz w:val="20"/>
                <w:szCs w:val="20"/>
                <w:color w:val="auto"/>
              </w:rPr>
            </w:pPr>
            <w:r>
              <w:rPr>
                <w:rFonts w:ascii="Arial" w:cs="Arial" w:eastAsia="Arial" w:hAnsi="Arial"/>
                <w:sz w:val="18"/>
                <w:szCs w:val="18"/>
                <w:color w:val="auto"/>
              </w:rPr>
              <w:t>605,000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20.50</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403,000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32.38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2017</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127,000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26.65</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540,000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30.04</w:t>
            </w:r>
          </w:p>
        </w:tc>
        <w:tc>
          <w:tcPr>
            <w:tcW w:w="780" w:type="dxa"/>
            <w:vAlign w:val="bottom"/>
          </w:tcPr>
          <w:p>
            <w:pPr>
              <w:jc w:val="right"/>
              <w:spacing w:after="0"/>
              <w:rPr>
                <w:sz w:val="20"/>
                <w:szCs w:val="20"/>
                <w:color w:val="auto"/>
              </w:rPr>
            </w:pPr>
            <w:r>
              <w:rPr>
                <w:rFonts w:ascii="Arial" w:cs="Arial" w:eastAsia="Arial" w:hAnsi="Arial"/>
                <w:sz w:val="18"/>
                <w:szCs w:val="18"/>
                <w:color w:val="auto"/>
              </w:rPr>
              <w:t>667,000</w:t>
            </w:r>
          </w:p>
        </w:tc>
        <w:tc>
          <w:tcPr>
            <w:tcW w:w="2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8,043,000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15.02</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2,689,000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10,732,000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(3)</w:t>
            </w: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20" w:type="dxa"/>
            <w:vAlign w:val="bottom"/>
            <w:gridSpan w:val="4"/>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9,653,000</w:t>
            </w:r>
          </w:p>
        </w:tc>
        <w:tc>
          <w:tcPr>
            <w:tcW w:w="2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14.93</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7,434,000</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30.33</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17,087,000</w:t>
            </w:r>
          </w:p>
        </w:tc>
        <w:tc>
          <w:tcPr>
            <w:tcW w:w="2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Anchor is defined as a tenant leasing 15,000 square feet or more.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Minimum Rent reflects in-place contractual (cash-basis) rent as of September 30,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occupied square footage as of September 30,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Leased Statistics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Portfolio Statistics (1)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204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w w:val="91"/>
              </w:rPr>
              <w:t>At September 30, 2008</w:t>
            </w: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w w:val="91"/>
              </w:rPr>
              <w:t>At September 30, 2007</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gridSpan w:val="4"/>
            <w:vMerge w:val="continue"/>
          </w:tcPr>
          <w:p>
            <w:pPr>
              <w:spacing w:after="0"/>
              <w:rPr>
                <w:sz w:val="12"/>
                <w:szCs w:val="12"/>
                <w:color w:val="auto"/>
              </w:rPr>
            </w:pPr>
          </w:p>
        </w:tc>
        <w:tc>
          <w:tcPr>
            <w:tcW w:w="80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340" w:type="dxa"/>
            <w:vAlign w:val="bottom"/>
          </w:tcPr>
          <w:p>
            <w:pPr>
              <w:spacing w:after="0"/>
              <w:rPr>
                <w:sz w:val="12"/>
                <w:szCs w:val="12"/>
                <w:color w:val="auto"/>
              </w:rPr>
            </w:pPr>
          </w:p>
        </w:tc>
        <w:tc>
          <w:tcPr>
            <w:tcW w:w="80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(sf)</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18,130,000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17,323,000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19,507,000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18,808,000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700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96.8%</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700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412"/>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Same Center Statistics (1)</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4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w w:val="91"/>
              </w:rPr>
              <w:t>At September 30, 2008</w:t>
            </w: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w w:val="91"/>
              </w:rPr>
              <w:t>At September 30, 2007</w:t>
            </w: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2040" w:type="dxa"/>
            <w:vAlign w:val="bottom"/>
            <w:tcBorders>
              <w:bottom w:val="single" w:sz="8" w:color="auto"/>
            </w:tcBorders>
            <w:gridSpan w:val="4"/>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Borders>
              <w:bottom w:val="single" w:sz="8" w:color="auto"/>
            </w:tcBorders>
            <w:gridSpan w:val="4"/>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00" w:type="dxa"/>
            <w:vAlign w:val="bottom"/>
            <w:gridSpan w:val="4"/>
            <w:vMerge w:val="continue"/>
          </w:tcPr>
          <w:p>
            <w:pPr>
              <w:spacing w:after="0"/>
              <w:rPr>
                <w:sz w:val="12"/>
                <w:szCs w:val="12"/>
                <w:color w:val="auto"/>
              </w:rPr>
            </w:pPr>
          </w:p>
        </w:tc>
        <w:tc>
          <w:tcPr>
            <w:tcW w:w="80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340" w:type="dxa"/>
            <w:vAlign w:val="bottom"/>
          </w:tcPr>
          <w:p>
            <w:pPr>
              <w:spacing w:after="0"/>
              <w:rPr>
                <w:sz w:val="12"/>
                <w:szCs w:val="12"/>
                <w:color w:val="auto"/>
              </w:rPr>
            </w:pPr>
          </w:p>
        </w:tc>
        <w:tc>
          <w:tcPr>
            <w:tcW w:w="80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Size</w:t>
            </w:r>
          </w:p>
        </w:tc>
        <w:tc>
          <w:tcPr>
            <w:tcW w:w="220" w:type="dxa"/>
            <w:vAlign w:val="bottom"/>
          </w:tcPr>
          <w:p>
            <w:pPr>
              <w:spacing w:after="0"/>
              <w:rPr>
                <w:sz w:val="12"/>
                <w:szCs w:val="12"/>
                <w:color w:val="auto"/>
              </w:rPr>
            </w:pPr>
          </w:p>
        </w:tc>
        <w:tc>
          <w:tcPr>
            <w:tcW w:w="10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(4) (sf)</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16,817,000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16,136,000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16,821,000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16,265,000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700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96.8%</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700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Leasable square feet; excludes redevelopment square footage not yet placed in service.</w:t>
      </w:r>
    </w:p>
    <w:p>
      <w:pPr>
        <w:spacing w:after="0" w:line="9" w:lineRule="exact"/>
        <w:rPr>
          <w:rFonts w:ascii="Arial" w:cs="Arial" w:eastAsia="Arial" w:hAnsi="Arial"/>
          <w:sz w:val="18"/>
          <w:szCs w:val="18"/>
          <w:color w:val="auto"/>
        </w:rPr>
      </w:pPr>
    </w:p>
    <w:p>
      <w:pPr>
        <w:jc w:val="both"/>
        <w:ind w:left="460" w:right="24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Overall portfolio and Same Center statistics at September 30, 2008 and 2007 include Rollingwood, The Crest at Congressional and the residential rental units at Santana Row. The 180 residential units at Arlington East (Bethesda Row) were first delivered in late May 2008 and will continue to be delivered through 2008.</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properties purchased, sold or under redevelopment.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Top 25 Tenants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Percentage of</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Tenant Name</w:t>
            </w:r>
          </w:p>
        </w:tc>
        <w:tc>
          <w:tcPr>
            <w:tcW w:w="360" w:type="dxa"/>
            <w:vAlign w:val="bottom"/>
          </w:tcPr>
          <w:p>
            <w:pPr>
              <w:spacing w:after="0"/>
              <w:rPr>
                <w:sz w:val="12"/>
                <w:szCs w:val="12"/>
                <w:color w:val="auto"/>
              </w:rPr>
            </w:pPr>
          </w:p>
        </w:tc>
        <w:tc>
          <w:tcPr>
            <w:tcW w:w="16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Annualized Base</w:t>
            </w:r>
          </w:p>
        </w:tc>
        <w:tc>
          <w:tcPr>
            <w:tcW w:w="14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Total Annualized</w:t>
            </w: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2"/>
              </w:rPr>
              <w:t>Percentage of</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Stores</w:t>
            </w:r>
          </w:p>
        </w:tc>
        <w:tc>
          <w:tcPr>
            <w:tcW w:w="0" w:type="dxa"/>
            <w:vAlign w:val="bottom"/>
          </w:tcPr>
          <w:p>
            <w:pPr>
              <w:spacing w:after="0"/>
              <w:rPr>
                <w:sz w:val="1"/>
                <w:szCs w:val="1"/>
                <w:color w:val="auto"/>
              </w:rPr>
            </w:pPr>
          </w:p>
        </w:tc>
      </w:tr>
      <w:tr>
        <w:trPr>
          <w:trHeight w:val="161"/>
        </w:trPr>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3"/>
              </w:rPr>
              <w:t>Rank</w:t>
            </w:r>
          </w:p>
        </w:tc>
        <w:tc>
          <w:tcPr>
            <w:tcW w:w="320" w:type="dxa"/>
            <w:vAlign w:val="bottom"/>
          </w:tcPr>
          <w:p>
            <w:pPr>
              <w:spacing w:after="0"/>
              <w:rPr>
                <w:sz w:val="14"/>
                <w:szCs w:val="14"/>
                <w:color w:val="auto"/>
              </w:rPr>
            </w:pPr>
          </w:p>
        </w:tc>
        <w:tc>
          <w:tcPr>
            <w:tcW w:w="40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Rent</w:t>
            </w: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Base Rent</w:t>
            </w: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5"/>
              </w:rPr>
              <w:t>Tenant GLA</w:t>
            </w: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 GLA</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Leased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Bed, Bath &amp; Beyond, Inc.</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2.61%</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647,000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Ahold USA, Inc.</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8,167,000</w:t>
            </w:r>
          </w:p>
        </w:tc>
        <w:tc>
          <w:tcPr>
            <w:tcW w:w="58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2.21%</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571,000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3.15%</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TJX Companies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540,000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Safeway, Inc.</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6,719,000</w:t>
            </w:r>
          </w:p>
        </w:tc>
        <w:tc>
          <w:tcPr>
            <w:tcW w:w="58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1.82%</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481,000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2.65%</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Gap, Inc.</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220,000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CVS Corporation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5,643,000</w:t>
            </w:r>
          </w:p>
        </w:tc>
        <w:tc>
          <w:tcPr>
            <w:tcW w:w="58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1.53%</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179,000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0.99%</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Barnes &amp; Noble, Inc.</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201,000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OPNET Technologies, Inc.</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3,645,000</w:t>
            </w:r>
          </w:p>
        </w:tc>
        <w:tc>
          <w:tcPr>
            <w:tcW w:w="58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0.99%</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83,000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0.46%</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Best Buy Stores, L.P.</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0.94%</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Staples, Inc.</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3,376,000</w:t>
            </w:r>
          </w:p>
        </w:tc>
        <w:tc>
          <w:tcPr>
            <w:tcW w:w="58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0.91%</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187,000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1.03%</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DSW, Inc</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0.88%</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125,000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Supervalu Inc.(Acme/Sav-A-</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3,213,000</w:t>
            </w:r>
          </w:p>
        </w:tc>
        <w:tc>
          <w:tcPr>
            <w:tcW w:w="58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0.87%</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338,000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1.86%</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Lot/Star Mkt/Shoppers Food)</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Borders Group, Inc.</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0.78%</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129,000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Home Depot, Inc.</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2,832,000</w:t>
            </w:r>
          </w:p>
        </w:tc>
        <w:tc>
          <w:tcPr>
            <w:tcW w:w="58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0.77%</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335,000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1.85%</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Kohl’s Corporation</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0.76%</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322,000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Ross Stores, Inc.</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2,672,000</w:t>
            </w:r>
          </w:p>
        </w:tc>
        <w:tc>
          <w:tcPr>
            <w:tcW w:w="58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0.72%</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149,000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0.82%</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Wachovia Corporation</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0.72%</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Wakefern Food Corporation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2,546,000</w:t>
            </w:r>
          </w:p>
        </w:tc>
        <w:tc>
          <w:tcPr>
            <w:tcW w:w="58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0.69%</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136,000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0.75%</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 Moore, Inc.</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0.67%</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141,000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Bank of America, N.A.</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2,408,000</w:t>
            </w:r>
          </w:p>
        </w:tc>
        <w:tc>
          <w:tcPr>
            <w:tcW w:w="58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0.65%</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64,000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0.35%</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L.A. Fitness International LLC</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0.65%</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117,000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AMC Entertainment Inc.</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2,378,000</w:t>
            </w:r>
          </w:p>
        </w:tc>
        <w:tc>
          <w:tcPr>
            <w:tcW w:w="58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0.64%</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166,000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0.92%</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Dollar Tree Stores, Inc.</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0.64%</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158,000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Container Store, Inc.</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2,354,000</w:t>
            </w:r>
          </w:p>
        </w:tc>
        <w:tc>
          <w:tcPr>
            <w:tcW w:w="58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0.64%</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52,000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0.29%</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PETsMART, Inc.</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2,240,000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0.61%</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130,000</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0" w:type="dxa"/>
            <w:vAlign w:val="bottom"/>
            <w:vMerge w:val="restart"/>
          </w:tcPr>
          <w:p>
            <w:pPr>
              <w:spacing w:after="0"/>
              <w:rPr>
                <w:sz w:val="20"/>
                <w:szCs w:val="20"/>
                <w:color w:val="auto"/>
              </w:rPr>
            </w:pPr>
            <w:r>
              <w:rPr>
                <w:rFonts w:ascii="Arial" w:cs="Arial" w:eastAsia="Arial" w:hAnsi="Arial"/>
                <w:sz w:val="18"/>
                <w:szCs w:val="18"/>
                <w:color w:val="auto"/>
              </w:rPr>
              <w:t>Totals - Top 25 Tenants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0" w:type="dxa"/>
            <w:vAlign w:val="bottom"/>
            <w:vMerge w:val="continue"/>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98,268,000</w:t>
            </w:r>
          </w:p>
        </w:tc>
        <w:tc>
          <w:tcPr>
            <w:tcW w:w="58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26.60%</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5,631,000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31.08%</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369,557,000 (2)</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18,130,000 (3)</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Does not include amounts related to leases these tenants have with our partnership with a discretionary fund created and advised by ING Clarion Partners.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annual in-place contractual (cash-basis) rent as of September 30,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redevelopment square footage not yet placed in service.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300" w:type="dxa"/>
            <w:vAlign w:val="bottom"/>
            <w:tcBorders>
              <w:bottom w:val="single" w:sz="8" w:color="auto"/>
            </w:tcBorders>
            <w:gridSpan w:val="4"/>
          </w:tcPr>
          <w:p>
            <w:pPr>
              <w:jc w:val="center"/>
              <w:ind w:left="237"/>
              <w:spacing w:after="0"/>
              <w:rPr>
                <w:sz w:val="20"/>
                <w:szCs w:val="20"/>
                <w:color w:val="auto"/>
              </w:rPr>
            </w:pPr>
            <w:r>
              <w:rPr>
                <w:rFonts w:ascii="Arial" w:cs="Arial" w:eastAsia="Arial" w:hAnsi="Arial"/>
                <w:sz w:val="14"/>
                <w:szCs w:val="14"/>
                <w:b w:val="1"/>
                <w:bCs w:val="1"/>
                <w:color w:val="auto"/>
                <w:w w:val="86"/>
              </w:rPr>
              <w:t>2008 Guidance</w:t>
            </w: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580" w:type="dxa"/>
            <w:vAlign w:val="bottom"/>
          </w:tcPr>
          <w:p>
            <w:pPr>
              <w:spacing w:after="0"/>
              <w:rPr>
                <w:sz w:val="11"/>
                <w:szCs w:val="11"/>
                <w:color w:val="auto"/>
              </w:rPr>
            </w:pPr>
          </w:p>
        </w:tc>
        <w:tc>
          <w:tcPr>
            <w:tcW w:w="1300" w:type="dxa"/>
            <w:vAlign w:val="bottom"/>
            <w:gridSpan w:val="4"/>
          </w:tcPr>
          <w:p>
            <w:pPr>
              <w:jc w:val="center"/>
              <w:ind w:left="217"/>
              <w:spacing w:after="0" w:line="129" w:lineRule="exact"/>
              <w:rPr>
                <w:sz w:val="20"/>
                <w:szCs w:val="20"/>
                <w:color w:val="auto"/>
              </w:rPr>
            </w:pPr>
            <w:r>
              <w:rPr>
                <w:rFonts w:ascii="Arial" w:cs="Arial" w:eastAsia="Arial" w:hAnsi="Arial"/>
                <w:sz w:val="14"/>
                <w:szCs w:val="14"/>
                <w:b w:val="1"/>
                <w:bCs w:val="1"/>
                <w:color w:val="auto"/>
                <w:w w:val="85"/>
              </w:rPr>
              <w:t>($ millions except</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16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86"/>
              </w:rPr>
              <w:t>per share amounts) (1)</w:t>
            </w:r>
          </w:p>
        </w:tc>
      </w:tr>
      <w:tr>
        <w:trPr>
          <w:trHeight w:val="217"/>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129</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   $</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&amp; real estate partnership assets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Dividends on preferred stock</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22"/>
        </w:trPr>
        <w:tc>
          <w:tcPr>
            <w:tcW w:w="9740" w:type="dxa"/>
            <w:vAlign w:val="bottom"/>
            <w:gridSpan w:val="3"/>
          </w:tcPr>
          <w:p>
            <w:pPr>
              <w:spacing w:after="0"/>
              <w:rPr>
                <w:sz w:val="20"/>
                <w:szCs w:val="20"/>
                <w:color w:val="auto"/>
              </w:rPr>
            </w:pPr>
            <w:r>
              <w:rPr>
                <w:rFonts w:ascii="Arial" w:cs="Arial" w:eastAsia="Arial" w:hAnsi="Arial"/>
                <w:sz w:val="18"/>
                <w:szCs w:val="18"/>
                <w:color w:val="auto"/>
              </w:rPr>
              <w:t>Funds from operations available for common shareholders</w:t>
            </w:r>
          </w:p>
        </w:tc>
        <w:tc>
          <w:tcPr>
            <w:tcW w:w="460" w:type="dxa"/>
            <w:vAlign w:val="bottom"/>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19"/>
                <w:szCs w:val="19"/>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to</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232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(diluted)</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9740" w:type="dxa"/>
            <w:vAlign w:val="bottom"/>
            <w:gridSpan w:val="3"/>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460" w:type="dxa"/>
            <w:vAlign w:val="bottom"/>
          </w:tcPr>
          <w:p>
            <w:pPr>
              <w:jc w:val="right"/>
              <w:spacing w:after="0"/>
              <w:rPr>
                <w:sz w:val="20"/>
                <w:szCs w:val="20"/>
                <w:color w:val="auto"/>
              </w:rPr>
            </w:pPr>
            <w:r>
              <w:rPr>
                <w:rFonts w:ascii="Arial" w:cs="Arial" w:eastAsia="Arial" w:hAnsi="Arial"/>
                <w:sz w:val="18"/>
                <w:szCs w:val="18"/>
                <w:color w:val="auto"/>
                <w:w w:val="87"/>
              </w:rPr>
              <w:t>$ 3.89</w:t>
            </w:r>
          </w:p>
        </w:tc>
        <w:tc>
          <w:tcPr>
            <w:tcW w:w="1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3.92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1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Income Statements and Balance Sheets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INCOME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85"/>
              </w:rPr>
              <w:t>Three months ended September 30,</w:t>
            </w:r>
          </w:p>
        </w:tc>
        <w:tc>
          <w:tcPr>
            <w:tcW w:w="80" w:type="dxa"/>
            <w:vAlign w:val="bottom"/>
          </w:tcPr>
          <w:p>
            <w:pPr>
              <w:spacing w:after="0"/>
              <w:rPr>
                <w:sz w:val="14"/>
                <w:szCs w:val="14"/>
                <w:color w:val="auto"/>
              </w:rPr>
            </w:pPr>
          </w:p>
        </w:tc>
        <w:tc>
          <w:tcPr>
            <w:tcW w:w="21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w w:val="96"/>
              </w:rPr>
              <w:t>2007</w:t>
            </w: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3"/>
          </w:tcPr>
          <w:p>
            <w:pPr>
              <w:jc w:val="right"/>
              <w:ind w:right="40"/>
              <w:spacing w:after="0" w:line="129" w:lineRule="exact"/>
              <w:rPr>
                <w:sz w:val="20"/>
                <w:szCs w:val="20"/>
                <w:color w:val="auto"/>
              </w:rPr>
            </w:pPr>
            <w:r>
              <w:rPr>
                <w:rFonts w:ascii="Arial" w:cs="Arial" w:eastAsia="Arial" w:hAnsi="Arial"/>
                <w:sz w:val="14"/>
                <w:szCs w:val="14"/>
                <w:b w:val="1"/>
                <w:bCs w:val="1"/>
                <w:color w:val="auto"/>
                <w:w w:val="82"/>
              </w:rPr>
              <w:t>thousands)</w:t>
            </w: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4"/>
              </w:rPr>
              <w:t>thousands)</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4"/>
          </w:tcPr>
          <w:p>
            <w:pPr>
              <w:jc w:val="center"/>
              <w:ind w:left="316"/>
              <w:spacing w:after="0"/>
              <w:rPr>
                <w:sz w:val="20"/>
                <w:szCs w:val="20"/>
                <w:color w:val="auto"/>
              </w:rPr>
            </w:pPr>
            <w:r>
              <w:rPr>
                <w:rFonts w:ascii="Arial" w:cs="Arial" w:eastAsia="Arial" w:hAnsi="Arial"/>
                <w:sz w:val="14"/>
                <w:szCs w:val="14"/>
                <w:b w:val="1"/>
                <w:bCs w:val="1"/>
                <w:color w:val="auto"/>
                <w:w w:val="89"/>
              </w:rPr>
              <w:t>(unaudited)</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Rental income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32"/>
              <w:spacing w:after="0"/>
              <w:rPr>
                <w:sz w:val="20"/>
                <w:szCs w:val="20"/>
                <w:color w:val="auto"/>
              </w:rPr>
            </w:pPr>
            <w:r>
              <w:rPr>
                <w:rFonts w:ascii="Arial" w:cs="Arial" w:eastAsia="Arial" w:hAnsi="Arial"/>
                <w:sz w:val="18"/>
                <w:szCs w:val="18"/>
                <w:color w:val="auto"/>
              </w:rPr>
              <w:t>4,730</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4,849</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95"/>
              <w:spacing w:after="0"/>
              <w:rPr>
                <w:sz w:val="20"/>
                <w:szCs w:val="20"/>
                <w:color w:val="auto"/>
              </w:rPr>
            </w:pPr>
            <w:r>
              <w:rPr>
                <w:rFonts w:ascii="Arial" w:cs="Arial" w:eastAsia="Arial" w:hAnsi="Arial"/>
                <w:sz w:val="18"/>
                <w:szCs w:val="18"/>
                <w:color w:val="auto"/>
              </w:rPr>
              <w:t>14,107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32"/>
              <w:spacing w:after="0"/>
              <w:rPr>
                <w:sz w:val="20"/>
                <w:szCs w:val="20"/>
                <w:color w:val="auto"/>
              </w:rPr>
            </w:pPr>
            <w:r>
              <w:rPr>
                <w:rFonts w:ascii="Arial" w:cs="Arial" w:eastAsia="Arial" w:hAnsi="Arial"/>
                <w:sz w:val="18"/>
                <w:szCs w:val="18"/>
                <w:color w:val="auto"/>
              </w:rPr>
              <w:t>4,787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4,935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95"/>
              <w:spacing w:after="0"/>
              <w:rPr>
                <w:sz w:val="20"/>
                <w:szCs w:val="20"/>
                <w:color w:val="auto"/>
              </w:rPr>
            </w:pPr>
            <w:r>
              <w:rPr>
                <w:rFonts w:ascii="Arial" w:cs="Arial" w:eastAsia="Arial" w:hAnsi="Arial"/>
                <w:sz w:val="18"/>
                <w:szCs w:val="18"/>
                <w:color w:val="auto"/>
              </w:rPr>
              <w:t>14,273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Rental</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32"/>
              <w:spacing w:after="0"/>
              <w:rPr>
                <w:sz w:val="20"/>
                <w:szCs w:val="20"/>
                <w:color w:val="auto"/>
              </w:rPr>
            </w:pPr>
            <w:r>
              <w:rPr>
                <w:rFonts w:ascii="Arial" w:cs="Arial" w:eastAsia="Arial" w:hAnsi="Arial"/>
                <w:sz w:val="18"/>
                <w:szCs w:val="18"/>
                <w:color w:val="auto"/>
              </w:rPr>
              <w:t>719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95"/>
              <w:spacing w:after="0"/>
              <w:rPr>
                <w:sz w:val="20"/>
                <w:szCs w:val="20"/>
                <w:color w:val="auto"/>
              </w:rPr>
            </w:pPr>
            <w:r>
              <w:rPr>
                <w:rFonts w:ascii="Arial" w:cs="Arial" w:eastAsia="Arial" w:hAnsi="Arial"/>
                <w:sz w:val="18"/>
                <w:szCs w:val="18"/>
                <w:color w:val="auto"/>
              </w:rPr>
              <w:t>2,264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523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1,483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32"/>
              <w:spacing w:after="0"/>
              <w:rPr>
                <w:sz w:val="20"/>
                <w:szCs w:val="20"/>
                <w:color w:val="auto"/>
              </w:rPr>
            </w:pPr>
            <w:r>
              <w:rPr>
                <w:rFonts w:ascii="Arial" w:cs="Arial" w:eastAsia="Arial" w:hAnsi="Arial"/>
                <w:sz w:val="18"/>
                <w:szCs w:val="18"/>
                <w:color w:val="auto"/>
              </w:rPr>
              <w:t>1,193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1,163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95"/>
              <w:spacing w:after="0"/>
              <w:rPr>
                <w:sz w:val="20"/>
                <w:szCs w:val="20"/>
                <w:color w:val="auto"/>
              </w:rPr>
            </w:pPr>
            <w:r>
              <w:rPr>
                <w:rFonts w:ascii="Arial" w:cs="Arial" w:eastAsia="Arial" w:hAnsi="Arial"/>
                <w:sz w:val="18"/>
                <w:szCs w:val="18"/>
                <w:color w:val="auto"/>
              </w:rPr>
              <w:t>3,570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2,435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7,317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2"/>
            <w:vMerge w:val="restart"/>
          </w:tcPr>
          <w:p>
            <w:pPr>
              <w:ind w:left="420"/>
              <w:spacing w:after="0"/>
              <w:rPr>
                <w:sz w:val="20"/>
                <w:szCs w:val="20"/>
                <w:color w:val="auto"/>
              </w:rPr>
            </w:pPr>
            <w:r>
              <w:rPr>
                <w:rFonts w:ascii="Arial" w:cs="Arial" w:eastAsia="Arial" w:hAnsi="Arial"/>
                <w:sz w:val="18"/>
                <w:szCs w:val="18"/>
                <w:color w:val="auto"/>
              </w:rPr>
              <w:t>Operating income</w:t>
            </w:r>
          </w:p>
        </w:tc>
        <w:tc>
          <w:tcPr>
            <w:tcW w:w="1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gridSpan w:val="2"/>
            <w:vMerge w:val="continue"/>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32"/>
              <w:spacing w:after="0"/>
              <w:rPr>
                <w:sz w:val="20"/>
                <w:szCs w:val="20"/>
                <w:color w:val="auto"/>
              </w:rPr>
            </w:pPr>
            <w:r>
              <w:rPr>
                <w:rFonts w:ascii="Arial" w:cs="Arial" w:eastAsia="Arial" w:hAnsi="Arial"/>
                <w:sz w:val="18"/>
                <w:szCs w:val="18"/>
                <w:color w:val="auto"/>
              </w:rPr>
              <w:t>2,352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2,582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95"/>
              <w:spacing w:after="0"/>
              <w:rPr>
                <w:sz w:val="20"/>
                <w:szCs w:val="20"/>
                <w:color w:val="auto"/>
              </w:rPr>
            </w:pPr>
            <w:r>
              <w:rPr>
                <w:rFonts w:ascii="Arial" w:cs="Arial" w:eastAsia="Arial" w:hAnsi="Arial"/>
                <w:sz w:val="18"/>
                <w:szCs w:val="18"/>
                <w:color w:val="auto"/>
              </w:rPr>
              <w:t>6,956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(1,134)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35"/>
              <w:spacing w:after="0"/>
              <w:rPr>
                <w:sz w:val="20"/>
                <w:szCs w:val="20"/>
                <w:color w:val="auto"/>
              </w:rPr>
            </w:pPr>
            <w:r>
              <w:rPr>
                <w:rFonts w:ascii="Arial" w:cs="Arial" w:eastAsia="Arial" w:hAnsi="Arial"/>
                <w:sz w:val="18"/>
                <w:szCs w:val="18"/>
                <w:color w:val="auto"/>
              </w:rPr>
              <w:t>(3,404)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1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gridSpan w:val="3"/>
            <w:vMerge w:val="continue"/>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32"/>
              <w:spacing w:after="0"/>
              <w:rPr>
                <w:sz w:val="20"/>
                <w:szCs w:val="20"/>
                <w:color w:val="auto"/>
              </w:rPr>
            </w:pPr>
            <w:r>
              <w:rPr>
                <w:rFonts w:ascii="Arial" w:cs="Arial" w:eastAsia="Arial" w:hAnsi="Arial"/>
                <w:sz w:val="18"/>
                <w:szCs w:val="18"/>
                <w:color w:val="auto"/>
              </w:rPr>
              <w:t>1,218</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1,445</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95"/>
              <w:spacing w:after="0"/>
              <w:rPr>
                <w:sz w:val="20"/>
                <w:szCs w:val="20"/>
                <w:color w:val="auto"/>
              </w:rPr>
            </w:pPr>
            <w:r>
              <w:rPr>
                <w:rFonts w:ascii="Arial" w:cs="Arial" w:eastAsia="Arial" w:hAnsi="Arial"/>
                <w:sz w:val="18"/>
                <w:szCs w:val="18"/>
                <w:color w:val="auto"/>
              </w:rPr>
              <w:t>3,552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CONSOLIDATED BALANCE SHEETS</w:t>
            </w: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740" w:type="dxa"/>
            <w:vAlign w:val="bottom"/>
            <w:gridSpan w:val="3"/>
            <w:vMerge w:val="continue"/>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500" w:type="dxa"/>
            <w:vAlign w:val="bottom"/>
            <w:gridSpan w:val="2"/>
          </w:tcPr>
          <w:p>
            <w:pPr>
              <w:jc w:val="right"/>
              <w:spacing w:after="0" w:line="129" w:lineRule="exact"/>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right"/>
              <w:ind w:right="375"/>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95"/>
              <w:spacing w:after="0"/>
              <w:rPr>
                <w:sz w:val="20"/>
                <w:szCs w:val="20"/>
                <w:color w:val="auto"/>
              </w:rPr>
            </w:pPr>
            <w:r>
              <w:rPr>
                <w:rFonts w:ascii="Arial" w:cs="Arial" w:eastAsia="Arial" w:hAnsi="Arial"/>
                <w:sz w:val="18"/>
                <w:szCs w:val="18"/>
                <w:color w:val="auto"/>
                <w:w w:val="98"/>
              </w:rPr>
              <w:t>202,077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201,641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35"/>
              <w:spacing w:after="0"/>
              <w:rPr>
                <w:sz w:val="20"/>
                <w:szCs w:val="20"/>
                <w:color w:val="auto"/>
              </w:rPr>
            </w:pPr>
            <w:r>
              <w:rPr>
                <w:rFonts w:ascii="Arial" w:cs="Arial" w:eastAsia="Arial" w:hAnsi="Arial"/>
                <w:sz w:val="18"/>
                <w:szCs w:val="18"/>
                <w:color w:val="auto"/>
              </w:rPr>
              <w:t>(13,406)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Net real estate</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188,671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191,747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2,374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w w:val="98"/>
              </w:rPr>
              <w:t>198,443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LIABILITIES AND PARTNERS’ CAPITAL</w:t>
            </w: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40" w:type="dxa"/>
            <w:vAlign w:val="bottom"/>
            <w:gridSpan w:val="3"/>
            <w:vMerge w:val="continue"/>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Mortgages payable</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95"/>
              <w:spacing w:after="0"/>
              <w:rPr>
                <w:sz w:val="20"/>
                <w:szCs w:val="20"/>
                <w:color w:val="auto"/>
              </w:rPr>
            </w:pPr>
            <w:r>
              <w:rPr>
                <w:rFonts w:ascii="Arial" w:cs="Arial" w:eastAsia="Arial" w:hAnsi="Arial"/>
                <w:sz w:val="18"/>
                <w:szCs w:val="18"/>
                <w:color w:val="auto"/>
              </w:rPr>
              <w:t>81,410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95"/>
              <w:spacing w:after="0"/>
              <w:rPr>
                <w:sz w:val="20"/>
                <w:szCs w:val="20"/>
                <w:color w:val="auto"/>
              </w:rPr>
            </w:pPr>
            <w:r>
              <w:rPr>
                <w:rFonts w:ascii="Arial" w:cs="Arial" w:eastAsia="Arial" w:hAnsi="Arial"/>
                <w:sz w:val="18"/>
                <w:szCs w:val="18"/>
                <w:color w:val="auto"/>
              </w:rPr>
              <w:t>88,921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90,231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109,522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110,142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TOTAL LIABILITIES AND PARTNERS’ CAPITAL</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95"/>
              <w:spacing w:after="0"/>
              <w:rPr>
                <w:sz w:val="20"/>
                <w:szCs w:val="20"/>
                <w:color w:val="auto"/>
              </w:rPr>
            </w:pPr>
            <w:r>
              <w:rPr>
                <w:rFonts w:ascii="Arial" w:cs="Arial" w:eastAsia="Arial" w:hAnsi="Arial"/>
                <w:sz w:val="18"/>
                <w:szCs w:val="18"/>
                <w:color w:val="auto"/>
                <w:w w:val="98"/>
              </w:rPr>
              <w:t>198,443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200,373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40" w:type="dxa"/>
            <w:vAlign w:val="bottom"/>
            <w:vMerge w:val="restart"/>
          </w:tcPr>
          <w:p>
            <w:pPr>
              <w:jc w:val="right"/>
              <w:ind w:right="692"/>
              <w:spacing w:after="0"/>
              <w:rPr>
                <w:sz w:val="20"/>
                <w:szCs w:val="20"/>
                <w:color w:val="auto"/>
              </w:rPr>
            </w:pPr>
            <w:r>
              <w:rPr>
                <w:rFonts w:ascii="Arial" w:cs="Arial" w:eastAsia="Arial" w:hAnsi="Arial"/>
                <w:sz w:val="18"/>
                <w:szCs w:val="18"/>
                <w:color w:val="auto"/>
              </w:rPr>
              <w:t>23</w:t>
            </w: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Debt Maturities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DEBT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84"/>
              </w:rPr>
              <w:t>Stated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Interest Rate as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5"/>
              </w:rPr>
              <w:t>Maturity</w:t>
            </w:r>
          </w:p>
        </w:tc>
        <w:tc>
          <w:tcPr>
            <w:tcW w:w="204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85"/>
              </w:rPr>
              <w:t>September 30, 2008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Mortgage Loans</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gridSpan w:val="3"/>
          </w:tcPr>
          <w:p>
            <w:pPr>
              <w:ind w:left="440"/>
              <w:spacing w:after="0"/>
              <w:rPr>
                <w:sz w:val="20"/>
                <w:szCs w:val="20"/>
                <w:color w:val="auto"/>
              </w:rPr>
            </w:pPr>
            <w:r>
              <w:rPr>
                <w:rFonts w:ascii="Arial" w:cs="Arial" w:eastAsia="Arial" w:hAnsi="Arial"/>
                <w:sz w:val="18"/>
                <w:szCs w:val="18"/>
                <w:i w:val="1"/>
                <w:iCs w:val="1"/>
                <w:color w:val="auto"/>
              </w:rPr>
              <w:t>Secured Fixed Rate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Campus Plaza</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ind w:left="174"/>
              <w:spacing w:after="0"/>
              <w:rPr>
                <w:sz w:val="20"/>
                <w:szCs w:val="20"/>
                <w:color w:val="auto"/>
              </w:rPr>
            </w:pPr>
            <w:r>
              <w:rPr>
                <w:rFonts w:ascii="Arial" w:cs="Arial" w:eastAsia="Arial" w:hAnsi="Arial"/>
                <w:sz w:val="18"/>
                <w:szCs w:val="18"/>
                <w:color w:val="auto"/>
                <w:w w:val="88"/>
              </w:rPr>
              <w:t>12/01/09</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4.530%(a)</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tcPr>
          <w:p>
            <w:pPr>
              <w:ind w:left="440"/>
              <w:spacing w:after="0"/>
              <w:rPr>
                <w:sz w:val="20"/>
                <w:szCs w:val="20"/>
                <w:color w:val="auto"/>
              </w:rPr>
            </w:pPr>
            <w:r>
              <w:rPr>
                <w:rFonts w:ascii="Arial" w:cs="Arial" w:eastAsia="Arial" w:hAnsi="Arial"/>
                <w:sz w:val="18"/>
                <w:szCs w:val="18"/>
                <w:color w:val="auto"/>
              </w:rPr>
              <w:t>Pleasant Shops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center"/>
              <w:ind w:left="174"/>
              <w:spacing w:after="0"/>
              <w:rPr>
                <w:sz w:val="20"/>
                <w:szCs w:val="20"/>
                <w:color w:val="auto"/>
              </w:rPr>
            </w:pPr>
            <w:r>
              <w:rPr>
                <w:rFonts w:ascii="Arial" w:cs="Arial" w:eastAsia="Arial" w:hAnsi="Arial"/>
                <w:sz w:val="18"/>
                <w:szCs w:val="18"/>
                <w:color w:val="auto"/>
                <w:w w:val="88"/>
              </w:rPr>
              <w:t>12/01/09</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3"/>
          </w:tcPr>
          <w:p>
            <w:pPr>
              <w:ind w:left="500"/>
              <w:spacing w:after="0"/>
              <w:rPr>
                <w:sz w:val="20"/>
                <w:szCs w:val="20"/>
                <w:color w:val="auto"/>
              </w:rPr>
            </w:pPr>
            <w:r>
              <w:rPr>
                <w:rFonts w:ascii="Arial" w:cs="Arial" w:eastAsia="Arial" w:hAnsi="Arial"/>
                <w:sz w:val="18"/>
                <w:szCs w:val="18"/>
                <w:color w:val="auto"/>
              </w:rPr>
              <w:t>4.530%(a)</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Plaza del Mercado</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ind w:left="174"/>
              <w:spacing w:after="0"/>
              <w:rPr>
                <w:sz w:val="20"/>
                <w:szCs w:val="20"/>
                <w:color w:val="auto"/>
              </w:rPr>
            </w:pPr>
            <w:r>
              <w:rPr>
                <w:rFonts w:ascii="Arial" w:cs="Arial" w:eastAsia="Arial" w:hAnsi="Arial"/>
                <w:sz w:val="18"/>
                <w:szCs w:val="18"/>
                <w:color w:val="auto"/>
                <w:w w:val="88"/>
              </w:rPr>
              <w:t>07/05/14</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5.770%(b)</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tcPr>
          <w:p>
            <w:pPr>
              <w:ind w:left="440"/>
              <w:spacing w:after="0"/>
              <w:rPr>
                <w:sz w:val="20"/>
                <w:szCs w:val="20"/>
                <w:color w:val="auto"/>
              </w:rPr>
            </w:pPr>
            <w:r>
              <w:rPr>
                <w:rFonts w:ascii="Arial" w:cs="Arial" w:eastAsia="Arial" w:hAnsi="Arial"/>
                <w:sz w:val="18"/>
                <w:szCs w:val="18"/>
                <w:color w:val="auto"/>
              </w:rPr>
              <w:t>Atlantic Plaza</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center"/>
              <w:ind w:left="174"/>
              <w:spacing w:after="0"/>
              <w:rPr>
                <w:sz w:val="20"/>
                <w:szCs w:val="20"/>
                <w:color w:val="auto"/>
              </w:rPr>
            </w:pPr>
            <w:r>
              <w:rPr>
                <w:rFonts w:ascii="Arial" w:cs="Arial" w:eastAsia="Arial" w:hAnsi="Arial"/>
                <w:sz w:val="18"/>
                <w:szCs w:val="18"/>
                <w:color w:val="auto"/>
                <w:w w:val="88"/>
              </w:rPr>
              <w:t>12/01/14</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3"/>
          </w:tcPr>
          <w:p>
            <w:pPr>
              <w:ind w:left="500"/>
              <w:spacing w:after="0"/>
              <w:rPr>
                <w:sz w:val="20"/>
                <w:szCs w:val="20"/>
                <w:color w:val="auto"/>
              </w:rPr>
            </w:pPr>
            <w:r>
              <w:rPr>
                <w:rFonts w:ascii="Arial" w:cs="Arial" w:eastAsia="Arial" w:hAnsi="Arial"/>
                <w:sz w:val="18"/>
                <w:szCs w:val="18"/>
                <w:color w:val="auto"/>
              </w:rPr>
              <w:t>5.120%(a)</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Barcroft Plaza</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center"/>
              <w:ind w:left="174"/>
              <w:spacing w:after="0"/>
              <w:rPr>
                <w:sz w:val="20"/>
                <w:szCs w:val="20"/>
                <w:color w:val="auto"/>
              </w:rPr>
            </w:pPr>
            <w:r>
              <w:rPr>
                <w:rFonts w:ascii="Arial" w:cs="Arial" w:eastAsia="Arial" w:hAnsi="Arial"/>
                <w:sz w:val="18"/>
                <w:szCs w:val="18"/>
                <w:color w:val="auto"/>
                <w:w w:val="88"/>
              </w:rPr>
              <w:t>07/01/16</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5.990%(a)(c)</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gridSpan w:val="3"/>
          </w:tcPr>
          <w:p>
            <w:pPr>
              <w:ind w:left="440"/>
              <w:spacing w:after="0"/>
              <w:rPr>
                <w:sz w:val="20"/>
                <w:szCs w:val="20"/>
                <w:color w:val="auto"/>
              </w:rPr>
            </w:pPr>
            <w:r>
              <w:rPr>
                <w:rFonts w:ascii="Arial" w:cs="Arial" w:eastAsia="Arial" w:hAnsi="Arial"/>
                <w:sz w:val="18"/>
                <w:szCs w:val="18"/>
                <w:color w:val="auto"/>
              </w:rPr>
              <w:t>Greenlawn Plaza</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3"/>
          </w:tcPr>
          <w:p>
            <w:pPr>
              <w:jc w:val="center"/>
              <w:ind w:left="174"/>
              <w:spacing w:after="0"/>
              <w:rPr>
                <w:sz w:val="20"/>
                <w:szCs w:val="20"/>
                <w:color w:val="auto"/>
              </w:rPr>
            </w:pPr>
            <w:r>
              <w:rPr>
                <w:rFonts w:ascii="Arial" w:cs="Arial" w:eastAsia="Arial" w:hAnsi="Arial"/>
                <w:sz w:val="18"/>
                <w:szCs w:val="18"/>
                <w:color w:val="auto"/>
                <w:w w:val="88"/>
              </w:rPr>
              <w:t>07/01/16</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ind w:left="500"/>
              <w:spacing w:after="0"/>
              <w:rPr>
                <w:sz w:val="20"/>
                <w:szCs w:val="20"/>
                <w:color w:val="auto"/>
              </w:rPr>
            </w:pPr>
            <w:r>
              <w:rPr>
                <w:rFonts w:ascii="Arial" w:cs="Arial" w:eastAsia="Arial" w:hAnsi="Arial"/>
                <w:sz w:val="18"/>
                <w:szCs w:val="18"/>
                <w:color w:val="auto"/>
              </w:rPr>
              <w:t>5.900%(a)</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00" w:type="dxa"/>
            <w:vAlign w:val="bottom"/>
            <w:gridSpan w:val="5"/>
            <w:shd w:val="clear" w:color="auto" w:fill="CCEEFF"/>
          </w:tcPr>
          <w:p>
            <w:pPr>
              <w:jc w:val="center"/>
              <w:ind w:right="540"/>
              <w:spacing w:after="0"/>
              <w:rPr>
                <w:sz w:val="20"/>
                <w:szCs w:val="20"/>
                <w:color w:val="auto"/>
              </w:rPr>
            </w:pPr>
            <w:r>
              <w:rPr>
                <w:rFonts w:ascii="Arial" w:cs="Arial" w:eastAsia="Arial" w:hAnsi="Arial"/>
                <w:sz w:val="18"/>
                <w:szCs w:val="18"/>
                <w:color w:val="auto"/>
                <w:w w:val="89"/>
              </w:rPr>
              <w:t>Total Fixed Rate Debt</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8"/>
                <w:szCs w:val="18"/>
                <w:color w:val="auto"/>
                <w:w w:val="92"/>
              </w:rPr>
              <w:t>Debt Maturities</w:t>
            </w:r>
          </w:p>
        </w:tc>
        <w:tc>
          <w:tcPr>
            <w:tcW w:w="2300" w:type="dxa"/>
            <w:vAlign w:val="bottom"/>
            <w:gridSpan w:val="2"/>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1160" w:type="dxa"/>
            <w:vAlign w:val="bottom"/>
            <w:tcBorders>
              <w:bottom w:val="single" w:sz="8" w:color="auto"/>
            </w:tcBorders>
            <w:vMerge w:val="continue"/>
          </w:tcPr>
          <w:p>
            <w:pPr>
              <w:spacing w:after="0"/>
              <w:rPr>
                <w:sz w:val="24"/>
                <w:szCs w:val="24"/>
                <w:color w:val="auto"/>
              </w:rPr>
            </w:pPr>
          </w:p>
        </w:tc>
        <w:tc>
          <w:tcPr>
            <w:tcW w:w="23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84"/>
              </w:rPr>
              <w:t>Percent of</w:t>
            </w:r>
          </w:p>
        </w:tc>
        <w:tc>
          <w:tcPr>
            <w:tcW w:w="10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Scheduled</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9"/>
              </w:rPr>
              <w:t>Debt</w:t>
            </w:r>
          </w:p>
        </w:tc>
        <w:tc>
          <w:tcPr>
            <w:tcW w:w="10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00" w:type="dxa"/>
            <w:vAlign w:val="bottom"/>
          </w:tcPr>
          <w:p>
            <w:pPr>
              <w:jc w:val="center"/>
              <w:spacing w:after="0"/>
              <w:rPr>
                <w:sz w:val="20"/>
                <w:szCs w:val="20"/>
                <w:color w:val="auto"/>
              </w:rPr>
            </w:pPr>
            <w:r>
              <w:rPr>
                <w:rFonts w:ascii="Arial" w:cs="Arial" w:eastAsia="Arial" w:hAnsi="Arial"/>
                <w:sz w:val="12"/>
                <w:szCs w:val="12"/>
                <w:b w:val="1"/>
                <w:bCs w:val="1"/>
                <w:color w:val="auto"/>
                <w:w w:val="76"/>
              </w:rPr>
              <w:t>Year</w:t>
            </w:r>
          </w:p>
        </w:tc>
        <w:tc>
          <w:tcPr>
            <w:tcW w:w="2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Amortization</w:t>
            </w:r>
          </w:p>
        </w:tc>
        <w:tc>
          <w:tcPr>
            <w:tcW w:w="10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Maturities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80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4"/>
              </w:rPr>
              <w:t>Maturing</w:t>
            </w:r>
          </w:p>
        </w:tc>
        <w:tc>
          <w:tcPr>
            <w:tcW w:w="10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Debt Maturing</w:t>
            </w:r>
          </w:p>
        </w:tc>
        <w:tc>
          <w:tcPr>
            <w:tcW w:w="0" w:type="dxa"/>
            <w:vAlign w:val="bottom"/>
          </w:tcPr>
          <w:p>
            <w:pPr>
              <w:spacing w:after="0"/>
              <w:rPr>
                <w:sz w:val="1"/>
                <w:szCs w:val="1"/>
                <w:color w:val="auto"/>
              </w:rPr>
            </w:pP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3"/>
            <w:shd w:val="clear" w:color="auto" w:fill="CCEEFF"/>
          </w:tcPr>
          <w:p>
            <w:pPr>
              <w:jc w:val="center"/>
              <w:ind w:right="1020"/>
              <w:spacing w:after="0"/>
              <w:rPr>
                <w:sz w:val="20"/>
                <w:szCs w:val="20"/>
                <w:color w:val="auto"/>
              </w:rPr>
            </w:pPr>
            <w:r>
              <w:rPr>
                <w:rFonts w:ascii="Arial" w:cs="Arial" w:eastAsia="Arial" w:hAnsi="Arial"/>
                <w:sz w:val="18"/>
                <w:szCs w:val="18"/>
                <w:color w:val="auto"/>
                <w:w w:val="89"/>
              </w:rPr>
              <w:t>2008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1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5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tcPr>
          <w:p>
            <w:pPr>
              <w:jc w:val="center"/>
              <w:ind w:right="102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w w:val="83"/>
              </w:rPr>
              <w:t>23,400</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23,585</w:t>
            </w:r>
          </w:p>
        </w:tc>
        <w:tc>
          <w:tcPr>
            <w:tcW w:w="5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28.9%</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jc w:val="center"/>
              <w:ind w:right="1020"/>
              <w:spacing w:after="0"/>
              <w:rPr>
                <w:sz w:val="20"/>
                <w:szCs w:val="20"/>
                <w:color w:val="auto"/>
              </w:rPr>
            </w:pPr>
            <w:r>
              <w:rPr>
                <w:rFonts w:ascii="Arial" w:cs="Arial" w:eastAsia="Arial" w:hAnsi="Arial"/>
                <w:sz w:val="18"/>
                <w:szCs w:val="18"/>
                <w:color w:val="auto"/>
                <w:w w:val="89"/>
              </w:rPr>
              <w:t>2010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w:t>
            </w:r>
          </w:p>
        </w:tc>
        <w:tc>
          <w:tcPr>
            <w:tcW w:w="5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tcPr>
          <w:p>
            <w:pPr>
              <w:jc w:val="center"/>
              <w:ind w:right="1040"/>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208</w:t>
            </w:r>
          </w:p>
        </w:tc>
        <w:tc>
          <w:tcPr>
            <w:tcW w:w="5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0.3%</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jc w:val="center"/>
              <w:ind w:right="1020"/>
              <w:spacing w:after="0"/>
              <w:rPr>
                <w:sz w:val="20"/>
                <w:szCs w:val="20"/>
                <w:color w:val="auto"/>
              </w:rPr>
            </w:pPr>
            <w:r>
              <w:rPr>
                <w:rFonts w:ascii="Arial" w:cs="Arial" w:eastAsia="Arial" w:hAnsi="Arial"/>
                <w:sz w:val="18"/>
                <w:szCs w:val="18"/>
                <w:color w:val="auto"/>
                <w:w w:val="89"/>
              </w:rPr>
              <w:t>2012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w:t>
            </w:r>
          </w:p>
        </w:tc>
        <w:tc>
          <w:tcPr>
            <w:tcW w:w="5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tcPr>
          <w:p>
            <w:pPr>
              <w:jc w:val="center"/>
              <w:ind w:right="102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233</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233</w:t>
            </w:r>
          </w:p>
        </w:tc>
        <w:tc>
          <w:tcPr>
            <w:tcW w:w="5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0.3%</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jc w:val="center"/>
              <w:ind w:right="1020"/>
              <w:spacing w:after="0"/>
              <w:rPr>
                <w:sz w:val="20"/>
                <w:szCs w:val="20"/>
                <w:color w:val="auto"/>
              </w:rPr>
            </w:pPr>
            <w:r>
              <w:rPr>
                <w:rFonts w:ascii="Arial" w:cs="Arial" w:eastAsia="Arial" w:hAnsi="Arial"/>
                <w:sz w:val="18"/>
                <w:szCs w:val="18"/>
                <w:color w:val="auto"/>
                <w:w w:val="89"/>
              </w:rPr>
              <w:t>2014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22,396</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22,538</w:t>
            </w:r>
          </w:p>
        </w:tc>
        <w:tc>
          <w:tcPr>
            <w:tcW w:w="5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tcPr>
          <w:p>
            <w:pPr>
              <w:jc w:val="center"/>
              <w:ind w:right="102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0.0%</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EEFF"/>
          </w:tcPr>
          <w:p>
            <w:pPr>
              <w:jc w:val="center"/>
              <w:ind w:right="1020"/>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34,385</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34,385</w:t>
            </w:r>
          </w:p>
        </w:tc>
        <w:tc>
          <w:tcPr>
            <w:tcW w:w="5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42.2%</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gridSpan w:val="3"/>
            <w:vMerge w:val="restart"/>
          </w:tcPr>
          <w:p>
            <w:pPr>
              <w:jc w:val="center"/>
              <w:ind w:right="1020"/>
              <w:spacing w:after="0"/>
              <w:rPr>
                <w:sz w:val="20"/>
                <w:szCs w:val="20"/>
                <w:color w:val="auto"/>
              </w:rPr>
            </w:pPr>
            <w:r>
              <w:rPr>
                <w:rFonts w:ascii="Arial" w:cs="Arial" w:eastAsia="Arial" w:hAnsi="Arial"/>
                <w:sz w:val="18"/>
                <w:szCs w:val="18"/>
                <w:color w:val="auto"/>
                <w:w w:val="89"/>
              </w:rPr>
              <w:t>Total</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46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1,229</w:t>
            </w:r>
          </w:p>
        </w:tc>
        <w:tc>
          <w:tcPr>
            <w:tcW w:w="10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0"/>
              <w:spacing w:after="0"/>
              <w:rPr>
                <w:sz w:val="20"/>
                <w:szCs w:val="20"/>
                <w:color w:val="auto"/>
              </w:rPr>
            </w:pPr>
            <w:r>
              <w:rPr>
                <w:rFonts w:ascii="Arial" w:cs="Arial" w:eastAsia="Arial" w:hAnsi="Arial"/>
                <w:sz w:val="18"/>
                <w:szCs w:val="18"/>
                <w:color w:val="auto"/>
                <w:w w:val="83"/>
              </w:rPr>
              <w:t>80,181</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81,410</w:t>
            </w:r>
          </w:p>
        </w:tc>
        <w:tc>
          <w:tcPr>
            <w:tcW w:w="54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100.0%</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 July 5, 2007, principal and interest payments were due based on a 30-year amortization schedule.</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 -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Mortgage or</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5"/>
              </w:rPr>
              <w:t>Grocery</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MSA Description</w:t>
            </w:r>
          </w:p>
        </w:tc>
        <w:tc>
          <w:tcPr>
            <w:tcW w:w="1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Real Estate</w:t>
            </w:r>
          </w:p>
        </w:tc>
        <w:tc>
          <w:tcPr>
            <w:tcW w:w="18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Capital Lease</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Anchor</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Grocery</w:t>
            </w:r>
          </w:p>
        </w:tc>
        <w:tc>
          <w:tcPr>
            <w:tcW w:w="180" w:type="dxa"/>
            <w:vAlign w:val="bottom"/>
          </w:tcPr>
          <w:p>
            <w:pPr>
              <w:spacing w:after="0"/>
              <w:rPr>
                <w:sz w:val="12"/>
                <w:szCs w:val="12"/>
                <w:color w:val="auto"/>
              </w:rPr>
            </w:pPr>
          </w:p>
        </w:tc>
        <w:tc>
          <w:tcPr>
            <w:tcW w:w="102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1"/>
        </w:trPr>
        <w:tc>
          <w:tcPr>
            <w:tcW w:w="2700" w:type="dxa"/>
            <w:vAlign w:val="bottom"/>
            <w:gridSpan w:val="8"/>
          </w:tcPr>
          <w:p>
            <w:pPr>
              <w:spacing w:after="0"/>
              <w:rPr>
                <w:sz w:val="20"/>
                <w:szCs w:val="20"/>
                <w:color w:val="auto"/>
              </w:rPr>
            </w:pPr>
            <w:r>
              <w:rPr>
                <w:rFonts w:ascii="Arial" w:cs="Arial" w:eastAsia="Arial" w:hAnsi="Arial"/>
                <w:sz w:val="14"/>
                <w:szCs w:val="14"/>
                <w:b w:val="1"/>
                <w:bCs w:val="1"/>
                <w:color w:val="auto"/>
              </w:rPr>
              <w:t>Property Name</w:t>
            </w:r>
          </w:p>
        </w:tc>
        <w:tc>
          <w:tcPr>
            <w:tcW w:w="1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8"/>
              </w:rPr>
              <w:t>Acquired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at Cost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Obligation</w:t>
            </w:r>
          </w:p>
        </w:tc>
        <w:tc>
          <w:tcPr>
            <w:tcW w:w="18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GLA</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 Leased</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0"/>
              </w:rPr>
              <w:t>GLA (1)</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Anchor (1)</w:t>
            </w:r>
          </w:p>
        </w:tc>
        <w:tc>
          <w:tcPr>
            <w:tcW w:w="18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4"/>
                <w:szCs w:val="14"/>
                <w:b w:val="1"/>
                <w:bCs w:val="1"/>
                <w:color w:val="auto"/>
                <w:w w:val="85"/>
              </w:rPr>
              <w:t>Principal Tenants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8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8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East Region</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0" w:type="dxa"/>
            <w:vAlign w:val="bottom"/>
            <w:tcBorders>
              <w:bottom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w w:val="87"/>
              </w:rPr>
              <w:t>Washington Metropolitan Area</w:t>
            </w:r>
          </w:p>
        </w:tc>
        <w:tc>
          <w:tcPr>
            <w:tcW w:w="4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gridSpan w:val="7"/>
            <w:shd w:val="clear" w:color="auto" w:fill="CCEEFF"/>
          </w:tcPr>
          <w:p>
            <w:pPr>
              <w:spacing w:after="0" w:line="142" w:lineRule="exact"/>
              <w:rPr>
                <w:sz w:val="20"/>
                <w:szCs w:val="20"/>
                <w:color w:val="auto"/>
              </w:rPr>
            </w:pPr>
            <w:r>
              <w:rPr>
                <w:rFonts w:ascii="Arial" w:cs="Arial" w:eastAsia="Arial" w:hAnsi="Arial"/>
                <w:sz w:val="14"/>
                <w:szCs w:val="14"/>
                <w:color w:val="auto"/>
              </w:rPr>
              <w:t>Barcroft Plaza</w:t>
            </w:r>
          </w:p>
        </w:tc>
        <w:tc>
          <w:tcPr>
            <w:tcW w:w="1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Washington, DC MD-VA</w:t>
            </w:r>
          </w:p>
        </w:tc>
        <w:tc>
          <w:tcPr>
            <w:tcW w:w="7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2006-2007</w:t>
            </w:r>
          </w:p>
        </w:tc>
        <w:tc>
          <w:tcPr>
            <w:tcW w:w="1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34,023</w:t>
            </w:r>
          </w:p>
        </w:tc>
        <w:tc>
          <w:tcPr>
            <w:tcW w:w="26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20,785</w:t>
            </w:r>
          </w:p>
        </w:tc>
        <w:tc>
          <w:tcPr>
            <w:tcW w:w="6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100,000</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94%</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46,000</w:t>
            </w:r>
          </w:p>
        </w:tc>
        <w:tc>
          <w:tcPr>
            <w:tcW w:w="90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w w:val="85"/>
              </w:rPr>
              <w:t>Harris Teeter</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7"/>
              </w:rPr>
              <w:t>Bank of America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80" w:type="dxa"/>
            <w:vAlign w:val="bottom"/>
            <w:gridSpan w:val="7"/>
          </w:tcPr>
          <w:p>
            <w:pPr>
              <w:spacing w:after="0" w:line="138" w:lineRule="exact"/>
              <w:rPr>
                <w:sz w:val="20"/>
                <w:szCs w:val="20"/>
                <w:color w:val="auto"/>
              </w:rPr>
            </w:pPr>
            <w:r>
              <w:rPr>
                <w:rFonts w:ascii="Arial" w:cs="Arial" w:eastAsia="Arial" w:hAnsi="Arial"/>
                <w:sz w:val="14"/>
                <w:szCs w:val="14"/>
                <w:color w:val="auto"/>
              </w:rPr>
              <w:t>Free State Shopping Center</w:t>
            </w:r>
          </w:p>
        </w:tc>
        <w:tc>
          <w:tcPr>
            <w:tcW w:w="1700" w:type="dxa"/>
            <w:vAlign w:val="bottom"/>
          </w:tcPr>
          <w:p>
            <w:pPr>
              <w:spacing w:after="0" w:line="138" w:lineRule="exact"/>
              <w:rPr>
                <w:sz w:val="20"/>
                <w:szCs w:val="20"/>
                <w:color w:val="auto"/>
              </w:rPr>
            </w:pPr>
            <w:r>
              <w:rPr>
                <w:rFonts w:ascii="Arial" w:cs="Arial" w:eastAsia="Arial" w:hAnsi="Arial"/>
                <w:sz w:val="14"/>
                <w:szCs w:val="14"/>
                <w:color w:val="auto"/>
              </w:rPr>
              <w:t>Washington, DC-MD-VA</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65,790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279,000</w:t>
            </w:r>
          </w:p>
        </w:tc>
        <w:tc>
          <w:tcPr>
            <w:tcW w:w="180" w:type="dxa"/>
            <w:vAlign w:val="bottom"/>
          </w:tcPr>
          <w:p>
            <w:pPr>
              <w:spacing w:after="0"/>
              <w:rPr>
                <w:sz w:val="11"/>
                <w:szCs w:val="11"/>
                <w:color w:val="auto"/>
              </w:rPr>
            </w:pPr>
          </w:p>
        </w:tc>
        <w:tc>
          <w:tcPr>
            <w:tcW w:w="88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99%</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73,000</w:t>
            </w:r>
          </w:p>
        </w:tc>
        <w:tc>
          <w:tcPr>
            <w:tcW w:w="900" w:type="dxa"/>
            <w:vAlign w:val="bottom"/>
            <w:gridSpan w:val="2"/>
          </w:tcPr>
          <w:p>
            <w:pPr>
              <w:ind w:left="180"/>
              <w:spacing w:after="0" w:line="138" w:lineRule="exact"/>
              <w:rPr>
                <w:sz w:val="20"/>
                <w:szCs w:val="20"/>
                <w:color w:val="auto"/>
              </w:rPr>
            </w:pPr>
            <w:r>
              <w:rPr>
                <w:rFonts w:ascii="Arial" w:cs="Arial" w:eastAsia="Arial" w:hAnsi="Arial"/>
                <w:sz w:val="14"/>
                <w:szCs w:val="14"/>
                <w:color w:val="auto"/>
              </w:rPr>
              <w:t>Giant Food</w:t>
            </w:r>
          </w:p>
        </w:tc>
        <w:tc>
          <w:tcPr>
            <w:tcW w:w="180" w:type="dxa"/>
            <w:vAlign w:val="bottom"/>
          </w:tcPr>
          <w:p>
            <w:pPr>
              <w:spacing w:after="0"/>
              <w:rPr>
                <w:sz w:val="11"/>
                <w:szCs w:val="11"/>
                <w:color w:val="auto"/>
              </w:rPr>
            </w:pPr>
          </w:p>
        </w:tc>
        <w:tc>
          <w:tcPr>
            <w:tcW w:w="1020" w:type="dxa"/>
            <w:vAlign w:val="bottom"/>
          </w:tcPr>
          <w:p>
            <w:pPr>
              <w:spacing w:after="0" w:line="138" w:lineRule="exact"/>
              <w:rPr>
                <w:sz w:val="20"/>
                <w:szCs w:val="20"/>
                <w:color w:val="auto"/>
              </w:rPr>
            </w:pPr>
            <w:r>
              <w:rPr>
                <w:rFonts w:ascii="Arial" w:cs="Arial" w:eastAsia="Arial" w:hAnsi="Arial"/>
                <w:sz w:val="14"/>
                <w:szCs w:val="14"/>
                <w:color w:val="auto"/>
                <w:w w:val="95"/>
              </w:rPr>
              <w:t>TJ Maxx / Ross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line="159" w:lineRule="exact"/>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Plaza del Mercado</w:t>
            </w: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1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21,031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13,125</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96,000</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94%</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9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Giant Food</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Total Washington</w:t>
            </w: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120,844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w w:val="82"/>
              </w:rPr>
              <w:t>475,000</w:t>
            </w: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97%</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Arial" w:cs="Arial" w:eastAsia="Arial" w:hAnsi="Arial"/>
                <w:sz w:val="14"/>
                <w:szCs w:val="14"/>
                <w:b w:val="1"/>
                <w:bCs w:val="1"/>
                <w:color w:val="auto"/>
              </w:rPr>
              <w:t>Metropolitan Area</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auto"/>
            </w:tcBorders>
            <w:gridSpan w:val="4"/>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6"/>
              </w:rPr>
              <w:t>New York / New Jersey</w:t>
            </w:r>
          </w:p>
        </w:tc>
        <w:tc>
          <w:tcPr>
            <w:tcW w:w="920" w:type="dxa"/>
            <w:vAlign w:val="bottom"/>
            <w:tcBorders>
              <w:bottom w:val="single" w:sz="8" w:color="CCEEFF"/>
            </w:tcBorders>
            <w:gridSpan w:val="2"/>
            <w:shd w:val="clear" w:color="auto" w:fill="CCEEFF"/>
          </w:tcPr>
          <w:p>
            <w:pPr>
              <w:spacing w:after="0"/>
              <w:rPr>
                <w:sz w:val="11"/>
                <w:szCs w:val="11"/>
                <w:color w:val="auto"/>
              </w:rPr>
            </w:pPr>
          </w:p>
        </w:tc>
        <w:tc>
          <w:tcPr>
            <w:tcW w:w="17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right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80" w:type="dxa"/>
            <w:vAlign w:val="bottom"/>
            <w:gridSpan w:val="7"/>
          </w:tcPr>
          <w:p>
            <w:pPr>
              <w:spacing w:after="0" w:line="131" w:lineRule="exact"/>
              <w:rPr>
                <w:sz w:val="20"/>
                <w:szCs w:val="20"/>
                <w:color w:val="auto"/>
              </w:rPr>
            </w:pPr>
            <w:r>
              <w:rPr>
                <w:rFonts w:ascii="Arial" w:cs="Arial" w:eastAsia="Arial" w:hAnsi="Arial"/>
                <w:sz w:val="14"/>
                <w:szCs w:val="14"/>
                <w:color w:val="auto"/>
              </w:rPr>
              <w:t>Greenlawn Plaza</w:t>
            </w:r>
          </w:p>
        </w:tc>
        <w:tc>
          <w:tcPr>
            <w:tcW w:w="1700" w:type="dxa"/>
            <w:vAlign w:val="bottom"/>
          </w:tcPr>
          <w:p>
            <w:pPr>
              <w:spacing w:after="0" w:line="131" w:lineRule="exact"/>
              <w:rPr>
                <w:sz w:val="20"/>
                <w:szCs w:val="20"/>
                <w:color w:val="auto"/>
              </w:rPr>
            </w:pPr>
            <w:r>
              <w:rPr>
                <w:rFonts w:ascii="Arial" w:cs="Arial" w:eastAsia="Arial" w:hAnsi="Arial"/>
                <w:sz w:val="14"/>
                <w:szCs w:val="14"/>
                <w:color w:val="auto"/>
              </w:rPr>
              <w:t>Nassau-Suffolk, NY</w:t>
            </w:r>
          </w:p>
        </w:tc>
        <w:tc>
          <w:tcPr>
            <w:tcW w:w="76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2006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4"/>
                <w:szCs w:val="14"/>
                <w:color w:val="auto"/>
              </w:rPr>
              <w:t>19,983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4"/>
                <w:szCs w:val="14"/>
                <w:color w:val="auto"/>
              </w:rPr>
              <w:t>13,600</w:t>
            </w:r>
          </w:p>
        </w:tc>
        <w:tc>
          <w:tcPr>
            <w:tcW w:w="62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106,000</w:t>
            </w:r>
          </w:p>
        </w:tc>
        <w:tc>
          <w:tcPr>
            <w:tcW w:w="180" w:type="dxa"/>
            <w:vAlign w:val="bottom"/>
          </w:tcPr>
          <w:p>
            <w:pPr>
              <w:spacing w:after="0"/>
              <w:rPr>
                <w:sz w:val="11"/>
                <w:szCs w:val="11"/>
                <w:color w:val="auto"/>
              </w:rPr>
            </w:pPr>
          </w:p>
        </w:tc>
        <w:tc>
          <w:tcPr>
            <w:tcW w:w="880" w:type="dxa"/>
            <w:vAlign w:val="bottom"/>
            <w:gridSpan w:val="2"/>
          </w:tcPr>
          <w:p>
            <w:pPr>
              <w:jc w:val="right"/>
              <w:ind w:right="180"/>
              <w:spacing w:after="0" w:line="131"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31" w:lineRule="exact"/>
              <w:rPr>
                <w:sz w:val="20"/>
                <w:szCs w:val="20"/>
                <w:color w:val="auto"/>
              </w:rPr>
            </w:pPr>
            <w:r>
              <w:rPr>
                <w:rFonts w:ascii="Arial" w:cs="Arial" w:eastAsia="Arial" w:hAnsi="Arial"/>
                <w:sz w:val="14"/>
                <w:szCs w:val="14"/>
                <w:color w:val="auto"/>
              </w:rPr>
              <w:t>46,000</w:t>
            </w:r>
          </w:p>
        </w:tc>
        <w:tc>
          <w:tcPr>
            <w:tcW w:w="900" w:type="dxa"/>
            <w:vAlign w:val="bottom"/>
            <w:gridSpan w:val="2"/>
          </w:tcPr>
          <w:p>
            <w:pPr>
              <w:ind w:left="180"/>
              <w:spacing w:after="0" w:line="131" w:lineRule="exact"/>
              <w:rPr>
                <w:sz w:val="20"/>
                <w:szCs w:val="20"/>
                <w:color w:val="auto"/>
              </w:rPr>
            </w:pPr>
            <w:r>
              <w:rPr>
                <w:rFonts w:ascii="Arial" w:cs="Arial" w:eastAsia="Arial" w:hAnsi="Arial"/>
                <w:sz w:val="14"/>
                <w:szCs w:val="14"/>
                <w:color w:val="auto"/>
                <w:w w:val="90"/>
              </w:rPr>
              <w:t>Waldbaum’s</w:t>
            </w:r>
          </w:p>
        </w:tc>
        <w:tc>
          <w:tcPr>
            <w:tcW w:w="180" w:type="dxa"/>
            <w:vAlign w:val="bottom"/>
          </w:tcPr>
          <w:p>
            <w:pPr>
              <w:spacing w:after="0"/>
              <w:rPr>
                <w:sz w:val="11"/>
                <w:szCs w:val="11"/>
                <w:color w:val="auto"/>
              </w:rPr>
            </w:pPr>
          </w:p>
        </w:tc>
        <w:tc>
          <w:tcPr>
            <w:tcW w:w="1020" w:type="dxa"/>
            <w:vAlign w:val="bottom"/>
          </w:tcPr>
          <w:p>
            <w:pPr>
              <w:spacing w:after="0" w:line="131" w:lineRule="exact"/>
              <w:rPr>
                <w:sz w:val="20"/>
                <w:szCs w:val="20"/>
                <w:color w:val="auto"/>
              </w:rPr>
            </w:pPr>
            <w:r>
              <w:rPr>
                <w:rFonts w:ascii="Arial" w:cs="Arial" w:eastAsia="Arial" w:hAnsi="Arial"/>
                <w:sz w:val="14"/>
                <w:szCs w:val="14"/>
                <w:color w:val="auto"/>
              </w:rPr>
              <w:t>Tuesday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line="159" w:lineRule="exact"/>
              <w:rPr>
                <w:sz w:val="20"/>
                <w:szCs w:val="20"/>
                <w:color w:val="auto"/>
              </w:rPr>
            </w:pPr>
            <w:r>
              <w:rPr>
                <w:rFonts w:ascii="Arial" w:cs="Arial" w:eastAsia="Arial" w:hAnsi="Arial"/>
                <w:sz w:val="14"/>
                <w:szCs w:val="14"/>
                <w:color w:val="auto"/>
              </w:rPr>
              <w:t>Morning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8"/>
              </w:rPr>
              <w:t>Total New York / New Jersey</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19,983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106,000</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Borders>
              <w:bottom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w w:val="86"/>
              </w:rPr>
              <w:t>New England</w:t>
            </w:r>
          </w:p>
        </w:tc>
        <w:tc>
          <w:tcPr>
            <w:tcW w:w="1480" w:type="dxa"/>
            <w:vAlign w:val="bottom"/>
            <w:gridSpan w:val="3"/>
          </w:tcPr>
          <w:p>
            <w:pPr>
              <w:spacing w:after="0"/>
              <w:rPr>
                <w:sz w:val="11"/>
                <w:szCs w:val="11"/>
                <w:color w:val="auto"/>
              </w:rPr>
            </w:pP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80" w:type="dxa"/>
            <w:vAlign w:val="bottom"/>
            <w:gridSpan w:val="7"/>
            <w:shd w:val="clear" w:color="auto" w:fill="CCEEFF"/>
          </w:tcPr>
          <w:p>
            <w:pPr>
              <w:spacing w:after="0" w:line="131" w:lineRule="exact"/>
              <w:rPr>
                <w:sz w:val="20"/>
                <w:szCs w:val="20"/>
                <w:color w:val="auto"/>
              </w:rPr>
            </w:pPr>
            <w:r>
              <w:rPr>
                <w:rFonts w:ascii="Arial" w:cs="Arial" w:eastAsia="Arial" w:hAnsi="Arial"/>
                <w:sz w:val="14"/>
                <w:szCs w:val="14"/>
                <w:color w:val="auto"/>
              </w:rPr>
              <w:t>Atlantic Plaza</w:t>
            </w:r>
          </w:p>
        </w:tc>
        <w:tc>
          <w:tcPr>
            <w:tcW w:w="17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2"/>
              </w:rPr>
              <w:t>Boston Worcester-Lawrence-</w:t>
            </w:r>
          </w:p>
        </w:tc>
        <w:tc>
          <w:tcPr>
            <w:tcW w:w="7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2004</w:t>
            </w:r>
          </w:p>
        </w:tc>
        <w:tc>
          <w:tcPr>
            <w:tcW w:w="1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16,413</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10,500</w:t>
            </w:r>
          </w:p>
        </w:tc>
        <w:tc>
          <w:tcPr>
            <w:tcW w:w="6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124,000</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4"/>
                <w:szCs w:val="14"/>
                <w:color w:val="auto"/>
              </w:rPr>
              <w:t>96%</w:t>
            </w:r>
          </w:p>
        </w:tc>
        <w:tc>
          <w:tcPr>
            <w:tcW w:w="4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63,000</w:t>
            </w:r>
          </w:p>
        </w:tc>
        <w:tc>
          <w:tcPr>
            <w:tcW w:w="900" w:type="dxa"/>
            <w:vAlign w:val="bottom"/>
            <w:gridSpan w:val="2"/>
            <w:shd w:val="clear" w:color="auto" w:fill="CCEEFF"/>
          </w:tcPr>
          <w:p>
            <w:pPr>
              <w:ind w:left="180"/>
              <w:spacing w:after="0" w:line="131" w:lineRule="exact"/>
              <w:rPr>
                <w:sz w:val="20"/>
                <w:szCs w:val="20"/>
                <w:color w:val="auto"/>
              </w:rPr>
            </w:pPr>
            <w:r>
              <w:rPr>
                <w:rFonts w:ascii="Arial" w:cs="Arial" w:eastAsia="Arial" w:hAnsi="Arial"/>
                <w:sz w:val="14"/>
                <w:szCs w:val="14"/>
                <w:color w:val="auto"/>
              </w:rPr>
              <w:t>Shaw’s</w:t>
            </w: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Sears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Lowell-Brockton, MA</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w w:val="87"/>
              </w:rPr>
              <w:t>Supermarket</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80" w:type="dxa"/>
            <w:vAlign w:val="bottom"/>
            <w:gridSpan w:val="7"/>
          </w:tcPr>
          <w:p>
            <w:pPr>
              <w:spacing w:after="0" w:line="138" w:lineRule="exact"/>
              <w:rPr>
                <w:sz w:val="20"/>
                <w:szCs w:val="20"/>
                <w:color w:val="auto"/>
              </w:rPr>
            </w:pPr>
            <w:r>
              <w:rPr>
                <w:rFonts w:ascii="Arial" w:cs="Arial" w:eastAsia="Arial" w:hAnsi="Arial"/>
                <w:sz w:val="14"/>
                <w:szCs w:val="14"/>
                <w:color w:val="auto"/>
              </w:rPr>
              <w:t>Campus Plaza</w:t>
            </w:r>
          </w:p>
        </w:tc>
        <w:tc>
          <w:tcPr>
            <w:tcW w:w="1700" w:type="dxa"/>
            <w:vAlign w:val="bottom"/>
          </w:tcPr>
          <w:p>
            <w:pPr>
              <w:spacing w:after="0" w:line="138" w:lineRule="exact"/>
              <w:rPr>
                <w:sz w:val="20"/>
                <w:szCs w:val="20"/>
                <w:color w:val="auto"/>
              </w:rPr>
            </w:pPr>
            <w:r>
              <w:rPr>
                <w:rFonts w:ascii="Arial" w:cs="Arial" w:eastAsia="Arial" w:hAnsi="Arial"/>
                <w:sz w:val="14"/>
                <w:szCs w:val="14"/>
                <w:color w:val="auto"/>
                <w:w w:val="92"/>
              </w:rPr>
              <w:t>Boston Worcester-Lawrence-</w:t>
            </w: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22,101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11,000</w:t>
            </w:r>
          </w:p>
        </w:tc>
        <w:tc>
          <w:tcPr>
            <w:tcW w:w="80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116,000</w:t>
            </w:r>
          </w:p>
        </w:tc>
        <w:tc>
          <w:tcPr>
            <w:tcW w:w="88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46,000</w:t>
            </w:r>
          </w:p>
        </w:tc>
        <w:tc>
          <w:tcPr>
            <w:tcW w:w="900" w:type="dxa"/>
            <w:vAlign w:val="bottom"/>
            <w:gridSpan w:val="2"/>
          </w:tcPr>
          <w:p>
            <w:pPr>
              <w:ind w:left="180"/>
              <w:spacing w:after="0" w:line="138" w:lineRule="exact"/>
              <w:rPr>
                <w:sz w:val="20"/>
                <w:szCs w:val="20"/>
                <w:color w:val="auto"/>
              </w:rPr>
            </w:pPr>
            <w:r>
              <w:rPr>
                <w:rFonts w:ascii="Arial" w:cs="Arial" w:eastAsia="Arial" w:hAnsi="Arial"/>
                <w:sz w:val="14"/>
                <w:szCs w:val="14"/>
                <w:color w:val="auto"/>
              </w:rPr>
              <w:t>Roche</w:t>
            </w:r>
          </w:p>
        </w:tc>
        <w:tc>
          <w:tcPr>
            <w:tcW w:w="180" w:type="dxa"/>
            <w:vAlign w:val="bottom"/>
          </w:tcPr>
          <w:p>
            <w:pPr>
              <w:spacing w:after="0"/>
              <w:rPr>
                <w:sz w:val="11"/>
                <w:szCs w:val="11"/>
                <w:color w:val="auto"/>
              </w:rPr>
            </w:pPr>
          </w:p>
        </w:tc>
        <w:tc>
          <w:tcPr>
            <w:tcW w:w="1020" w:type="dxa"/>
            <w:vAlign w:val="bottom"/>
          </w:tcPr>
          <w:p>
            <w:pPr>
              <w:spacing w:after="0" w:line="138" w:lineRule="exact"/>
              <w:rPr>
                <w:sz w:val="20"/>
                <w:szCs w:val="20"/>
                <w:color w:val="auto"/>
              </w:rPr>
            </w:pPr>
            <w:r>
              <w:rPr>
                <w:rFonts w:ascii="Arial" w:cs="Arial" w:eastAsia="Arial" w:hAnsi="Arial"/>
                <w:sz w:val="14"/>
                <w:szCs w:val="14"/>
                <w:color w:val="auto"/>
              </w:rPr>
              <w:t>Burlington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00" w:type="dxa"/>
            <w:vAlign w:val="bottom"/>
          </w:tcPr>
          <w:p>
            <w:pPr>
              <w:spacing w:after="0" w:line="159" w:lineRule="exact"/>
              <w:rPr>
                <w:sz w:val="20"/>
                <w:szCs w:val="20"/>
                <w:color w:val="auto"/>
              </w:rPr>
            </w:pPr>
            <w:r>
              <w:rPr>
                <w:rFonts w:ascii="Arial" w:cs="Arial" w:eastAsia="Arial" w:hAnsi="Arial"/>
                <w:sz w:val="14"/>
                <w:szCs w:val="14"/>
                <w:color w:val="auto"/>
              </w:rPr>
              <w:t>Lowell-Brockton, MA</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Brothers</w:t>
            </w:r>
          </w:p>
        </w:tc>
        <w:tc>
          <w:tcPr>
            <w:tcW w:w="180" w:type="dxa"/>
            <w:vAlign w:val="bottom"/>
          </w:tcPr>
          <w:p>
            <w:pPr>
              <w:spacing w:after="0"/>
              <w:rPr>
                <w:sz w:val="13"/>
                <w:szCs w:val="13"/>
                <w:color w:val="auto"/>
              </w:rPr>
            </w:pPr>
          </w:p>
        </w:tc>
        <w:tc>
          <w:tcPr>
            <w:tcW w:w="1020" w:type="dxa"/>
            <w:vAlign w:val="bottom"/>
          </w:tcPr>
          <w:p>
            <w:pPr>
              <w:spacing w:after="0" w:line="159" w:lineRule="exact"/>
              <w:rPr>
                <w:sz w:val="20"/>
                <w:szCs w:val="20"/>
                <w:color w:val="auto"/>
              </w:rPr>
            </w:pPr>
            <w:r>
              <w:rPr>
                <w:rFonts w:ascii="Arial" w:cs="Arial" w:eastAsia="Arial" w:hAnsi="Arial"/>
                <w:sz w:val="14"/>
                <w:szCs w:val="14"/>
                <w:color w:val="auto"/>
              </w:rPr>
              <w:t>Coat Factory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8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Pleasant Shops</w:t>
            </w:r>
          </w:p>
        </w:tc>
        <w:tc>
          <w:tcPr>
            <w:tcW w:w="1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Boston Worcester-Lawrence-</w:t>
            </w: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1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22,736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12,400</w:t>
            </w:r>
          </w:p>
        </w:tc>
        <w:tc>
          <w:tcPr>
            <w:tcW w:w="6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129,000</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97%</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38,000</w:t>
            </w:r>
          </w:p>
        </w:tc>
        <w:tc>
          <w:tcPr>
            <w:tcW w:w="900" w:type="dxa"/>
            <w:vAlign w:val="bottom"/>
            <w:gridSpan w:val="2"/>
            <w:shd w:val="clear" w:color="auto" w:fill="CCEEFF"/>
          </w:tcPr>
          <w:p>
            <w:pPr>
              <w:ind w:left="180"/>
              <w:spacing w:after="0" w:line="138" w:lineRule="exact"/>
              <w:rPr>
                <w:sz w:val="20"/>
                <w:szCs w:val="20"/>
                <w:color w:val="auto"/>
              </w:rPr>
            </w:pPr>
            <w:r>
              <w:rPr>
                <w:rFonts w:ascii="Arial" w:cs="Arial" w:eastAsia="Arial" w:hAnsi="Arial"/>
                <w:sz w:val="14"/>
                <w:szCs w:val="14"/>
                <w:color w:val="auto"/>
                <w:w w:val="93"/>
              </w:rPr>
              <w:t>Foodmaster</w:t>
            </w: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Lowell-Brockton, MA</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spacing w:after="0" w:line="155" w:lineRule="exact"/>
              <w:rPr>
                <w:sz w:val="20"/>
                <w:szCs w:val="20"/>
                <w:color w:val="auto"/>
              </w:rPr>
            </w:pPr>
            <w:r>
              <w:rPr>
                <w:rFonts w:ascii="Arial" w:cs="Arial" w:eastAsia="Arial" w:hAnsi="Arial"/>
                <w:sz w:val="14"/>
                <w:szCs w:val="14"/>
                <w:b w:val="1"/>
                <w:bCs w:val="1"/>
                <w:color w:val="auto"/>
              </w:rPr>
              <w:t>Total New England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61,250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2"/>
              </w:rPr>
              <w:t>369,000</w:t>
            </w:r>
          </w:p>
        </w:tc>
        <w:tc>
          <w:tcPr>
            <w:tcW w:w="180" w:type="dxa"/>
            <w:vAlign w:val="bottom"/>
          </w:tcPr>
          <w:p>
            <w:pPr>
              <w:spacing w:after="0"/>
              <w:rPr>
                <w:sz w:val="14"/>
                <w:szCs w:val="14"/>
                <w:color w:val="auto"/>
              </w:rPr>
            </w:pPr>
          </w:p>
        </w:tc>
        <w:tc>
          <w:tcPr>
            <w:tcW w:w="8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98%</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East Region</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202,077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950,000</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gridSpan w:val="8"/>
            <w:vMerge w:val="restart"/>
          </w:tcPr>
          <w:p>
            <w:pPr>
              <w:spacing w:after="0"/>
              <w:rPr>
                <w:sz w:val="20"/>
                <w:szCs w:val="20"/>
                <w:color w:val="auto"/>
              </w:rPr>
            </w:pPr>
            <w:r>
              <w:rPr>
                <w:rFonts w:ascii="Arial" w:cs="Arial" w:eastAsia="Arial" w:hAnsi="Arial"/>
                <w:sz w:val="14"/>
                <w:szCs w:val="14"/>
                <w:color w:val="auto"/>
              </w:rPr>
              <w:t>Grand Totals</w:t>
            </w: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gridSpan w:val="8"/>
            <w:vMerge w:val="continue"/>
          </w:tcPr>
          <w:p>
            <w:pPr>
              <w:spacing w:after="0"/>
              <w:rPr>
                <w:sz w:val="13"/>
                <w:szCs w:val="13"/>
                <w:color w:val="auto"/>
              </w:rPr>
            </w:pPr>
          </w:p>
        </w:tc>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202,077</w:t>
            </w:r>
          </w:p>
        </w:tc>
        <w:tc>
          <w:tcPr>
            <w:tcW w:w="260" w:type="dxa"/>
            <w:vAlign w:val="bottom"/>
            <w:gridSpan w:val="2"/>
          </w:tcPr>
          <w:p>
            <w:pPr>
              <w:ind w:left="180"/>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81,410</w:t>
            </w: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950,000</w:t>
            </w:r>
          </w:p>
        </w:tc>
        <w:tc>
          <w:tcPr>
            <w:tcW w:w="180" w:type="dxa"/>
            <w:vAlign w:val="bottom"/>
          </w:tcPr>
          <w:p>
            <w:pPr>
              <w:spacing w:after="0"/>
              <w:rPr>
                <w:sz w:val="13"/>
                <w:szCs w:val="13"/>
                <w:color w:val="auto"/>
              </w:rPr>
            </w:pPr>
          </w:p>
        </w:tc>
        <w:tc>
          <w:tcPr>
            <w:tcW w:w="8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98%</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15" w:lineRule="exact"/>
        <w:rPr>
          <w:sz w:val="20"/>
          <w:szCs w:val="20"/>
          <w:color w:val="auto"/>
        </w:rPr>
      </w:pPr>
    </w:p>
    <w:p>
      <w:pPr>
        <w:ind w:left="5620" w:right="5260" w:hanging="5612"/>
        <w:spacing w:after="0" w:line="404" w:lineRule="auto"/>
        <w:tabs>
          <w:tab w:leader="none" w:pos="448" w:val="left"/>
        </w:tabs>
        <w:numPr>
          <w:ilvl w:val="0"/>
          <w:numId w:val="23"/>
        </w:numPr>
        <w:rPr>
          <w:rFonts w:ascii="Arial" w:cs="Arial" w:eastAsia="Arial" w:hAnsi="Arial"/>
          <w:sz w:val="15"/>
          <w:szCs w:val="15"/>
          <w:color w:val="auto"/>
        </w:rPr>
      </w:pPr>
      <w:r>
        <w:rPr>
          <w:rFonts w:ascii="Arial" w:cs="Arial" w:eastAsia="Arial" w:hAnsi="Arial"/>
          <w:sz w:val="15"/>
          <w:szCs w:val="15"/>
          <w:color w:val="auto"/>
        </w:rPr>
        <w:t>Grocery anchor is defined as a grocery tenant leasing 15,000 square feet or more. 25</w:t>
      </w:r>
    </w:p>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Glossary of Terms</w:t>
      </w:r>
    </w:p>
    <w:p>
      <w:pPr>
        <w:spacing w:after="0" w:line="17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Adjusted EBITDA is a non-GAAP measure that means net income or loss plus depreciation and amortization, net interest expense, income</w:t>
      </w:r>
      <w:r>
        <w:rPr>
          <w:rFonts w:ascii="Arial" w:cs="Arial" w:eastAsia="Arial" w:hAnsi="Arial"/>
          <w:sz w:val="16"/>
          <w:szCs w:val="16"/>
          <w:b w:val="1"/>
          <w:bCs w:val="1"/>
          <w:color w:val="auto"/>
        </w:rPr>
        <w:t xml:space="preserve"> </w:t>
      </w:r>
      <w:r>
        <w:rPr>
          <w:rFonts w:ascii="Arial" w:cs="Arial" w:eastAsia="Arial" w:hAnsi="Arial"/>
          <w:sz w:val="16"/>
          <w:szCs w:val="16"/>
          <w:color w:val="auto"/>
        </w:rPr>
        <w:t>taxes, gain or loss on sale of real estate and impairments of real estate, if any.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The reconciliation of Adjusted EBITDA to net income for the three and nine months ended September 30, 2008 and 2007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2"/>
          </w:tcPr>
          <w:p>
            <w:pPr>
              <w:jc w:val="right"/>
              <w:ind w:right="235"/>
              <w:spacing w:after="0"/>
              <w:rPr>
                <w:sz w:val="20"/>
                <w:szCs w:val="20"/>
                <w:color w:val="auto"/>
              </w:rPr>
            </w:pPr>
            <w:r>
              <w:rPr>
                <w:rFonts w:ascii="Arial" w:cs="Arial" w:eastAsia="Arial" w:hAnsi="Arial"/>
                <w:sz w:val="12"/>
                <w:szCs w:val="12"/>
                <w:b w:val="1"/>
                <w:bCs w:val="1"/>
                <w:color w:val="auto"/>
                <w:w w:val="80"/>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74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color w:val="auto"/>
              </w:rPr>
              <w:t>$37,102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$23,515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740" w:type="dxa"/>
            <w:vAlign w:val="bottom"/>
            <w:gridSpan w:val="3"/>
          </w:tcPr>
          <w:p>
            <w:pPr>
              <w:jc w:val="right"/>
              <w:ind w:right="218"/>
              <w:spacing w:after="0"/>
              <w:rPr>
                <w:sz w:val="20"/>
                <w:szCs w:val="20"/>
                <w:color w:val="auto"/>
              </w:rPr>
            </w:pPr>
            <w:r>
              <w:rPr>
                <w:rFonts w:ascii="Arial" w:cs="Arial" w:eastAsia="Arial" w:hAnsi="Arial"/>
                <w:sz w:val="18"/>
                <w:szCs w:val="18"/>
                <w:color w:val="auto"/>
              </w:rPr>
              <w:t>28,643</w:t>
            </w:r>
          </w:p>
        </w:tc>
        <w:tc>
          <w:tcPr>
            <w:tcW w:w="580" w:type="dxa"/>
            <w:vAlign w:val="bottom"/>
          </w:tcPr>
          <w:p>
            <w:pPr>
              <w:jc w:val="right"/>
              <w:spacing w:after="0"/>
              <w:rPr>
                <w:sz w:val="20"/>
                <w:szCs w:val="20"/>
                <w:color w:val="auto"/>
              </w:rPr>
            </w:pPr>
            <w:r>
              <w:rPr>
                <w:rFonts w:ascii="Arial" w:cs="Arial" w:eastAsia="Arial" w:hAnsi="Arial"/>
                <w:sz w:val="18"/>
                <w:szCs w:val="18"/>
                <w:color w:val="auto"/>
              </w:rPr>
              <w:t>26,071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81,838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74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color w:val="auto"/>
              </w:rPr>
              <w:t>25,337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74,166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interest income</w:t>
            </w:r>
          </w:p>
        </w:tc>
        <w:tc>
          <w:tcPr>
            <w:tcW w:w="2860" w:type="dxa"/>
            <w:vAlign w:val="bottom"/>
          </w:tcPr>
          <w:p>
            <w:pPr>
              <w:spacing w:after="0"/>
              <w:rPr>
                <w:sz w:val="19"/>
                <w:szCs w:val="19"/>
                <w:color w:val="auto"/>
              </w:rPr>
            </w:pPr>
          </w:p>
        </w:tc>
        <w:tc>
          <w:tcPr>
            <w:tcW w:w="880" w:type="dxa"/>
            <w:vAlign w:val="bottom"/>
            <w:gridSpan w:val="2"/>
          </w:tcPr>
          <w:p>
            <w:pPr>
              <w:jc w:val="right"/>
              <w:ind w:right="178"/>
              <w:spacing w:after="0"/>
              <w:rPr>
                <w:sz w:val="20"/>
                <w:szCs w:val="20"/>
                <w:color w:val="auto"/>
              </w:rPr>
            </w:pPr>
            <w:r>
              <w:rPr>
                <w:rFonts w:ascii="Arial" w:cs="Arial" w:eastAsia="Arial" w:hAnsi="Arial"/>
                <w:sz w:val="18"/>
                <w:szCs w:val="18"/>
                <w:color w:val="auto"/>
              </w:rPr>
              <w:t>(116)</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8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90,966</w:t>
            </w: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251,400</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241,574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(Gain) loss on sale of real estate</w:t>
            </w:r>
          </w:p>
        </w:tc>
        <w:tc>
          <w:tcPr>
            <w:tcW w:w="286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Arial" w:cs="Arial" w:eastAsia="Arial" w:hAnsi="Arial"/>
                <w:sz w:val="18"/>
                <w:szCs w:val="18"/>
                <w:color w:val="auto"/>
              </w:rPr>
              <w:t>(7,438)</w:t>
            </w:r>
          </w:p>
        </w:tc>
        <w:tc>
          <w:tcPr>
            <w:tcW w:w="580" w:type="dxa"/>
            <w:vAlign w:val="bottom"/>
          </w:tcPr>
          <w:p>
            <w:pPr>
              <w:jc w:val="right"/>
              <w:spacing w:after="0"/>
              <w:rPr>
                <w:sz w:val="20"/>
                <w:szCs w:val="20"/>
                <w:color w:val="auto"/>
              </w:rPr>
            </w:pPr>
            <w:r>
              <w:rPr>
                <w:rFonts w:ascii="Arial" w:cs="Arial" w:eastAsia="Arial" w:hAnsi="Arial"/>
                <w:sz w:val="18"/>
                <w:szCs w:val="18"/>
                <w:color w:val="auto"/>
              </w:rPr>
              <w:t>2,900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(7,438)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83,528</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82,704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243,962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242,625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15"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17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3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 lease</w:t>
      </w:r>
      <w:r>
        <w:rPr>
          <w:rFonts w:ascii="Arial" w:cs="Arial" w:eastAsia="Arial" w:hAnsi="Arial"/>
          <w:sz w:val="18"/>
          <w:szCs w:val="18"/>
          <w:b w:val="1"/>
          <w:bCs w:val="1"/>
          <w:color w:val="auto"/>
        </w:rPr>
        <w:t xml:space="preserve"> </w:t>
      </w:r>
      <w:r>
        <w:rPr>
          <w:rFonts w:ascii="Arial" w:cs="Arial" w:eastAsia="Arial" w:hAnsi="Arial"/>
          <w:sz w:val="18"/>
          <w:szCs w:val="18"/>
          <w:color w:val="auto"/>
        </w:rPr>
        <w:t>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3"/>
    </w:lvl>
  </w:abstractNum>
  <w:abstractNum w:abstractNumId="2">
    <w:nsid w:val="3352255A"/>
    <w:multiLevelType w:val="hybridMultilevel"/>
    <w:lvl w:ilvl="0">
      <w:lvlJc w:val="left"/>
      <w:lvlText w:val="%1."/>
      <w:numFmt w:val="decimal"/>
      <w:start w:val="3"/>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2"/>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2019-12-11T12:24:14Z</dcterms:created>
  <dcterms:modified xsi:type="dcterms:W3CDTF">2019-12-11T12:24:14Z</dcterms:modified>
</cp:coreProperties>
</file>