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333-181236</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20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220" w:type="dxa"/>
            <w:vAlign w:val="bottom"/>
            <w:tcBorders>
              <w:top w:val="single" w:sz="8" w:color="auto"/>
            </w:tcBorders>
          </w:tcPr>
          <w:p>
            <w:pPr>
              <w:spacing w:after="0"/>
              <w:rPr>
                <w:sz w:val="12"/>
                <w:szCs w:val="12"/>
                <w:color w:val="auto"/>
              </w:rPr>
            </w:pPr>
          </w:p>
        </w:tc>
      </w:tr>
      <w:tr>
        <w:trPr>
          <w:trHeight w:val="149"/>
        </w:trPr>
        <w:tc>
          <w:tcPr>
            <w:tcW w:w="4040" w:type="dxa"/>
            <w:vAlign w:val="bottom"/>
          </w:tcPr>
          <w:p>
            <w:pPr>
              <w:spacing w:after="0"/>
              <w:rPr>
                <w:sz w:val="12"/>
                <w:szCs w:val="12"/>
                <w:color w:val="auto"/>
              </w:rPr>
            </w:pPr>
          </w:p>
        </w:tc>
        <w:tc>
          <w:tcPr>
            <w:tcW w:w="2300" w:type="dxa"/>
            <w:vAlign w:val="bottom"/>
          </w:tcPr>
          <w:p>
            <w:pPr>
              <w:jc w:val="center"/>
              <w:ind w:left="587"/>
              <w:spacing w:after="0" w:line="149" w:lineRule="exact"/>
              <w:rPr>
                <w:sz w:val="20"/>
                <w:szCs w:val="20"/>
                <w:color w:val="auto"/>
              </w:rPr>
            </w:pPr>
            <w:r>
              <w:rPr>
                <w:rFonts w:ascii="Arial" w:cs="Arial" w:eastAsia="Arial" w:hAnsi="Arial"/>
                <w:sz w:val="14"/>
                <w:szCs w:val="14"/>
                <w:b w:val="1"/>
                <w:bCs w:val="1"/>
                <w:color w:val="auto"/>
                <w:w w:val="90"/>
              </w:rPr>
              <w:t>Amount</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220" w:type="dxa"/>
            <w:vAlign w:val="bottom"/>
          </w:tcPr>
          <w:p>
            <w:pPr>
              <w:jc w:val="center"/>
              <w:ind w:left="44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40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2300" w:type="dxa"/>
            <w:vAlign w:val="bottom"/>
          </w:tcPr>
          <w:p>
            <w:pPr>
              <w:jc w:val="center"/>
              <w:ind w:left="587"/>
              <w:spacing w:after="0" w:line="149" w:lineRule="exact"/>
              <w:rPr>
                <w:sz w:val="20"/>
                <w:szCs w:val="20"/>
                <w:color w:val="auto"/>
              </w:rPr>
            </w:pPr>
            <w:r>
              <w:rPr>
                <w:rFonts w:ascii="Arial" w:cs="Arial" w:eastAsia="Arial" w:hAnsi="Arial"/>
                <w:sz w:val="14"/>
                <w:szCs w:val="14"/>
                <w:b w:val="1"/>
                <w:bCs w:val="1"/>
                <w:color w:val="auto"/>
                <w:w w:val="83"/>
              </w:rPr>
              <w:t>to be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220" w:type="dxa"/>
            <w:vAlign w:val="bottom"/>
          </w:tcPr>
          <w:p>
            <w:pPr>
              <w:jc w:val="center"/>
              <w:ind w:left="42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404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b w:val="1"/>
                <w:bCs w:val="1"/>
                <w:color w:val="auto"/>
                <w:w w:val="84"/>
              </w:rPr>
              <w:t>Securities to be Registered</w:t>
            </w:r>
          </w:p>
        </w:tc>
        <w:tc>
          <w:tcPr>
            <w:tcW w:w="2300" w:type="dxa"/>
            <w:vAlign w:val="bottom"/>
            <w:tcBorders>
              <w:bottom w:val="single" w:sz="8" w:color="auto"/>
            </w:tcBorders>
          </w:tcPr>
          <w:p>
            <w:pPr>
              <w:jc w:val="center"/>
              <w:ind w:left="587"/>
              <w:spacing w:after="0"/>
              <w:rPr>
                <w:sz w:val="20"/>
                <w:szCs w:val="20"/>
                <w:color w:val="auto"/>
              </w:rPr>
            </w:pPr>
            <w:r>
              <w:rPr>
                <w:rFonts w:ascii="Arial" w:cs="Arial" w:eastAsia="Arial" w:hAnsi="Arial"/>
                <w:sz w:val="14"/>
                <w:szCs w:val="14"/>
                <w:b w:val="1"/>
                <w:bCs w:val="1"/>
                <w:color w:val="auto"/>
                <w:w w:val="82"/>
              </w:rPr>
              <w:t>Registered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 Per Unit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220" w:type="dxa"/>
            <w:vAlign w:val="bottom"/>
            <w:tcBorders>
              <w:bottom w:val="single" w:sz="8" w:color="auto"/>
            </w:tcBorders>
          </w:tcPr>
          <w:p>
            <w:pPr>
              <w:jc w:val="center"/>
              <w:ind w:left="427"/>
              <w:spacing w:after="0"/>
              <w:rPr>
                <w:sz w:val="20"/>
                <w:szCs w:val="20"/>
                <w:color w:val="auto"/>
              </w:rPr>
            </w:pPr>
            <w:r>
              <w:rPr>
                <w:rFonts w:ascii="Arial" w:cs="Arial" w:eastAsia="Arial" w:hAnsi="Arial"/>
                <w:sz w:val="14"/>
                <w:szCs w:val="14"/>
                <w:b w:val="1"/>
                <w:bCs w:val="1"/>
                <w:color w:val="auto"/>
                <w:w w:val="87"/>
              </w:rPr>
              <w:t>Fee(1)</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4.50% Notes due 2044</w:t>
            </w:r>
          </w:p>
        </w:tc>
        <w:tc>
          <w:tcPr>
            <w:tcW w:w="2300" w:type="dxa"/>
            <w:vAlign w:val="bottom"/>
            <w:shd w:val="clear" w:color="auto" w:fill="CCEEFF"/>
          </w:tcPr>
          <w:p>
            <w:pPr>
              <w:jc w:val="center"/>
              <w:ind w:left="587"/>
              <w:spacing w:after="0"/>
              <w:rPr>
                <w:sz w:val="20"/>
                <w:szCs w:val="20"/>
                <w:color w:val="auto"/>
              </w:rPr>
            </w:pPr>
            <w:r>
              <w:rPr>
                <w:rFonts w:ascii="Arial" w:cs="Arial" w:eastAsia="Arial" w:hAnsi="Arial"/>
                <w:sz w:val="18"/>
                <w:szCs w:val="18"/>
                <w:color w:val="auto"/>
                <w:w w:val="88"/>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$250,000,000</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$29,050</w:t>
            </w:r>
          </w:p>
        </w:tc>
      </w:tr>
    </w:tbl>
    <w:p>
      <w:pPr>
        <w:spacing w:after="0" w:line="73" w:lineRule="exact"/>
        <w:rPr>
          <w:sz w:val="24"/>
          <w:szCs w:val="24"/>
          <w:color w:val="auto"/>
        </w:rPr>
      </w:pPr>
    </w:p>
    <w:p>
      <w:pPr>
        <w:ind w:left="460" w:right="26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filing fee is calculated in accordance with Rule 457(r) under the Securities Act of 1933, as amended (the “Securities Act”), and relates to the Registration Statement on Form S-3 (No. 333-181236) filed on May 8, 2012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139700</wp:posOffset>
            </wp:positionV>
            <wp:extent cx="2152650"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4.50%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notes offered by this prospectus supplement will bear interest at the rate of 4.50% per year. Interest on the notes will be payable on June 1 and December 1 of each year, beginning on June 1, 2015. The notes will mature on December 1, 2044. We may redeem some or all of the notes at any time before maturity at the applicable redemption price discussed under the caption “Description of Notes — Optional Redemption.”</w:t>
      </w:r>
    </w:p>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notes are a new issue of securities with no established trading market.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26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11">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on page 3 of the accompanying prospectus and in our Annual Report on Form 10-K for the year ended December 31, 2013, filed with the Securities and Exchange Commission, or the SEC, on February 11,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Note</w:t>
            </w:r>
          </w:p>
        </w:tc>
        <w:tc>
          <w:tcPr>
            <w:tcW w:w="2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12"/>
        </w:trPr>
        <w:tc>
          <w:tcPr>
            <w:tcW w:w="76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98.860%</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5"/>
              </w:rPr>
              <w:t>247,150,000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0.875%</w:t>
            </w:r>
          </w:p>
        </w:tc>
        <w:tc>
          <w:tcPr>
            <w:tcW w:w="1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2,187,500</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11"/>
                <w:szCs w:val="11"/>
                <w:color w:val="auto"/>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97.9850%</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5"/>
              </w:rPr>
              <w:t>244,962,500</w:t>
            </w:r>
          </w:p>
        </w:tc>
      </w:tr>
    </w:tbl>
    <w:p>
      <w:pPr>
        <w:ind w:left="180" w:hanging="172"/>
        <w:spacing w:after="0"/>
        <w:tabs>
          <w:tab w:leader="none" w:pos="180" w:val="left"/>
        </w:tabs>
        <w:numPr>
          <w:ilvl w:val="0"/>
          <w:numId w:val="2"/>
        </w:numPr>
        <w:rPr>
          <w:rFonts w:ascii="Arial" w:cs="Arial" w:eastAsia="Arial" w:hAnsi="Arial"/>
          <w:sz w:val="11"/>
          <w:szCs w:val="11"/>
          <w:color w:val="auto"/>
        </w:rPr>
      </w:pPr>
      <w:r>
        <w:rPr>
          <w:rFonts w:ascii="Arial" w:cs="Arial" w:eastAsia="Arial" w:hAnsi="Arial"/>
          <w:sz w:val="18"/>
          <w:szCs w:val="18"/>
          <w:color w:val="auto"/>
        </w:rPr>
        <w:t>Plus accrued interest from November 14, 2014, if settlement occurs after that date.</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November 14, 2014.</w:t>
      </w:r>
    </w:p>
    <w:p>
      <w:pPr>
        <w:spacing w:after="0" w:line="126"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3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Joint Book-Running Managers</w:t>
            </w:r>
          </w:p>
        </w:tc>
        <w:tc>
          <w:tcPr>
            <w:tcW w:w="4020" w:type="dxa"/>
            <w:vAlign w:val="bottom"/>
          </w:tcPr>
          <w:p>
            <w:pPr>
              <w:spacing w:after="0"/>
              <w:rPr>
                <w:sz w:val="19"/>
                <w:szCs w:val="19"/>
                <w:color w:val="auto"/>
              </w:rPr>
            </w:pPr>
          </w:p>
        </w:tc>
      </w:tr>
      <w:tr>
        <w:trPr>
          <w:trHeight w:val="309"/>
        </w:trPr>
        <w:tc>
          <w:tcPr>
            <w:tcW w:w="4360" w:type="dxa"/>
            <w:vAlign w:val="bottom"/>
          </w:tcPr>
          <w:p>
            <w:pPr>
              <w:spacing w:after="0"/>
              <w:rPr>
                <w:sz w:val="20"/>
                <w:szCs w:val="20"/>
                <w:color w:val="auto"/>
              </w:rPr>
            </w:pPr>
            <w:r>
              <w:rPr>
                <w:rFonts w:ascii="Arial" w:cs="Arial" w:eastAsia="Arial" w:hAnsi="Arial"/>
                <w:sz w:val="22"/>
                <w:szCs w:val="22"/>
                <w:b w:val="1"/>
                <w:bCs w:val="1"/>
                <w:color w:val="auto"/>
              </w:rPr>
              <w:t>Wells Fargo Securities</w:t>
            </w:r>
          </w:p>
        </w:tc>
        <w:tc>
          <w:tcPr>
            <w:tcW w:w="260" w:type="dxa"/>
            <w:vAlign w:val="bottom"/>
          </w:tcPr>
          <w:p>
            <w:pPr>
              <w:spacing w:after="0"/>
              <w:rPr>
                <w:sz w:val="24"/>
                <w:szCs w:val="24"/>
                <w:color w:val="auto"/>
              </w:rPr>
            </w:pPr>
          </w:p>
        </w:tc>
        <w:tc>
          <w:tcPr>
            <w:tcW w:w="2780" w:type="dxa"/>
            <w:vAlign w:val="bottom"/>
            <w:gridSpan w:val="2"/>
          </w:tcPr>
          <w:p>
            <w:pPr>
              <w:ind w:left="140"/>
              <w:spacing w:after="0"/>
              <w:rPr>
                <w:sz w:val="20"/>
                <w:szCs w:val="20"/>
                <w:color w:val="auto"/>
              </w:rPr>
            </w:pPr>
            <w:r>
              <w:rPr>
                <w:rFonts w:ascii="Arial" w:cs="Arial" w:eastAsia="Arial" w:hAnsi="Arial"/>
                <w:sz w:val="22"/>
                <w:szCs w:val="22"/>
                <w:b w:val="1"/>
                <w:bCs w:val="1"/>
                <w:color w:val="auto"/>
              </w:rPr>
              <w:t>BofA Merrill Lynch</w:t>
            </w:r>
          </w:p>
        </w:tc>
        <w:tc>
          <w:tcPr>
            <w:tcW w:w="4020" w:type="dxa"/>
            <w:vAlign w:val="bottom"/>
          </w:tcPr>
          <w:p>
            <w:pPr>
              <w:ind w:left="1680"/>
              <w:spacing w:after="0"/>
              <w:rPr>
                <w:sz w:val="20"/>
                <w:szCs w:val="20"/>
                <w:color w:val="auto"/>
              </w:rPr>
            </w:pPr>
            <w:r>
              <w:rPr>
                <w:rFonts w:ascii="Arial" w:cs="Arial" w:eastAsia="Arial" w:hAnsi="Arial"/>
                <w:sz w:val="22"/>
                <w:szCs w:val="22"/>
                <w:b w:val="1"/>
                <w:bCs w:val="1"/>
                <w:color w:val="auto"/>
                <w:w w:val="85"/>
              </w:rPr>
              <w:t>Deutsche Bank Securities</w:t>
            </w:r>
          </w:p>
        </w:tc>
      </w:tr>
      <w:tr>
        <w:trPr>
          <w:trHeight w:val="166"/>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89"/>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Co-Managers</w:t>
            </w:r>
          </w:p>
        </w:tc>
        <w:tc>
          <w:tcPr>
            <w:tcW w:w="4020" w:type="dxa"/>
            <w:vAlign w:val="bottom"/>
          </w:tcPr>
          <w:p>
            <w:pPr>
              <w:spacing w:after="0"/>
              <w:rPr>
                <w:sz w:val="24"/>
                <w:szCs w:val="24"/>
                <w:color w:val="auto"/>
              </w:rPr>
            </w:pPr>
          </w:p>
        </w:tc>
      </w:tr>
      <w:tr>
        <w:trPr>
          <w:trHeight w:val="270"/>
        </w:trPr>
        <w:tc>
          <w:tcPr>
            <w:tcW w:w="4360" w:type="dxa"/>
            <w:vAlign w:val="bottom"/>
          </w:tcPr>
          <w:p>
            <w:pPr>
              <w:ind w:left="1000"/>
              <w:spacing w:after="0"/>
              <w:rPr>
                <w:sz w:val="20"/>
                <w:szCs w:val="20"/>
                <w:color w:val="auto"/>
              </w:rPr>
            </w:pPr>
            <w:r>
              <w:rPr>
                <w:rFonts w:ascii="Arial" w:cs="Arial" w:eastAsia="Arial" w:hAnsi="Arial"/>
                <w:sz w:val="18"/>
                <w:szCs w:val="18"/>
                <w:b w:val="1"/>
                <w:bCs w:val="1"/>
                <w:color w:val="auto"/>
              </w:rPr>
              <w:t>Regions Securities LLC</w:t>
            </w:r>
          </w:p>
        </w:tc>
        <w:tc>
          <w:tcPr>
            <w:tcW w:w="3040" w:type="dxa"/>
            <w:vAlign w:val="bottom"/>
            <w:gridSpan w:val="3"/>
          </w:tcPr>
          <w:p>
            <w:pPr>
              <w:ind w:left="260"/>
              <w:spacing w:after="0"/>
              <w:rPr>
                <w:sz w:val="20"/>
                <w:szCs w:val="20"/>
                <w:color w:val="auto"/>
              </w:rPr>
            </w:pPr>
            <w:r>
              <w:rPr>
                <w:rFonts w:ascii="Arial" w:cs="Arial" w:eastAsia="Arial" w:hAnsi="Arial"/>
                <w:sz w:val="18"/>
                <w:szCs w:val="18"/>
                <w:b w:val="1"/>
                <w:bCs w:val="1"/>
                <w:color w:val="auto"/>
              </w:rPr>
              <w:t>SunTrust Robinson Humphrey</w:t>
            </w:r>
          </w:p>
        </w:tc>
        <w:tc>
          <w:tcPr>
            <w:tcW w:w="4020" w:type="dxa"/>
            <w:vAlign w:val="bottom"/>
          </w:tcPr>
          <w:p>
            <w:pPr>
              <w:ind w:left="1360"/>
              <w:spacing w:after="0"/>
              <w:rPr>
                <w:sz w:val="20"/>
                <w:szCs w:val="20"/>
                <w:color w:val="auto"/>
              </w:rPr>
            </w:pPr>
            <w:r>
              <w:rPr>
                <w:rFonts w:ascii="Arial" w:cs="Arial" w:eastAsia="Arial" w:hAnsi="Arial"/>
                <w:sz w:val="18"/>
                <w:szCs w:val="18"/>
                <w:b w:val="1"/>
                <w:bCs w:val="1"/>
                <w:color w:val="auto"/>
              </w:rPr>
              <w:t>Capital One Securities</w:t>
            </w:r>
          </w:p>
        </w:tc>
      </w:tr>
      <w:tr>
        <w:trPr>
          <w:trHeight w:val="324"/>
        </w:trPr>
        <w:tc>
          <w:tcPr>
            <w:tcW w:w="4360" w:type="dxa"/>
            <w:vAlign w:val="bottom"/>
          </w:tcPr>
          <w:p>
            <w:pPr>
              <w:ind w:left="2100"/>
              <w:spacing w:after="0"/>
              <w:rPr>
                <w:sz w:val="20"/>
                <w:szCs w:val="20"/>
                <w:color w:val="auto"/>
              </w:rPr>
            </w:pPr>
            <w:r>
              <w:rPr>
                <w:rFonts w:ascii="Arial" w:cs="Arial" w:eastAsia="Arial" w:hAnsi="Arial"/>
                <w:sz w:val="18"/>
                <w:szCs w:val="18"/>
                <w:b w:val="1"/>
                <w:bCs w:val="1"/>
                <w:color w:val="auto"/>
              </w:rPr>
              <w:t>PNC Capital Markets LLC</w:t>
            </w: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tcPr>
          <w:p>
            <w:pPr>
              <w:ind w:left="460"/>
              <w:spacing w:after="0"/>
              <w:rPr>
                <w:sz w:val="20"/>
                <w:szCs w:val="20"/>
                <w:color w:val="auto"/>
              </w:rPr>
            </w:pPr>
            <w:r>
              <w:rPr>
                <w:rFonts w:ascii="Arial" w:cs="Arial" w:eastAsia="Arial" w:hAnsi="Arial"/>
                <w:sz w:val="18"/>
                <w:szCs w:val="18"/>
                <w:b w:val="1"/>
                <w:bCs w:val="1"/>
                <w:color w:val="auto"/>
              </w:rPr>
              <w:t>TD Securities</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November 10, 2014.</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1"/>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1"/>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Notes</w:t>
              </w:r>
            </w:hyperlink>
          </w:p>
        </w:tc>
        <w:tc>
          <w:tcPr>
            <w:tcW w:w="3420" w:type="dxa"/>
            <w:vAlign w:val="bottom"/>
            <w:gridSpan w:val="1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8"/>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8"/>
            <w:vMerge w:val="continue"/>
          </w:tcPr>
          <w:p>
            <w:pPr>
              <w:spacing w:after="0"/>
              <w:rPr>
                <w:sz w:val="13"/>
                <w:szCs w:val="13"/>
                <w:color w:val="auto"/>
              </w:rPr>
            </w:pPr>
          </w:p>
        </w:tc>
        <w:tc>
          <w:tcPr>
            <w:tcW w:w="6060" w:type="dxa"/>
            <w:vAlign w:val="bottom"/>
            <w:gridSpan w:val="2"/>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Material Federal Income Tax Considerations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Legal Matters</w:t>
              </w:r>
            </w:hyperlink>
          </w:p>
        </w:tc>
        <w:tc>
          <w:tcPr>
            <w:tcW w:w="3500" w:type="dxa"/>
            <w:vAlign w:val="bottom"/>
            <w:gridSpan w:val="1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Experts</w:t>
              </w:r>
            </w:hyperlink>
          </w:p>
        </w:tc>
        <w:tc>
          <w:tcPr>
            <w:tcW w:w="3920" w:type="dxa"/>
            <w:vAlign w:val="bottom"/>
            <w:gridSpan w:val="15"/>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Where You Can Find More Information</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2013, filed with the SEC on February 11, 2014,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2014, we owned or had a controlling interest in community and neighborhood shopping centers and mixed-use properties which are operated as 89 predominantly retail real estate projects comprising approximately 20.1 million square feet (excludes unconsolidated joint venture properties). In total, the real estate projects were 95.6% leased and 94.7% occupied at September 30, 2014. A joint venture in which we own a 30% interest owned six retail real estate projects totaling approximately 0.8 million square feet as of September 30, 2014. In total, the joint venture properties in which we own a 30% interest were 83.2% leased and occupied at September 30, 2014. We have paid quarterly dividends to our shareholders continuously since our founding in 1962 and have increased our dividends per common share for 47 consecutive years.</w:t>
      </w:r>
    </w:p>
    <w:p>
      <w:pPr>
        <w:spacing w:after="0" w:line="3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8220" w:type="dxa"/>
            <w:vAlign w:val="bottom"/>
            <w:gridSpan w:val="5"/>
          </w:tcPr>
          <w:p>
            <w:pPr>
              <w:jc w:val="right"/>
              <w:ind w:right="500"/>
              <w:spacing w:after="0"/>
              <w:rPr>
                <w:sz w:val="20"/>
                <w:szCs w:val="20"/>
                <w:color w:val="auto"/>
              </w:rPr>
            </w:pPr>
            <w:r>
              <w:rPr>
                <w:rFonts w:ascii="Arial" w:cs="Arial" w:eastAsia="Arial" w:hAnsi="Arial"/>
                <w:sz w:val="18"/>
                <w:szCs w:val="18"/>
                <w:color w:val="auto"/>
                <w:w w:val="94"/>
              </w:rPr>
              <w:t>The following table sets forth our historical ratios of earnings to fixed charges for the periods indicated:</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538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Nine Months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89"/>
              </w:rPr>
              <w:t>For the Years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5380" w:type="dxa"/>
            <w:vAlign w:val="bottom"/>
          </w:tcPr>
          <w:p>
            <w:pPr>
              <w:spacing w:after="0"/>
              <w:rPr>
                <w:sz w:val="19"/>
                <w:szCs w:val="19"/>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Ended September 30,</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December 31,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4"/>
              </w:rPr>
              <w:t>2013</w:t>
            </w:r>
          </w:p>
        </w:tc>
        <w:tc>
          <w:tcPr>
            <w:tcW w:w="4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4"/>
              </w:rPr>
              <w:t>2012</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4"/>
              </w:rPr>
              <w:t>2010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27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27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500" w:firstLine="443"/>
        <w:spacing w:after="0" w:line="259"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ind w:left="200"/>
              <w:spacing w:after="0"/>
              <w:rPr>
                <w:sz w:val="20"/>
                <w:szCs w:val="20"/>
                <w:color w:val="auto"/>
              </w:rPr>
            </w:pPr>
            <w:r>
              <w:rPr>
                <w:rFonts w:ascii="Arial" w:cs="Arial" w:eastAsia="Arial" w:hAnsi="Arial"/>
                <w:sz w:val="18"/>
                <w:szCs w:val="18"/>
                <w:color w:val="auto"/>
              </w:rPr>
              <w:t>Issuer</w:t>
            </w:r>
          </w:p>
        </w:tc>
        <w:tc>
          <w:tcPr>
            <w:tcW w:w="7940" w:type="dxa"/>
            <w:vAlign w:val="bottom"/>
          </w:tcPr>
          <w:p>
            <w:pPr>
              <w:ind w:left="980"/>
              <w:spacing w:after="0"/>
              <w:rPr>
                <w:sz w:val="20"/>
                <w:szCs w:val="20"/>
                <w:color w:val="auto"/>
              </w:rPr>
            </w:pPr>
            <w:r>
              <w:rPr>
                <w:rFonts w:ascii="Arial" w:cs="Arial" w:eastAsia="Arial" w:hAnsi="Arial"/>
                <w:sz w:val="18"/>
                <w:szCs w:val="18"/>
                <w:color w:val="auto"/>
              </w:rPr>
              <w:t>Federal Realty Investment Trust.</w:t>
            </w:r>
          </w:p>
        </w:tc>
      </w:tr>
      <w:tr>
        <w:trPr>
          <w:trHeight w:val="311"/>
        </w:trPr>
        <w:tc>
          <w:tcPr>
            <w:tcW w:w="35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980"/>
              <w:spacing w:after="0"/>
              <w:rPr>
                <w:sz w:val="20"/>
                <w:szCs w:val="20"/>
                <w:color w:val="auto"/>
              </w:rPr>
            </w:pPr>
            <w:r>
              <w:rPr>
                <w:rFonts w:ascii="Arial" w:cs="Arial" w:eastAsia="Arial" w:hAnsi="Arial"/>
                <w:sz w:val="18"/>
                <w:szCs w:val="18"/>
                <w:color w:val="auto"/>
              </w:rPr>
              <w:t>$250 million aggregate principal amount of 4.50% notes due 2044.</w:t>
            </w:r>
          </w:p>
        </w:tc>
      </w:tr>
      <w:tr>
        <w:trPr>
          <w:trHeight w:val="304"/>
        </w:trPr>
        <w:tc>
          <w:tcPr>
            <w:tcW w:w="35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Unless redeemed prior to maturity as described below, the notes will mature on December 1,</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2044.</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980"/>
              <w:spacing w:after="0"/>
              <w:rPr>
                <w:sz w:val="20"/>
                <w:szCs w:val="20"/>
                <w:color w:val="auto"/>
              </w:rPr>
            </w:pPr>
            <w:r>
              <w:rPr>
                <w:rFonts w:ascii="Arial" w:cs="Arial" w:eastAsia="Arial" w:hAnsi="Arial"/>
                <w:sz w:val="18"/>
                <w:szCs w:val="18"/>
                <w:color w:val="auto"/>
                <w:w w:val="97"/>
              </w:rPr>
              <w:t>Interest on the notes will be payable semi-annually in arrears on June 1 and December 1,</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beginning on June 1, 2015, and at maturity.</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Ranking</w:t>
            </w: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 xml:space="preserve">The notes will be our senior unsecured obligations and will rank </w:t>
            </w:r>
            <w:r>
              <w:rPr>
                <w:rFonts w:ascii="Arial" w:cs="Arial" w:eastAsia="Arial" w:hAnsi="Arial"/>
                <w:sz w:val="18"/>
                <w:szCs w:val="18"/>
                <w:i w:val="1"/>
                <w:iCs w:val="1"/>
                <w:color w:val="auto"/>
                <w:w w:val="92"/>
              </w:rPr>
              <w:t>pari passu</w:t>
            </w:r>
            <w:r>
              <w:rPr>
                <w:rFonts w:ascii="Arial" w:cs="Arial" w:eastAsia="Arial" w:hAnsi="Arial"/>
                <w:sz w:val="18"/>
                <w:szCs w:val="18"/>
                <w:color w:val="auto"/>
                <w:w w:val="92"/>
              </w:rPr>
              <w:t>, or equally, with all</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of our other unsecured and unsubordinated indebtedness. The notes will be effectively</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subordinated to the prior claims of each secured mortgage lender to any specific property that</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secures such lender’s mortgage and to all of the unsecured indebtedness of our subsidiaries. At</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September 30, 2014, we had outstanding approximately $618 million (excluding net</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unamortized premium) of secured indebtedness, collateralized by all or parts of 15 properties,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6"/>
              </w:rPr>
              <w:t>which ranks senior to the notes to the extent of the securing collateral (approximately $467</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million of this amount, which was issued by our subsidiaries, is also structurally senior to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notes), approximately $16 million of unsecured indebtedness issued by our subsidiaries, which</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is structurally senior to the notes, and approximately $1,655 million of unsecured indebtedness</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(excluding net unamortized discount), which ranks equally with the notes.</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980"/>
              <w:spacing w:after="0"/>
              <w:rPr>
                <w:sz w:val="20"/>
                <w:szCs w:val="20"/>
                <w:color w:val="auto"/>
              </w:rPr>
            </w:pPr>
            <w:r>
              <w:rPr>
                <w:rFonts w:ascii="Arial" w:cs="Arial" w:eastAsia="Arial" w:hAnsi="Arial"/>
                <w:sz w:val="18"/>
                <w:szCs w:val="18"/>
                <w:color w:val="auto"/>
                <w:w w:val="95"/>
              </w:rPr>
              <w:t>We intend to use the net proceeds from this offering to redeem all of our outstanding 5.65%</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Notes due 2016, to repay the mortgage loan on our East Bay Bridge property and for general</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9"/>
              </w:rPr>
              <w:t>corporate purposes, which may include, without limitation, paying down the outstanding</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balance under our revolving credit facility. See “Use of Proceeds” on page S-8 for more</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information.</w:t>
            </w:r>
          </w:p>
        </w:tc>
      </w:tr>
      <w:tr>
        <w:trPr>
          <w:trHeight w:val="297"/>
        </w:trPr>
        <w:tc>
          <w:tcPr>
            <w:tcW w:w="3520" w:type="dxa"/>
            <w:vAlign w:val="bottom"/>
          </w:tcPr>
          <w:p>
            <w:pPr>
              <w:ind w:left="200"/>
              <w:spacing w:after="0"/>
              <w:rPr>
                <w:sz w:val="20"/>
                <w:szCs w:val="20"/>
                <w:color w:val="auto"/>
              </w:rPr>
            </w:pPr>
            <w:r>
              <w:rPr>
                <w:rFonts w:ascii="Arial" w:cs="Arial" w:eastAsia="Arial" w:hAnsi="Arial"/>
                <w:sz w:val="18"/>
                <w:szCs w:val="18"/>
                <w:color w:val="auto"/>
              </w:rPr>
              <w:t>Limitations on incurrence of debt</w:t>
            </w:r>
          </w:p>
        </w:tc>
        <w:tc>
          <w:tcPr>
            <w:tcW w:w="7940" w:type="dxa"/>
            <w:vAlign w:val="bottom"/>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04"/>
        </w:trPr>
        <w:tc>
          <w:tcPr>
            <w:tcW w:w="3520" w:type="dxa"/>
            <w:vAlign w:val="bottom"/>
          </w:tcPr>
          <w:p>
            <w:pPr>
              <w:spacing w:after="0"/>
              <w:rPr>
                <w:sz w:val="24"/>
                <w:szCs w:val="24"/>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(1) we will not, and will not permit any subsidiary to, incur any Debt if, immediately after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6"/>
              </w:rPr>
              <w:t>giving effect to the incurrence of such Debt and the application of the proceeds thereof,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consolidated basis determined in accordance with generally accepted accounting principles is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8"/>
              </w:rPr>
              <w:t>greater than 60% of the sum of (without duplication) (a) Total Assets as of the end 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calendar quarter covered in our Annual Report on Form 10-K or Quarterly Report on Form 10-</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Q, as the case may be, most recently filed with the SEC (or, if such filing is not permitted under</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the Exchange Act, with U.S. Bank National Association,</w:t>
            </w:r>
          </w:p>
        </w:tc>
      </w:tr>
      <w:tr>
        <w:trPr>
          <w:trHeight w:val="161"/>
        </w:trPr>
        <w:tc>
          <w:tcPr>
            <w:tcW w:w="352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59"/>
        </w:trPr>
        <w:tc>
          <w:tcPr>
            <w:tcW w:w="3520" w:type="dxa"/>
            <w:vAlign w:val="bottom"/>
          </w:tcPr>
          <w:p>
            <w:pPr>
              <w:spacing w:after="0"/>
              <w:rPr>
                <w:sz w:val="24"/>
                <w:szCs w:val="24"/>
                <w:color w:val="auto"/>
              </w:rPr>
            </w:pPr>
          </w:p>
        </w:tc>
        <w:tc>
          <w:tcPr>
            <w:tcW w:w="7940" w:type="dxa"/>
            <w:vAlign w:val="bottom"/>
          </w:tcPr>
          <w:p>
            <w:pPr>
              <w:ind w:left="20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12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012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right="20"/>
        <w:spacing w:after="0" w:line="254" w:lineRule="auto"/>
        <w:rPr>
          <w:sz w:val="20"/>
          <w:szCs w:val="20"/>
          <w:color w:val="auto"/>
        </w:rPr>
      </w:pPr>
      <w:r>
        <w:rPr>
          <w:rFonts w:ascii="Arial" w:cs="Arial" w:eastAsia="Arial" w:hAnsi="Arial"/>
          <w:sz w:val="18"/>
          <w:szCs w:val="18"/>
          <w:color w:val="auto"/>
        </w:rPr>
        <w:t>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77" w:lineRule="exact"/>
        <w:rPr>
          <w:sz w:val="20"/>
          <w:szCs w:val="20"/>
          <w:color w:val="auto"/>
        </w:rPr>
      </w:pPr>
    </w:p>
    <w:p>
      <w:pPr>
        <w:ind w:left="4500" w:firstLine="5"/>
        <w:spacing w:after="0" w:line="285"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0" w:lineRule="exact"/>
        <w:rPr>
          <w:rFonts w:ascii="Arial" w:cs="Arial" w:eastAsia="Arial" w:hAnsi="Arial"/>
          <w:sz w:val="16"/>
          <w:szCs w:val="16"/>
          <w:color w:val="auto"/>
        </w:rPr>
      </w:pPr>
    </w:p>
    <w:p>
      <w:pPr>
        <w:ind w:left="4500" w:right="80" w:firstLine="5"/>
        <w:spacing w:after="0" w:line="286"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754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60" w:lineRule="exact"/>
        <w:rPr>
          <w:sz w:val="20"/>
          <w:szCs w:val="20"/>
          <w:color w:val="auto"/>
        </w:rPr>
      </w:pPr>
    </w:p>
    <w:p>
      <w:pPr>
        <w:jc w:val="both"/>
        <w:ind w:right="100" w:firstLine="5"/>
        <w:spacing w:after="0" w:line="259"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June 1, 2044, the redemption price will be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25 basis points (0.25%), plus, in each case, accrued and unpaid interest thereon to, but excluding, the redemption date. If the notes are redeemed on or after June 1, 2044, the redemption price will be equal to 100% of the principal amount of the notes being redeemed plus accrued and unpaid interest thereon to, but excluding, the redemption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Notes — Optional Redemption” for more information.</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Investing in the notes involves risks. Please review the risk factors discussed beginning on page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S-6 of this prospectus supplement, on page 3 of the accompanying prospectus and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200" w:lineRule="exact"/>
        <w:rPr>
          <w:sz w:val="20"/>
          <w:szCs w:val="20"/>
          <w:color w:val="auto"/>
        </w:rPr>
      </w:pPr>
    </w:p>
    <w:p>
      <w:pPr>
        <w:sectPr>
          <w:pgSz w:w="11900" w:h="16838" w:orient="portrait"/>
          <w:cols w:equalWidth="0" w:num="2">
            <w:col w:w="3780" w:space="720"/>
            <w:col w:w="6740"/>
          </w:cols>
          <w:pgMar w:left="240" w:top="459" w:right="419" w:bottom="1440" w:gutter="0" w:footer="0" w:header="0"/>
          <w:type w:val="continuous"/>
        </w:sectPr>
      </w:pP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204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12045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spacing w:after="0" w:line="290" w:lineRule="auto"/>
        <w:rPr>
          <w:sz w:val="20"/>
          <w:szCs w:val="20"/>
          <w:color w:val="auto"/>
        </w:rPr>
      </w:pPr>
      <w:r>
        <w:rPr>
          <w:rFonts w:ascii="Arial" w:cs="Arial" w:eastAsia="Arial" w:hAnsi="Arial"/>
          <w:sz w:val="16"/>
          <w:szCs w:val="16"/>
          <w:color w:val="auto"/>
        </w:rPr>
        <w:t>December 31, 2013, filed with the SEC on February 11, 2014,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2013 filed with the SEC on February 11, 2014 before you decide to purchase the notes. The risks and uncertainties described below and in the incorporated Form 10-K for the year ended December 31, 2013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intercompany cash flows to satisfy our obligations under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subordinated to the claims of our subsidiaries’ creditors and our subsidiaries’ preferred equity holders.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September 30, 2014, our subsidiaries had approximately $483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unsecured and are effectively subordinated to our secured indebtedness.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2014, we had approximately $618 million (excluding net unamortized premium)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the notes may not develop.</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$244.5 million after deducting the underwriting discount and other estimated expenses of this offering payable by us. We intend to use these net proceeds to redeem all of our outstanding 5.65% Notes due 2016, to repay the mortgage loan on our East Bay Bridge property and for general corporate purposes, which may include, without limitation, paying down the outstanding balance under our revolving credit facility. Pending application of the net proceeds, we may invest the net proceeds in short-term income-producing investments.</w:t>
      </w:r>
    </w:p>
    <w:p>
      <w:pPr>
        <w:spacing w:after="0" w:line="6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September 30, 2014, $125 million of our 5.65% Notes due 2016 was outstanding. In addition to the payment of outstanding principal amount and accrued but unpaid interest, redemption of the 5.65% Notes due 2016 will be subject to a make-whole premium in the aggregate amount of approximately $9.4 million. The 5.65% Notes due 2016 are scheduled to mature on June 1, 2016.</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September 30, 2014, the outstanding principal balance of the mortgage loan on our East Bay Bridge property was $61.2 million (net of unamortized premium), which accrued interest at a rate of 5.13% per annum. The East Bay Bridge mortgage is scheduled to mature on March 1, 2016. In addition to the payment of our outstanding principal balance and accrued but unpaid interest, prepayment of the East Bay Bridge mortgage loan will be subject to a prepayment premium of approximately $3.0 million.</w:t>
      </w:r>
    </w:p>
    <w:p>
      <w:pPr>
        <w:spacing w:after="0" w:line="6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September 30, 2014, we had $11 million outstanding under our revolving credit facility (which has increased to $57 million as of November 7, 2014).</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In addition, certain of the underwriters and their affiliates may be holders of 5.65% Notes due 2016. Such underwriters and their affiliates will receive a portion of the net proceeds from this offering to the extent they continue to hold 5.65% Notes due 2016 on any scheduled redemption date in relation thereto. See “Underwriting (Conflicts of Interest) — Conflicts of Interest.”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We are offering $250 million of our 4.50% notes maturing on December 1, 2044, which may be redeemed prior to that date in accordance with their terms.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will pay interest on the notes semi-annually in arrears on June 1 and December 1 of each year, beginning June 1, 2015, to the registered holders of the notes on the preceding May 15 and November 15.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September 30, 2014, we had outstanding approximately $618 million (excluding net unamortized premium) of secured indebtedness collateralized by all or parts of 15 properties, which ranks senior to the notes to the extent of securing collateral (approximately $467 million of this amount, which was issued by our subsidiaries, is also structurally senior to the notes), approximately $16 million of unsecured indebtedness issued by our subsidiaries, which is structurally senior to the notes, and approximately $1,655 million of unsecured indebtedness (excluding net unamortized discount), which ranks equally.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June 1, 2044,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Treasury Rate (as defined below) plus 25 basis points (0.25%), plus, in each case, accrued and unpaid interest thereon to, but excluding, the redemption date. If the notes are redeemed on or after June 1, 2044, the redemption price will be equal to 100% of the principal amount of the notes being redeemed plus accrued and unpaid interest thereon to, but excluding, the redemption date.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“Adjusted Treasury Rate” </w:t>
      </w:r>
      <w:r>
        <w:rPr>
          <w:rFonts w:ascii="Arial" w:cs="Arial" w:eastAsia="Arial" w:hAnsi="Arial"/>
          <w:sz w:val="18"/>
          <w:szCs w:val="18"/>
          <w:color w:val="auto"/>
        </w:rPr>
        <w:t>means, with respect to any redemption date, the rate per year equal to the semi-annual equivalent yield to maturity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the Quotation Agent as having a maturity comparable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of such Reference Treasury Dealer Quotations, or (2) if the trustee obtains fewer than five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“Quotation Agent” </w:t>
      </w:r>
      <w:r>
        <w:rPr>
          <w:rFonts w:ascii="Arial" w:cs="Arial" w:eastAsia="Arial" w:hAnsi="Arial"/>
          <w:sz w:val="18"/>
          <w:szCs w:val="18"/>
          <w:color w:val="auto"/>
        </w:rPr>
        <w:t>means the Reference Treasury Dealer appointed by us.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i w:val="1"/>
          <w:iCs w:val="1"/>
          <w:color w:val="auto"/>
        </w:rPr>
        <w:t xml:space="preserve">“Reference Treasury Dealer” </w:t>
      </w:r>
      <w:r>
        <w:rPr>
          <w:rFonts w:ascii="Arial" w:cs="Arial" w:eastAsia="Arial" w:hAnsi="Arial"/>
          <w:sz w:val="15"/>
          <w:szCs w:val="15"/>
          <w:color w:val="auto"/>
        </w:rPr>
        <w:t>means each of (1) a Primary Treasury Dealer (as defined below) selected by Wells Fargo Securities, LLC, Merrill Lynch,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Pierce, Fenner &amp; Smith Incorporated and Deutsche Bank Securities Inc. and their respective successors;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any of the Reference Treasury Dealers ceases to be a primary U.S. Government securities dealer, or a Primary Treasury Dealer, we will substitute therefor another Primary Treasury Dealer;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any two other Primary Treasury Dealers selected by us.</w:t>
      </w:r>
    </w:p>
    <w:p>
      <w:pPr>
        <w:spacing w:after="0" w:line="8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“Reference Treasury Dealer Quotations” </w:t>
      </w:r>
      <w:r>
        <w:rPr>
          <w:rFonts w:ascii="Arial" w:cs="Arial" w:eastAsia="Arial" w:hAnsi="Arial"/>
          <w:sz w:val="16"/>
          <w:szCs w:val="16"/>
          <w:color w:val="auto"/>
        </w:rPr>
        <w:t>means, with respect to each Reference Treasury Dealer and any redemption date, the average,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Notice of any redemption will be mailed at least 20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“Acquired Debt” </w:t>
      </w:r>
      <w:r>
        <w:rPr>
          <w:rFonts w:ascii="Arial" w:cs="Arial" w:eastAsia="Arial" w:hAnsi="Arial"/>
          <w:sz w:val="18"/>
          <w:szCs w:val="18"/>
          <w:color w:val="auto"/>
        </w:rPr>
        <w:t>means Debt of a person (1) existing at the time such person becomes a subsidiary or (2) assumed in connection with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from such person, in each case, other than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“Annual Debt Service Charge” </w:t>
      </w:r>
      <w:r>
        <w:rPr>
          <w:rFonts w:ascii="Arial" w:cs="Arial" w:eastAsia="Arial" w:hAnsi="Arial"/>
          <w:sz w:val="18"/>
          <w:szCs w:val="18"/>
          <w:color w:val="auto"/>
        </w:rPr>
        <w:t>as of any date means the maximum amount which is payable in any period for interest on, and original issue discount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 with respect to any person, any capital stock (including preferred stock), shares, interests, participations or other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“Consolidated Income Available for Debt Service” </w:t>
      </w:r>
      <w:r>
        <w:rPr>
          <w:rFonts w:ascii="Arial" w:cs="Arial" w:eastAsia="Arial" w:hAnsi="Arial"/>
          <w:sz w:val="18"/>
          <w:szCs w:val="18"/>
          <w:color w:val="auto"/>
        </w:rPr>
        <w:t>for any period means our and our subsidiaries’ Funds from Operations plus amounts which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deducted for interest on our and our subsidiaries’ Debt.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means any of our or any of our subsidiaries’ indebtedness, whether or not contingent, in respect of (without duplication) (1) borrowed money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“Disqualified Stock” </w:t>
      </w:r>
      <w:r>
        <w:rPr>
          <w:rFonts w:ascii="Arial" w:cs="Arial" w:eastAsia="Arial" w:hAnsi="Arial"/>
          <w:sz w:val="16"/>
          <w:szCs w:val="16"/>
          <w:color w:val="auto"/>
        </w:rPr>
        <w:t>means, with respect to any person, any Capital Stock of such person which by the terms of such Capital Stock (or by the terms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“Funds from Operations” </w:t>
      </w:r>
      <w:r>
        <w:rPr>
          <w:rFonts w:ascii="Arial" w:cs="Arial" w:eastAsia="Arial" w:hAnsi="Arial"/>
          <w:sz w:val="18"/>
          <w:szCs w:val="18"/>
          <w:color w:val="auto"/>
        </w:rPr>
        <w:t>for any period means income available to common shareholders before depreciation and amortization of real estate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before extraordinary items less gain on sale of real estate.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as of any date means the sum of (1) our and all of our subsidiaries’ Undepreciated Real Estate Assets and (2) all of our and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determined in accordance with generally accepted accounting principles (but excluding goodwill).</w:t>
      </w:r>
    </w:p>
    <w:p>
      <w:pPr>
        <w:spacing w:after="0" w:line="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“Undepreciated Real Estate Assets” </w:t>
      </w:r>
      <w:r>
        <w:rPr>
          <w:rFonts w:ascii="Arial" w:cs="Arial" w:eastAsia="Arial" w:hAnsi="Arial"/>
          <w:sz w:val="16"/>
          <w:szCs w:val="16"/>
          <w:color w:val="auto"/>
        </w:rPr>
        <w:t>as of any date means the cost (original cost plus capital improvements) of our and our subsidiaries’ real estate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on such date, before depreciation and amortization determined on a consolidated basis in accordance with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b w:val="1"/>
          <w:bCs w:val="1"/>
          <w:i w:val="1"/>
          <w:iCs w:val="1"/>
          <w:color w:val="auto"/>
        </w:rPr>
        <w:t>Events of Default.</w:t>
      </w:r>
      <w:r>
        <w:rPr>
          <w:sz w:val="20"/>
          <w:szCs w:val="20"/>
          <w:color w:val="auto"/>
        </w:rPr>
        <w:tab/>
      </w:r>
      <w:r>
        <w:rPr>
          <w:rFonts w:ascii="Arial" w:cs="Arial" w:eastAsia="Arial" w:hAnsi="Arial"/>
          <w:sz w:val="16"/>
          <w:szCs w:val="16"/>
          <w:color w:val="auto"/>
        </w:rPr>
        <w:t>The notes will be subject to the following events of default:</w:t>
      </w:r>
    </w:p>
    <w:p>
      <w:pPr>
        <w:spacing w:after="0" w:line="90" w:lineRule="exact"/>
        <w:rPr>
          <w:sz w:val="20"/>
          <w:szCs w:val="20"/>
          <w:color w:val="auto"/>
        </w:rPr>
      </w:pPr>
    </w:p>
    <w:p>
      <w:pPr>
        <w:ind w:left="460" w:right="40" w:firstLine="443"/>
        <w:spacing w:after="0" w:line="268"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700" w:firstLine="421"/>
        <w:spacing w:after="0" w:line="268"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7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720" w:hanging="379"/>
        <w:spacing w:after="0"/>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4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78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00" w:hanging="206"/>
        <w:spacing w:after="0" w:line="357"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26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for U.S. federal income tax purposes.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Revised Guidance on Treatment of Distressed Mortgage Loans. </w:t>
      </w:r>
      <w:r>
        <w:rPr>
          <w:rFonts w:ascii="Arial" w:cs="Arial" w:eastAsia="Arial" w:hAnsi="Arial"/>
          <w:sz w:val="16"/>
          <w:szCs w:val="16"/>
          <w:color w:val="auto"/>
        </w:rPr>
        <w:t>As described in the accompanying prospectus, in the case of the acquisition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loan secured by both real property and other property, the IRS had previously issued favorable guidance concerning the portion of such loan that could be treated as a real estate asset where the value of the real estate securing the acquired loan had declined since the loan was originally made. However, in response to concerns as to the potentially adverse effect of that guidance if the real estate value subsequently increased, the IRS recently revised the prior guidance. Under the revised guidance, the IRS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fair market value of the loan.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5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U.S. Holders generally will be subject to a preferential tax rate. Subject to limited exceptions, capital losses cannot be used to offset a U.S. Holder’s ordinary income.</w:t>
      </w:r>
    </w:p>
    <w:p>
      <w:pPr>
        <w:spacing w:after="0" w:line="45"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55" w:lineRule="exact"/>
        <w:rPr>
          <w:sz w:val="20"/>
          <w:szCs w:val="20"/>
          <w:color w:val="auto"/>
        </w:rPr>
      </w:pPr>
    </w:p>
    <w:p>
      <w:pPr>
        <w:ind w:right="50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rules described below under “— Unearned Income Medicare Contribution for Foreign Estates and Trusts,”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Reporting and Backup Withholding” and “— FATCA Regime,” a Non-U.S. Holder generally will not be subject to U.S. federal income or withholding tax on payments of interest on a note, provided that:</w:t>
      </w:r>
    </w:p>
    <w:p>
      <w:pPr>
        <w:spacing w:after="0" w:line="59"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59" w:lineRule="exact"/>
        <w:rPr>
          <w:sz w:val="20"/>
          <w:szCs w:val="20"/>
          <w:color w:val="auto"/>
        </w:rPr>
      </w:pPr>
    </w:p>
    <w:p>
      <w:pPr>
        <w:ind w:left="660" w:right="56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imposes a U.S. federal withholding tax of 30% on certain payments to foreign financial institutions (including investment funds) and non-financial foreign entities that fail to comply with certain certification and information reporting requirements (unless alternative procedures apply pursuant to an applicable intergovernmental agreement between the United States and the relevant foreign government). In certain cases, the relevant foreign financial institution or non-financial foreign entity may qualify for an exemption from, or be deemed to be in compliance with, these rules. The obligation to withhold under FATCA applies to payments of U.S.-source interest and OID on obligations made on or after July 1, 2014 and payments of gross proceeds from the sale or other disposition of such obligations made on or after January 1, 2017 (or such other date as may be specified in guidance issued by the U.S. Treasury Department). We will not pay any additional amounts in respect of any amounts withheld under FATCA.</w:t>
      </w:r>
    </w:p>
    <w:p>
      <w:pPr>
        <w:spacing w:after="0" w:line="37" w:lineRule="exact"/>
        <w:rPr>
          <w:sz w:val="20"/>
          <w:szCs w:val="20"/>
          <w:color w:val="auto"/>
        </w:rPr>
      </w:pPr>
    </w:p>
    <w:p>
      <w:pPr>
        <w:jc w:val="center"/>
        <w:ind w:left="460" w:right="240"/>
        <w:spacing w:after="0" w:line="391"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Current Tax Rates for U.S. Individuals, Estates and Trusts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extended most of the reduced rates for U.S. individuals, estates and trusts with respect to ordinary income, qualified dividend income and long-term capital gains that had expired on December 31, 2012. The 2012 Relief Act, however, did not extend all of the reduced rates for high-income taxpayers. For 2014, in the case of married couples filing joint returns with taxable income in excess 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$457,600, heads of households with taxable income in excess of $432,200 and other individuals with taxable income in excess of $406,750, the maximum tax rate on ordinary income is 39.6% and the maximum tax rate on long-term capital gains and qualified dividend income is 20%. Estates and trusts have more compressed rate schedules. The income thresholds for each rate schedule are indexed for inflation. Prospective investors are urged to consult their tax advisors regarding the effect of the tax rates and other tax provisions in the 2012 Relief Act on an investment in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intend to offer the notes through the underwriters named below, for whom Wells Fargo Securities, LLC, Deutsche Bank Securities Inc.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54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5440" w:type="dxa"/>
            <w:vAlign w:val="bottom"/>
            <w:vMerge w:val="continue"/>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3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5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0.50% of the principal amount of the notes. The underwriters may allow, and the dealers may reallow, a discount not in excess of 0.30%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Paid by 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0" w:type="dxa"/>
            <w:vAlign w:val="bottom"/>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rPr>
              <w:t>0.875%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3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Certain of the underwriters and their affiliates may be holders of 5.65% Notes due 2016. Such underwriters and their affiliates will receive a portion of the net proceeds from this offering to the extent they continue to hold 5.65% Notes due 2016 on any scheduled redemption date in relation thereto.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relation to each Member State of the European Economic Area (each, a “Relevant Member State”), no offer of notes may be made to the public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other than:</w:t>
      </w:r>
    </w:p>
    <w:p>
      <w:pPr>
        <w:spacing w:after="0" w:line="84" w:lineRule="exact"/>
        <w:rPr>
          <w:sz w:val="20"/>
          <w:szCs w:val="20"/>
          <w:color w:val="auto"/>
        </w:rPr>
      </w:pPr>
    </w:p>
    <w:p>
      <w:pPr>
        <w:ind w:left="1240" w:hanging="33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provided that no such offer of notes shall require us or the representatives to publish a prospectus pursuant to Article 3 of the Prospectus Directive or supplement a prospectus pursuant to Article 16 of the Prospectus Directive.</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notes or to whom any offer is made will be deemed to have represented, acknowledged and agreed that it is a “qualified investor” within the meaning of the law in that Relevant Member State implementing Article 2(1)(e) of the Prospectus Directive. In the case of any notes being offered to a financial intermediary as that term is used in Article 3(2) of the Prospectus Directive,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which may give rise to an offer of any notes to the public other than their offer or resale in a Relevant Member State to qualified investors as so defined or in circumstances in which the prior consent of the representatives has been obtained to each such proposed offer or resale.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representatives and their affiliates will rely upon the truth and accuracy of the foregoing representations, acknowledgements and agreements.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they authorize, the making of any offer of notes in circumstances in which an obligation arises for us or the underwriters to publish a prospectus for such offer.</w:t>
      </w:r>
    </w:p>
    <w:p>
      <w:pPr>
        <w:spacing w:after="0" w:line="3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614680</wp:posOffset>
            </wp:positionV>
            <wp:extent cx="2152650" cy="823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4.50%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Deutsche Bank Securities</w:t>
      </w: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Regions Securities LLC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Robinson Humphrey</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Capital One Securities</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PNC Capital Markets LLC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TD Securities</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lvl w:ilvl="1">
      <w:lvlJc w:val="left"/>
      <w:lvlText w:val="•"/>
      <w:numFmt w:val="bullet"/>
      <w:start w:val="1"/>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decimal"/>
      <w:start w:val="2"/>
    </w:lvl>
  </w:abstractNum>
  <w:abstractNum w:abstractNumId="6">
    <w:nsid w:val="3DC240FB"/>
    <w:multiLevelType w:val="hybridMultilevel"/>
    <w:lvl w:ilvl="0">
      <w:lvlJc w:val="left"/>
      <w:lvlText w:val="(%1)"/>
      <w:numFmt w:val="decimal"/>
      <w:start w:val="4"/>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decimal"/>
      <w:start w:val="1"/>
    </w:lvl>
    <w:lvl w:ilvl="1">
      <w:lvlJc w:val="left"/>
      <w:lvlText w:val="(%2)"/>
      <w:numFmt w:val="lowerLetter"/>
      <w:start w:val="1"/>
    </w:lvl>
  </w:abstractNum>
  <w:abstractNum w:abstractNumId="9">
    <w:nsid w:val="75C6C33A"/>
    <w:multiLevelType w:val="hybridMultilevel"/>
    <w:lvl w:ilvl="0">
      <w:lvlJc w:val="left"/>
      <w:lvlText w:val="%1."/>
      <w:numFmt w:val="decimal"/>
      <w:start w:val="7"/>
    </w:lvl>
    <w:lvl w:ilvl="1">
      <w:lvlJc w:val="left"/>
      <w:lvlText w:val="(%2)"/>
      <w:numFmt w:val="lowerLetter"/>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upperLetter"/>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3"/>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lvl w:ilvl="1">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lvl w:ilvl="1">
      <w:lvlJc w:val="left"/>
      <w:lvlText w:val="(%2)"/>
      <w:numFmt w:val="lowerLetter"/>
      <w:start w:val="1"/>
    </w:lvl>
  </w:abstractNum>
  <w:abstractNum w:abstractNumId="43">
    <w:nsid w:val="6590700B"/>
    <w:multiLevelType w:val="hybridMultilevel"/>
    <w:lvl w:ilvl="0">
      <w:lvlJc w:val="left"/>
      <w:lvlText w:val="%1."/>
      <w:numFmt w:val="decimal"/>
      <w:start w:val="7"/>
    </w:lvl>
    <w:lvl w:ilvl="1">
      <w:lvlJc w:val="left"/>
      <w:lvlText w:val="(%2)"/>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upperLetter"/>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lvl w:ilvl="1">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lvl w:ilvl="1">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Roman"/>
      <w:start w:val="3"/>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lvl w:ilvl="1">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emdash "/>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2019-12-05T09:06:42Z</dcterms:created>
  <dcterms:modified xsi:type="dcterms:W3CDTF">2019-12-05T09:06:42Z</dcterms:modified>
</cp:coreProperties>
</file>