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 xml:space="preserve">UNITED STATES </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 xml:space="preserve">SECURITIES AND EXCHANGE COMMISSION </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 xml:space="preserve">Washington, D.C. 20549 </w:t>
      </w:r>
    </w:p>
    <w:p>
      <w:pPr>
        <w:pStyle w:val="TextBody"/>
        <w:bidi w:val="0"/>
        <w:spacing w:lineRule="auto" w:line="288" w:before="180" w:after="283"/>
        <w:jc w:val="center"/>
        <w:rPr>
          <w:rFonts w:ascii="Times New Roman;sans-serif" w:hAnsi="Times New Roman;sans-serif"/>
          <w:b/>
          <w:color w:val="000000"/>
          <w:sz w:val="36"/>
        </w:rPr>
      </w:pPr>
      <w:r>
        <w:rPr>
          <w:rFonts w:ascii="Times New Roman;sans-serif" w:hAnsi="Times New Roman;sans-serif"/>
          <w:b/>
          <w:color w:val="000000"/>
          <w:sz w:val="36"/>
        </w:rPr>
        <w:t xml:space="preserve">FORM 8-K </w:t>
      </w:r>
    </w:p>
    <w:p>
      <w:pPr>
        <w:pStyle w:val="TextBody"/>
        <w:bidi w:val="0"/>
        <w:spacing w:lineRule="auto" w:line="288" w:before="180" w:after="283"/>
        <w:jc w:val="center"/>
        <w:rPr>
          <w:rFonts w:ascii="Times New Roman;sans-serif" w:hAnsi="Times New Roman;sans-serif"/>
          <w:b/>
          <w:color w:val="000000"/>
          <w:sz w:val="26"/>
        </w:rPr>
      </w:pPr>
      <w:r>
        <w:rPr>
          <w:rFonts w:ascii="Times New Roman;sans-serif" w:hAnsi="Times New Roman;sans-serif"/>
          <w:b/>
          <w:color w:val="000000"/>
          <w:sz w:val="26"/>
        </w:rPr>
        <w:t xml:space="preserve">CURRENT REPORT </w:t>
      </w:r>
    </w:p>
    <w:p>
      <w:pPr>
        <w:pStyle w:val="TextBody"/>
        <w:bidi w:val="0"/>
        <w:spacing w:lineRule="auto" w:line="288" w:before="180" w:after="283"/>
        <w:jc w:val="center"/>
        <w:rPr>
          <w:rFonts w:ascii="Times New Roman;sans-serif" w:hAnsi="Times New Roman;sans-serif"/>
          <w:b/>
          <w:color w:val="000000"/>
          <w:sz w:val="22"/>
        </w:rPr>
      </w:pPr>
      <w:r>
        <w:rPr>
          <w:rFonts w:ascii="Times New Roman;sans-serif" w:hAnsi="Times New Roman;sans-serif"/>
          <w:b/>
          <w:color w:val="000000"/>
          <w:sz w:val="22"/>
        </w:rPr>
        <w:t xml:space="preserve">Pursuant to Section 13 or 15(d) of the Securities Exchange Act of 1934 </w:t>
      </w:r>
    </w:p>
    <w:p>
      <w:pPr>
        <w:pStyle w:val="TextBody"/>
        <w:bidi w:val="0"/>
        <w:spacing w:lineRule="auto" w:line="288" w:before="180" w:after="283"/>
        <w:jc w:val="center"/>
        <w:rPr/>
      </w:pPr>
      <w:r>
        <w:rPr>
          <w:rFonts w:ascii="Times New Roman;sans-serif" w:hAnsi="Times New Roman;sans-serif"/>
          <w:b/>
          <w:color w:val="000000"/>
          <w:sz w:val="22"/>
        </w:rPr>
        <w:t>Date of Report (Date of earliest event reported) May 2, 2024</w:t>
      </w:r>
      <w:r>
        <w:rPr>
          <w:color w:val="000000"/>
        </w:rPr>
        <w:t xml:space="preserve"> </w:t>
      </w:r>
    </w:p>
    <w:p>
      <w:pPr>
        <w:pStyle w:val="TextBody"/>
        <w:bidi w:val="0"/>
        <w:spacing w:lineRule="auto" w:line="288" w:before="180" w:after="283"/>
        <w:jc w:val="center"/>
        <w:rPr>
          <w:rFonts w:ascii="Times New Roman;sans-serif" w:hAnsi="Times New Roman;sans-serif"/>
          <w:b/>
          <w:color w:val="000000"/>
          <w:sz w:val="48"/>
        </w:rPr>
      </w:pPr>
      <w:r>
        <w:rPr>
          <w:rFonts w:ascii="Times New Roman;sans-serif" w:hAnsi="Times New Roman;sans-serif"/>
          <w:b/>
          <w:color w:val="000000"/>
          <w:sz w:val="48"/>
        </w:rPr>
        <w:t>Federal Realty Investment Trust</w:t>
      </w:r>
    </w:p>
    <w:p>
      <w:pPr>
        <w:pStyle w:val="TextBody"/>
        <w:bidi w:val="0"/>
        <w:spacing w:lineRule="auto" w:line="288" w:before="180" w:after="283"/>
        <w:jc w:val="center"/>
        <w:rPr>
          <w:rFonts w:ascii="Times New Roman;sans-serif" w:hAnsi="Times New Roman;sans-serif"/>
          <w:b/>
          <w:color w:val="000000"/>
          <w:sz w:val="48"/>
        </w:rPr>
      </w:pPr>
      <w:r>
        <w:rPr>
          <w:rFonts w:ascii="Times New Roman;sans-serif" w:hAnsi="Times New Roman;sans-serif"/>
          <w:b/>
          <w:color w:val="000000"/>
          <w:sz w:val="48"/>
        </w:rPr>
        <w:t xml:space="preserve">Federal Realty OP LP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(Exact name of registrant as specified in its charter) </w:t>
      </w:r>
    </w:p>
    <w:p>
      <w:pPr>
        <w:pStyle w:val="TextBody"/>
        <w:bidi w:val="0"/>
        <w:spacing w:lineRule="auto" w:line="288" w:before="0" w:after="0"/>
        <w:jc w:val="left"/>
        <w:rPr>
          <w:color w:val="000000"/>
        </w:rPr>
      </w:pPr>
      <w:r>
        <w:rPr>
          <w:color w:val="000000"/>
        </w:rPr>
        <w:t> </w:t>
      </w:r>
    </w:p>
    <w:tbl>
      <w:tblPr>
        <w:tblW w:w="7162" w:type="dxa"/>
        <w:jc w:val="center"/>
        <w:tblInd w:w="0" w:type="dxa"/>
        <w:tblLayout w:type="fixed"/>
        <w:tblCellMar>
          <w:top w:w="28" w:type="dxa"/>
          <w:left w:w="28" w:type="dxa"/>
          <w:bottom w:w="28" w:type="dxa"/>
          <w:right w:w="28" w:type="dxa"/>
        </w:tblCellMar>
      </w:tblPr>
      <w:tblGrid>
        <w:gridCol w:w="1408"/>
        <w:gridCol w:w="1234"/>
        <w:gridCol w:w="1242"/>
        <w:gridCol w:w="109"/>
        <w:gridCol w:w="109"/>
        <w:gridCol w:w="109"/>
        <w:gridCol w:w="458"/>
        <w:gridCol w:w="458"/>
        <w:gridCol w:w="464"/>
        <w:gridCol w:w="109"/>
        <w:gridCol w:w="109"/>
        <w:gridCol w:w="109"/>
        <w:gridCol w:w="363"/>
        <w:gridCol w:w="363"/>
        <w:gridCol w:w="518"/>
      </w:tblGrid>
      <w:tr>
        <w:trPr/>
        <w:tc>
          <w:tcPr>
            <w:tcW w:w="1408" w:type="dxa"/>
            <w:tcBorders/>
            <w:vAlign w:val="center"/>
          </w:tcPr>
          <w:p>
            <w:pPr>
              <w:pStyle w:val="TableContents"/>
              <w:bidi w:val="0"/>
              <w:spacing w:before="0" w:after="283"/>
              <w:jc w:val="left"/>
              <w:rPr>
                <w:sz w:val="4"/>
                <w:szCs w:val="4"/>
              </w:rPr>
            </w:pPr>
            <w:r>
              <w:rPr>
                <w:sz w:val="4"/>
                <w:szCs w:val="4"/>
              </w:rPr>
            </w:r>
          </w:p>
        </w:tc>
        <w:tc>
          <w:tcPr>
            <w:tcW w:w="1234" w:type="dxa"/>
            <w:tcBorders/>
            <w:vAlign w:val="center"/>
          </w:tcPr>
          <w:p>
            <w:pPr>
              <w:pStyle w:val="TableContents"/>
              <w:bidi w:val="0"/>
              <w:spacing w:before="0" w:after="283"/>
              <w:jc w:val="left"/>
              <w:rPr>
                <w:sz w:val="4"/>
                <w:szCs w:val="4"/>
              </w:rPr>
            </w:pPr>
            <w:r>
              <w:rPr>
                <w:sz w:val="4"/>
                <w:szCs w:val="4"/>
              </w:rPr>
            </w:r>
          </w:p>
        </w:tc>
        <w:tc>
          <w:tcPr>
            <w:tcW w:w="12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r>
      <w:tr>
        <w:trPr/>
        <w:tc>
          <w:tcPr>
            <w:tcW w:w="388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9"/>
              </w:rPr>
            </w:pPr>
            <w:r>
              <w:rPr>
                <w:rFonts w:ascii="Times New Roman;sans-serif" w:hAnsi="Times New Roman;sans-serif"/>
                <w:b/>
                <w:color w:val="000000"/>
                <w:sz w:val="19"/>
              </w:rPr>
              <w:t>Maryland (Federal Realty Investment Trust)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1-07533</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87-3916363</w:t>
            </w:r>
          </w:p>
        </w:tc>
      </w:tr>
      <w:tr>
        <w:trPr/>
        <w:tc>
          <w:tcPr>
            <w:tcW w:w="388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9"/>
              </w:rPr>
            </w:pPr>
            <w:r>
              <w:rPr>
                <w:rFonts w:ascii="Times New Roman;sans-serif" w:hAnsi="Times New Roman;sans-serif"/>
                <w:b/>
                <w:color w:val="000000"/>
                <w:sz w:val="19"/>
              </w:rPr>
              <w:t>Delaware (Federal Realty OP LP)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333-262016-01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52-0782497</w:t>
            </w:r>
          </w:p>
        </w:tc>
      </w:tr>
      <w:tr>
        <w:trPr/>
        <w:tc>
          <w:tcPr>
            <w:tcW w:w="38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(State or other jurisdiction</w:t>
              <w:b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(Commission</w:t>
              <w:br/>
              <w:t>File Number)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(IRS Employer</w:t>
              <w:br/>
              <w:t>Identification No.)</w:t>
            </w:r>
          </w:p>
        </w:tc>
      </w:tr>
    </w:tbl>
    <w:tbl>
      <w:tblPr>
        <w:tblW w:w="6440" w:type="dxa"/>
        <w:jc w:val="center"/>
        <w:tblInd w:w="0" w:type="dxa"/>
        <w:tblLayout w:type="fixed"/>
        <w:tblCellMar>
          <w:top w:w="28" w:type="dxa"/>
          <w:left w:w="28" w:type="dxa"/>
          <w:bottom w:w="28" w:type="dxa"/>
          <w:right w:w="28" w:type="dxa"/>
        </w:tblCellMar>
      </w:tblPr>
      <w:tblGrid>
        <w:gridCol w:w="124"/>
        <w:gridCol w:w="109"/>
        <w:gridCol w:w="109"/>
        <w:gridCol w:w="739"/>
        <w:gridCol w:w="739"/>
        <w:gridCol w:w="742"/>
        <w:gridCol w:w="454"/>
        <w:gridCol w:w="454"/>
        <w:gridCol w:w="456"/>
        <w:gridCol w:w="290"/>
        <w:gridCol w:w="290"/>
        <w:gridCol w:w="291"/>
        <w:gridCol w:w="109"/>
        <w:gridCol w:w="109"/>
        <w:gridCol w:w="109"/>
        <w:gridCol w:w="314"/>
        <w:gridCol w:w="314"/>
        <w:gridCol w:w="31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909 Rose Avenue, Suite 200</w:t>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North Bethesda,</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Maryland</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20852</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(Zip Code)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center"/>
        <w:rPr>
          <w:rFonts w:ascii="Times New Roman;sans-serif" w:hAnsi="Times New Roman;sans-serif"/>
          <w:b/>
          <w:color w:val="000000"/>
          <w:sz w:val="18"/>
        </w:rPr>
      </w:pPr>
      <w:r>
        <w:rPr>
          <w:rFonts w:ascii="Times New Roman;sans-serif" w:hAnsi="Times New Roman;sans-serif"/>
          <w:b/>
          <w:color w:val="000000"/>
          <w:sz w:val="18"/>
        </w:rPr>
        <w:t xml:space="preserve">Registrant's telephone number including area code: 301/998-8100 </w:t>
      </w:r>
    </w:p>
    <w:p>
      <w:pPr>
        <w:pStyle w:val="TextBody"/>
        <w:bidi w:val="0"/>
        <w:spacing w:lineRule="auto" w:line="288" w:before="9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Check the appropriate box below if the Form 8-K filing is intended to simultaneously satisfy the filing obligation of the registrant under any of the following provisions (see General Instruction A.2. below): </w:t>
      </w:r>
    </w:p>
    <w:tbl>
      <w:tblPr>
        <w:tblW w:w="6852" w:type="dxa"/>
        <w:jc w:val="center"/>
        <w:tblInd w:w="0" w:type="dxa"/>
        <w:tblLayout w:type="fixed"/>
        <w:tblCellMar>
          <w:top w:w="28" w:type="dxa"/>
          <w:left w:w="28" w:type="dxa"/>
          <w:bottom w:w="28" w:type="dxa"/>
          <w:right w:w="28" w:type="dxa"/>
        </w:tblCellMar>
      </w:tblPr>
      <w:tblGrid>
        <w:gridCol w:w="124"/>
        <w:gridCol w:w="109"/>
        <w:gridCol w:w="109"/>
        <w:gridCol w:w="1904"/>
        <w:gridCol w:w="1904"/>
        <w:gridCol w:w="27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4" w:type="dxa"/>
            <w:tcBorders/>
            <w:vAlign w:val="center"/>
          </w:tcPr>
          <w:p>
            <w:pPr>
              <w:pStyle w:val="TableContents"/>
              <w:bidi w:val="0"/>
              <w:spacing w:before="0" w:after="283"/>
              <w:jc w:val="left"/>
              <w:rPr>
                <w:sz w:val="4"/>
                <w:szCs w:val="4"/>
              </w:rPr>
            </w:pPr>
            <w:r>
              <w:rPr>
                <w:sz w:val="4"/>
                <w:szCs w:val="4"/>
              </w:rPr>
            </w:r>
          </w:p>
        </w:tc>
        <w:tc>
          <w:tcPr>
            <w:tcW w:w="1904" w:type="dxa"/>
            <w:tcBorders/>
            <w:vAlign w:val="center"/>
          </w:tcPr>
          <w:p>
            <w:pPr>
              <w:pStyle w:val="TableContents"/>
              <w:bidi w:val="0"/>
              <w:spacing w:before="0" w:after="283"/>
              <w:jc w:val="left"/>
              <w:rPr>
                <w:sz w:val="4"/>
                <w:szCs w:val="4"/>
              </w:rPr>
            </w:pPr>
            <w:r>
              <w:rPr>
                <w:sz w:val="4"/>
                <w:szCs w:val="4"/>
              </w:rPr>
            </w:r>
          </w:p>
        </w:tc>
        <w:tc>
          <w:tcPr>
            <w:tcW w:w="27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Written communications pursuant to Rule 425 under the Securities Act (17 CFR 230.425)</w:t>
            </w:r>
          </w:p>
        </w:tc>
      </w:tr>
    </w:tbl>
    <w:tbl>
      <w:tblPr>
        <w:tblW w:w="6851" w:type="dxa"/>
        <w:jc w:val="center"/>
        <w:tblInd w:w="0" w:type="dxa"/>
        <w:tblLayout w:type="fixed"/>
        <w:tblCellMar>
          <w:top w:w="28" w:type="dxa"/>
          <w:left w:w="28" w:type="dxa"/>
          <w:bottom w:w="28" w:type="dxa"/>
          <w:right w:w="28" w:type="dxa"/>
        </w:tblCellMar>
      </w:tblPr>
      <w:tblGrid>
        <w:gridCol w:w="124"/>
        <w:gridCol w:w="109"/>
        <w:gridCol w:w="109"/>
        <w:gridCol w:w="1904"/>
        <w:gridCol w:w="1904"/>
        <w:gridCol w:w="27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4" w:type="dxa"/>
            <w:tcBorders/>
            <w:vAlign w:val="center"/>
          </w:tcPr>
          <w:p>
            <w:pPr>
              <w:pStyle w:val="TableContents"/>
              <w:bidi w:val="0"/>
              <w:spacing w:before="0" w:after="283"/>
              <w:jc w:val="left"/>
              <w:rPr>
                <w:sz w:val="4"/>
                <w:szCs w:val="4"/>
              </w:rPr>
            </w:pPr>
            <w:r>
              <w:rPr>
                <w:sz w:val="4"/>
                <w:szCs w:val="4"/>
              </w:rPr>
            </w:r>
          </w:p>
        </w:tc>
        <w:tc>
          <w:tcPr>
            <w:tcW w:w="1904" w:type="dxa"/>
            <w:tcBorders/>
            <w:vAlign w:val="center"/>
          </w:tcPr>
          <w:p>
            <w:pPr>
              <w:pStyle w:val="TableContents"/>
              <w:bidi w:val="0"/>
              <w:spacing w:before="0" w:after="283"/>
              <w:jc w:val="left"/>
              <w:rPr>
                <w:sz w:val="4"/>
                <w:szCs w:val="4"/>
              </w:rPr>
            </w:pPr>
            <w:r>
              <w:rPr>
                <w:sz w:val="4"/>
                <w:szCs w:val="4"/>
              </w:rPr>
            </w:r>
          </w:p>
        </w:tc>
        <w:tc>
          <w:tcPr>
            <w:tcW w:w="27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5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Soliciting material pursuant to Rule 14a-12 under the Exchange Act (17 CFR 240.14a-12)</w:t>
            </w:r>
          </w:p>
        </w:tc>
      </w:tr>
    </w:tbl>
    <w:tbl>
      <w:tblPr>
        <w:tblW w:w="8442" w:type="dxa"/>
        <w:jc w:val="center"/>
        <w:tblInd w:w="0" w:type="dxa"/>
        <w:tblLayout w:type="fixed"/>
        <w:tblCellMar>
          <w:top w:w="28" w:type="dxa"/>
          <w:left w:w="28" w:type="dxa"/>
          <w:bottom w:w="28" w:type="dxa"/>
          <w:right w:w="28" w:type="dxa"/>
        </w:tblCellMar>
      </w:tblPr>
      <w:tblGrid>
        <w:gridCol w:w="124"/>
        <w:gridCol w:w="109"/>
        <w:gridCol w:w="109"/>
        <w:gridCol w:w="2368"/>
        <w:gridCol w:w="2368"/>
        <w:gridCol w:w="336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8" w:type="dxa"/>
            <w:tcBorders/>
            <w:vAlign w:val="center"/>
          </w:tcPr>
          <w:p>
            <w:pPr>
              <w:pStyle w:val="TableContents"/>
              <w:bidi w:val="0"/>
              <w:spacing w:before="0" w:after="283"/>
              <w:jc w:val="left"/>
              <w:rPr>
                <w:sz w:val="4"/>
                <w:szCs w:val="4"/>
              </w:rPr>
            </w:pPr>
            <w:r>
              <w:rPr>
                <w:sz w:val="4"/>
                <w:szCs w:val="4"/>
              </w:rPr>
            </w:r>
          </w:p>
        </w:tc>
        <w:tc>
          <w:tcPr>
            <w:tcW w:w="2368" w:type="dxa"/>
            <w:tcBorders/>
            <w:vAlign w:val="center"/>
          </w:tcPr>
          <w:p>
            <w:pPr>
              <w:pStyle w:val="TableContents"/>
              <w:bidi w:val="0"/>
              <w:spacing w:before="0" w:after="283"/>
              <w:jc w:val="left"/>
              <w:rPr>
                <w:sz w:val="4"/>
                <w:szCs w:val="4"/>
              </w:rPr>
            </w:pPr>
            <w:r>
              <w:rPr>
                <w:sz w:val="4"/>
                <w:szCs w:val="4"/>
              </w:rPr>
            </w:r>
          </w:p>
        </w:tc>
        <w:tc>
          <w:tcPr>
            <w:tcW w:w="33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Pre-commencement communications pursuant to Rule 14d-2(b) under the Exchange Act (17 CFR 240.14d-2(b))</w:t>
            </w:r>
          </w:p>
        </w:tc>
      </w:tr>
    </w:tbl>
    <w:tbl>
      <w:tblPr>
        <w:tblW w:w="8381" w:type="dxa"/>
        <w:jc w:val="center"/>
        <w:tblInd w:w="0" w:type="dxa"/>
        <w:tblLayout w:type="fixed"/>
        <w:tblCellMar>
          <w:top w:w="28" w:type="dxa"/>
          <w:left w:w="28" w:type="dxa"/>
          <w:bottom w:w="28" w:type="dxa"/>
          <w:right w:w="28" w:type="dxa"/>
        </w:tblCellMar>
      </w:tblPr>
      <w:tblGrid>
        <w:gridCol w:w="124"/>
        <w:gridCol w:w="109"/>
        <w:gridCol w:w="109"/>
        <w:gridCol w:w="2350"/>
        <w:gridCol w:w="2350"/>
        <w:gridCol w:w="333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0" w:type="dxa"/>
            <w:tcBorders/>
            <w:vAlign w:val="center"/>
          </w:tcPr>
          <w:p>
            <w:pPr>
              <w:pStyle w:val="TableContents"/>
              <w:bidi w:val="0"/>
              <w:spacing w:before="0" w:after="283"/>
              <w:jc w:val="left"/>
              <w:rPr>
                <w:sz w:val="4"/>
                <w:szCs w:val="4"/>
              </w:rPr>
            </w:pPr>
            <w:r>
              <w:rPr>
                <w:sz w:val="4"/>
                <w:szCs w:val="4"/>
              </w:rPr>
            </w:r>
          </w:p>
        </w:tc>
        <w:tc>
          <w:tcPr>
            <w:tcW w:w="2350" w:type="dxa"/>
            <w:tcBorders/>
            <w:vAlign w:val="center"/>
          </w:tcPr>
          <w:p>
            <w:pPr>
              <w:pStyle w:val="TableContents"/>
              <w:bidi w:val="0"/>
              <w:spacing w:before="0" w:after="283"/>
              <w:jc w:val="left"/>
              <w:rPr>
                <w:sz w:val="4"/>
                <w:szCs w:val="4"/>
              </w:rPr>
            </w:pPr>
            <w:r>
              <w:rPr>
                <w:sz w:val="4"/>
                <w:szCs w:val="4"/>
              </w:rPr>
            </w:r>
          </w:p>
        </w:tc>
        <w:tc>
          <w:tcPr>
            <w:tcW w:w="333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Pre-commencement communications pursuant to Rule 13e-4(c) under the Exchange Act (17 CFR 240.13e-4(c))</w:t>
            </w:r>
          </w:p>
        </w:tc>
      </w:tr>
    </w:tbl>
    <w:p>
      <w:pPr>
        <w:pStyle w:val="TextBody"/>
        <w:bidi w:val="0"/>
        <w:spacing w:lineRule="auto" w:line="288" w:before="100" w:after="100"/>
        <w:jc w:val="left"/>
        <w:rPr>
          <w:rFonts w:ascii="Times New Roman;sans-serif" w:hAnsi="Times New Roman;sans-serif"/>
          <w:b w:val="false"/>
          <w:color w:val="000000"/>
          <w:sz w:val="18"/>
        </w:rPr>
      </w:pPr>
      <w:r>
        <w:rPr>
          <w:rFonts w:ascii="Times New Roman;sans-serif" w:hAnsi="Times New Roman;sans-serif"/>
          <w:b w:val="false"/>
          <w:color w:val="000000"/>
          <w:sz w:val="18"/>
        </w:rPr>
        <w:t>Securities registered pursuant to Section 12(b) of the Act:</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2046"/>
        <w:gridCol w:w="1738"/>
        <w:gridCol w:w="1733"/>
        <w:gridCol w:w="434"/>
        <w:gridCol w:w="434"/>
        <w:gridCol w:w="422"/>
        <w:gridCol w:w="993"/>
        <w:gridCol w:w="993"/>
        <w:gridCol w:w="1412"/>
      </w:tblGrid>
      <w:tr>
        <w:trPr/>
        <w:tc>
          <w:tcPr>
            <w:tcW w:w="2046" w:type="dxa"/>
            <w:tcBorders/>
            <w:vAlign w:val="center"/>
          </w:tcPr>
          <w:p>
            <w:pPr>
              <w:pStyle w:val="TableContents"/>
              <w:bidi w:val="0"/>
              <w:spacing w:before="0" w:after="283"/>
              <w:jc w:val="left"/>
              <w:rPr>
                <w:sz w:val="4"/>
                <w:szCs w:val="4"/>
              </w:rPr>
            </w:pPr>
            <w:r>
              <w:rPr>
                <w:sz w:val="4"/>
                <w:szCs w:val="4"/>
              </w:rPr>
            </w:r>
          </w:p>
        </w:tc>
        <w:tc>
          <w:tcPr>
            <w:tcW w:w="1738" w:type="dxa"/>
            <w:tcBorders/>
            <w:vAlign w:val="center"/>
          </w:tcPr>
          <w:p>
            <w:pPr>
              <w:pStyle w:val="TableContents"/>
              <w:bidi w:val="0"/>
              <w:spacing w:before="0" w:after="283"/>
              <w:jc w:val="left"/>
              <w:rPr>
                <w:sz w:val="4"/>
                <w:szCs w:val="4"/>
              </w:rPr>
            </w:pPr>
            <w:r>
              <w:rPr>
                <w:sz w:val="4"/>
                <w:szCs w:val="4"/>
              </w:rPr>
            </w:r>
          </w:p>
        </w:tc>
        <w:tc>
          <w:tcPr>
            <w:tcW w:w="1733"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1412"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Federal Realty Investment Trust</w:t>
            </w:r>
          </w:p>
        </w:tc>
      </w:tr>
      <w:tr>
        <w:trPr/>
        <w:tc>
          <w:tcPr>
            <w:tcW w:w="55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u w:val="single"/>
              </w:rPr>
            </w:pPr>
            <w:r>
              <w:rPr>
                <w:rFonts w:ascii="Times New Roman;sans-serif" w:hAnsi="Times New Roman;sans-serif"/>
                <w:b/>
                <w:color w:val="000000"/>
                <w:sz w:val="18"/>
                <w:u w:val="single"/>
              </w:rPr>
              <w:t>Title of Each Class</w:t>
            </w:r>
          </w:p>
        </w:tc>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u w:val="single"/>
              </w:rPr>
            </w:pPr>
            <w:r>
              <w:rPr>
                <w:rFonts w:ascii="Times New Roman;sans-serif" w:hAnsi="Times New Roman;sans-serif"/>
                <w:b/>
                <w:color w:val="000000"/>
                <w:sz w:val="18"/>
                <w:u w:val="single"/>
              </w:rPr>
              <w:t>Trading Symbol</w:t>
            </w:r>
          </w:p>
        </w:tc>
        <w:tc>
          <w:tcPr>
            <w:tcW w:w="33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u w:val="single"/>
              </w:rPr>
            </w:pPr>
            <w:r>
              <w:rPr>
                <w:rFonts w:ascii="Times New Roman;sans-serif" w:hAnsi="Times New Roman;sans-serif"/>
                <w:b/>
                <w:color w:val="000000"/>
                <w:sz w:val="18"/>
                <w:u w:val="single"/>
              </w:rPr>
              <w:t>Name of Each Exchange On Which Registered</w:t>
            </w:r>
          </w:p>
        </w:tc>
      </w:tr>
      <w:tr>
        <w:trPr/>
        <w:tc>
          <w:tcPr>
            <w:tcW w:w="55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Common Shares of Beneficial Interest</w:t>
            </w:r>
          </w:p>
        </w:tc>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FRT</w:t>
            </w:r>
          </w:p>
        </w:tc>
        <w:tc>
          <w:tcPr>
            <w:tcW w:w="33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New York Stock Exchange</w:t>
            </w:r>
          </w:p>
        </w:tc>
      </w:tr>
      <w:tr>
        <w:trPr/>
        <w:tc>
          <w:tcPr>
            <w:tcW w:w="55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$.01 par value per share, with associated Common Share Purchase Rights</w:t>
            </w:r>
          </w:p>
        </w:tc>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 xml:space="preserve">Depositary Shares, each representing 1/1000 of a share </w:t>
            </w:r>
          </w:p>
        </w:tc>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FRT-C</w:t>
            </w:r>
          </w:p>
        </w:tc>
        <w:tc>
          <w:tcPr>
            <w:tcW w:w="33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New York Stock Exchange</w:t>
            </w:r>
          </w:p>
        </w:tc>
      </w:tr>
      <w:tr>
        <w:trPr/>
        <w:tc>
          <w:tcPr>
            <w:tcW w:w="55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of 5.00% Series C Cumulative Redeemable Preferred Stock, $.01 par value per share</w:t>
            </w:r>
          </w:p>
        </w:tc>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Federal Realty OP LP</w:t>
            </w:r>
          </w:p>
        </w:tc>
      </w:tr>
      <w:tr>
        <w:trPr/>
        <w:tc>
          <w:tcPr>
            <w:tcW w:w="55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u w:val="single"/>
              </w:rPr>
            </w:pPr>
            <w:r>
              <w:rPr>
                <w:rFonts w:ascii="Times New Roman;sans-serif" w:hAnsi="Times New Roman;sans-serif"/>
                <w:b/>
                <w:color w:val="000000"/>
                <w:sz w:val="18"/>
                <w:u w:val="single"/>
              </w:rPr>
              <w:t>Title of Each Class</w:t>
            </w:r>
          </w:p>
        </w:tc>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u w:val="single"/>
              </w:rPr>
            </w:pPr>
            <w:r>
              <w:rPr>
                <w:rFonts w:ascii="Times New Roman;sans-serif" w:hAnsi="Times New Roman;sans-serif"/>
                <w:b/>
                <w:color w:val="000000"/>
                <w:sz w:val="18"/>
                <w:u w:val="single"/>
              </w:rPr>
              <w:t>Trading Symbol</w:t>
            </w:r>
          </w:p>
        </w:tc>
        <w:tc>
          <w:tcPr>
            <w:tcW w:w="33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u w:val="single"/>
              </w:rPr>
            </w:pPr>
            <w:r>
              <w:rPr>
                <w:rFonts w:ascii="Times New Roman;sans-serif" w:hAnsi="Times New Roman;sans-serif"/>
                <w:b/>
                <w:color w:val="000000"/>
                <w:sz w:val="18"/>
                <w:u w:val="single"/>
              </w:rPr>
              <w:t>Name of Each Exchange On Which Registered</w:t>
            </w:r>
          </w:p>
        </w:tc>
      </w:tr>
      <w:tr>
        <w:trPr/>
        <w:tc>
          <w:tcPr>
            <w:tcW w:w="55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None</w:t>
            </w:r>
          </w:p>
        </w:tc>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N/A</w:t>
            </w:r>
          </w:p>
        </w:tc>
        <w:tc>
          <w:tcPr>
            <w:tcW w:w="33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N/A</w:t>
            </w:r>
          </w:p>
        </w:tc>
      </w:tr>
    </w:tbl>
    <w:tbl>
      <w:tblPr>
        <w:tblW w:w="10205" w:type="dxa"/>
        <w:jc w:val="center"/>
        <w:tblInd w:w="0" w:type="dxa"/>
        <w:tblLayout w:type="fixed"/>
        <w:tblCellMar>
          <w:top w:w="28" w:type="dxa"/>
          <w:left w:w="28" w:type="dxa"/>
          <w:bottom w:w="28" w:type="dxa"/>
          <w:right w:w="28" w:type="dxa"/>
        </w:tblCellMar>
      </w:tblPr>
      <w:tblGrid>
        <w:gridCol w:w="1341"/>
        <w:gridCol w:w="1043"/>
        <w:gridCol w:w="1043"/>
        <w:gridCol w:w="1127"/>
        <w:gridCol w:w="1043"/>
        <w:gridCol w:w="1043"/>
        <w:gridCol w:w="1043"/>
        <w:gridCol w:w="1043"/>
        <w:gridCol w:w="1479"/>
      </w:tblGrid>
      <w:tr>
        <w:trPr/>
        <w:tc>
          <w:tcPr>
            <w:tcW w:w="1341"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479"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is an emerging growth company, as defined in Rule 405 of the Securities Act of 1933 or Rule 12b-2 of the Securities Exchange Act of 1934.</w:t>
            </w:r>
          </w:p>
        </w:tc>
      </w:tr>
      <w:tr>
        <w:trPr/>
        <w:tc>
          <w:tcPr>
            <w:tcW w:w="342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Federal Realty Investment Trust Yes ☐ No ☒</w:t>
            </w:r>
          </w:p>
        </w:tc>
        <w:tc>
          <w:tcPr>
            <w:tcW w:w="321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Federal Realty OP LP Yes ☐ No ☒</w:t>
            </w:r>
          </w:p>
        </w:tc>
        <w:tc>
          <w:tcPr>
            <w:tcW w:w="3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432"/>
        <w:gridCol w:w="1025"/>
        <w:gridCol w:w="1025"/>
        <w:gridCol w:w="1170"/>
        <w:gridCol w:w="1025"/>
        <w:gridCol w:w="1025"/>
        <w:gridCol w:w="1025"/>
        <w:gridCol w:w="1025"/>
        <w:gridCol w:w="1453"/>
      </w:tblGrid>
      <w:tr>
        <w:trPr/>
        <w:tc>
          <w:tcPr>
            <w:tcW w:w="1432"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453"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If an emerging growth company, indicate by checkmark if the registrant has elected not use the extended transition period for complying with any new or revised financial accounting standards provided pursuant to Section 13(a) of the Exchange Act.</w:t>
            </w:r>
          </w:p>
        </w:tc>
      </w:tr>
      <w:tr>
        <w:trPr/>
        <w:tc>
          <w:tcPr>
            <w:tcW w:w="348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Federal Realty Investment Trust ☐</w:t>
            </w:r>
          </w:p>
        </w:tc>
        <w:tc>
          <w:tcPr>
            <w:tcW w:w="32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Federal Realty OP LP ☐</w:t>
            </w:r>
          </w:p>
        </w:tc>
        <w:tc>
          <w:tcPr>
            <w:tcW w:w="35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Item 2.02. Results of Operations and Financial Condition.</w:t>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Times New Roman;sans-serif" w:hAnsi="Times New Roman;sans-serif"/>
          <w:b w:val="false"/>
          <w:color w:val="000000"/>
          <w:sz w:val="24"/>
        </w:rPr>
        <w:t>The following information is being furnished under Item 2.02-Results of Operations and Financial Condition. This information, including the exhibits attached hereto, shall not be deemed “filed” for any purpose, including for the purposes of Section 18 of the Securities Exchange Act of 1934, as amended (the “Exchange Act”), or otherwise subject to the liabilities of that Section. The information in this Current Report on Form 8-K shall not be deemed incorporated by reference into any filing under the Securities Act of 1933, as amended, or under the Exchange Act, regardless of any general incorporation language in such filing.</w:t>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Times New Roman;sans-serif" w:hAnsi="Times New Roman;sans-serif"/>
          <w:b w:val="false"/>
          <w:color w:val="000000"/>
          <w:sz w:val="24"/>
        </w:rPr>
        <w:t>On May 2, 2024, Federal Realty Investment Trust issued supplemental data pertaining to its operations, as well as a press release, to report its financial results for the quarter ended March 31, 2024. The supplemental data and press release are furnished as Exhibit 99.1 hereto.</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color w:val="000000"/>
          <w:sz w:val="24"/>
        </w:rPr>
        <w:t>Item 9.01.</w:t>
      </w:r>
      <w:r>
        <w:rPr>
          <w:color w:val="000000"/>
        </w:rPr>
        <w:t xml:space="preserve">     </w:t>
      </w:r>
      <w:r>
        <w:rPr>
          <w:rFonts w:ascii="Times New Roman;sans-serif" w:hAnsi="Times New Roman;sans-serif"/>
          <w:b/>
          <w:color w:val="000000"/>
          <w:sz w:val="24"/>
        </w:rPr>
        <w:t>Financial Statements and Exhibits.</w:t>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Times New Roman;sans-serif" w:hAnsi="Times New Roman;sans-serif"/>
          <w:b w:val="false"/>
          <w:color w:val="000000"/>
          <w:sz w:val="24"/>
        </w:rPr>
        <w:t>(c)</w:t>
      </w:r>
      <w:r>
        <w:rPr>
          <w:color w:val="000000"/>
        </w:rPr>
        <w:t>    </w:t>
      </w:r>
      <w:r>
        <w:rPr>
          <w:rFonts w:ascii="Times New Roman;sans-serif" w:hAnsi="Times New Roman;sans-serif"/>
          <w:b w:val="false"/>
          <w:color w:val="000000"/>
          <w:sz w:val="24"/>
        </w:rPr>
        <w:t>Exhibits</w:t>
      </w:r>
    </w:p>
    <w:p>
      <w:pPr>
        <w:pStyle w:val="TextBody"/>
        <w:bidi w:val="0"/>
        <w:spacing w:before="0" w:after="0"/>
        <w:jc w:val="left"/>
        <w:rPr/>
      </w:pPr>
      <w:r>
        <w:rPr/>
      </w:r>
    </w:p>
    <w:p>
      <w:pPr>
        <w:pStyle w:val="TextBody"/>
        <w:bidi w:val="0"/>
        <w:spacing w:lineRule="auto" w:line="288" w:before="0" w:after="0"/>
        <w:ind w:left="0" w:right="0" w:hanging="1440"/>
        <w:jc w:val="left"/>
        <w:rPr/>
      </w:pPr>
      <w:r>
        <w:rPr>
          <w:color w:val="000000"/>
        </w:rPr>
        <w:t>    </w:t>
      </w:r>
      <w:r>
        <w:rPr>
          <w:rFonts w:ascii="Times New Roman;sans-serif" w:hAnsi="Times New Roman;sans-serif"/>
          <w:b w:val="false"/>
          <w:color w:val="000000"/>
          <w:sz w:val="24"/>
        </w:rPr>
        <w:t>99.1</w:t>
      </w:r>
      <w:r>
        <w:rPr>
          <w:color w:val="000000"/>
        </w:rPr>
        <w:t>    </w:t>
      </w:r>
      <w:r>
        <w:rPr>
          <w:rFonts w:ascii="Times New Roman;sans-serif" w:hAnsi="Times New Roman;sans-serif"/>
          <w:b w:val="false"/>
          <w:color w:val="000000"/>
          <w:sz w:val="24"/>
        </w:rPr>
        <w:t>Supplemental information at March 31, 2024 (including press release dated May 2, 2024)</w:t>
      </w:r>
    </w:p>
    <w:p>
      <w:pPr>
        <w:pStyle w:val="TextBody"/>
        <w:bidi w:val="0"/>
        <w:spacing w:before="0" w:after="0"/>
        <w:jc w:val="left"/>
        <w:rPr/>
      </w:pPr>
      <w:r>
        <w:rPr/>
      </w:r>
    </w:p>
    <w:p>
      <w:pPr>
        <w:pStyle w:val="TextBody"/>
        <w:bidi w:val="0"/>
        <w:spacing w:before="0" w:after="0"/>
        <w:ind w:left="0" w:right="0" w:hanging="1440"/>
        <w:jc w:val="left"/>
        <w:rPr/>
      </w:pPr>
      <w:r>
        <w:rPr/>
      </w:r>
    </w:p>
    <w:p>
      <w:pPr>
        <w:pStyle w:val="TextBody"/>
        <w:bidi w:val="0"/>
        <w:spacing w:before="0" w:after="0"/>
        <w:ind w:left="0" w:right="0" w:hanging="1440"/>
        <w:jc w:val="left"/>
        <w:rPr/>
      </w:pPr>
      <w:r>
        <w:rPr/>
      </w:r>
    </w:p>
    <w:p>
      <w:pPr>
        <w:pStyle w:val="TextBody"/>
        <w:bidi w:val="0"/>
        <w:spacing w:lineRule="auto" w:line="288" w:before="0" w:after="0"/>
        <w:ind w:left="0" w:right="0" w:hanging="1440"/>
        <w:jc w:val="left"/>
        <w:rPr>
          <w:color w:val="000000"/>
        </w:rPr>
      </w:pPr>
      <w:r>
        <w:rPr>
          <w:color w:val="000000"/>
        </w:rPr>
        <w:t>    </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SIGNATURES</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left"/>
        <w:rPr/>
      </w:pPr>
      <w:r>
        <w:rPr>
          <w:color w:val="000000"/>
        </w:rPr>
        <w:t>    </w:t>
      </w:r>
      <w:r>
        <w:rPr>
          <w:rFonts w:ascii="Times New Roman;sans-serif" w:hAnsi="Times New Roman;sans-serif"/>
          <w:b w:val="false"/>
          <w:color w:val="000000"/>
          <w:sz w:val="24"/>
        </w:rPr>
        <w:t>Pursuant to the requirements of the Securities Exchange Act of 1934, the registrants have duly caused this report to be signed on their behalf by the undersigned hereunto duly authorized.</w:t>
      </w:r>
    </w:p>
    <w:p>
      <w:pPr>
        <w:pStyle w:val="TextBody"/>
        <w:bidi w:val="0"/>
        <w:spacing w:before="0" w:after="0"/>
        <w:jc w:val="left"/>
        <w:rPr/>
      </w:pPr>
      <w:r>
        <w:rPr/>
      </w:r>
    </w:p>
    <w:tbl>
      <w:tblPr>
        <w:tblW w:w="7300" w:type="dxa"/>
        <w:jc w:val="center"/>
        <w:tblInd w:w="0" w:type="dxa"/>
        <w:tblLayout w:type="fixed"/>
        <w:tblCellMar>
          <w:top w:w="28" w:type="dxa"/>
          <w:left w:w="28" w:type="dxa"/>
          <w:bottom w:w="28" w:type="dxa"/>
          <w:right w:w="28" w:type="dxa"/>
        </w:tblCellMar>
      </w:tblPr>
      <w:tblGrid>
        <w:gridCol w:w="228"/>
        <w:gridCol w:w="200"/>
        <w:gridCol w:w="202"/>
        <w:gridCol w:w="439"/>
        <w:gridCol w:w="439"/>
        <w:gridCol w:w="441"/>
        <w:gridCol w:w="109"/>
        <w:gridCol w:w="109"/>
        <w:gridCol w:w="109"/>
        <w:gridCol w:w="1470"/>
        <w:gridCol w:w="1470"/>
        <w:gridCol w:w="2084"/>
      </w:tblGrid>
      <w:tr>
        <w:trPr/>
        <w:tc>
          <w:tcPr>
            <w:tcW w:w="22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70" w:type="dxa"/>
            <w:tcBorders/>
            <w:vAlign w:val="center"/>
          </w:tcPr>
          <w:p>
            <w:pPr>
              <w:pStyle w:val="TableContents"/>
              <w:bidi w:val="0"/>
              <w:spacing w:before="0" w:after="283"/>
              <w:jc w:val="left"/>
              <w:rPr>
                <w:sz w:val="4"/>
                <w:szCs w:val="4"/>
              </w:rPr>
            </w:pPr>
            <w:r>
              <w:rPr>
                <w:sz w:val="4"/>
                <w:szCs w:val="4"/>
              </w:rPr>
            </w:r>
          </w:p>
        </w:tc>
        <w:tc>
          <w:tcPr>
            <w:tcW w:w="1470" w:type="dxa"/>
            <w:tcBorders/>
            <w:vAlign w:val="center"/>
          </w:tcPr>
          <w:p>
            <w:pPr>
              <w:pStyle w:val="TableContents"/>
              <w:bidi w:val="0"/>
              <w:spacing w:before="0" w:after="283"/>
              <w:jc w:val="left"/>
              <w:rPr>
                <w:sz w:val="4"/>
                <w:szCs w:val="4"/>
              </w:rPr>
            </w:pPr>
            <w:r>
              <w:rPr>
                <w:sz w:val="4"/>
                <w:szCs w:val="4"/>
              </w:rPr>
            </w:r>
          </w:p>
        </w:tc>
        <w:tc>
          <w:tcPr>
            <w:tcW w:w="2084" w:type="dxa"/>
            <w:tcBorders/>
            <w:vAlign w:val="center"/>
          </w:tcPr>
          <w:p>
            <w:pPr>
              <w:pStyle w:val="TableContents"/>
              <w:bidi w:val="0"/>
              <w:spacing w:before="0" w:after="283"/>
              <w:jc w:val="left"/>
              <w:rPr>
                <w:sz w:val="4"/>
                <w:szCs w:val="4"/>
              </w:rPr>
            </w:pPr>
            <w:r>
              <w:rPr>
                <w:sz w:val="4"/>
                <w:szCs w:val="4"/>
              </w:rPr>
            </w:r>
          </w:p>
        </w:tc>
      </w:tr>
      <w:tr>
        <w:trPr/>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FEDERAL REALTY INVESTMENT TRUST</w:t>
            </w:r>
          </w:p>
        </w:tc>
      </w:tr>
      <w:tr>
        <w:trPr/>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FEDERAL REALTY OP LP</w:t>
            </w:r>
          </w:p>
        </w:tc>
      </w:tr>
      <w:tr>
        <w:trPr/>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Date:</w:t>
            </w:r>
          </w:p>
        </w:tc>
        <w:tc>
          <w:tcPr>
            <w:tcW w:w="131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May 2,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ans-serif" w:hAnsi="Times New Roman;sans-serif"/>
                <w:b w:val="false"/>
                <w:color w:val="000000"/>
                <w:sz w:val="24"/>
                <w:u w:val="single"/>
              </w:rPr>
              <w:t>/s/ Daniel Guglielmone</w:t>
            </w:r>
          </w:p>
        </w:tc>
      </w:tr>
      <w:tr>
        <w:trPr/>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Daniel Guglielmone</w:t>
            </w:r>
          </w:p>
        </w:tc>
      </w:tr>
      <w:tr>
        <w:trPr/>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Executive Vice President-</w:t>
            </w:r>
          </w:p>
        </w:tc>
      </w:tr>
      <w:tr>
        <w:trPr/>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Chief Financial Officer and Treasurer</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EXHIBIT INDEX</w:t>
      </w:r>
    </w:p>
    <w:p>
      <w:pPr>
        <w:pStyle w:val="TextBody"/>
        <w:bidi w:val="0"/>
        <w:spacing w:lineRule="auto" w:line="288" w:before="0" w:after="0"/>
        <w:jc w:val="left"/>
        <w:rPr>
          <w:color w:val="000000"/>
        </w:rPr>
      </w:pPr>
      <w:r>
        <w:rPr>
          <w:color w:val="000000"/>
        </w:rPr>
        <w:t>                                </w:t>
      </w:r>
    </w:p>
    <w:tbl>
      <w:tblPr>
        <w:tblW w:w="10205" w:type="dxa"/>
        <w:jc w:val="center"/>
        <w:tblInd w:w="0" w:type="dxa"/>
        <w:tblLayout w:type="fixed"/>
        <w:tblCellMar>
          <w:top w:w="28" w:type="dxa"/>
          <w:left w:w="28" w:type="dxa"/>
          <w:bottom w:w="28" w:type="dxa"/>
          <w:right w:w="28" w:type="dxa"/>
        </w:tblCellMar>
      </w:tblPr>
      <w:tblGrid>
        <w:gridCol w:w="501"/>
        <w:gridCol w:w="440"/>
        <w:gridCol w:w="442"/>
        <w:gridCol w:w="109"/>
        <w:gridCol w:w="109"/>
        <w:gridCol w:w="109"/>
        <w:gridCol w:w="2476"/>
        <w:gridCol w:w="2476"/>
        <w:gridCol w:w="3543"/>
      </w:tblGrid>
      <w:tr>
        <w:trPr/>
        <w:tc>
          <w:tcPr>
            <w:tcW w:w="501"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6" w:type="dxa"/>
            <w:tcBorders/>
            <w:vAlign w:val="center"/>
          </w:tcPr>
          <w:p>
            <w:pPr>
              <w:pStyle w:val="TableContents"/>
              <w:bidi w:val="0"/>
              <w:spacing w:before="0" w:after="283"/>
              <w:jc w:val="left"/>
              <w:rPr>
                <w:sz w:val="4"/>
                <w:szCs w:val="4"/>
              </w:rPr>
            </w:pPr>
            <w:r>
              <w:rPr>
                <w:sz w:val="4"/>
                <w:szCs w:val="4"/>
              </w:rPr>
            </w:r>
          </w:p>
        </w:tc>
        <w:tc>
          <w:tcPr>
            <w:tcW w:w="2476" w:type="dxa"/>
            <w:tcBorders/>
            <w:vAlign w:val="center"/>
          </w:tcPr>
          <w:p>
            <w:pPr>
              <w:pStyle w:val="TableContents"/>
              <w:bidi w:val="0"/>
              <w:spacing w:before="0" w:after="283"/>
              <w:jc w:val="left"/>
              <w:rPr>
                <w:sz w:val="4"/>
                <w:szCs w:val="4"/>
              </w:rPr>
            </w:pPr>
            <w:r>
              <w:rPr>
                <w:sz w:val="4"/>
                <w:szCs w:val="4"/>
              </w:rPr>
            </w:r>
          </w:p>
        </w:tc>
        <w:tc>
          <w:tcPr>
            <w:tcW w:w="3543" w:type="dxa"/>
            <w:tcBorders/>
            <w:vAlign w:val="center"/>
          </w:tcPr>
          <w:p>
            <w:pPr>
              <w:pStyle w:val="TableContents"/>
              <w:bidi w:val="0"/>
              <w:spacing w:before="0" w:after="283"/>
              <w:jc w:val="left"/>
              <w:rPr>
                <w:sz w:val="4"/>
                <w:szCs w:val="4"/>
              </w:rPr>
            </w:pPr>
            <w:r>
              <w:rPr>
                <w:sz w:val="4"/>
                <w:szCs w:val="4"/>
              </w:rPr>
            </w:r>
          </w:p>
        </w:tc>
      </w:tr>
      <w:tr>
        <w:trPr/>
        <w:tc>
          <w:tcPr>
            <w:tcW w:w="13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Description</w:t>
            </w:r>
          </w:p>
        </w:tc>
      </w:tr>
      <w:tr>
        <w:trPr/>
        <w:tc>
          <w:tcPr>
            <w:tcW w:w="13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w:anchor="frt-03312024xex991.htm">
              <w:r>
                <w:rPr>
                  <w:rStyle w:val="InternetLink"/>
                  <w:rFonts w:ascii="Times New Roman;sans-serif" w:hAnsi="Times New Roman;sans-serif"/>
                  <w:b w:val="false"/>
                  <w:color w:val="0000FF"/>
                  <w:sz w:val="20"/>
                  <w:u w:val="single"/>
                </w:rPr>
                <w:t>99.1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Supplemental Information at March 31, 2024</w:t>
            </w:r>
          </w:p>
        </w:tc>
      </w:tr>
      <w:tr>
        <w:trPr/>
        <w:tc>
          <w:tcPr>
            <w:tcW w:w="13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(the Cover Page Interactive Data File is embedded within the Inline XBRL document)</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tbl>
      <w:tblPr>
        <w:tblW w:w="9754" w:type="dxa"/>
        <w:jc w:val="center"/>
        <w:tblInd w:w="0" w:type="dxa"/>
        <w:tblLayout w:type="fixed"/>
        <w:tblCellMar>
          <w:top w:w="28" w:type="dxa"/>
          <w:left w:w="28" w:type="dxa"/>
          <w:bottom w:w="28" w:type="dxa"/>
          <w:right w:w="28" w:type="dxa"/>
        </w:tblCellMar>
      </w:tblPr>
      <w:tblGrid>
        <w:gridCol w:w="360"/>
        <w:gridCol w:w="317"/>
        <w:gridCol w:w="317"/>
        <w:gridCol w:w="577"/>
        <w:gridCol w:w="577"/>
        <w:gridCol w:w="577"/>
        <w:gridCol w:w="1980"/>
        <w:gridCol w:w="1980"/>
        <w:gridCol w:w="1980"/>
        <w:gridCol w:w="317"/>
        <w:gridCol w:w="317"/>
        <w:gridCol w:w="455"/>
      </w:tblGrid>
      <w:tr>
        <w:trPr/>
        <w:tc>
          <w:tcPr>
            <w:tcW w:w="360"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980" w:type="dxa"/>
            <w:tcBorders/>
            <w:vAlign w:val="center"/>
          </w:tcPr>
          <w:p>
            <w:pPr>
              <w:pStyle w:val="TableContents"/>
              <w:bidi w:val="0"/>
              <w:spacing w:before="0" w:after="283"/>
              <w:jc w:val="left"/>
              <w:rPr>
                <w:sz w:val="4"/>
                <w:szCs w:val="4"/>
              </w:rPr>
            </w:pPr>
            <w:r>
              <w:rPr>
                <w:sz w:val="4"/>
                <w:szCs w:val="4"/>
              </w:rPr>
            </w:r>
          </w:p>
        </w:tc>
        <w:tc>
          <w:tcPr>
            <w:tcW w:w="1980" w:type="dxa"/>
            <w:tcBorders/>
            <w:vAlign w:val="center"/>
          </w:tcPr>
          <w:p>
            <w:pPr>
              <w:pStyle w:val="TableContents"/>
              <w:bidi w:val="0"/>
              <w:spacing w:before="0" w:after="283"/>
              <w:jc w:val="left"/>
              <w:rPr>
                <w:sz w:val="4"/>
                <w:szCs w:val="4"/>
              </w:rPr>
            </w:pPr>
            <w:r>
              <w:rPr>
                <w:sz w:val="4"/>
                <w:szCs w:val="4"/>
              </w:rPr>
            </w:r>
          </w:p>
        </w:tc>
        <w:tc>
          <w:tcPr>
            <w:tcW w:w="1980"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r>
      <w:tr>
        <w:trPr/>
        <w:tc>
          <w:tcPr>
            <w:tcW w:w="9754"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FEDERAL REALTY INVESTMENT TRUST</w:t>
            </w:r>
          </w:p>
        </w:tc>
      </w:tr>
      <w:tr>
        <w:trPr/>
        <w:tc>
          <w:tcPr>
            <w:tcW w:w="994" w:type="dxa"/>
            <w:gridSpan w:val="3"/>
            <w:tcBorders/>
            <w:vAlign w:val="center"/>
          </w:tcPr>
          <w:p>
            <w:pPr>
              <w:pStyle w:val="TableContents"/>
              <w:bidi w:val="0"/>
              <w:spacing w:before="0" w:after="283"/>
              <w:jc w:val="left"/>
              <w:rPr>
                <w:sz w:val="4"/>
                <w:szCs w:val="4"/>
              </w:rPr>
            </w:pPr>
            <w:r>
              <w:rPr>
                <w:sz w:val="4"/>
                <w:szCs w:val="4"/>
              </w:rPr>
            </w:r>
          </w:p>
        </w:tc>
        <w:tc>
          <w:tcPr>
            <w:tcW w:w="8760" w:type="dxa"/>
            <w:gridSpan w:val="9"/>
            <w:tcBorders/>
          </w:tcPr>
          <w:p>
            <w:pPr>
              <w:pStyle w:val="TableContents"/>
              <w:bidi w:val="0"/>
              <w:spacing w:before="0" w:after="283"/>
              <w:jc w:val="left"/>
              <w:rPr>
                <w:sz w:val="4"/>
                <w:szCs w:val="4"/>
              </w:rPr>
            </w:pPr>
            <w:r>
              <w:rPr>
                <w:sz w:val="4"/>
                <w:szCs w:val="4"/>
              </w:rPr>
            </w:r>
          </w:p>
        </w:tc>
      </w:tr>
      <w:tr>
        <w:trPr/>
        <w:tc>
          <w:tcPr>
            <w:tcW w:w="9754"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SUPPLEMENTAL INFORMATION</w:t>
            </w:r>
          </w:p>
        </w:tc>
      </w:tr>
      <w:tr>
        <w:trPr/>
        <w:tc>
          <w:tcPr>
            <w:tcW w:w="9754"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31, 2024</w:t>
            </w:r>
          </w:p>
        </w:tc>
      </w:tr>
      <w:tr>
        <w:trPr/>
        <w:tc>
          <w:tcPr>
            <w:tcW w:w="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54"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TABLE OF CONTENTS</w:t>
            </w:r>
          </w:p>
        </w:tc>
      </w:tr>
      <w:tr>
        <w:trPr/>
        <w:tc>
          <w:tcPr>
            <w:tcW w:w="9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7671"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First Quarter 2024 Earnings Press Release</w:t>
            </w:r>
          </w:p>
        </w:tc>
        <w:tc>
          <w:tcPr>
            <w:tcW w:w="10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c3f45c93d4bc43638f13ef7595b5c7a3_7">
              <w:r>
                <w:rPr>
                  <w:rStyle w:val="InternetLink"/>
                  <w:rFonts w:ascii="Times New Roman;sans-serif" w:hAnsi="Times New Roman;sans-serif"/>
                  <w:b w:val="false"/>
                  <w:color w:val="0000FF"/>
                  <w:sz w:val="20"/>
                  <w:u w:val="single"/>
                </w:rPr>
                <w:t>3</w:t>
              </w:r>
            </w:hyperlink>
          </w:p>
        </w:tc>
      </w:tr>
      <w:tr>
        <w:trPr/>
        <w:tc>
          <w:tcPr>
            <w:tcW w:w="9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7671"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Financial Highlights</w:t>
            </w:r>
          </w:p>
        </w:tc>
        <w:tc>
          <w:tcPr>
            <w:tcW w:w="1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Income Statements</w:t>
            </w:r>
          </w:p>
        </w:tc>
        <w:tc>
          <w:tcPr>
            <w:tcW w:w="10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c3f45c93d4bc43638f13ef7595b5c7a3_10">
              <w:r>
                <w:rPr>
                  <w:rStyle w:val="InternetLink"/>
                  <w:rFonts w:ascii="Times New Roman;sans-serif" w:hAnsi="Times New Roman;sans-serif"/>
                  <w:b w:val="false"/>
                  <w:color w:val="0000FF"/>
                  <w:sz w:val="20"/>
                  <w:u w:val="single"/>
                </w:rPr>
                <w:t>7</w:t>
              </w:r>
            </w:hyperlink>
          </w:p>
        </w:tc>
      </w:tr>
      <w:tr>
        <w:trPr/>
        <w:tc>
          <w:tcPr>
            <w:tcW w:w="9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Balance Sheets</w:t>
            </w:r>
          </w:p>
        </w:tc>
        <w:tc>
          <w:tcPr>
            <w:tcW w:w="10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c3f45c93d4bc43638f13ef7595b5c7a3_13">
              <w:r>
                <w:rPr>
                  <w:rStyle w:val="InternetLink"/>
                  <w:rFonts w:ascii="Times New Roman;sans-serif" w:hAnsi="Times New Roman;sans-serif"/>
                  <w:b w:val="false"/>
                  <w:color w:val="0000FF"/>
                  <w:sz w:val="20"/>
                  <w:u w:val="single"/>
                </w:rPr>
                <w:t>8</w:t>
              </w:r>
            </w:hyperlink>
          </w:p>
        </w:tc>
      </w:tr>
      <w:tr>
        <w:trPr/>
        <w:tc>
          <w:tcPr>
            <w:tcW w:w="9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Funds From Operations / Other Supplemental Information</w:t>
            </w:r>
          </w:p>
        </w:tc>
        <w:tc>
          <w:tcPr>
            <w:tcW w:w="10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c3f45c93d4bc43638f13ef7595b5c7a3_16">
              <w:r>
                <w:rPr>
                  <w:rStyle w:val="InternetLink"/>
                  <w:rFonts w:ascii="Times New Roman;sans-serif" w:hAnsi="Times New Roman;sans-serif"/>
                  <w:b w:val="false"/>
                  <w:color w:val="0000FF"/>
                  <w:sz w:val="20"/>
                  <w:u w:val="single"/>
                </w:rPr>
                <w:t>9</w:t>
              </w:r>
            </w:hyperlink>
          </w:p>
        </w:tc>
      </w:tr>
      <w:tr>
        <w:trPr/>
        <w:tc>
          <w:tcPr>
            <w:tcW w:w="994" w:type="dxa"/>
            <w:gridSpan w:val="3"/>
            <w:tcBorders/>
            <w:vAlign w:val="center"/>
          </w:tcPr>
          <w:p>
            <w:pPr>
              <w:pStyle w:val="TableContents"/>
              <w:bidi w:val="0"/>
              <w:spacing w:before="0" w:after="283"/>
              <w:jc w:val="left"/>
              <w:rPr>
                <w:sz w:val="4"/>
                <w:szCs w:val="4"/>
              </w:rPr>
            </w:pPr>
            <w:r>
              <w:rPr>
                <w:sz w:val="4"/>
                <w:szCs w:val="4"/>
              </w:rPr>
            </w:r>
          </w:p>
        </w:tc>
        <w:tc>
          <w:tcPr>
            <w:tcW w:w="1731" w:type="dxa"/>
            <w:gridSpan w:val="3"/>
            <w:tcBorders/>
            <w:vAlign w:val="center"/>
          </w:tcPr>
          <w:p>
            <w:pPr>
              <w:pStyle w:val="TableContents"/>
              <w:bidi w:val="0"/>
              <w:spacing w:before="0" w:after="283"/>
              <w:jc w:val="left"/>
              <w:rPr>
                <w:sz w:val="4"/>
                <w:szCs w:val="4"/>
              </w:rPr>
            </w:pPr>
            <w:r>
              <w:rPr>
                <w:sz w:val="4"/>
                <w:szCs w:val="4"/>
              </w:rPr>
            </w:r>
          </w:p>
        </w:tc>
        <w:tc>
          <w:tcPr>
            <w:tcW w:w="5940"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9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Components of Rental Income</w:t>
            </w:r>
          </w:p>
        </w:tc>
        <w:tc>
          <w:tcPr>
            <w:tcW w:w="10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c3f45c93d4bc43638f13ef7595b5c7a3_19">
              <w:r>
                <w:rPr>
                  <w:rStyle w:val="InternetLink"/>
                  <w:rFonts w:ascii="Times New Roman;sans-serif" w:hAnsi="Times New Roman;sans-serif"/>
                  <w:b w:val="false"/>
                  <w:color w:val="0000FF"/>
                  <w:sz w:val="20"/>
                  <w:u w:val="single"/>
                </w:rPr>
                <w:t>10</w:t>
              </w:r>
            </w:hyperlink>
          </w:p>
        </w:tc>
      </w:tr>
      <w:tr>
        <w:trPr/>
        <w:tc>
          <w:tcPr>
            <w:tcW w:w="9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Comparable Property Information</w:t>
            </w:r>
          </w:p>
        </w:tc>
        <w:tc>
          <w:tcPr>
            <w:tcW w:w="10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c3f45c93d4bc43638f13ef7595b5c7a3_22">
              <w:r>
                <w:rPr>
                  <w:rStyle w:val="InternetLink"/>
                  <w:rFonts w:ascii="Times New Roman;sans-serif" w:hAnsi="Times New Roman;sans-serif"/>
                  <w:b w:val="false"/>
                  <w:color w:val="0000FF"/>
                  <w:sz w:val="20"/>
                  <w:u w:val="single"/>
                </w:rPr>
                <w:t>11</w:t>
              </w:r>
            </w:hyperlink>
          </w:p>
        </w:tc>
      </w:tr>
      <w:tr>
        <w:trPr/>
        <w:tc>
          <w:tcPr>
            <w:tcW w:w="9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 Data, Debt Metrics, and Senior Notes and Debentures Covenants</w:t>
            </w:r>
          </w:p>
        </w:tc>
        <w:tc>
          <w:tcPr>
            <w:tcW w:w="10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c3f45c93d4bc43638f13ef7595b5c7a3_25">
              <w:r>
                <w:rPr>
                  <w:rStyle w:val="InternetLink"/>
                  <w:rFonts w:ascii="Times New Roman;sans-serif" w:hAnsi="Times New Roman;sans-serif"/>
                  <w:b w:val="false"/>
                  <w:color w:val="0000FF"/>
                  <w:sz w:val="20"/>
                  <w:u w:val="single"/>
                </w:rPr>
                <w:t>12</w:t>
              </w:r>
            </w:hyperlink>
          </w:p>
        </w:tc>
      </w:tr>
      <w:tr>
        <w:trPr/>
        <w:tc>
          <w:tcPr>
            <w:tcW w:w="9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7671"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Summary of Debt</w:t>
            </w:r>
          </w:p>
        </w:tc>
        <w:tc>
          <w:tcPr>
            <w:tcW w:w="1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Summary of Outstanding Debt</w:t>
            </w:r>
          </w:p>
        </w:tc>
        <w:tc>
          <w:tcPr>
            <w:tcW w:w="10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c3f45c93d4bc43638f13ef7595b5c7a3_28">
              <w:r>
                <w:rPr>
                  <w:rStyle w:val="InternetLink"/>
                  <w:rFonts w:ascii="Times New Roman;sans-serif" w:hAnsi="Times New Roman;sans-serif"/>
                  <w:b w:val="false"/>
                  <w:color w:val="0000FF"/>
                  <w:sz w:val="20"/>
                  <w:u w:val="single"/>
                </w:rPr>
                <w:t>13</w:t>
              </w:r>
            </w:hyperlink>
          </w:p>
        </w:tc>
      </w:tr>
      <w:tr>
        <w:trPr/>
        <w:tc>
          <w:tcPr>
            <w:tcW w:w="9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Summary of Debt Maturities</w:t>
            </w:r>
          </w:p>
        </w:tc>
        <w:tc>
          <w:tcPr>
            <w:tcW w:w="10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c3f45c93d4bc43638f13ef7595b5c7a3_31">
              <w:r>
                <w:rPr>
                  <w:rStyle w:val="InternetLink"/>
                  <w:rFonts w:ascii="Times New Roman;sans-serif" w:hAnsi="Times New Roman;sans-serif"/>
                  <w:b w:val="false"/>
                  <w:color w:val="0000FF"/>
                  <w:sz w:val="20"/>
                  <w:u w:val="single"/>
                </w:rPr>
                <w:t>14</w:t>
              </w:r>
            </w:hyperlink>
          </w:p>
        </w:tc>
      </w:tr>
      <w:tr>
        <w:trPr/>
        <w:tc>
          <w:tcPr>
            <w:tcW w:w="9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7671"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Summary of Redevelopment and Expansion Opportunities</w:t>
            </w:r>
          </w:p>
        </w:tc>
        <w:tc>
          <w:tcPr>
            <w:tcW w:w="10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c3f45c93d4bc43638f13ef7595b5c7a3_34">
              <w:r>
                <w:rPr>
                  <w:rStyle w:val="InternetLink"/>
                  <w:rFonts w:ascii="Times New Roman;sans-serif" w:hAnsi="Times New Roman;sans-serif"/>
                  <w:b w:val="false"/>
                  <w:color w:val="0000FF"/>
                  <w:sz w:val="20"/>
                  <w:u w:val="single"/>
                </w:rPr>
                <w:t>15</w:t>
              </w:r>
            </w:hyperlink>
          </w:p>
        </w:tc>
      </w:tr>
      <w:tr>
        <w:trPr/>
        <w:tc>
          <w:tcPr>
            <w:tcW w:w="9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4" w:type="dxa"/>
            <w:gridSpan w:val="3"/>
            <w:tcBorders/>
            <w:vAlign w:val="center"/>
          </w:tcPr>
          <w:p>
            <w:pPr>
              <w:pStyle w:val="TableContents"/>
              <w:bidi w:val="0"/>
              <w:spacing w:before="0" w:after="283"/>
              <w:jc w:val="left"/>
              <w:rPr>
                <w:sz w:val="4"/>
                <w:szCs w:val="4"/>
              </w:rPr>
            </w:pPr>
            <w:r>
              <w:rPr>
                <w:sz w:val="4"/>
                <w:szCs w:val="4"/>
              </w:rPr>
            </w:r>
          </w:p>
        </w:tc>
        <w:tc>
          <w:tcPr>
            <w:tcW w:w="1731" w:type="dxa"/>
            <w:gridSpan w:val="3"/>
            <w:tcBorders/>
            <w:vAlign w:val="center"/>
          </w:tcPr>
          <w:p>
            <w:pPr>
              <w:pStyle w:val="TableContents"/>
              <w:bidi w:val="0"/>
              <w:spacing w:before="0" w:after="283"/>
              <w:jc w:val="left"/>
              <w:rPr>
                <w:sz w:val="4"/>
                <w:szCs w:val="4"/>
              </w:rPr>
            </w:pPr>
            <w:r>
              <w:rPr>
                <w:sz w:val="4"/>
                <w:szCs w:val="4"/>
              </w:rPr>
            </w:r>
          </w:p>
        </w:tc>
        <w:tc>
          <w:tcPr>
            <w:tcW w:w="5940"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tcPr>
          <w:p>
            <w:pPr>
              <w:pStyle w:val="TableContents"/>
              <w:bidi w:val="0"/>
              <w:spacing w:before="0" w:after="283"/>
              <w:jc w:val="left"/>
              <w:rPr>
                <w:sz w:val="4"/>
                <w:szCs w:val="4"/>
              </w:rPr>
            </w:pPr>
            <w:r>
              <w:rPr>
                <w:sz w:val="4"/>
                <w:szCs w:val="4"/>
              </w:rPr>
            </w:r>
          </w:p>
        </w:tc>
      </w:tr>
      <w:tr>
        <w:trPr/>
        <w:tc>
          <w:tcPr>
            <w:tcW w:w="994" w:type="dxa"/>
            <w:gridSpan w:val="3"/>
            <w:tcBorders/>
            <w:vAlign w:val="center"/>
          </w:tcPr>
          <w:p>
            <w:pPr>
              <w:pStyle w:val="TableContents"/>
              <w:bidi w:val="0"/>
              <w:spacing w:before="0" w:after="283"/>
              <w:jc w:val="left"/>
              <w:rPr>
                <w:sz w:val="4"/>
                <w:szCs w:val="4"/>
              </w:rPr>
            </w:pPr>
            <w:r>
              <w:rPr>
                <w:sz w:val="4"/>
                <w:szCs w:val="4"/>
              </w:rPr>
            </w:r>
          </w:p>
        </w:tc>
        <w:tc>
          <w:tcPr>
            <w:tcW w:w="1731" w:type="dxa"/>
            <w:gridSpan w:val="3"/>
            <w:tcBorders/>
            <w:vAlign w:val="center"/>
          </w:tcPr>
          <w:p>
            <w:pPr>
              <w:pStyle w:val="TableContents"/>
              <w:bidi w:val="0"/>
              <w:spacing w:before="0" w:after="283"/>
              <w:jc w:val="left"/>
              <w:rPr>
                <w:sz w:val="4"/>
                <w:szCs w:val="4"/>
              </w:rPr>
            </w:pPr>
            <w:r>
              <w:rPr>
                <w:sz w:val="4"/>
                <w:szCs w:val="4"/>
              </w:rPr>
            </w:r>
          </w:p>
        </w:tc>
        <w:tc>
          <w:tcPr>
            <w:tcW w:w="5940"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tcPr>
          <w:p>
            <w:pPr>
              <w:pStyle w:val="TableContents"/>
              <w:bidi w:val="0"/>
              <w:spacing w:before="0" w:after="283"/>
              <w:jc w:val="left"/>
              <w:rPr>
                <w:sz w:val="4"/>
                <w:szCs w:val="4"/>
              </w:rPr>
            </w:pPr>
            <w:r>
              <w:rPr>
                <w:sz w:val="4"/>
                <w:szCs w:val="4"/>
              </w:rPr>
            </w:r>
          </w:p>
        </w:tc>
      </w:tr>
      <w:tr>
        <w:trPr/>
        <w:tc>
          <w:tcPr>
            <w:tcW w:w="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7671"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Future Redevelopment and Expansion Opportunities</w:t>
            </w:r>
          </w:p>
        </w:tc>
        <w:tc>
          <w:tcPr>
            <w:tcW w:w="10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c3f45c93d4bc43638f13ef7595b5c7a3_37">
              <w:r>
                <w:rPr>
                  <w:rStyle w:val="InternetLink"/>
                  <w:rFonts w:ascii="Times New Roman;sans-serif" w:hAnsi="Times New Roman;sans-serif"/>
                  <w:b w:val="false"/>
                  <w:color w:val="0000FF"/>
                  <w:sz w:val="20"/>
                  <w:u w:val="single"/>
                </w:rPr>
                <w:t>16</w:t>
              </w:r>
            </w:hyperlink>
          </w:p>
        </w:tc>
      </w:tr>
      <w:tr>
        <w:trPr/>
        <w:tc>
          <w:tcPr>
            <w:tcW w:w="9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7671"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 Transactions</w:t>
            </w:r>
          </w:p>
        </w:tc>
        <w:tc>
          <w:tcPr>
            <w:tcW w:w="10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c3f45c93d4bc43638f13ef7595b5c7a3_40">
              <w:r>
                <w:rPr>
                  <w:rStyle w:val="InternetLink"/>
                  <w:rFonts w:ascii="Times New Roman;sans-serif" w:hAnsi="Times New Roman;sans-serif"/>
                  <w:b w:val="false"/>
                  <w:color w:val="0000FF"/>
                  <w:sz w:val="20"/>
                  <w:u w:val="single"/>
                </w:rPr>
                <w:t>17</w:t>
              </w:r>
            </w:hyperlink>
          </w:p>
        </w:tc>
      </w:tr>
      <w:tr>
        <w:trPr/>
        <w:tc>
          <w:tcPr>
            <w:tcW w:w="9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7671"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 Status Report</w:t>
            </w:r>
          </w:p>
        </w:tc>
        <w:tc>
          <w:tcPr>
            <w:tcW w:w="10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c3f45c93d4bc43638f13ef7595b5c7a3_43">
              <w:r>
                <w:rPr>
                  <w:rStyle w:val="InternetLink"/>
                  <w:rFonts w:ascii="Times New Roman;sans-serif" w:hAnsi="Times New Roman;sans-serif"/>
                  <w:b w:val="false"/>
                  <w:color w:val="0000FF"/>
                  <w:sz w:val="20"/>
                  <w:u w:val="single"/>
                </w:rPr>
                <w:t>18</w:t>
              </w:r>
            </w:hyperlink>
          </w:p>
        </w:tc>
      </w:tr>
      <w:tr>
        <w:trPr/>
        <w:tc>
          <w:tcPr>
            <w:tcW w:w="9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7671"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Retail Leasing Summary</w:t>
            </w:r>
          </w:p>
        </w:tc>
        <w:tc>
          <w:tcPr>
            <w:tcW w:w="10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c3f45c93d4bc43638f13ef7595b5c7a3_46">
              <w:r>
                <w:rPr>
                  <w:rStyle w:val="InternetLink"/>
                  <w:rFonts w:ascii="Times New Roman;sans-serif" w:hAnsi="Times New Roman;sans-serif"/>
                  <w:b w:val="false"/>
                  <w:color w:val="0000FF"/>
                  <w:sz w:val="20"/>
                  <w:u w:val="single"/>
                </w:rPr>
                <w:t>23</w:t>
              </w:r>
            </w:hyperlink>
          </w:p>
        </w:tc>
      </w:tr>
      <w:tr>
        <w:trPr/>
        <w:tc>
          <w:tcPr>
            <w:tcW w:w="9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7671"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Expirations</w:t>
            </w:r>
          </w:p>
        </w:tc>
        <w:tc>
          <w:tcPr>
            <w:tcW w:w="10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c3f45c93d4bc43638f13ef7595b5c7a3_49">
              <w:r>
                <w:rPr>
                  <w:rStyle w:val="InternetLink"/>
                  <w:rFonts w:ascii="Times New Roman;sans-serif" w:hAnsi="Times New Roman;sans-serif"/>
                  <w:b w:val="false"/>
                  <w:color w:val="0000FF"/>
                  <w:sz w:val="20"/>
                  <w:u w:val="single"/>
                </w:rPr>
                <w:t>24</w:t>
              </w:r>
            </w:hyperlink>
          </w:p>
        </w:tc>
      </w:tr>
      <w:tr>
        <w:trPr/>
        <w:tc>
          <w:tcPr>
            <w:tcW w:w="9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7671"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Portfolio Leased Statistics</w:t>
            </w:r>
          </w:p>
        </w:tc>
        <w:tc>
          <w:tcPr>
            <w:tcW w:w="10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c3f45c93d4bc43638f13ef7595b5c7a3_52">
              <w:r>
                <w:rPr>
                  <w:rStyle w:val="InternetLink"/>
                  <w:rFonts w:ascii="Times New Roman;sans-serif" w:hAnsi="Times New Roman;sans-serif"/>
                  <w:b w:val="false"/>
                  <w:color w:val="0000FF"/>
                  <w:sz w:val="20"/>
                  <w:u w:val="single"/>
                </w:rPr>
                <w:t>25</w:t>
              </w:r>
            </w:hyperlink>
          </w:p>
        </w:tc>
      </w:tr>
      <w:tr>
        <w:trPr/>
        <w:tc>
          <w:tcPr>
            <w:tcW w:w="9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7671"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Summary of Top 25 Tenants</w:t>
            </w:r>
          </w:p>
        </w:tc>
        <w:tc>
          <w:tcPr>
            <w:tcW w:w="10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c3f45c93d4bc43638f13ef7595b5c7a3_55">
              <w:r>
                <w:rPr>
                  <w:rStyle w:val="InternetLink"/>
                  <w:rFonts w:ascii="Times New Roman;sans-serif" w:hAnsi="Times New Roman;sans-serif"/>
                  <w:b w:val="false"/>
                  <w:color w:val="0000FF"/>
                  <w:sz w:val="20"/>
                  <w:u w:val="single"/>
                </w:rPr>
                <w:t>26</w:t>
              </w:r>
            </w:hyperlink>
          </w:p>
        </w:tc>
      </w:tr>
      <w:tr>
        <w:trPr/>
        <w:tc>
          <w:tcPr>
            <w:tcW w:w="9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4" w:type="dxa"/>
            <w:gridSpan w:val="3"/>
            <w:tcBorders/>
            <w:vAlign w:val="center"/>
          </w:tcPr>
          <w:p>
            <w:pPr>
              <w:pStyle w:val="TableContents"/>
              <w:bidi w:val="0"/>
              <w:spacing w:before="0" w:after="283"/>
              <w:jc w:val="left"/>
              <w:rPr>
                <w:sz w:val="4"/>
                <w:szCs w:val="4"/>
              </w:rPr>
            </w:pPr>
            <w:r>
              <w:rPr>
                <w:sz w:val="4"/>
                <w:szCs w:val="4"/>
              </w:rPr>
            </w:r>
          </w:p>
        </w:tc>
        <w:tc>
          <w:tcPr>
            <w:tcW w:w="1731" w:type="dxa"/>
            <w:gridSpan w:val="3"/>
            <w:tcBorders/>
            <w:vAlign w:val="center"/>
          </w:tcPr>
          <w:p>
            <w:pPr>
              <w:pStyle w:val="TableContents"/>
              <w:bidi w:val="0"/>
              <w:spacing w:before="0" w:after="283"/>
              <w:jc w:val="left"/>
              <w:rPr>
                <w:sz w:val="4"/>
                <w:szCs w:val="4"/>
              </w:rPr>
            </w:pPr>
            <w:r>
              <w:rPr>
                <w:sz w:val="4"/>
                <w:szCs w:val="4"/>
              </w:rPr>
            </w:r>
          </w:p>
        </w:tc>
        <w:tc>
          <w:tcPr>
            <w:tcW w:w="5940"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tcPr>
          <w:p>
            <w:pPr>
              <w:pStyle w:val="TableContents"/>
              <w:bidi w:val="0"/>
              <w:spacing w:before="0" w:after="283"/>
              <w:jc w:val="left"/>
              <w:rPr>
                <w:sz w:val="4"/>
                <w:szCs w:val="4"/>
              </w:rPr>
            </w:pPr>
            <w:r>
              <w:rPr>
                <w:sz w:val="4"/>
                <w:szCs w:val="4"/>
              </w:rPr>
            </w:r>
          </w:p>
        </w:tc>
      </w:tr>
      <w:tr>
        <w:trPr/>
        <w:tc>
          <w:tcPr>
            <w:tcW w:w="994" w:type="dxa"/>
            <w:gridSpan w:val="3"/>
            <w:tcBorders/>
            <w:vAlign w:val="center"/>
          </w:tcPr>
          <w:p>
            <w:pPr>
              <w:pStyle w:val="TableContents"/>
              <w:bidi w:val="0"/>
              <w:spacing w:before="0" w:after="283"/>
              <w:jc w:val="left"/>
              <w:rPr>
                <w:sz w:val="4"/>
                <w:szCs w:val="4"/>
              </w:rPr>
            </w:pPr>
            <w:r>
              <w:rPr>
                <w:sz w:val="4"/>
                <w:szCs w:val="4"/>
              </w:rPr>
            </w:r>
          </w:p>
        </w:tc>
        <w:tc>
          <w:tcPr>
            <w:tcW w:w="1731" w:type="dxa"/>
            <w:gridSpan w:val="3"/>
            <w:tcBorders/>
            <w:vAlign w:val="center"/>
          </w:tcPr>
          <w:p>
            <w:pPr>
              <w:pStyle w:val="TableContents"/>
              <w:bidi w:val="0"/>
              <w:spacing w:before="0" w:after="283"/>
              <w:jc w:val="left"/>
              <w:rPr>
                <w:sz w:val="4"/>
                <w:szCs w:val="4"/>
              </w:rPr>
            </w:pPr>
            <w:r>
              <w:rPr>
                <w:sz w:val="4"/>
                <w:szCs w:val="4"/>
              </w:rPr>
            </w:r>
          </w:p>
        </w:tc>
        <w:tc>
          <w:tcPr>
            <w:tcW w:w="5940" w:type="dxa"/>
            <w:gridSpan w:val="3"/>
            <w:tcBorders/>
            <w:vAlign w:val="center"/>
          </w:tcPr>
          <w:p>
            <w:pPr>
              <w:pStyle w:val="TableContents"/>
              <w:bidi w:val="0"/>
              <w:spacing w:before="0" w:after="283"/>
              <w:jc w:val="left"/>
              <w:rPr>
                <w:sz w:val="4"/>
                <w:szCs w:val="4"/>
              </w:rPr>
            </w:pPr>
            <w:r>
              <w:rPr>
                <w:sz w:val="4"/>
                <w:szCs w:val="4"/>
              </w:rPr>
            </w:r>
          </w:p>
        </w:tc>
        <w:tc>
          <w:tcPr>
            <w:tcW w:w="1089" w:type="dxa"/>
            <w:gridSpan w:val="3"/>
            <w:tcBorders/>
            <w:vAlign w:val="center"/>
          </w:tcPr>
          <w:p>
            <w:pPr>
              <w:pStyle w:val="TableContents"/>
              <w:bidi w:val="0"/>
              <w:spacing w:before="0" w:after="283"/>
              <w:jc w:val="left"/>
              <w:rPr>
                <w:sz w:val="4"/>
                <w:szCs w:val="4"/>
              </w:rPr>
            </w:pPr>
            <w:r>
              <w:rPr>
                <w:sz w:val="4"/>
                <w:szCs w:val="4"/>
              </w:rPr>
            </w:r>
          </w:p>
        </w:tc>
      </w:tr>
      <w:tr>
        <w:trPr/>
        <w:tc>
          <w:tcPr>
            <w:tcW w:w="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7671"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Reconciliation of FFO Guidance</w:t>
            </w:r>
          </w:p>
        </w:tc>
        <w:tc>
          <w:tcPr>
            <w:tcW w:w="10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c3f45c93d4bc43638f13ef7595b5c7a3_58">
              <w:r>
                <w:rPr>
                  <w:rStyle w:val="InternetLink"/>
                  <w:rFonts w:ascii="Times New Roman;sans-serif" w:hAnsi="Times New Roman;sans-serif"/>
                  <w:b w:val="false"/>
                  <w:color w:val="0000FF"/>
                  <w:sz w:val="20"/>
                  <w:u w:val="single"/>
                </w:rPr>
                <w:t>27</w:t>
              </w:r>
            </w:hyperlink>
          </w:p>
        </w:tc>
      </w:tr>
      <w:tr>
        <w:trPr/>
        <w:tc>
          <w:tcPr>
            <w:tcW w:w="9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7671"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Glossary of Terms</w:t>
            </w:r>
          </w:p>
        </w:tc>
        <w:tc>
          <w:tcPr>
            <w:tcW w:w="10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c3f45c93d4bc43638f13ef7595b5c7a3_61">
              <w:r>
                <w:rPr>
                  <w:rStyle w:val="InternetLink"/>
                  <w:rFonts w:ascii="Times New Roman;sans-serif" w:hAnsi="Times New Roman;sans-serif"/>
                  <w:b w:val="false"/>
                  <w:color w:val="0000FF"/>
                  <w:sz w:val="20"/>
                  <w:u w:val="single"/>
                </w:rPr>
                <w:t>28</w:t>
              </w:r>
            </w:hyperlink>
          </w:p>
        </w:tc>
      </w:tr>
      <w:tr>
        <w:trPr/>
        <w:tc>
          <w:tcPr>
            <w:tcW w:w="9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54"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909 Rose Avenue, Suite 200</w:t>
            </w:r>
          </w:p>
        </w:tc>
      </w:tr>
      <w:tr>
        <w:trPr/>
        <w:tc>
          <w:tcPr>
            <w:tcW w:w="9754"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North Bethesda, Maryland 20852</w:t>
            </w:r>
          </w:p>
        </w:tc>
      </w:tr>
      <w:tr>
        <w:trPr/>
        <w:tc>
          <w:tcPr>
            <w:tcW w:w="9754"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301-998-8100</w:t>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00"/>
          <w:sz w:val="20"/>
          <w:u w:val="single"/>
        </w:rPr>
      </w:pPr>
      <w:r>
        <w:rPr>
          <w:rFonts w:ascii="Times New Roman;sans-serif" w:hAnsi="Times New Roman;sans-serif"/>
          <w:b/>
          <w:color w:val="000000"/>
          <w:sz w:val="20"/>
          <w:u w:val="single"/>
        </w:rPr>
        <w:t>Safe Harbor Language</w:t>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Certain matters discussed within this Supplemental Information may be deemed to be forward-looking statements within the meaning of the federal securities laws. Although Federal Realty believes the expectations reflected in the forward-looking statements are based on reasonable assumptions, it can give no assurance that its expectations will be attained. These factors include, but are not limited to, the risk factors described in our Annual Report on Form 10-K filed on February 12, 2024, and include the following:</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i/>
          <w:color w:val="000000"/>
          <w:sz w:val="20"/>
        </w:rPr>
        <w:t>risks that our tenants will not pay rent, may vacate early or may file for bankruptcy or that we may be unable to renew leases or re-let space at favorable rents as leases expire or to fill existing vacancy;</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i/>
          <w:color w:val="000000"/>
          <w:sz w:val="20"/>
        </w:rPr>
        <w:t>risks that we may not be able to proceed with or obtain necessary approvals for any development, redevelopment, or renovation project, and that completion of anticipated or ongoing property development, redevelopment, or renovation projects that we do pursue may cost more, take more time to complete or fail to perform as expected;</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i/>
          <w:color w:val="000000"/>
          <w:sz w:val="20"/>
        </w:rPr>
        <w:t>risks normally associated with the real estate industry, including risks that occupancy levels at our properties and the amount of rent that we receive from our properties may be lower than expected, that new acquisitions may fail to perform as expected, that competition for acquisitions could result in increased prices for acquisitions, that costs associated with the periodic maintenance and repair or renovation of space, insurance and other operations may increase, that environmental issues may develop at our properties and result in unanticipated costs, and, because real estate is illiquid, that we may not be able to sell properties when appropriate;</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i/>
          <w:color w:val="000000"/>
          <w:sz w:val="20"/>
        </w:rPr>
        <w:t>risks that our growth will be limited if we cannot obtain additional capital, or if the costs of capital we obtain are significantly higher than historical levels;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i/>
          <w:color w:val="000000"/>
          <w:sz w:val="20"/>
        </w:rPr>
        <w:t>risks associated with general economic conditions, including inflation and local economic conditions in our geographic markets;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i/>
          <w:color w:val="000000"/>
          <w:sz w:val="20"/>
        </w:rPr>
        <w:t>risks of financing on terms which are acceptable to us, our ability to meet existing financial covenants and the limitations imposed on our operations by those covenants, and the possibility of increases in interest rates that would result in increased interest expense;</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i/>
          <w:color w:val="000000"/>
          <w:sz w:val="20"/>
        </w:rPr>
        <w:t>risks related to our status as a real estate investment trust, commonly referred to as a REIT, for federal income tax purposes, such as the existence of complex tax regulations relating to our status as a REIT, the effect of future changes in REIT requirements as a result of new legislation, and the adverse consequences of the failure to qualify as a REIT; and</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i/>
          <w:color w:val="000000"/>
          <w:sz w:val="20"/>
        </w:rPr>
        <w:t>risks related to natural disasters, climate change and public health crises (such as the outbreak and worldwide spread of COVID-19), and the measures that international, federal, state and local governments, agencies, law enforcement and/or health authorities implement to address them, may precipitate or materially exacerbate one or more of the above-mentioned risks, and may significantly disrupt or prevent us from operating our business in the ordinary course for an extended period.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Given these uncertainties, readers are cautioned not to place undue reliance on any forward-looking statements that we make, including those in this Supplemental Information. Except as required by law, we make no promise to update any of the forward-looking statements as a result of new information, future events, or otherwise. You should review the risks contained in our Annual Report on Form 10-K, filed with the Securities and Exchange Commission on February 12,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before="0" w:after="0"/>
        <w:jc w:val="center"/>
        <w:rPr/>
      </w:pPr>
      <w:r>
        <w:rPr/>
        <w:drawing>
          <wp:inline distT="0" distB="0" distL="0" distR="0">
            <wp:extent cx="2724150" cy="1066800"/>
            <wp:effectExtent l="0" t="0" r="0" b="0"/>
            <wp:docPr id="6"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1" descr=""/>
                    <pic:cNvPicPr>
                      <a:picLocks noChangeAspect="1" noChangeArrowheads="1"/>
                    </pic:cNvPicPr>
                  </pic:nvPicPr>
                  <pic:blipFill>
                    <a:blip r:embed="rId2"/>
                    <a:stretch>
                      <a:fillRect/>
                    </a:stretch>
                  </pic:blipFill>
                  <pic:spPr bwMode="auto">
                    <a:xfrm>
                      <a:off x="0" y="0"/>
                      <a:ext cx="2724150" cy="1066800"/>
                    </a:xfrm>
                    <a:prstGeom prst="rect">
                      <a:avLst/>
                    </a:prstGeom>
                  </pic:spPr>
                </pic:pic>
              </a:graphicData>
            </a:graphic>
          </wp:inline>
        </w:drawing>
      </w:r>
    </w:p>
    <w:tbl>
      <w:tblPr>
        <w:tblW w:w="7003" w:type="dxa"/>
        <w:jc w:val="left"/>
        <w:tblInd w:w="0" w:type="dxa"/>
        <w:tblLayout w:type="fixed"/>
        <w:tblCellMar>
          <w:top w:w="28" w:type="dxa"/>
          <w:left w:w="28" w:type="dxa"/>
          <w:bottom w:w="28" w:type="dxa"/>
          <w:right w:w="28" w:type="dxa"/>
        </w:tblCellMar>
      </w:tblPr>
      <w:tblGrid>
        <w:gridCol w:w="1120"/>
        <w:gridCol w:w="981"/>
        <w:gridCol w:w="988"/>
        <w:gridCol w:w="1145"/>
        <w:gridCol w:w="1145"/>
        <w:gridCol w:w="1624"/>
      </w:tblGrid>
      <w:tr>
        <w:trPr/>
        <w:tc>
          <w:tcPr>
            <w:tcW w:w="1120"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1624" w:type="dxa"/>
            <w:tcBorders/>
            <w:vAlign w:val="center"/>
          </w:tcPr>
          <w:p>
            <w:pPr>
              <w:pStyle w:val="TableContents"/>
              <w:bidi w:val="0"/>
              <w:spacing w:before="0" w:after="283"/>
              <w:jc w:val="left"/>
              <w:rPr>
                <w:sz w:val="4"/>
                <w:szCs w:val="4"/>
              </w:rPr>
            </w:pPr>
            <w:r>
              <w:rPr>
                <w:sz w:val="4"/>
                <w:szCs w:val="4"/>
              </w:rPr>
            </w:r>
          </w:p>
        </w:tc>
      </w:tr>
      <w:tr>
        <w:trPr/>
        <w:tc>
          <w:tcPr>
            <w:tcW w:w="30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9"/>
              </w:rPr>
            </w:pPr>
            <w:r>
              <w:rPr>
                <w:rFonts w:ascii="Arial;sans-serif" w:hAnsi="Arial;sans-serif"/>
                <w:b/>
                <w:color w:val="000000"/>
                <w:sz w:val="19"/>
              </w:rPr>
              <w:t>NEWS RELEASE</w:t>
            </w:r>
          </w:p>
        </w:tc>
        <w:tc>
          <w:tcPr>
            <w:tcW w:w="391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9"/>
              </w:rPr>
            </w:pPr>
            <w:r>
              <w:rPr>
                <w:rFonts w:ascii="Arial;sans-serif" w:hAnsi="Arial;sans-serif"/>
                <w:b/>
                <w:color w:val="000000"/>
                <w:sz w:val="19"/>
              </w:rPr>
              <w:t>www.federalrealty.com</w:t>
            </w:r>
          </w:p>
        </w:tc>
      </w:tr>
      <w:tr>
        <w:trPr/>
        <w:tc>
          <w:tcPr>
            <w:tcW w:w="308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9"/>
              </w:rPr>
            </w:pPr>
            <w:r>
              <w:rPr>
                <w:rFonts w:ascii="Arial;sans-serif" w:hAnsi="Arial;sans-serif"/>
                <w:b/>
                <w:color w:val="000000"/>
                <w:sz w:val="19"/>
              </w:rPr>
              <w:t>FOR IMMEDIATE RELEASE</w:t>
            </w:r>
          </w:p>
        </w:tc>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Investor Inquiries:</w:t>
            </w:r>
          </w:p>
        </w:tc>
        <w:tc>
          <w:tcPr>
            <w:tcW w:w="391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Media Inquiries:</w:t>
            </w:r>
          </w:p>
        </w:tc>
      </w:tr>
      <w:tr>
        <w:trPr/>
        <w:tc>
          <w:tcPr>
            <w:tcW w:w="30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Leah Andress Brady</w:t>
            </w:r>
          </w:p>
        </w:tc>
        <w:tc>
          <w:tcPr>
            <w:tcW w:w="391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Brenda Pomar</w:t>
            </w:r>
          </w:p>
        </w:tc>
      </w:tr>
      <w:tr>
        <w:trPr/>
        <w:tc>
          <w:tcPr>
            <w:tcW w:w="30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Vice President, Investor Relations</w:t>
            </w:r>
          </w:p>
        </w:tc>
        <w:tc>
          <w:tcPr>
            <w:tcW w:w="391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Senior Director, Corporate Communications</w:t>
            </w:r>
          </w:p>
        </w:tc>
      </w:tr>
      <w:tr>
        <w:trPr/>
        <w:tc>
          <w:tcPr>
            <w:tcW w:w="30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301.998.8265</w:t>
            </w:r>
          </w:p>
        </w:tc>
        <w:tc>
          <w:tcPr>
            <w:tcW w:w="391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301.998.8316</w:t>
            </w:r>
          </w:p>
        </w:tc>
      </w:tr>
      <w:tr>
        <w:trPr/>
        <w:tc>
          <w:tcPr>
            <w:tcW w:w="30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lbrady@federalrealty.com</w:t>
            </w:r>
          </w:p>
        </w:tc>
        <w:tc>
          <w:tcPr>
            <w:tcW w:w="391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bpomar@federalrealty.com</w:t>
            </w:r>
          </w:p>
        </w:tc>
      </w:tr>
    </w:tbl>
    <w:p>
      <w:pPr>
        <w:pStyle w:val="TextBody"/>
        <w:bidi w:val="0"/>
        <w:spacing w:before="0" w:after="0"/>
        <w:jc w:val="center"/>
        <w:rPr/>
      </w:pPr>
      <w:r>
        <w:rPr/>
      </w:r>
    </w:p>
    <w:p>
      <w:pPr>
        <w:pStyle w:val="TextBody"/>
        <w:bidi w:val="0"/>
        <w:spacing w:lineRule="auto" w:line="417" w:before="0" w:after="160"/>
        <w:jc w:val="center"/>
        <w:rPr>
          <w:rFonts w:ascii="Arial;sans-serif" w:hAnsi="Arial;sans-serif"/>
          <w:b/>
          <w:color w:val="000000"/>
          <w:sz w:val="20"/>
        </w:rPr>
      </w:pPr>
      <w:r>
        <w:rPr>
          <w:rFonts w:ascii="Arial;sans-serif" w:hAnsi="Arial;sans-serif"/>
          <w:b/>
          <w:color w:val="000000"/>
          <w:sz w:val="20"/>
        </w:rPr>
        <w:t>Federal Realty Investment Trust Announces First Quarter 2024 Operating Results</w:t>
      </w:r>
    </w:p>
    <w:p>
      <w:pPr>
        <w:pStyle w:val="TextBody"/>
        <w:bidi w:val="0"/>
        <w:spacing w:lineRule="auto" w:line="417" w:before="0" w:after="160"/>
        <w:jc w:val="left"/>
        <w:rPr/>
      </w:pPr>
      <w:r>
        <w:rPr>
          <w:rFonts w:ascii="Arial;sans-serif" w:hAnsi="Arial;sans-serif"/>
          <w:b w:val="false"/>
          <w:color w:val="000000"/>
          <w:sz w:val="20"/>
        </w:rPr>
        <w:t xml:space="preserve">NORTH BETHESDA, Md. (May 2, 2024) - </w:t>
      </w:r>
      <w:r>
        <w:rPr>
          <w:rFonts w:ascii="Arial;sans-serif" w:hAnsi="Arial;sans-serif"/>
          <w:b w:val="false"/>
          <w:color w:val="000000"/>
          <w:sz w:val="20"/>
          <w:u w:val="single"/>
        </w:rPr>
        <w:t>Federal Realty Investment Trust</w:t>
      </w:r>
      <w:r>
        <w:rPr>
          <w:color w:val="000000"/>
        </w:rPr>
        <w:t xml:space="preserve"> </w:t>
      </w:r>
      <w:r>
        <w:rPr>
          <w:rFonts w:ascii="Arial;sans-serif" w:hAnsi="Arial;sans-serif"/>
          <w:b w:val="false"/>
          <w:color w:val="000000"/>
          <w:sz w:val="20"/>
        </w:rPr>
        <w:t>(NYSE:FRT) today reported operating results for its first quarter ended March 31, 2024. For the three months ended March 31, 2024 and 2023, net income available for common shareholders was $0.66 per diluted share and $0.65 per diluted share, respectively. For the three months ended March 31, 2024 and 2023, operating income was $100.2 million and $95.8 million, respectively.</w:t>
      </w:r>
    </w:p>
    <w:p>
      <w:pPr>
        <w:pStyle w:val="TextBody"/>
        <w:bidi w:val="0"/>
        <w:spacing w:lineRule="auto" w:line="417" w:before="0" w:after="160"/>
        <w:jc w:val="left"/>
        <w:rPr>
          <w:rFonts w:ascii="Arial;sans-serif" w:hAnsi="Arial;sans-serif"/>
          <w:b w:val="false"/>
          <w:color w:val="000000"/>
          <w:sz w:val="20"/>
        </w:rPr>
      </w:pPr>
      <w:r>
        <w:rPr>
          <w:rFonts w:ascii="Arial;sans-serif" w:hAnsi="Arial;sans-serif"/>
          <w:b w:val="false"/>
          <w:color w:val="000000"/>
          <w:sz w:val="20"/>
        </w:rPr>
        <w:t>Highlights for the first quarter include:</w:t>
      </w:r>
    </w:p>
    <w:p>
      <w:pPr>
        <w:pStyle w:val="TextBody"/>
        <w:bidi w:val="0"/>
        <w:spacing w:lineRule="auto" w:line="417" w:before="0" w:after="0"/>
        <w:ind w:left="0" w:right="0" w:hanging="360"/>
        <w:jc w:val="both"/>
        <w:rPr/>
      </w:pPr>
      <w:r>
        <w:rPr>
          <w:color w:val="000000"/>
        </w:rPr>
        <w:t>•</w:t>
      </w:r>
      <w:r>
        <w:rPr>
          <w:rFonts w:ascii="Arial;sans-serif" w:hAnsi="Arial;sans-serif"/>
          <w:b w:val="false"/>
          <w:color w:val="000000"/>
          <w:sz w:val="20"/>
        </w:rPr>
        <w:t xml:space="preserve">Generated funds from operations available to common shareholders (FFO) per diluted share of $1.64 for the quarter, compared to $1.59 for the first quarter 2023, an increase of 3.1% year-over-year. </w:t>
      </w:r>
    </w:p>
    <w:p>
      <w:pPr>
        <w:pStyle w:val="TextBody"/>
        <w:bidi w:val="0"/>
        <w:spacing w:lineRule="auto" w:line="417" w:before="0" w:after="0"/>
        <w:ind w:left="0" w:right="0" w:hanging="360"/>
        <w:jc w:val="both"/>
        <w:rPr/>
      </w:pPr>
      <w:r>
        <w:rPr>
          <w:color w:val="000000"/>
        </w:rPr>
        <w:t>•</w:t>
      </w:r>
      <w:r>
        <w:rPr>
          <w:rFonts w:ascii="Arial;sans-serif" w:hAnsi="Arial;sans-serif"/>
          <w:b w:val="false"/>
          <w:color w:val="000000"/>
          <w:sz w:val="20"/>
        </w:rPr>
        <w:t xml:space="preserve">Generated comparable property operating income (POI) growth of 3.8% for the first quarter excluding lease termination fees and prior period rents collected. </w:t>
      </w:r>
    </w:p>
    <w:p>
      <w:pPr>
        <w:pStyle w:val="TextBody"/>
        <w:bidi w:val="0"/>
        <w:spacing w:lineRule="auto" w:line="417" w:before="0" w:after="0"/>
        <w:ind w:left="0" w:right="0" w:hanging="360"/>
        <w:jc w:val="both"/>
        <w:rPr/>
      </w:pPr>
      <w:r>
        <w:rPr>
          <w:color w:val="000000"/>
        </w:rPr>
        <w:t>•</w:t>
      </w:r>
      <w:r>
        <w:rPr>
          <w:rFonts w:ascii="Arial;sans-serif" w:hAnsi="Arial;sans-serif"/>
          <w:b w:val="false"/>
          <w:color w:val="000000"/>
          <w:sz w:val="20"/>
        </w:rPr>
        <w:t>Record levels of leasing with 104 signed leases for 566,865 square feet of comparable retail space in the first quarter, the highest first quarter volume on record, at a cash basis rollover growth of 9% and 20% on a straight line basis.</w:t>
      </w:r>
    </w:p>
    <w:p>
      <w:pPr>
        <w:pStyle w:val="TextBody"/>
        <w:bidi w:val="0"/>
        <w:spacing w:lineRule="auto" w:line="417" w:before="0" w:after="0"/>
        <w:ind w:left="0" w:right="0" w:hanging="360"/>
        <w:jc w:val="both"/>
        <w:rPr/>
      </w:pPr>
      <w:r>
        <w:rPr>
          <w:color w:val="000000"/>
        </w:rPr>
        <w:t>•</w:t>
      </w:r>
      <w:r>
        <w:rPr>
          <w:rFonts w:ascii="Arial;sans-serif" w:hAnsi="Arial;sans-serif"/>
          <w:b w:val="false"/>
          <w:color w:val="000000"/>
          <w:sz w:val="20"/>
        </w:rPr>
        <w:t>Federal Realty’s portfolio was 92.0% occupied and 94.3% leased at quarter end.</w:t>
      </w:r>
    </w:p>
    <w:p>
      <w:pPr>
        <w:pStyle w:val="TextBody"/>
        <w:bidi w:val="0"/>
        <w:spacing w:lineRule="auto" w:line="417" w:before="0" w:after="0"/>
        <w:ind w:left="0" w:right="0" w:hanging="360"/>
        <w:jc w:val="both"/>
        <w:rPr/>
      </w:pPr>
      <w:r>
        <w:rPr>
          <w:color w:val="000000"/>
        </w:rPr>
        <w:t>•</w:t>
      </w:r>
      <w:r>
        <w:rPr>
          <w:rFonts w:ascii="Arial;sans-serif" w:hAnsi="Arial;sans-serif"/>
          <w:b w:val="false"/>
          <w:color w:val="000000"/>
          <w:sz w:val="20"/>
        </w:rPr>
        <w:t>Continued strong small shop leasing, ending the quarter at 91.4% leased, the highest level since 2015, and an increase of 70 basis points quarter-over-quarter and 140 basis points year-over-year.</w:t>
      </w:r>
    </w:p>
    <w:p>
      <w:pPr>
        <w:pStyle w:val="TextBody"/>
        <w:bidi w:val="0"/>
        <w:spacing w:lineRule="auto" w:line="417" w:before="0" w:after="160"/>
        <w:ind w:left="0" w:right="0" w:hanging="360"/>
        <w:jc w:val="left"/>
        <w:rPr/>
      </w:pPr>
      <w:r>
        <w:rPr>
          <w:color w:val="000000"/>
        </w:rPr>
        <w:t>•</w:t>
      </w:r>
      <w:r>
        <w:rPr>
          <w:rFonts w:ascii="Arial;sans-serif" w:hAnsi="Arial;sans-serif"/>
          <w:b w:val="false"/>
          <w:color w:val="000000"/>
          <w:sz w:val="20"/>
        </w:rPr>
        <w:t>Tightened and raised 2024 earnings per diluted share guidance to $2.74 - $2.94, 2024 FFO per diluted share guidance to $6.67 - $6.87 and 2024 comparable properties growth excluding lease termination fees and prior period rents collected assumption to 2.75% - 4%.</w:t>
      </w:r>
    </w:p>
    <w:p>
      <w:pPr>
        <w:pStyle w:val="TextBody"/>
        <w:bidi w:val="0"/>
        <w:spacing w:lineRule="auto" w:line="417" w:before="0" w:after="160"/>
        <w:jc w:val="left"/>
        <w:rPr>
          <w:color w:val="000000"/>
        </w:rPr>
      </w:pPr>
      <w:r>
        <w:rPr>
          <w:color w:val="000000"/>
        </w:rPr>
        <w:t>“</w:t>
      </w:r>
      <w:r>
        <w:rPr>
          <w:rFonts w:ascii="Arial;sans-serif" w:hAnsi="Arial;sans-serif"/>
          <w:b w:val="false"/>
          <w:color w:val="000000"/>
          <w:sz w:val="20"/>
        </w:rPr>
        <w:t>Federal Realty's strong start to 2024 is highlighted by our highest first-quarter leasing volume on record, surpassing 566,000 square feet of comparable retail space signed,” said Donald C. Wood, Federal Realty’s Chief Executive Officer. “In addition, we successfully executed leases for approximately 190,000 square feet of office space during the quarter, at our premier mixed-use destinations. This robust demand underscores that our best-in-class shopping center and mixed-use offerings are the preferred choice for modern consumers, retailers, office employees, and corporate decision-makers when considering the future of their successful businesses.”</w:t>
      </w:r>
    </w:p>
    <w:p>
      <w:pPr>
        <w:pStyle w:val="TextBody"/>
        <w:bidi w:val="0"/>
        <w:spacing w:before="0" w:after="0"/>
        <w:jc w:val="right"/>
        <w:rPr/>
      </w:pPr>
      <w:r>
        <w:rPr/>
        <w:drawing>
          <wp:inline distT="0" distB="0" distL="0" distR="0">
            <wp:extent cx="895350" cy="352425"/>
            <wp:effectExtent l="0" t="0" r="0" b="0"/>
            <wp:docPr id="7"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2" descr=""/>
                    <pic:cNvPicPr>
                      <a:picLocks noChangeAspect="1" noChangeArrowheads="1"/>
                    </pic:cNvPicPr>
                  </pic:nvPicPr>
                  <pic:blipFill>
                    <a:blip r:embed="rId3"/>
                    <a:stretch>
                      <a:fillRect/>
                    </a:stretch>
                  </pic:blipFill>
                  <pic:spPr bwMode="auto">
                    <a:xfrm>
                      <a:off x="0" y="0"/>
                      <a:ext cx="895350" cy="352425"/>
                    </a:xfrm>
                    <a:prstGeom prst="rect">
                      <a:avLst/>
                    </a:prstGeom>
                  </pic:spPr>
                </pic:pic>
              </a:graphicData>
            </a:graphic>
          </wp:inline>
        </w:drawing>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351155"/>
                <wp:effectExtent l="0" t="0" r="0" b="0"/>
                <wp:wrapNone/>
                <wp:docPr id="8" name="Frame6"/>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411.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p>
                      <w:pPr>
                        <w:pStyle w:val="TextBody"/>
                        <w:bidi w:val="0"/>
                        <w:spacing w:before="0" w:after="0"/>
                        <w:jc w:val="center"/>
                        <w:rPr/>
                      </w:pPr>
                      <w:r>
                        <w:rPr/>
                      </w:r>
                    </w:p>
                  </w:txbxContent>
                </v:textbox>
                <w10:wrap type="none"/>
              </v:rect>
            </w:pict>
          </mc:Fallback>
        </mc:AlternateContent>
      </w:r>
    </w:p>
    <w:p>
      <w:pPr>
        <w:pStyle w:val="TextBody"/>
        <w:bidi w:val="0"/>
        <w:spacing w:lineRule="auto" w:line="417" w:before="0" w:after="160"/>
        <w:jc w:val="both"/>
        <w:rPr>
          <w:rFonts w:ascii="Arial;sans-serif" w:hAnsi="Arial;sans-serif"/>
          <w:b/>
          <w:color w:val="000000"/>
          <w:sz w:val="20"/>
        </w:rPr>
      </w:pPr>
      <w:r>
        <w:rPr>
          <w:rFonts w:ascii="Arial;sans-serif" w:hAnsi="Arial;sans-serif"/>
          <w:b/>
          <w:color w:val="000000"/>
          <w:sz w:val="20"/>
        </w:rPr>
        <w:t>Financial Results</w:t>
      </w:r>
    </w:p>
    <w:p>
      <w:pPr>
        <w:pStyle w:val="TextBody"/>
        <w:bidi w:val="0"/>
        <w:spacing w:lineRule="auto" w:line="417" w:before="0" w:after="160"/>
        <w:jc w:val="left"/>
        <w:rPr/>
      </w:pPr>
      <w:r>
        <w:rPr>
          <w:rFonts w:ascii="Arial;sans-serif" w:hAnsi="Arial;sans-serif"/>
          <w:b w:val="false"/>
          <w:i/>
          <w:color w:val="000000"/>
          <w:sz w:val="20"/>
        </w:rPr>
        <w:t>Net Incom</w:t>
      </w:r>
      <w:r>
        <w:rPr>
          <w:rFonts w:ascii="Arial;sans-serif" w:hAnsi="Arial;sans-serif"/>
          <w:b w:val="false"/>
          <w:color w:val="000000"/>
          <w:sz w:val="20"/>
        </w:rPr>
        <w:t>e</w:t>
      </w:r>
    </w:p>
    <w:p>
      <w:pPr>
        <w:pStyle w:val="TextBody"/>
        <w:bidi w:val="0"/>
        <w:spacing w:lineRule="auto" w:line="417" w:before="0" w:after="160"/>
        <w:jc w:val="both"/>
        <w:rPr>
          <w:rFonts w:ascii="Arial;sans-serif" w:hAnsi="Arial;sans-serif"/>
          <w:b w:val="false"/>
          <w:color w:val="000000"/>
          <w:sz w:val="20"/>
        </w:rPr>
      </w:pPr>
      <w:r>
        <w:rPr>
          <w:rFonts w:ascii="Arial;sans-serif" w:hAnsi="Arial;sans-serif"/>
          <w:b w:val="false"/>
          <w:color w:val="000000"/>
          <w:sz w:val="20"/>
        </w:rPr>
        <w:t>For the first quarter 2024, net income available for common shareholders was $54.7 million and earnings per diluted share was $0.66 versus $53.3 million and $0.65, respectively, for the first quarter 2023.</w:t>
      </w:r>
    </w:p>
    <w:p>
      <w:pPr>
        <w:pStyle w:val="TextBody"/>
        <w:bidi w:val="0"/>
        <w:spacing w:lineRule="auto" w:line="417" w:before="0" w:after="160"/>
        <w:jc w:val="both"/>
        <w:rPr>
          <w:rFonts w:ascii="Arial;sans-serif" w:hAnsi="Arial;sans-serif"/>
          <w:b w:val="false"/>
          <w:i/>
          <w:color w:val="000000"/>
          <w:sz w:val="20"/>
        </w:rPr>
      </w:pPr>
      <w:r>
        <w:rPr>
          <w:rFonts w:ascii="Arial;sans-serif" w:hAnsi="Arial;sans-serif"/>
          <w:b w:val="false"/>
          <w:i/>
          <w:color w:val="000000"/>
          <w:sz w:val="20"/>
        </w:rPr>
        <w:t>FFO</w:t>
      </w:r>
    </w:p>
    <w:p>
      <w:pPr>
        <w:pStyle w:val="TextBody"/>
        <w:bidi w:val="0"/>
        <w:spacing w:lineRule="auto" w:line="417" w:before="0" w:after="160"/>
        <w:jc w:val="left"/>
        <w:rPr>
          <w:rFonts w:ascii="Arial;sans-serif" w:hAnsi="Arial;sans-serif"/>
          <w:b w:val="false"/>
          <w:color w:val="000000"/>
          <w:sz w:val="20"/>
        </w:rPr>
      </w:pPr>
      <w:r>
        <w:rPr>
          <w:rFonts w:ascii="Arial;sans-serif" w:hAnsi="Arial;sans-serif"/>
          <w:b w:val="false"/>
          <w:color w:val="000000"/>
          <w:sz w:val="20"/>
        </w:rPr>
        <w:t>For the first quarter 2024, FFO was $136.7 million, or $1.64 per diluted share, compared to $130.3 million, or $1.59 per diluted share for the first quarter 2023.</w:t>
      </w:r>
    </w:p>
    <w:p>
      <w:pPr>
        <w:pStyle w:val="TextBody"/>
        <w:bidi w:val="0"/>
        <w:spacing w:lineRule="auto" w:line="417" w:before="0" w:after="160"/>
        <w:jc w:val="both"/>
        <w:rPr>
          <w:rFonts w:ascii="Arial;sans-serif" w:hAnsi="Arial;sans-serif"/>
          <w:b w:val="false"/>
          <w:color w:val="000000"/>
          <w:sz w:val="20"/>
        </w:rPr>
      </w:pPr>
      <w:r>
        <w:rPr>
          <w:rFonts w:ascii="Arial;sans-serif" w:hAnsi="Arial;sans-serif"/>
          <w:b w:val="false"/>
          <w:color w:val="000000"/>
          <w:sz w:val="20"/>
        </w:rPr>
        <w:t>FFO is a non-GAAP supplemental earnings measure which the Trust considers meaningful in measuring its operating performance. A reconciliation of FFO to net income is attached to this press release.</w:t>
      </w:r>
    </w:p>
    <w:p>
      <w:pPr>
        <w:pStyle w:val="TextBody"/>
        <w:bidi w:val="0"/>
        <w:spacing w:lineRule="auto" w:line="417" w:before="0" w:after="160"/>
        <w:jc w:val="both"/>
        <w:rPr>
          <w:rFonts w:ascii="Arial;sans-serif" w:hAnsi="Arial;sans-serif"/>
          <w:b/>
          <w:color w:val="000000"/>
          <w:sz w:val="20"/>
        </w:rPr>
      </w:pPr>
      <w:r>
        <w:rPr>
          <w:rFonts w:ascii="Arial;sans-serif" w:hAnsi="Arial;sans-serif"/>
          <w:b/>
          <w:color w:val="000000"/>
          <w:sz w:val="20"/>
        </w:rPr>
        <w:t>Operational Update</w:t>
      </w:r>
    </w:p>
    <w:p>
      <w:pPr>
        <w:pStyle w:val="TextBody"/>
        <w:bidi w:val="0"/>
        <w:spacing w:lineRule="auto" w:line="417" w:before="0" w:after="160"/>
        <w:jc w:val="left"/>
        <w:rPr>
          <w:rFonts w:ascii="Arial;sans-serif" w:hAnsi="Arial;sans-serif"/>
          <w:b w:val="false"/>
          <w:i/>
          <w:color w:val="000000"/>
          <w:sz w:val="20"/>
        </w:rPr>
      </w:pPr>
      <w:r>
        <w:rPr>
          <w:rFonts w:ascii="Arial;sans-serif" w:hAnsi="Arial;sans-serif"/>
          <w:b w:val="false"/>
          <w:i/>
          <w:color w:val="000000"/>
          <w:sz w:val="20"/>
        </w:rPr>
        <w:t>Occupancy</w:t>
      </w:r>
    </w:p>
    <w:p>
      <w:pPr>
        <w:pStyle w:val="TextBody"/>
        <w:bidi w:val="0"/>
        <w:spacing w:lineRule="auto" w:line="417" w:before="0" w:after="160"/>
        <w:jc w:val="left"/>
        <w:rPr>
          <w:rFonts w:ascii="Arial;sans-serif" w:hAnsi="Arial;sans-serif"/>
          <w:b w:val="false"/>
          <w:color w:val="000000"/>
          <w:sz w:val="20"/>
        </w:rPr>
      </w:pPr>
      <w:r>
        <w:rPr>
          <w:rFonts w:ascii="Arial;sans-serif" w:hAnsi="Arial;sans-serif"/>
          <w:b w:val="false"/>
          <w:color w:val="000000"/>
          <w:sz w:val="20"/>
        </w:rPr>
        <w:t>The portfolio was 92.0% occupied and 94.3% leased as of March 31, 2024. Small shop leased rate was 91.4% as of March 31, 2024, an increase of 70 basis points quarter-over-quarter and 140 basis points year-over-year.</w:t>
      </w:r>
    </w:p>
    <w:p>
      <w:pPr>
        <w:pStyle w:val="TextBody"/>
        <w:bidi w:val="0"/>
        <w:spacing w:lineRule="auto" w:line="417" w:before="0" w:after="160"/>
        <w:jc w:val="left"/>
        <w:rPr>
          <w:rFonts w:ascii="Arial;sans-serif" w:hAnsi="Arial;sans-serif"/>
          <w:b w:val="false"/>
          <w:color w:val="000000"/>
          <w:sz w:val="20"/>
        </w:rPr>
      </w:pPr>
      <w:r>
        <w:rPr>
          <w:rFonts w:ascii="Arial;sans-serif" w:hAnsi="Arial;sans-serif"/>
          <w:b w:val="false"/>
          <w:color w:val="000000"/>
          <w:sz w:val="20"/>
        </w:rPr>
        <w:t xml:space="preserve">Additionally, our residential properties were 96.3% leased as of March 31, 2024. </w:t>
      </w:r>
    </w:p>
    <w:p>
      <w:pPr>
        <w:pStyle w:val="TextBody"/>
        <w:bidi w:val="0"/>
        <w:spacing w:lineRule="auto" w:line="417" w:before="0" w:after="160"/>
        <w:jc w:val="left"/>
        <w:rPr>
          <w:rFonts w:ascii="Arial;sans-serif" w:hAnsi="Arial;sans-serif"/>
          <w:b w:val="false"/>
          <w:i/>
          <w:color w:val="000000"/>
          <w:sz w:val="20"/>
        </w:rPr>
      </w:pPr>
      <w:r>
        <w:rPr>
          <w:rFonts w:ascii="Arial;sans-serif" w:hAnsi="Arial;sans-serif"/>
          <w:b w:val="false"/>
          <w:i/>
          <w:color w:val="000000"/>
          <w:sz w:val="20"/>
        </w:rPr>
        <w:t>Leasing Activity</w:t>
      </w:r>
    </w:p>
    <w:p>
      <w:pPr>
        <w:pStyle w:val="TextBody"/>
        <w:bidi w:val="0"/>
        <w:spacing w:lineRule="auto" w:line="417" w:before="0" w:after="160"/>
        <w:jc w:val="left"/>
        <w:rPr>
          <w:rFonts w:ascii="Arial;sans-serif" w:hAnsi="Arial;sans-serif"/>
          <w:b w:val="false"/>
          <w:color w:val="000000"/>
          <w:sz w:val="20"/>
        </w:rPr>
      </w:pPr>
      <w:r>
        <w:rPr>
          <w:rFonts w:ascii="Arial;sans-serif" w:hAnsi="Arial;sans-serif"/>
          <w:b w:val="false"/>
          <w:color w:val="000000"/>
          <w:sz w:val="20"/>
        </w:rPr>
        <w:t xml:space="preserve">During the first quarter 2024, Federal Realty signed 111 leases for 587,329 square feet of retail space. On a comparable space basis (i.e., spaces for which there was a former tenant), Federal Realty signed 104 leases for 566,865 square feet at an average rent of $36.39 per square foot compared to the average contractual rent of $33.30 per square foot for the last year of the prior leases, representing a cash basis rollover growth on those comparable spaces of 9%, 20% on a straight-line basis. Comparable leases represented 94% of total comparable and non-comparable retail leases signed during the first quarter 2024. </w:t>
      </w:r>
    </w:p>
    <w:p>
      <w:pPr>
        <w:pStyle w:val="TextBody"/>
        <w:bidi w:val="0"/>
        <w:spacing w:lineRule="auto" w:line="417" w:before="0" w:after="160"/>
        <w:jc w:val="both"/>
        <w:rPr>
          <w:rFonts w:ascii="Arial;sans-serif" w:hAnsi="Arial;sans-serif"/>
          <w:b/>
          <w:color w:val="000000"/>
          <w:sz w:val="20"/>
        </w:rPr>
      </w:pPr>
      <w:r>
        <w:rPr>
          <w:rFonts w:ascii="Arial;sans-serif" w:hAnsi="Arial;sans-serif"/>
          <w:b/>
          <w:color w:val="000000"/>
          <w:sz w:val="20"/>
        </w:rPr>
        <w:t>Regular Quarterly Dividends</w:t>
      </w:r>
    </w:p>
    <w:p>
      <w:pPr>
        <w:pStyle w:val="TextBody"/>
        <w:bidi w:val="0"/>
        <w:spacing w:lineRule="auto" w:line="417" w:before="0" w:after="160"/>
        <w:jc w:val="both"/>
        <w:rPr>
          <w:rFonts w:ascii="Arial;sans-serif" w:hAnsi="Arial;sans-serif"/>
          <w:b w:val="false"/>
          <w:color w:val="000000"/>
          <w:sz w:val="20"/>
        </w:rPr>
      </w:pPr>
      <w:r>
        <w:rPr>
          <w:rFonts w:ascii="Arial;sans-serif" w:hAnsi="Arial;sans-serif"/>
          <w:b w:val="false"/>
          <w:color w:val="000000"/>
          <w:sz w:val="20"/>
        </w:rPr>
        <w:t>Federal Realty announced today that its Board of Trustees declared a regular quarterly cash dividend of $1.09 per common share, resulting in an indicated annual rate of $4.36 per common share. The regular common dividend will be payable on July 15, 2024 to common shareholders of record as of June 21, 2024.</w:t>
      </w:r>
    </w:p>
    <w:p>
      <w:pPr>
        <w:pStyle w:val="TextBody"/>
        <w:bidi w:val="0"/>
        <w:spacing w:lineRule="auto" w:line="417" w:before="0" w:after="160"/>
        <w:jc w:val="both"/>
        <w:rPr>
          <w:rFonts w:ascii="Arial;sans-serif" w:hAnsi="Arial;sans-serif"/>
          <w:b w:val="false"/>
          <w:color w:val="000000"/>
          <w:sz w:val="20"/>
        </w:rPr>
      </w:pPr>
      <w:r>
        <w:rPr>
          <w:rFonts w:ascii="Arial;sans-serif" w:hAnsi="Arial;sans-serif"/>
          <w:b w:val="false"/>
          <w:color w:val="000000"/>
          <w:sz w:val="20"/>
        </w:rPr>
        <w:t>Federal Realty’s Board of Trustees also declared a quarterly cash dividend on its Class C depositary shares, each representing 1/1000 of a 5.000% Series C Cumulative Preferred Share of Beneficial Interest, of $0.3125 per depositary share. All dividends on the depositary shares will be payable on July 15, 2024 to shareholders of record as of July 1, 2024.</w:t>
      </w:r>
    </w:p>
    <w:p>
      <w:pPr>
        <w:pStyle w:val="TextBody"/>
        <w:bidi w:val="0"/>
        <w:spacing w:lineRule="auto" w:line="417" w:before="0" w:after="160"/>
        <w:jc w:val="both"/>
        <w:rPr>
          <w:rFonts w:ascii="Arial;sans-serif" w:hAnsi="Arial;sans-serif"/>
          <w:b/>
          <w:color w:val="000000"/>
          <w:sz w:val="20"/>
        </w:rPr>
      </w:pPr>
      <w:r>
        <w:rPr>
          <w:rFonts w:ascii="Arial;sans-serif" w:hAnsi="Arial;sans-serif"/>
          <w:b/>
          <w:color w:val="000000"/>
          <w:sz w:val="20"/>
        </w:rPr>
        <w:t>2024 Guidance</w:t>
      </w:r>
    </w:p>
    <w:p>
      <w:pPr>
        <w:pStyle w:val="TextBody"/>
        <w:bidi w:val="0"/>
        <w:spacing w:lineRule="auto" w:line="417" w:before="0" w:after="160"/>
        <w:jc w:val="both"/>
        <w:rPr>
          <w:rFonts w:ascii="Arial;sans-serif" w:hAnsi="Arial;sans-serif"/>
          <w:b w:val="false"/>
          <w:color w:val="000000"/>
          <w:sz w:val="20"/>
        </w:rPr>
      </w:pPr>
      <w:r>
        <w:rPr>
          <w:rFonts w:ascii="Arial;sans-serif" w:hAnsi="Arial;sans-serif"/>
          <w:b w:val="false"/>
          <w:color w:val="000000"/>
          <w:sz w:val="20"/>
        </w:rPr>
        <w:t>Federal Realty has updated its 2024 guidance, as summarized in the table below:</w:t>
      </w:r>
    </w:p>
    <w:p>
      <w:pPr>
        <w:pStyle w:val="TextBody"/>
        <w:bidi w:val="0"/>
        <w:spacing w:before="0" w:after="0"/>
        <w:jc w:val="right"/>
        <w:rPr/>
      </w:pPr>
      <w:r>
        <w:rPr/>
        <w:drawing>
          <wp:inline distT="0" distB="0" distL="0" distR="0">
            <wp:extent cx="895350" cy="352425"/>
            <wp:effectExtent l="0" t="0" r="0" b="0"/>
            <wp:docPr id="9"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3" descr=""/>
                    <pic:cNvPicPr>
                      <a:picLocks noChangeAspect="1" noChangeArrowheads="1"/>
                    </pic:cNvPicPr>
                  </pic:nvPicPr>
                  <pic:blipFill>
                    <a:blip r:embed="rId4"/>
                    <a:stretch>
                      <a:fillRect/>
                    </a:stretch>
                  </pic:blipFill>
                  <pic:spPr bwMode="auto">
                    <a:xfrm>
                      <a:off x="0" y="0"/>
                      <a:ext cx="895350" cy="352425"/>
                    </a:xfrm>
                    <a:prstGeom prst="rect">
                      <a:avLst/>
                    </a:prstGeom>
                  </pic:spPr>
                </pic:pic>
              </a:graphicData>
            </a:graphic>
          </wp:inline>
        </w:drawing>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0"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11.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tbl>
      <w:tblPr>
        <w:tblW w:w="5998" w:type="dxa"/>
        <w:jc w:val="left"/>
        <w:tblInd w:w="0" w:type="dxa"/>
        <w:tblLayout w:type="fixed"/>
        <w:tblCellMar>
          <w:top w:w="28" w:type="dxa"/>
          <w:left w:w="28" w:type="dxa"/>
          <w:bottom w:w="28" w:type="dxa"/>
          <w:right w:w="28" w:type="dxa"/>
        </w:tblCellMar>
      </w:tblPr>
      <w:tblGrid>
        <w:gridCol w:w="1036"/>
        <w:gridCol w:w="912"/>
        <w:gridCol w:w="917"/>
        <w:gridCol w:w="564"/>
        <w:gridCol w:w="564"/>
        <w:gridCol w:w="566"/>
        <w:gridCol w:w="420"/>
        <w:gridCol w:w="420"/>
        <w:gridCol w:w="599"/>
      </w:tblGrid>
      <w:tr>
        <w:trPr/>
        <w:tc>
          <w:tcPr>
            <w:tcW w:w="1036"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r>
      <w:tr>
        <w:trPr/>
        <w:tc>
          <w:tcPr>
            <w:tcW w:w="28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Full Year 2024 Guidance</w:t>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u w:val="single"/>
              </w:rPr>
            </w:pPr>
            <w:r>
              <w:rPr>
                <w:rFonts w:ascii="Arial;sans-serif" w:hAnsi="Arial;sans-serif"/>
                <w:b w:val="false"/>
                <w:color w:val="000000"/>
                <w:sz w:val="20"/>
                <w:u w:val="single"/>
              </w:rPr>
              <w:t>Revised Guidance</w:t>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u w:val="single"/>
              </w:rPr>
            </w:pPr>
            <w:r>
              <w:rPr>
                <w:rFonts w:ascii="Arial;sans-serif" w:hAnsi="Arial;sans-serif"/>
                <w:b w:val="false"/>
                <w:color w:val="000000"/>
                <w:sz w:val="20"/>
                <w:u w:val="single"/>
              </w:rPr>
              <w:t>Prior Guidance</w:t>
            </w:r>
          </w:p>
        </w:tc>
      </w:tr>
      <w:tr>
        <w:trPr/>
        <w:tc>
          <w:tcPr>
            <w:tcW w:w="28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2024 Earnings per diluted share</w:t>
            </w:r>
          </w:p>
        </w:tc>
        <w:tc>
          <w:tcPr>
            <w:tcW w:w="1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$2.74 to $2.94</w:t>
            </w:r>
          </w:p>
        </w:tc>
        <w:tc>
          <w:tcPr>
            <w:tcW w:w="1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$2.72 to $2.94</w:t>
            </w:r>
          </w:p>
        </w:tc>
      </w:tr>
      <w:tr>
        <w:trPr/>
        <w:tc>
          <w:tcPr>
            <w:tcW w:w="28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2024 FFO per diluted share</w:t>
            </w:r>
          </w:p>
        </w:tc>
        <w:tc>
          <w:tcPr>
            <w:tcW w:w="1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$6.67 to $6.87</w:t>
            </w:r>
          </w:p>
        </w:tc>
        <w:tc>
          <w:tcPr>
            <w:tcW w:w="1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$6.65 to $6.87</w:t>
            </w:r>
          </w:p>
        </w:tc>
      </w:tr>
    </w:tbl>
    <w:p>
      <w:pPr>
        <w:pStyle w:val="TextBody"/>
        <w:bidi w:val="0"/>
        <w:spacing w:lineRule="auto" w:line="417" w:before="0" w:after="160"/>
        <w:jc w:val="both"/>
        <w:rPr>
          <w:rFonts w:ascii="Arial;sans-serif" w:hAnsi="Arial;sans-serif"/>
          <w:b/>
          <w:color w:val="000000"/>
          <w:sz w:val="20"/>
        </w:rPr>
      </w:pPr>
      <w:r>
        <w:rPr>
          <w:rFonts w:ascii="Arial;sans-serif" w:hAnsi="Arial;sans-serif"/>
          <w:b/>
          <w:color w:val="000000"/>
          <w:sz w:val="20"/>
        </w:rPr>
        <w:t>Conference Call Information</w:t>
      </w:r>
    </w:p>
    <w:p>
      <w:pPr>
        <w:pStyle w:val="TextBody"/>
        <w:bidi w:val="0"/>
        <w:spacing w:lineRule="auto" w:line="417" w:before="0" w:after="160"/>
        <w:jc w:val="both"/>
        <w:rPr>
          <w:rFonts w:ascii="Arial;sans-serif" w:hAnsi="Arial;sans-serif"/>
          <w:b w:val="false"/>
          <w:color w:val="000000"/>
          <w:sz w:val="20"/>
        </w:rPr>
      </w:pPr>
      <w:r>
        <w:rPr>
          <w:rFonts w:ascii="Arial;sans-serif" w:hAnsi="Arial;sans-serif"/>
          <w:b w:val="false"/>
          <w:color w:val="000000"/>
          <w:sz w:val="20"/>
        </w:rPr>
        <w:t>Federal Realty’s management team will present an in-depth discussion of Federal Realty’s operating performance on its first quarter 2024 earnings conference call, which is scheduled for Thursday, May 2, 2024 at 5:00 PM ET. To participate, please call 1-877-407-9208 or 1-201-493-6784 five to ten minutes prior to the call start time. The teleconference can also be accessed via a live webcast at www.federalrealty.com in the Investors section. A replay of the webcast will be available on Federal Realty’s website at www.federalrealty.com. A telephonic replay of the conference call will also be available through May 16, 2024 by dialing 1-844-512-2921 or 1-412-317-6671; Passcode: 13745637.</w:t>
      </w:r>
    </w:p>
    <w:p>
      <w:pPr>
        <w:pStyle w:val="TextBody"/>
        <w:bidi w:val="0"/>
        <w:spacing w:lineRule="auto" w:line="417" w:before="0" w:after="160"/>
        <w:jc w:val="both"/>
        <w:rPr>
          <w:rFonts w:ascii="Arial;sans-serif" w:hAnsi="Arial;sans-serif"/>
          <w:b/>
          <w:color w:val="000000"/>
          <w:sz w:val="20"/>
        </w:rPr>
      </w:pPr>
      <w:r>
        <w:rPr>
          <w:rFonts w:ascii="Arial;sans-serif" w:hAnsi="Arial;sans-serif"/>
          <w:b/>
          <w:color w:val="000000"/>
          <w:sz w:val="20"/>
        </w:rPr>
        <w:t>About Federal Realty</w:t>
      </w:r>
    </w:p>
    <w:p>
      <w:pPr>
        <w:pStyle w:val="TextBody"/>
        <w:bidi w:val="0"/>
        <w:spacing w:lineRule="auto" w:line="417" w:before="0" w:after="160"/>
        <w:jc w:val="both"/>
        <w:rPr>
          <w:rFonts w:ascii="Arial;sans-serif" w:hAnsi="Arial;sans-serif"/>
          <w:b w:val="false"/>
          <w:color w:val="000000"/>
          <w:sz w:val="20"/>
        </w:rPr>
      </w:pPr>
      <w:r>
        <w:rPr>
          <w:rFonts w:ascii="Arial;sans-serif" w:hAnsi="Arial;sans-serif"/>
          <w:b w:val="false"/>
          <w:color w:val="000000"/>
          <w:sz w:val="20"/>
        </w:rPr>
        <w:t>Federal Realty is a recognized leader in the ownership, operation and redevelopment of high-quality retail-based properties located primarily in major coastal markets from Washington, D.C. to Boston as well as San Francisco and Los Angeles. Founded in 1962, Federal Realty’s mission is to deliver long-term, sustainable growth through investing in communities where retail demand exceeds supply. Its expertise includes creating urban, mixed-use neighborhoods like Santana Row in San Jose, California, Pike &amp; Rose in North Bethesda, Maryland and Assembly Row in Somerville, Massachusetts. These unique and vibrant environments that combine shopping, dining, living and working provide a destination experience valued by their respective communities. Federal Realty's 102 properties include approximately 3,300 tenants, in 26 million commercial square feet, and approximately 3,100 residential units.</w:t>
      </w:r>
    </w:p>
    <w:p>
      <w:pPr>
        <w:pStyle w:val="TextBody"/>
        <w:bidi w:val="0"/>
        <w:spacing w:lineRule="auto" w:line="417" w:before="0" w:after="160"/>
        <w:jc w:val="left"/>
        <w:rPr>
          <w:rFonts w:ascii="Arial;sans-serif" w:hAnsi="Arial;sans-serif"/>
          <w:b w:val="false"/>
          <w:color w:val="000000"/>
          <w:sz w:val="20"/>
        </w:rPr>
      </w:pPr>
      <w:r>
        <w:rPr>
          <w:rFonts w:ascii="Arial;sans-serif" w:hAnsi="Arial;sans-serif"/>
          <w:b w:val="false"/>
          <w:color w:val="000000"/>
          <w:sz w:val="20"/>
        </w:rPr>
        <w:t>Federal Realty has increased its quarterly dividends to its shareholders for 56 consecutive years, the longest record in the REIT industry. Federal Realty is an S&amp;P 500 index member and its shares are traded on the NYSE under the symbol FRT. For additional information about Federal Realty and its properties, visit www.federalrealty.com.</w:t>
      </w:r>
    </w:p>
    <w:p>
      <w:pPr>
        <w:pStyle w:val="TextBody"/>
        <w:bidi w:val="0"/>
        <w:spacing w:lineRule="auto" w:line="417" w:before="0" w:after="160"/>
        <w:jc w:val="both"/>
        <w:rPr>
          <w:rFonts w:ascii="Arial;sans-serif" w:hAnsi="Arial;sans-serif"/>
          <w:b/>
          <w:color w:val="000000"/>
          <w:sz w:val="20"/>
        </w:rPr>
      </w:pPr>
      <w:r>
        <w:rPr>
          <w:rFonts w:ascii="Arial;sans-serif" w:hAnsi="Arial;sans-serif"/>
          <w:b/>
          <w:color w:val="000000"/>
          <w:sz w:val="20"/>
        </w:rPr>
        <w:t>Safe Harbor Language</w:t>
      </w:r>
    </w:p>
    <w:p>
      <w:pPr>
        <w:pStyle w:val="TextBody"/>
        <w:bidi w:val="0"/>
        <w:spacing w:lineRule="auto" w:line="288" w:before="0" w:after="0"/>
        <w:jc w:val="left"/>
        <w:rPr>
          <w:rFonts w:ascii="Arial;sans-serif" w:hAnsi="Arial;sans-serif"/>
          <w:b w:val="false"/>
          <w:i/>
          <w:color w:val="000000"/>
          <w:sz w:val="16"/>
        </w:rPr>
      </w:pPr>
      <w:r>
        <w:rPr>
          <w:rFonts w:ascii="Arial;sans-serif" w:hAnsi="Arial;sans-serif"/>
          <w:b w:val="false"/>
          <w:i/>
          <w:color w:val="000000"/>
          <w:sz w:val="16"/>
        </w:rPr>
        <w:t>Certain matters discussed within this Press Release may be deemed to be forward-looking statements within the meaning of the federal securities laws. Although Federal Realty believes the expectations reflected in the forward-looking statements are based on reasonable assumptions, it can give no assurance that its expectations will be attained. These factors include, but are not limited to, the risk factors described in our Annual Report on Form 10-K filed on February 12, 2024 and include the following:</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Arial;sans-serif" w:hAnsi="Arial;sans-serif"/>
          <w:b w:val="false"/>
          <w:i/>
          <w:color w:val="000000"/>
          <w:sz w:val="16"/>
        </w:rPr>
        <w:t>risks that our tenants will not pay rent, may vacate early or may file for bankruptcy or that we may be unable to renew leases or re-let space at favorable rents as leases expire or to fill existing vacancy;</w:t>
      </w:r>
    </w:p>
    <w:p>
      <w:pPr>
        <w:pStyle w:val="TextBody"/>
        <w:bidi w:val="0"/>
        <w:spacing w:lineRule="auto" w:line="288" w:before="0" w:after="0"/>
        <w:ind w:left="0" w:right="0" w:hanging="360"/>
        <w:jc w:val="left"/>
        <w:rPr/>
      </w:pPr>
      <w:r>
        <w:rPr>
          <w:color w:val="000000"/>
        </w:rPr>
        <w:t>•</w:t>
      </w:r>
      <w:r>
        <w:rPr>
          <w:rFonts w:ascii="Arial;sans-serif" w:hAnsi="Arial;sans-serif"/>
          <w:b w:val="false"/>
          <w:i/>
          <w:color w:val="000000"/>
          <w:sz w:val="16"/>
        </w:rPr>
        <w:t>risks that we may not be able to proceed with or obtain necessary approvals for any development, redevelopment, or renovation project, and that completion of anticipated or ongoing property development, redevelopment or renovation projects that we do pursue may cost more, take more time to complete or fail to perform as expected;</w:t>
      </w:r>
    </w:p>
    <w:p>
      <w:pPr>
        <w:pStyle w:val="TextBody"/>
        <w:bidi w:val="0"/>
        <w:spacing w:lineRule="auto" w:line="288" w:before="0" w:after="0"/>
        <w:ind w:left="0" w:right="0" w:hanging="360"/>
        <w:jc w:val="left"/>
        <w:rPr/>
      </w:pPr>
      <w:r>
        <w:rPr>
          <w:color w:val="000000"/>
        </w:rPr>
        <w:t>•</w:t>
      </w:r>
      <w:r>
        <w:rPr>
          <w:rFonts w:ascii="Arial;sans-serif" w:hAnsi="Arial;sans-serif"/>
          <w:b w:val="false"/>
          <w:i/>
          <w:color w:val="000000"/>
          <w:sz w:val="16"/>
        </w:rPr>
        <w:t>risks normally associated with the real estate industry, including risks that occupancy levels at our properties and the amount of rent that we receive from our properties may be lower than expected, that new acquisitions may fail to perform as expected, that competition for acquisitions could result in increased prices for acquisitions, that costs associated with the periodic maintenance and repair or renovation of space, insurance and other operations may increase, that environmental issues may develop at our properties and result in unanticipated costs, and, because real estate is illiquid, that we may not be able to sell properties when appropriate;</w:t>
      </w:r>
    </w:p>
    <w:p>
      <w:pPr>
        <w:pStyle w:val="TextBody"/>
        <w:bidi w:val="0"/>
        <w:spacing w:lineRule="auto" w:line="288" w:before="0" w:after="0"/>
        <w:ind w:left="0" w:right="0" w:hanging="360"/>
        <w:jc w:val="left"/>
        <w:rPr/>
      </w:pPr>
      <w:r>
        <w:rPr>
          <w:color w:val="000000"/>
        </w:rPr>
        <w:t>•</w:t>
      </w:r>
      <w:r>
        <w:rPr>
          <w:rFonts w:ascii="Arial;sans-serif" w:hAnsi="Arial;sans-serif"/>
          <w:b w:val="false"/>
          <w:i/>
          <w:color w:val="000000"/>
          <w:sz w:val="16"/>
        </w:rPr>
        <w:t>risks that our growth will be limited if we cannot obtain additional capital, or if the costs of capital we obtain are significantly higher than historical levels;</w:t>
      </w:r>
    </w:p>
    <w:p>
      <w:pPr>
        <w:pStyle w:val="TextBody"/>
        <w:bidi w:val="0"/>
        <w:spacing w:lineRule="auto" w:line="288" w:before="0" w:after="0"/>
        <w:ind w:left="0" w:right="0" w:hanging="360"/>
        <w:jc w:val="left"/>
        <w:rPr/>
      </w:pPr>
      <w:r>
        <w:rPr>
          <w:color w:val="000000"/>
        </w:rPr>
        <w:t>•</w:t>
      </w:r>
      <w:r>
        <w:rPr>
          <w:rFonts w:ascii="Arial;sans-serif" w:hAnsi="Arial;sans-serif"/>
          <w:b w:val="false"/>
          <w:i/>
          <w:color w:val="000000"/>
          <w:sz w:val="16"/>
        </w:rPr>
        <w:t>risks associated with general economic conditions, including inflation and local economic conditions in our geographic markets;</w:t>
      </w:r>
    </w:p>
    <w:p>
      <w:pPr>
        <w:pStyle w:val="TextBody"/>
        <w:bidi w:val="0"/>
        <w:spacing w:lineRule="auto" w:line="288" w:before="0" w:after="0"/>
        <w:ind w:left="0" w:right="0" w:hanging="360"/>
        <w:jc w:val="left"/>
        <w:rPr/>
      </w:pPr>
      <w:r>
        <w:rPr>
          <w:color w:val="000000"/>
        </w:rPr>
        <w:t>•</w:t>
      </w:r>
      <w:r>
        <w:rPr>
          <w:rFonts w:ascii="Arial;sans-serif" w:hAnsi="Arial;sans-serif"/>
          <w:b w:val="false"/>
          <w:i/>
          <w:color w:val="000000"/>
          <w:sz w:val="16"/>
        </w:rPr>
        <w:t>risks of financing on terms which are acceptable to us, our ability to meet existing financial covenants and the limitations imposed on our operations by those covenants, and the possibility of increases in interest rates that would result in increased interest expense;</w:t>
      </w:r>
    </w:p>
    <w:p>
      <w:pPr>
        <w:pStyle w:val="TextBody"/>
        <w:bidi w:val="0"/>
        <w:spacing w:lineRule="auto" w:line="288"/>
        <w:ind w:left="0" w:right="0" w:hanging="360"/>
        <w:jc w:val="left"/>
        <w:rPr/>
      </w:pPr>
      <w:r>
        <w:rPr>
          <w:color w:val="000000"/>
        </w:rPr>
        <w:t>•</w:t>
      </w:r>
      <w:r>
        <w:rPr>
          <w:rFonts w:ascii="Arial;sans-serif" w:hAnsi="Arial;sans-serif"/>
          <w:b w:val="false"/>
          <w:i/>
          <w:color w:val="000000"/>
          <w:sz w:val="16"/>
        </w:rPr>
        <w:t>risks related to our status as a real estate investment trust, commonly referred to as a REIT, for federal income tax purposes, such as the existence of complex tax regulations relating to our status as a REIT, the effect of future changes in REIT requirements as a result of new legislation, and the adverse consequences of the failure to qualify as a REIT; and</w:t>
      </w:r>
    </w:p>
    <w:p>
      <w:pPr>
        <w:pStyle w:val="TextBody"/>
        <w:bidi w:val="0"/>
        <w:spacing w:before="0" w:after="0"/>
        <w:jc w:val="right"/>
        <w:rPr/>
      </w:pPr>
      <w:r>
        <w:rPr/>
        <w:drawing>
          <wp:inline distT="0" distB="0" distL="0" distR="0">
            <wp:extent cx="895350" cy="352425"/>
            <wp:effectExtent l="0" t="0" r="0" b="0"/>
            <wp:docPr id="11"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4" descr=""/>
                    <pic:cNvPicPr>
                      <a:picLocks noChangeAspect="1" noChangeArrowheads="1"/>
                    </pic:cNvPicPr>
                  </pic:nvPicPr>
                  <pic:blipFill>
                    <a:blip r:embed="rId5"/>
                    <a:stretch>
                      <a:fillRect/>
                    </a:stretch>
                  </pic:blipFill>
                  <pic:spPr bwMode="auto">
                    <a:xfrm>
                      <a:off x="0" y="0"/>
                      <a:ext cx="895350" cy="352425"/>
                    </a:xfrm>
                    <a:prstGeom prst="rect">
                      <a:avLst/>
                    </a:prstGeom>
                  </pic:spPr>
                </pic:pic>
              </a:graphicData>
            </a:graphic>
          </wp:inline>
        </w:drawing>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11.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0" w:after="0"/>
        <w:ind w:left="0" w:right="0" w:hanging="360"/>
        <w:jc w:val="left"/>
        <w:rPr/>
      </w:pPr>
      <w:r>
        <w:rPr>
          <w:color w:val="000000"/>
        </w:rPr>
        <w:t>•</w:t>
      </w:r>
      <w:r>
        <w:rPr>
          <w:rFonts w:ascii="Arial;sans-serif" w:hAnsi="Arial;sans-serif"/>
          <w:b w:val="false"/>
          <w:i/>
          <w:color w:val="000000"/>
          <w:sz w:val="16"/>
        </w:rPr>
        <w:t>risks related to natural disasters, climate change and public health crises (such as the outbreak and worldwide spread of COVID-19), and the measures that international, federal, state and local governments, agencies, law enforcement and/or health authorities implement to address them, may precipitate or materially exacerbate one or more of the above-mentioned risks, and may significantly disrupt or prevent us from operating our business in the ordinary course for an extended period.</w:t>
      </w:r>
    </w:p>
    <w:p>
      <w:pPr>
        <w:pStyle w:val="TextBody"/>
        <w:bidi w:val="0"/>
        <w:spacing w:before="0" w:after="160"/>
        <w:jc w:val="both"/>
        <w:rPr/>
      </w:pPr>
      <w:r>
        <w:rPr/>
      </w:r>
    </w:p>
    <w:p>
      <w:pPr>
        <w:pStyle w:val="TextBody"/>
        <w:bidi w:val="0"/>
        <w:spacing w:lineRule="auto" w:line="276" w:before="0" w:after="0"/>
        <w:jc w:val="left"/>
        <w:rPr>
          <w:rFonts w:ascii="Arial;sans-serif" w:hAnsi="Arial;sans-serif"/>
          <w:b w:val="false"/>
          <w:i/>
          <w:color w:val="000000"/>
          <w:sz w:val="16"/>
        </w:rPr>
      </w:pPr>
      <w:r>
        <w:rPr>
          <w:rFonts w:ascii="Arial;sans-serif" w:hAnsi="Arial;sans-serif"/>
          <w:b w:val="false"/>
          <w:i/>
          <w:color w:val="000000"/>
          <w:sz w:val="16"/>
        </w:rPr>
        <w:t>Given these uncertainties, readers are cautioned not to place undue reliance on any forward-looking statements that we make, including those in this Press Release. Except as required by law, we make no promise to update any of the forward-looking statements as a result of new information, future events, or otherwise. You should review the risks contained in our Annual Report on Form 10-K, filed with the Securities and Exchange Commission on February 12,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tbl>
      <w:tblPr>
        <w:tblW w:w="8621" w:type="dxa"/>
        <w:jc w:val="center"/>
        <w:tblInd w:w="0" w:type="dxa"/>
        <w:tblLayout w:type="fixed"/>
        <w:tblCellMar>
          <w:top w:w="28" w:type="dxa"/>
          <w:left w:w="28" w:type="dxa"/>
          <w:bottom w:w="28" w:type="dxa"/>
          <w:right w:w="28" w:type="dxa"/>
        </w:tblCellMar>
      </w:tblPr>
      <w:tblGrid>
        <w:gridCol w:w="1946"/>
        <w:gridCol w:w="1706"/>
        <w:gridCol w:w="1717"/>
        <w:gridCol w:w="223"/>
        <w:gridCol w:w="875"/>
        <w:gridCol w:w="115"/>
        <w:gridCol w:w="115"/>
        <w:gridCol w:w="115"/>
        <w:gridCol w:w="115"/>
        <w:gridCol w:w="223"/>
        <w:gridCol w:w="875"/>
        <w:gridCol w:w="115"/>
        <w:gridCol w:w="109"/>
        <w:gridCol w:w="109"/>
        <w:gridCol w:w="109"/>
        <w:gridCol w:w="154"/>
      </w:tblGrid>
      <w:tr>
        <w:trPr/>
        <w:tc>
          <w:tcPr>
            <w:tcW w:w="1946" w:type="dxa"/>
            <w:tcBorders/>
            <w:vAlign w:val="center"/>
          </w:tcPr>
          <w:p>
            <w:pPr>
              <w:pStyle w:val="TableContents"/>
              <w:bidi w:val="0"/>
              <w:spacing w:before="0" w:after="283"/>
              <w:jc w:val="left"/>
              <w:rPr>
                <w:sz w:val="4"/>
                <w:szCs w:val="4"/>
              </w:rPr>
            </w:pPr>
            <w:r>
              <w:rPr>
                <w:sz w:val="4"/>
                <w:szCs w:val="4"/>
              </w:rPr>
            </w:r>
          </w:p>
        </w:tc>
        <w:tc>
          <w:tcPr>
            <w:tcW w:w="1706" w:type="dxa"/>
            <w:tcBorders/>
            <w:vAlign w:val="center"/>
          </w:tcPr>
          <w:p>
            <w:pPr>
              <w:pStyle w:val="TableContents"/>
              <w:bidi w:val="0"/>
              <w:spacing w:before="0" w:after="283"/>
              <w:jc w:val="left"/>
              <w:rPr>
                <w:sz w:val="4"/>
                <w:szCs w:val="4"/>
              </w:rPr>
            </w:pPr>
            <w:r>
              <w:rPr>
                <w:sz w:val="4"/>
                <w:szCs w:val="4"/>
              </w:rPr>
            </w:r>
          </w:p>
        </w:tc>
        <w:tc>
          <w:tcPr>
            <w:tcW w:w="1717"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Federal Realty Investment Trust</w:t>
            </w:r>
          </w:p>
        </w:tc>
        <w:tc>
          <w:tcPr>
            <w:tcW w:w="12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Consolidated Income Statements</w:t>
            </w:r>
          </w:p>
        </w:tc>
        <w:tc>
          <w:tcPr>
            <w:tcW w:w="12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March 31, 2024</w:t>
            </w:r>
          </w:p>
        </w:tc>
        <w:tc>
          <w:tcPr>
            <w:tcW w:w="12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 except per share data)</w:t>
            </w:r>
          </w:p>
        </w:tc>
        <w:tc>
          <w:tcPr>
            <w:tcW w:w="481" w:type="dxa"/>
            <w:gridSpan w:val="4"/>
            <w:tcBorders/>
          </w:tcPr>
          <w:p>
            <w:pPr>
              <w:pStyle w:val="TableContents"/>
              <w:bidi w:val="0"/>
              <w:spacing w:before="0" w:after="283"/>
              <w:jc w:val="left"/>
              <w:rPr>
                <w:sz w:val="4"/>
                <w:szCs w:val="4"/>
              </w:rPr>
            </w:pPr>
            <w:r>
              <w:rPr>
                <w:sz w:val="4"/>
                <w:szCs w:val="4"/>
              </w:rPr>
            </w:r>
          </w:p>
        </w:tc>
      </w:tr>
      <w:tr>
        <w:trPr/>
        <w:tc>
          <w:tcPr>
            <w:tcW w:w="5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(unaudited)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12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Rental income</w:t>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291,045 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272,798 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69"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Mortgage interest income</w:t>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10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291,323 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273,059 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EXPENSES</w:t>
            </w:r>
          </w:p>
        </w:tc>
        <w:tc>
          <w:tcPr>
            <w:tcW w:w="121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Rental expenses</w:t>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61,659 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55,205 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 taxes</w:t>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34,060 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32,566 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12,006 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12,545 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83,404 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78,637 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0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191,129 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178,953 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69"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sale of real estate</w:t>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100,194 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95,808 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INCOME/(EXPENSE)</w:t>
            </w:r>
          </w:p>
        </w:tc>
        <w:tc>
          <w:tcPr>
            <w:tcW w:w="12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interest income</w:t>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(43,693)</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(39,225)</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69"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partnerships</w:t>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69"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10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58,016 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57,731 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Net income attributable to noncontrolling interests</w:t>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(1,280)</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(2,396)</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THE TRUST</w:t>
            </w:r>
          </w:p>
        </w:tc>
        <w:tc>
          <w:tcPr>
            <w:tcW w:w="10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56,736 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55,335 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on preferred shares</w:t>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(2,008)</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(2,008)</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AVAILABLE FOR COMMON SHAREHOLDERS</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54,728 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53,327 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PER COMMON SHARE, BASIC AND DILUTED:</w:t>
            </w:r>
          </w:p>
        </w:tc>
        <w:tc>
          <w:tcPr>
            <w:tcW w:w="12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69"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69"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69"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69"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available for common shareholders</w:t>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number of common shares</w:t>
            </w:r>
          </w:p>
        </w:tc>
        <w:tc>
          <w:tcPr>
            <w:tcW w:w="1098"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82,605 </w:t>
            </w:r>
          </w:p>
        </w:tc>
        <w:tc>
          <w:tcPr>
            <w:tcW w:w="11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81,141 </w:t>
            </w:r>
          </w:p>
        </w:tc>
        <w:tc>
          <w:tcPr>
            <w:tcW w:w="11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69"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69"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69"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69"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69"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69"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69"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69"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69"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69"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2962"/>
        <w:gridCol w:w="1996"/>
        <w:gridCol w:w="1966"/>
        <w:gridCol w:w="225"/>
        <w:gridCol w:w="1155"/>
        <w:gridCol w:w="116"/>
        <w:gridCol w:w="116"/>
        <w:gridCol w:w="116"/>
        <w:gridCol w:w="116"/>
        <w:gridCol w:w="225"/>
        <w:gridCol w:w="1043"/>
        <w:gridCol w:w="169"/>
      </w:tblGrid>
      <w:tr>
        <w:trPr/>
        <w:tc>
          <w:tcPr>
            <w:tcW w:w="2962" w:type="dxa"/>
            <w:tcBorders/>
            <w:vAlign w:val="center"/>
          </w:tcPr>
          <w:p>
            <w:pPr>
              <w:pStyle w:val="TableContents"/>
              <w:bidi w:val="0"/>
              <w:spacing w:before="0" w:after="283"/>
              <w:jc w:val="left"/>
              <w:rPr>
                <w:sz w:val="4"/>
                <w:szCs w:val="4"/>
              </w:rPr>
            </w:pPr>
            <w:r>
              <w:rPr>
                <w:sz w:val="4"/>
                <w:szCs w:val="4"/>
              </w:rPr>
            </w:r>
          </w:p>
        </w:tc>
        <w:tc>
          <w:tcPr>
            <w:tcW w:w="1996" w:type="dxa"/>
            <w:tcBorders/>
            <w:vAlign w:val="center"/>
          </w:tcPr>
          <w:p>
            <w:pPr>
              <w:pStyle w:val="TableContents"/>
              <w:bidi w:val="0"/>
              <w:spacing w:before="0" w:after="283"/>
              <w:jc w:val="left"/>
              <w:rPr>
                <w:sz w:val="4"/>
                <w:szCs w:val="4"/>
              </w:rPr>
            </w:pPr>
            <w:r>
              <w:rPr>
                <w:sz w:val="4"/>
                <w:szCs w:val="4"/>
              </w:rPr>
            </w:r>
          </w:p>
        </w:tc>
        <w:tc>
          <w:tcPr>
            <w:tcW w:w="196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Federal Realty Investment Trust</w:t>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Consolidated Balance Sheets</w:t>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March 31, 2024</w:t>
            </w:r>
          </w:p>
        </w:tc>
      </w:tr>
      <w:tr>
        <w:trPr/>
        <w:tc>
          <w:tcPr>
            <w:tcW w:w="6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6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6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1"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 except share and per share data)</w:t>
            </w:r>
          </w:p>
        </w:tc>
      </w:tr>
      <w:tr>
        <w:trPr/>
        <w:tc>
          <w:tcPr>
            <w:tcW w:w="6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(unaudited)</w:t>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14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 at cost</w:t>
            </w:r>
          </w:p>
        </w:tc>
        <w:tc>
          <w:tcPr>
            <w:tcW w:w="14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(including $2,024,995 and $2,021,622 of consolidated variable interest entities, respectively)</w:t>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10,027,356 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9,932,891 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Construction-in-progress (including $13,299 and $8,677 of consolidated variable interest entities, respectively)</w:t>
            </w:r>
          </w:p>
        </w:tc>
        <w:tc>
          <w:tcPr>
            <w:tcW w:w="13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577,745 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613,296 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4" w:type="dxa"/>
            <w:gridSpan w:val="3"/>
            <w:tcBorders/>
            <w:vAlign w:val="center"/>
          </w:tcPr>
          <w:p>
            <w:pPr>
              <w:pStyle w:val="TableContents"/>
              <w:bidi w:val="0"/>
              <w:spacing w:before="0" w:after="283"/>
              <w:jc w:val="left"/>
              <w:rPr>
                <w:sz w:val="4"/>
                <w:szCs w:val="4"/>
              </w:rPr>
            </w:pPr>
            <w:r>
              <w:rPr>
                <w:sz w:val="4"/>
                <w:szCs w:val="4"/>
              </w:rPr>
            </w:r>
          </w:p>
        </w:tc>
        <w:tc>
          <w:tcPr>
            <w:tcW w:w="1496"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437" w:type="dxa"/>
            <w:gridSpan w:val="3"/>
            <w:tcBorders/>
            <w:vAlign w:val="center"/>
          </w:tcPr>
          <w:p>
            <w:pPr>
              <w:pStyle w:val="TableContents"/>
              <w:bidi w:val="0"/>
              <w:spacing w:before="0" w:after="283"/>
              <w:jc w:val="left"/>
              <w:rPr>
                <w:sz w:val="4"/>
                <w:szCs w:val="4"/>
              </w:rPr>
            </w:pPr>
            <w:r>
              <w:rPr>
                <w:sz w:val="4"/>
                <w:szCs w:val="4"/>
              </w:rPr>
            </w:r>
          </w:p>
        </w:tc>
      </w:tr>
      <w:tr>
        <w:trPr/>
        <w:tc>
          <w:tcPr>
            <w:tcW w:w="69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10,605,101 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10,546,187 </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depreciation and amortization (including $430,578 and $416,663 of consolidated variable interest entities, respectively)</w:t>
            </w:r>
          </w:p>
        </w:tc>
        <w:tc>
          <w:tcPr>
            <w:tcW w:w="13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(3,032,163)</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(2,963,519)</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real estate</w:t>
            </w:r>
          </w:p>
        </w:tc>
        <w:tc>
          <w:tcPr>
            <w:tcW w:w="13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7,572,938 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7,582,668 </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13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95,936 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250,825 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and notes receivable, net</w:t>
            </w:r>
          </w:p>
        </w:tc>
        <w:tc>
          <w:tcPr>
            <w:tcW w:w="13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207,650 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201,733 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Mortgage notes receivable, net</w:t>
            </w:r>
          </w:p>
        </w:tc>
        <w:tc>
          <w:tcPr>
            <w:tcW w:w="13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9,183 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9,196 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 in partnerships</w:t>
            </w:r>
          </w:p>
        </w:tc>
        <w:tc>
          <w:tcPr>
            <w:tcW w:w="13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33,687 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34,870 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 of use assets, net</w:t>
            </w:r>
          </w:p>
        </w:tc>
        <w:tc>
          <w:tcPr>
            <w:tcW w:w="13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86,359 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86,993 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right of use assets, net</w:t>
            </w:r>
          </w:p>
        </w:tc>
        <w:tc>
          <w:tcPr>
            <w:tcW w:w="13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6,795 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6,850 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assets</w:t>
            </w:r>
          </w:p>
        </w:tc>
        <w:tc>
          <w:tcPr>
            <w:tcW w:w="13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259,112 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263,377 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8,271,660 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8,436,512 </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 AND SHAREHOLDERS’ EQUITY</w:t>
            </w:r>
          </w:p>
        </w:tc>
        <w:tc>
          <w:tcPr>
            <w:tcW w:w="14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w:t>
            </w:r>
          </w:p>
        </w:tc>
        <w:tc>
          <w:tcPr>
            <w:tcW w:w="14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Mortgages payable, net (including $188,629 and $189,286 of consolidated variable interest entities, respectively)</w:t>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516,257 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516,936 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Notes payable, net</w:t>
            </w:r>
          </w:p>
        </w:tc>
        <w:tc>
          <w:tcPr>
            <w:tcW w:w="13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613,912 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601,945 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notes and debentures, net</w:t>
            </w:r>
          </w:p>
        </w:tc>
        <w:tc>
          <w:tcPr>
            <w:tcW w:w="13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3,353,228 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3,480,296 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and accrued expenses</w:t>
            </w:r>
          </w:p>
        </w:tc>
        <w:tc>
          <w:tcPr>
            <w:tcW w:w="13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185,594 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174,714 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payable</w:t>
            </w:r>
          </w:p>
        </w:tc>
        <w:tc>
          <w:tcPr>
            <w:tcW w:w="13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92,818 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92,634 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Security deposits payable</w:t>
            </w:r>
          </w:p>
        </w:tc>
        <w:tc>
          <w:tcPr>
            <w:tcW w:w="13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29,895 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30,482 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13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75,275 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75,870 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liabilities</w:t>
            </w:r>
          </w:p>
        </w:tc>
        <w:tc>
          <w:tcPr>
            <w:tcW w:w="13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12,698 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12,670 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 and deferred credits</w:t>
            </w:r>
          </w:p>
        </w:tc>
        <w:tc>
          <w:tcPr>
            <w:tcW w:w="13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213,027 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225,443 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13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5,092,704 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5,210,990 </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Commitments and contingencies</w:t>
            </w:r>
          </w:p>
        </w:tc>
        <w:tc>
          <w:tcPr>
            <w:tcW w:w="14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Redeemable noncontrolling interests</w:t>
            </w:r>
          </w:p>
        </w:tc>
        <w:tc>
          <w:tcPr>
            <w:tcW w:w="13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182,964 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183,363 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Shareholders’ equity</w:t>
            </w:r>
          </w:p>
        </w:tc>
        <w:tc>
          <w:tcPr>
            <w:tcW w:w="14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Preferred shares, authorized 15,000,000 shares, $.01 par:</w:t>
            </w:r>
          </w:p>
        </w:tc>
        <w:tc>
          <w:tcPr>
            <w:tcW w:w="14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5.0% Series C Cumulative Redeemable Preferred Shares, (stated at liquidation preference $25,000 per share), 6,000 shares issued and outstanding</w:t>
            </w:r>
          </w:p>
        </w:tc>
        <w:tc>
          <w:tcPr>
            <w:tcW w:w="13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150,000 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150,000 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5.417% Series 1 Cumulative Convertible Preferred Shares, (stated at liquidation preference $25 per share), $392,878 shares issued and outstanding</w:t>
            </w:r>
          </w:p>
        </w:tc>
        <w:tc>
          <w:tcPr>
            <w:tcW w:w="13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9,822 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9,822 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Common shares of beneficial interest, $.01 par, 200,000,000 shares authorized, respectively, 82,948,600 and 82,775,286 shares issued and outstanding, respectively</w:t>
            </w:r>
          </w:p>
        </w:tc>
        <w:tc>
          <w:tcPr>
            <w:tcW w:w="13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833 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13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3,946,740 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3,959,276 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dividends in excess of net income</w:t>
            </w:r>
          </w:p>
        </w:tc>
        <w:tc>
          <w:tcPr>
            <w:tcW w:w="13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(1,196,225)</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(1,160,474)</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income</w:t>
            </w:r>
          </w:p>
        </w:tc>
        <w:tc>
          <w:tcPr>
            <w:tcW w:w="13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6,899 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4,052 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shareholders’ equity of the Trust</w:t>
            </w:r>
          </w:p>
        </w:tc>
        <w:tc>
          <w:tcPr>
            <w:tcW w:w="13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2,918,071 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2,963,509 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Noncontrolling interests</w:t>
            </w:r>
          </w:p>
        </w:tc>
        <w:tc>
          <w:tcPr>
            <w:tcW w:w="13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77,921 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78,650 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shareholders’ equity</w:t>
            </w:r>
          </w:p>
        </w:tc>
        <w:tc>
          <w:tcPr>
            <w:tcW w:w="13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2,995,992 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3,042,159 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SHAREHOLDERS’ EQUITY</w:t>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8,271,660 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8,436,512 </w:t>
            </w:r>
          </w:p>
        </w:tc>
        <w:tc>
          <w:tcPr>
            <w:tcW w:w="1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before="0" w:after="0"/>
        <w:jc w:val="center"/>
        <w:rPr/>
      </w:pPr>
      <w:r>
        <w:rPr/>
      </w:r>
    </w:p>
    <w:tbl>
      <w:tblPr>
        <w:tblW w:w="9242" w:type="dxa"/>
        <w:jc w:val="center"/>
        <w:tblInd w:w="0" w:type="dxa"/>
        <w:tblLayout w:type="fixed"/>
        <w:tblCellMar>
          <w:top w:w="28" w:type="dxa"/>
          <w:left w:w="28" w:type="dxa"/>
          <w:bottom w:w="28" w:type="dxa"/>
          <w:right w:w="28" w:type="dxa"/>
        </w:tblCellMar>
      </w:tblPr>
      <w:tblGrid>
        <w:gridCol w:w="1843"/>
        <w:gridCol w:w="1615"/>
        <w:gridCol w:w="1627"/>
        <w:gridCol w:w="136"/>
        <w:gridCol w:w="136"/>
        <w:gridCol w:w="136"/>
        <w:gridCol w:w="263"/>
        <w:gridCol w:w="1032"/>
        <w:gridCol w:w="338"/>
        <w:gridCol w:w="109"/>
        <w:gridCol w:w="109"/>
        <w:gridCol w:w="109"/>
        <w:gridCol w:w="211"/>
        <w:gridCol w:w="826"/>
        <w:gridCol w:w="271"/>
        <w:gridCol w:w="109"/>
        <w:gridCol w:w="109"/>
        <w:gridCol w:w="109"/>
        <w:gridCol w:w="154"/>
      </w:tblGrid>
      <w:tr>
        <w:trPr/>
        <w:tc>
          <w:tcPr>
            <w:tcW w:w="1843" w:type="dxa"/>
            <w:tcBorders/>
            <w:vAlign w:val="center"/>
          </w:tcPr>
          <w:p>
            <w:pPr>
              <w:pStyle w:val="TableContents"/>
              <w:bidi w:val="0"/>
              <w:spacing w:before="0" w:after="283"/>
              <w:jc w:val="left"/>
              <w:rPr>
                <w:sz w:val="4"/>
                <w:szCs w:val="4"/>
              </w:rPr>
            </w:pPr>
            <w:r>
              <w:rPr>
                <w:sz w:val="4"/>
                <w:szCs w:val="4"/>
              </w:rPr>
            </w:r>
          </w:p>
        </w:tc>
        <w:tc>
          <w:tcPr>
            <w:tcW w:w="1615" w:type="dxa"/>
            <w:tcBorders/>
            <w:vAlign w:val="center"/>
          </w:tcPr>
          <w:p>
            <w:pPr>
              <w:pStyle w:val="TableContents"/>
              <w:bidi w:val="0"/>
              <w:spacing w:before="0" w:after="283"/>
              <w:jc w:val="left"/>
              <w:rPr>
                <w:sz w:val="4"/>
                <w:szCs w:val="4"/>
              </w:rPr>
            </w:pPr>
            <w:r>
              <w:rPr>
                <w:sz w:val="4"/>
                <w:szCs w:val="4"/>
              </w:rPr>
            </w:r>
          </w:p>
        </w:tc>
        <w:tc>
          <w:tcPr>
            <w:tcW w:w="1627"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Federal Realty Investment Trust</w:t>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761"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Funds From Operations / Other Supplemental Information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0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March 31, 2024</w:t>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 except per share data)</w:t>
            </w:r>
          </w:p>
        </w:tc>
        <w:tc>
          <w:tcPr>
            <w:tcW w:w="481" w:type="dxa"/>
            <w:gridSpan w:val="4"/>
            <w:tcBorders/>
          </w:tcPr>
          <w:p>
            <w:pPr>
              <w:pStyle w:val="TableContents"/>
              <w:bidi w:val="0"/>
              <w:spacing w:before="0" w:after="283"/>
              <w:jc w:val="left"/>
              <w:rPr>
                <w:sz w:val="4"/>
                <w:szCs w:val="4"/>
              </w:rPr>
            </w:pPr>
            <w:r>
              <w:rPr>
                <w:sz w:val="4"/>
                <w:szCs w:val="4"/>
              </w:rPr>
            </w:r>
          </w:p>
        </w:tc>
      </w:tr>
      <w:tr>
        <w:trPr/>
        <w:tc>
          <w:tcPr>
            <w:tcW w:w="7126"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Funds from Operations available for common shareholders (FFO)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58,016 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57,731 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noncontrolling interests</w:t>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(1,280)</w:t>
            </w:r>
          </w:p>
        </w:tc>
        <w:tc>
          <w:tcPr>
            <w:tcW w:w="3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(2,396)</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85"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6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sale of real estate</w:t>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85"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6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 of real estate assets</w:t>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73,938 </w:t>
            </w:r>
          </w:p>
        </w:tc>
        <w:tc>
          <w:tcPr>
            <w:tcW w:w="3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70,504 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initial direct costs of leases</w:t>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7,737 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7,785 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85"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6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Funds from operations</w:t>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138,411 </w:t>
            </w:r>
          </w:p>
        </w:tc>
        <w:tc>
          <w:tcPr>
            <w:tcW w:w="3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131,922 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on preferred shares (2)</w:t>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(1,875)</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attributable to downREIT operating partnership units</w:t>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692 </w:t>
            </w:r>
          </w:p>
        </w:tc>
        <w:tc>
          <w:tcPr>
            <w:tcW w:w="3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attributable to unvested shares</w:t>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FFO</w:t>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136,725 </w:t>
            </w:r>
          </w:p>
        </w:tc>
        <w:tc>
          <w:tcPr>
            <w:tcW w:w="3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130,258 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85"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6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85"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6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number of common shares, diluted (2)(3)</w:t>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83,334 </w:t>
            </w:r>
          </w:p>
        </w:tc>
        <w:tc>
          <w:tcPr>
            <w:tcW w:w="33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81,877 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FFO per diluted share (3)</w:t>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85"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6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85"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6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Dividends and Payout Ratios</w:t>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Regular common dividends declared</w:t>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90,479 </w:t>
            </w:r>
          </w:p>
        </w:tc>
        <w:tc>
          <w:tcPr>
            <w:tcW w:w="3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88,033 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 payout ratio as a percentage of FFO</w:t>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66 </w:t>
            </w:r>
          </w:p>
        </w:tc>
        <w:tc>
          <w:tcPr>
            <w:tcW w:w="3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Summary of Capital Expenditures</w:t>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Non-maintenance capital expenditures</w:t>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Development, redevelopment and expansions</w:t>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38,250 </w:t>
            </w:r>
          </w:p>
        </w:tc>
        <w:tc>
          <w:tcPr>
            <w:tcW w:w="3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55,854 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Tenant improvements and incentives</w:t>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24,535 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19,995 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non-maintenance capital expenditures</w:t>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62,785 </w:t>
            </w:r>
          </w:p>
        </w:tc>
        <w:tc>
          <w:tcPr>
            <w:tcW w:w="3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75,849 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Maintenance capital expenditures</w:t>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3,215 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capital expenditures</w:t>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66,000 </w:t>
            </w:r>
          </w:p>
        </w:tc>
        <w:tc>
          <w:tcPr>
            <w:tcW w:w="3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80,126 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Other Information</w:t>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Leasing costs</w:t>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6,412 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 expense (non-cash)</w:t>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4,160 </w:t>
            </w:r>
          </w:p>
        </w:tc>
        <w:tc>
          <w:tcPr>
            <w:tcW w:w="3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Noncontrolling Interests Supplemental Information (4)</w:t>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operating income (1)</w:t>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2,566 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85"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6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(1,816)</w:t>
            </w:r>
          </w:p>
        </w:tc>
        <w:tc>
          <w:tcPr>
            <w:tcW w:w="3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(1,825)</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588 </w:t>
            </w:r>
          </w:p>
        </w:tc>
        <w:tc>
          <w:tcPr>
            <w:tcW w:w="3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1,702 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85"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6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85"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6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85"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6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85" w:type="dxa"/>
            <w:gridSpan w:val="3"/>
            <w:tcBorders/>
            <w:vAlign w:val="center"/>
          </w:tcPr>
          <w:p>
            <w:pPr>
              <w:pStyle w:val="TableContents"/>
              <w:bidi w:val="0"/>
              <w:spacing w:before="0" w:after="283"/>
              <w:jc w:val="left"/>
              <w:rPr>
                <w:sz w:val="4"/>
                <w:szCs w:val="4"/>
              </w:rPr>
            </w:pPr>
            <w:r>
              <w:rPr>
                <w:sz w:val="4"/>
                <w:szCs w:val="4"/>
              </w:rPr>
            </w:r>
          </w:p>
        </w:tc>
        <w:tc>
          <w:tcPr>
            <w:tcW w:w="408" w:type="dxa"/>
            <w:gridSpan w:val="3"/>
            <w:tcBorders/>
            <w:vAlign w:val="center"/>
          </w:tcPr>
          <w:p>
            <w:pPr>
              <w:pStyle w:val="TableContents"/>
              <w:bidi w:val="0"/>
              <w:spacing w:before="0" w:after="283"/>
              <w:jc w:val="left"/>
              <w:rPr>
                <w:sz w:val="4"/>
                <w:szCs w:val="4"/>
              </w:rPr>
            </w:pPr>
            <w:r>
              <w:rPr>
                <w:sz w:val="4"/>
                <w:szCs w:val="4"/>
              </w:rPr>
            </w:r>
          </w:p>
        </w:tc>
        <w:tc>
          <w:tcPr>
            <w:tcW w:w="16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left"/>
        <w:rPr>
          <w:rFonts w:ascii="Times New Roman;sans-serif" w:hAnsi="Times New Roman;sans-serif"/>
          <w:b w:val="false"/>
          <w:color w:val="000000"/>
          <w:sz w:val="18"/>
          <w:u w:val="single"/>
        </w:rPr>
      </w:pPr>
      <w:r>
        <w:rPr>
          <w:rFonts w:ascii="Times New Roman;sans-serif" w:hAnsi="Times New Roman;sans-serif"/>
          <w:b w:val="false"/>
          <w:color w:val="000000"/>
          <w:sz w:val="18"/>
          <w:u w:val="single"/>
        </w:rPr>
        <w:t>Notes:</w:t>
      </w:r>
    </w:p>
    <w:p>
      <w:pPr>
        <w:pStyle w:val="TextBody"/>
        <w:bidi w:val="0"/>
        <w:spacing w:lineRule="auto" w:line="288" w:before="60" w:after="283"/>
        <w:ind w:left="0" w:right="0" w:hanging="720"/>
        <w:jc w:val="left"/>
        <w:rPr>
          <w:rFonts w:ascii="Times New Roman;sans-serif" w:hAnsi="Times New Roman;sans-serif"/>
          <w:b w:val="false"/>
          <w:color w:val="000000"/>
          <w:sz w:val="18"/>
        </w:rPr>
      </w:pPr>
      <w:r>
        <w:rPr>
          <w:rFonts w:ascii="Times New Roman;sans-serif" w:hAnsi="Times New Roman;sans-serif"/>
          <w:b w:val="false"/>
          <w:color w:val="000000"/>
          <w:sz w:val="18"/>
        </w:rPr>
        <w:t>(1)See Glossary of Terms.</w:t>
      </w:r>
    </w:p>
    <w:p>
      <w:pPr>
        <w:pStyle w:val="TextBody"/>
        <w:bidi w:val="0"/>
        <w:spacing w:lineRule="auto" w:line="288" w:before="60" w:after="283"/>
        <w:ind w:left="0" w:right="0" w:hanging="720"/>
        <w:jc w:val="left"/>
        <w:rPr/>
      </w:pPr>
      <w:r>
        <w:rPr>
          <w:rFonts w:ascii="Times New Roman;sans-serif" w:hAnsi="Times New Roman;sans-serif"/>
          <w:b w:val="false"/>
          <w:color w:val="000000"/>
          <w:sz w:val="19"/>
        </w:rPr>
        <w:t>(2)</w:t>
      </w:r>
      <w:r>
        <w:rPr>
          <w:rFonts w:ascii="Times New Roman;sans-serif" w:hAnsi="Times New Roman;sans-serif"/>
          <w:b w:val="false"/>
          <w:color w:val="000000"/>
          <w:sz w:val="18"/>
        </w:rPr>
        <w:t xml:space="preserve">For the three months ended March 31, 2024 and 2023, dividends on our Series 1 preferred stock were not deducted in the calculation of FFO available to common shareholders, as the related shares were dilutive and are included in "weighted average number of common shares, diluted." </w:t>
      </w:r>
    </w:p>
    <w:p>
      <w:pPr>
        <w:pStyle w:val="TextBody"/>
        <w:bidi w:val="0"/>
        <w:spacing w:lineRule="auto" w:line="288" w:before="60" w:after="283"/>
        <w:ind w:left="0" w:right="0" w:hanging="720"/>
        <w:jc w:val="left"/>
        <w:rPr/>
      </w:pPr>
      <w:r>
        <w:rPr>
          <w:rFonts w:ascii="Times New Roman;sans-serif" w:hAnsi="Times New Roman;sans-serif"/>
          <w:b w:val="false"/>
          <w:color w:val="000000"/>
          <w:sz w:val="19"/>
        </w:rPr>
        <w:t>(3)</w:t>
      </w:r>
      <w:r>
        <w:rPr>
          <w:rFonts w:ascii="Times New Roman;sans-serif" w:hAnsi="Times New Roman;sans-serif"/>
          <w:b w:val="false"/>
          <w:color w:val="000000"/>
          <w:sz w:val="18"/>
        </w:rPr>
        <w:t>The weighted average common shares used to compute FFO per diluted common share includes downREIT operating partnership units that were excluded from the computation of diluted EPS. Conversion of these operating partnership units is dilutive in the computation of FFO per diluted share, but is anti-dilutive for the computation of dilutive EPS for both the three months ended March 31, 2024 and 2023.</w:t>
      </w:r>
    </w:p>
    <w:p>
      <w:pPr>
        <w:pStyle w:val="TextBody"/>
        <w:bidi w:val="0"/>
        <w:spacing w:lineRule="auto" w:line="288" w:before="60" w:after="283"/>
        <w:ind w:left="0" w:right="0" w:hanging="720"/>
        <w:jc w:val="left"/>
        <w:rPr>
          <w:rFonts w:ascii="Times New Roman;sans-serif" w:hAnsi="Times New Roman;sans-serif"/>
          <w:b w:val="false"/>
          <w:color w:val="000000"/>
          <w:sz w:val="18"/>
        </w:rPr>
      </w:pPr>
      <w:r>
        <w:rPr>
          <w:rFonts w:ascii="Times New Roman;sans-serif" w:hAnsi="Times New Roman;sans-serif"/>
          <w:b w:val="false"/>
          <w:color w:val="000000"/>
          <w:sz w:val="18"/>
        </w:rPr>
        <w:t>(4)Amounts reflect the components of "net income attributable to noncontrolling interests," but excludes "income attributable to downREIT operating partnership units."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tbl>
      <w:tblPr>
        <w:tblW w:w="6025" w:type="dxa"/>
        <w:jc w:val="center"/>
        <w:tblInd w:w="0" w:type="dxa"/>
        <w:tblLayout w:type="fixed"/>
        <w:tblCellMar>
          <w:top w:w="28" w:type="dxa"/>
          <w:left w:w="28" w:type="dxa"/>
          <w:bottom w:w="28" w:type="dxa"/>
          <w:right w:w="28" w:type="dxa"/>
        </w:tblCellMar>
      </w:tblPr>
      <w:tblGrid>
        <w:gridCol w:w="540"/>
        <w:gridCol w:w="476"/>
        <w:gridCol w:w="476"/>
        <w:gridCol w:w="476"/>
        <w:gridCol w:w="476"/>
        <w:gridCol w:w="481"/>
        <w:gridCol w:w="211"/>
        <w:gridCol w:w="826"/>
        <w:gridCol w:w="109"/>
        <w:gridCol w:w="109"/>
        <w:gridCol w:w="109"/>
        <w:gridCol w:w="109"/>
        <w:gridCol w:w="211"/>
        <w:gridCol w:w="826"/>
        <w:gridCol w:w="109"/>
        <w:gridCol w:w="109"/>
        <w:gridCol w:w="109"/>
        <w:gridCol w:w="109"/>
        <w:gridCol w:w="154"/>
      </w:tblGrid>
      <w:tr>
        <w:trPr/>
        <w:tc>
          <w:tcPr>
            <w:tcW w:w="540"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Federal Realty Investment Trust</w:t>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Components of Rental Income</w:t>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March 31, 2024</w:t>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Components of Rental Income (1)</w:t>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481" w:type="dxa"/>
            <w:gridSpan w:val="4"/>
            <w:tcBorders/>
          </w:tcPr>
          <w:p>
            <w:pPr>
              <w:pStyle w:val="TableContents"/>
              <w:bidi w:val="0"/>
              <w:spacing w:before="0" w:after="283"/>
              <w:jc w:val="left"/>
              <w:rPr>
                <w:sz w:val="4"/>
                <w:szCs w:val="4"/>
              </w:rPr>
            </w:pPr>
            <w:r>
              <w:rPr>
                <w:sz w:val="4"/>
                <w:szCs w:val="4"/>
              </w:rPr>
            </w:r>
          </w:p>
        </w:tc>
      </w:tr>
      <w:tr>
        <w:trPr/>
        <w:tc>
          <w:tcPr>
            <w:tcW w:w="2925"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Minimum rents (2)</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5"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Commercial</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192,937 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181,342 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5"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Residential</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26,519 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24,550 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5"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Cost reimbursements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56,559 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50,724 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5"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Percentage rents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4,775 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4,536 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5"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Other (3)</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12,228 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12,040 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5"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Collectibility related impacts (4)</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(1,973)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25"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Total rental income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291,045 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272,798 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19"/>
          <w:u w:val="single"/>
        </w:rPr>
      </w:pPr>
      <w:r>
        <w:rPr>
          <w:rFonts w:ascii="Times New Roman;sans-serif" w:hAnsi="Times New Roman;sans-serif"/>
          <w:b w:val="false"/>
          <w:color w:val="000000"/>
          <w:sz w:val="19"/>
          <w:u w:val="single"/>
        </w:rPr>
        <w:t>Notes:</w:t>
      </w:r>
    </w:p>
    <w:p>
      <w:pPr>
        <w:pStyle w:val="TextBody"/>
        <w:bidi w:val="0"/>
        <w:spacing w:lineRule="auto" w:line="288" w:before="60" w:after="283"/>
        <w:ind w:left="0" w:right="0" w:hanging="720"/>
        <w:jc w:val="left"/>
        <w:rPr>
          <w:rFonts w:ascii="Times New Roman;sans-serif" w:hAnsi="Times New Roman;sans-serif"/>
          <w:b w:val="false"/>
          <w:color w:val="000000"/>
          <w:sz w:val="19"/>
        </w:rPr>
      </w:pPr>
      <w:r>
        <w:rPr>
          <w:rFonts w:ascii="Times New Roman;sans-serif" w:hAnsi="Times New Roman;sans-serif"/>
          <w:b w:val="false"/>
          <w:color w:val="000000"/>
          <w:sz w:val="19"/>
        </w:rPr>
        <w:t>(1)All income from tenant leases is reported as a single line item called "rental income." We have provided the above supplemental information with a breakout of the contractual components of the rental income line, however, these breakouts are provided for informational purposes only and should be considered a non-GAAP presentation.</w:t>
      </w:r>
    </w:p>
    <w:p>
      <w:pPr>
        <w:pStyle w:val="TextBody"/>
        <w:bidi w:val="0"/>
        <w:spacing w:lineRule="auto" w:line="288" w:before="60" w:after="283"/>
        <w:ind w:left="0" w:right="0" w:hanging="720"/>
        <w:jc w:val="left"/>
        <w:rPr>
          <w:rFonts w:ascii="Times New Roman;sans-serif" w:hAnsi="Times New Roman;sans-serif"/>
          <w:b w:val="false"/>
          <w:color w:val="000000"/>
          <w:sz w:val="19"/>
        </w:rPr>
      </w:pPr>
      <w:r>
        <w:rPr>
          <w:rFonts w:ascii="Times New Roman;sans-serif" w:hAnsi="Times New Roman;sans-serif"/>
          <w:b w:val="false"/>
          <w:color w:val="000000"/>
          <w:sz w:val="19"/>
        </w:rPr>
        <w:t>(2)Minimum rents include the following:</w:t>
      </w:r>
    </w:p>
    <w:tbl>
      <w:tblPr>
        <w:tblW w:w="5226" w:type="dxa"/>
        <w:jc w:val="center"/>
        <w:tblInd w:w="0" w:type="dxa"/>
        <w:tblLayout w:type="fixed"/>
        <w:tblCellMar>
          <w:top w:w="28" w:type="dxa"/>
          <w:left w:w="28" w:type="dxa"/>
          <w:bottom w:w="28" w:type="dxa"/>
          <w:right w:w="28" w:type="dxa"/>
        </w:tblCellMar>
      </w:tblPr>
      <w:tblGrid>
        <w:gridCol w:w="124"/>
        <w:gridCol w:w="109"/>
        <w:gridCol w:w="109"/>
        <w:gridCol w:w="436"/>
        <w:gridCol w:w="436"/>
        <w:gridCol w:w="436"/>
        <w:gridCol w:w="436"/>
        <w:gridCol w:w="436"/>
        <w:gridCol w:w="444"/>
        <w:gridCol w:w="211"/>
        <w:gridCol w:w="406"/>
        <w:gridCol w:w="109"/>
        <w:gridCol w:w="109"/>
        <w:gridCol w:w="109"/>
        <w:gridCol w:w="109"/>
        <w:gridCol w:w="211"/>
        <w:gridCol w:w="406"/>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millions)</w:t>
            </w:r>
          </w:p>
        </w:tc>
        <w:tc>
          <w:tcPr>
            <w:tcW w:w="481" w:type="dxa"/>
            <w:gridSpan w:val="4"/>
            <w:tcBorders/>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Straight-line rents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Amortization of in-place leases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9"/>
              </w:rPr>
            </w:pPr>
            <w:r>
              <w:rPr>
                <w:rFonts w:ascii="Times New Roman;sans-serif" w:hAnsi="Times New Roman;sans-serif"/>
                <w:b w:val="false"/>
                <w:color w:val="000000"/>
                <w:sz w:val="19"/>
              </w:rPr>
              <w:t>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720"/>
        <w:jc w:val="left"/>
        <w:rPr>
          <w:rFonts w:ascii="Times New Roman;sans-serif" w:hAnsi="Times New Roman;sans-serif"/>
          <w:b w:val="false"/>
          <w:color w:val="000000"/>
          <w:sz w:val="19"/>
        </w:rPr>
      </w:pPr>
      <w:r>
        <w:rPr>
          <w:rFonts w:ascii="Times New Roman;sans-serif" w:hAnsi="Times New Roman;sans-serif"/>
          <w:b w:val="false"/>
          <w:color w:val="000000"/>
          <w:sz w:val="19"/>
        </w:rPr>
        <w:t>(3)Includes lease termination fees of $0.7 million and $1.6 million for the three months ended March 31, 2024 and 2023, respectively.</w:t>
      </w:r>
    </w:p>
    <w:p>
      <w:pPr>
        <w:pStyle w:val="TextBody"/>
        <w:bidi w:val="0"/>
        <w:spacing w:lineRule="auto" w:line="288" w:before="60" w:after="283"/>
        <w:ind w:left="0" w:right="0" w:hanging="720"/>
        <w:jc w:val="left"/>
        <w:rPr>
          <w:rFonts w:ascii="Times New Roman;sans-serif" w:hAnsi="Times New Roman;sans-serif"/>
          <w:b w:val="false"/>
          <w:color w:val="000000"/>
          <w:sz w:val="19"/>
        </w:rPr>
      </w:pPr>
      <w:r>
        <w:rPr>
          <w:rFonts w:ascii="Times New Roman;sans-serif" w:hAnsi="Times New Roman;sans-serif"/>
          <w:b w:val="false"/>
          <w:color w:val="000000"/>
          <w:sz w:val="19"/>
        </w:rPr>
        <w:t>(4)Our collectability related impacts include the collection of approximately $0.9 million and $1.5 million, for the three months ended March 31, 2024 and 2023, respectively, of prior period rents which were contractually deferred or payments renegotiated specifically related to the COVID-19 pandemic.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1574"/>
        <w:gridCol w:w="1065"/>
        <w:gridCol w:w="1073"/>
        <w:gridCol w:w="392"/>
        <w:gridCol w:w="1373"/>
        <w:gridCol w:w="203"/>
        <w:gridCol w:w="203"/>
        <w:gridCol w:w="203"/>
        <w:gridCol w:w="203"/>
        <w:gridCol w:w="392"/>
        <w:gridCol w:w="1373"/>
        <w:gridCol w:w="203"/>
        <w:gridCol w:w="510"/>
        <w:gridCol w:w="203"/>
        <w:gridCol w:w="203"/>
        <w:gridCol w:w="109"/>
        <w:gridCol w:w="109"/>
        <w:gridCol w:w="109"/>
        <w:gridCol w:w="109"/>
        <w:gridCol w:w="109"/>
        <w:gridCol w:w="109"/>
        <w:gridCol w:w="109"/>
        <w:gridCol w:w="109"/>
        <w:gridCol w:w="160"/>
      </w:tblGrid>
      <w:tr>
        <w:trPr/>
        <w:tc>
          <w:tcPr>
            <w:tcW w:w="1574"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37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37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7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Federal Realty Investment Trust</w:t>
            </w:r>
          </w:p>
        </w:tc>
        <w:tc>
          <w:tcPr>
            <w:tcW w:w="19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7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Comparable Property Information</w:t>
            </w:r>
          </w:p>
        </w:tc>
        <w:tc>
          <w:tcPr>
            <w:tcW w:w="19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7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7"/>
              </w:rPr>
            </w:pPr>
            <w:r>
              <w:rPr>
                <w:rFonts w:ascii="Times New Roman;sans-serif" w:hAnsi="Times New Roman;sans-serif"/>
                <w:b/>
                <w:color w:val="000000"/>
                <w:sz w:val="17"/>
              </w:rPr>
              <w:t>March 31, 2024</w:t>
            </w:r>
          </w:p>
        </w:tc>
        <w:tc>
          <w:tcPr>
            <w:tcW w:w="19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9173"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The following information is being provided for “Comparable Properties.” Comparable Properties represents our consolidated property portfolio other than those properties that distort comparability between periods in two primary categories: (1) assets that were not owned for the full quarter in both periods presented and (2) assets currently under development or being repositioned for significant redevelopment and investment. The assets excluded from Comparable Properties in Q1 include: Darien Commons, Friendship Center, Huntington Shopping Center, Pike &amp; Rose Phase IV, Willow Grove Shopping Center, and all properties acquired, disposed of, or not consolidated from Q1 2023 to Q1 2024. Comparable Property property operating income ("Comparable Property POI") is a non-GAAP measure used by management in evaluating the operating performance of our properties period over period.</w:t>
            </w:r>
          </w:p>
        </w:tc>
        <w:tc>
          <w:tcPr>
            <w:tcW w:w="1032" w:type="dxa"/>
            <w:gridSpan w:val="9"/>
            <w:tcBorders/>
          </w:tcPr>
          <w:p>
            <w:pPr>
              <w:pStyle w:val="TableContents"/>
              <w:bidi w:val="0"/>
              <w:spacing w:before="0" w:after="283"/>
              <w:jc w:val="left"/>
              <w:rPr>
                <w:sz w:val="4"/>
                <w:szCs w:val="4"/>
              </w:rPr>
            </w:pPr>
            <w:r>
              <w:rPr>
                <w:sz w:val="4"/>
                <w:szCs w:val="4"/>
              </w:rPr>
            </w:r>
          </w:p>
        </w:tc>
      </w:tr>
      <w:tr>
        <w:trPr/>
        <w:tc>
          <w:tcPr>
            <w:tcW w:w="3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9173"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7"/>
                <w:u w:val="single"/>
              </w:rPr>
            </w:pPr>
            <w:r>
              <w:rPr>
                <w:rFonts w:ascii="Times New Roman;sans-serif" w:hAnsi="Times New Roman;sans-serif"/>
                <w:b w:val="false"/>
                <w:i/>
                <w:color w:val="000000"/>
                <w:sz w:val="17"/>
                <w:u w:val="single"/>
              </w:rPr>
              <w:t>Reconciliation of GAAP operating income to Comparable Property POI</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Three Months Ended</w:t>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7" w:type="dxa"/>
            <w:gridSpan w:val="4"/>
            <w:tcBorders/>
          </w:tcPr>
          <w:p>
            <w:pPr>
              <w:pStyle w:val="TableContents"/>
              <w:bidi w:val="0"/>
              <w:spacing w:before="0" w:after="283"/>
              <w:jc w:val="left"/>
              <w:rPr>
                <w:sz w:val="4"/>
                <w:szCs w:val="4"/>
              </w:rPr>
            </w:pPr>
            <w:r>
              <w:rPr>
                <w:sz w:val="4"/>
                <w:szCs w:val="4"/>
              </w:rPr>
            </w:r>
          </w:p>
        </w:tc>
      </w:tr>
      <w:tr>
        <w:trPr/>
        <w:tc>
          <w:tcPr>
            <w:tcW w:w="3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March 31,</w:t>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7" w:type="dxa"/>
            <w:gridSpan w:val="4"/>
            <w:tcBorders/>
          </w:tcPr>
          <w:p>
            <w:pPr>
              <w:pStyle w:val="TableContents"/>
              <w:bidi w:val="0"/>
              <w:spacing w:before="0" w:after="283"/>
              <w:jc w:val="left"/>
              <w:rPr>
                <w:sz w:val="4"/>
                <w:szCs w:val="4"/>
              </w:rPr>
            </w:pPr>
            <w:r>
              <w:rPr>
                <w:sz w:val="4"/>
                <w:szCs w:val="4"/>
              </w:rPr>
            </w:r>
          </w:p>
        </w:tc>
      </w:tr>
      <w:tr>
        <w:trPr/>
        <w:tc>
          <w:tcPr>
            <w:tcW w:w="3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2024</w:t>
            </w:r>
          </w:p>
        </w:tc>
        <w:tc>
          <w:tcPr>
            <w:tcW w:w="6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2023</w:t>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(in thousands)</w:t>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7" w:type="dxa"/>
            <w:gridSpan w:val="4"/>
            <w:tcBorders/>
          </w:tcPr>
          <w:p>
            <w:pPr>
              <w:pStyle w:val="TableContents"/>
              <w:bidi w:val="0"/>
              <w:spacing w:before="0" w:after="283"/>
              <w:jc w:val="left"/>
              <w:rPr>
                <w:sz w:val="4"/>
                <w:szCs w:val="4"/>
              </w:rPr>
            </w:pPr>
            <w:r>
              <w:rPr>
                <w:sz w:val="4"/>
                <w:szCs w:val="4"/>
              </w:rPr>
            </w:r>
          </w:p>
        </w:tc>
      </w:tr>
      <w:tr>
        <w:trPr/>
        <w:tc>
          <w:tcPr>
            <w:tcW w:w="37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Operating income</w:t>
            </w:r>
          </w:p>
        </w:tc>
        <w:tc>
          <w:tcPr>
            <w:tcW w:w="39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3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100,194 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3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95,808 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7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 xml:space="preserve">Add: </w:t>
            </w:r>
          </w:p>
        </w:tc>
        <w:tc>
          <w:tcPr>
            <w:tcW w:w="19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7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Depreciation and amortization</w:t>
            </w:r>
          </w:p>
        </w:tc>
        <w:tc>
          <w:tcPr>
            <w:tcW w:w="1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83,404 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78,637 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7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General and administrative</w:t>
            </w:r>
          </w:p>
        </w:tc>
        <w:tc>
          <w:tcPr>
            <w:tcW w:w="1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12,006 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12,545 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712" w:type="dxa"/>
            <w:gridSpan w:val="3"/>
            <w:tcBorders/>
            <w:vAlign w:val="center"/>
          </w:tcPr>
          <w:p>
            <w:pPr>
              <w:pStyle w:val="TableContents"/>
              <w:bidi w:val="0"/>
              <w:spacing w:before="0" w:after="283"/>
              <w:jc w:val="left"/>
              <w:rPr>
                <w:sz w:val="4"/>
                <w:szCs w:val="4"/>
              </w:rPr>
            </w:pPr>
            <w:r>
              <w:rPr>
                <w:sz w:val="4"/>
                <w:szCs w:val="4"/>
              </w:rPr>
            </w:r>
          </w:p>
        </w:tc>
        <w:tc>
          <w:tcPr>
            <w:tcW w:w="1968" w:type="dxa"/>
            <w:gridSpan w:val="3"/>
            <w:tcBorders/>
            <w:vAlign w:val="center"/>
          </w:tcPr>
          <w:p>
            <w:pPr>
              <w:pStyle w:val="TableContents"/>
              <w:bidi w:val="0"/>
              <w:spacing w:before="0" w:after="283"/>
              <w:jc w:val="left"/>
              <w:rPr>
                <w:sz w:val="4"/>
                <w:szCs w:val="4"/>
              </w:rPr>
            </w:pPr>
            <w:r>
              <w:rPr>
                <w:sz w:val="4"/>
                <w:szCs w:val="4"/>
              </w:rPr>
            </w:r>
          </w:p>
        </w:tc>
        <w:tc>
          <w:tcPr>
            <w:tcW w:w="609" w:type="dxa"/>
            <w:gridSpan w:val="3"/>
            <w:tcBorders/>
            <w:vAlign w:val="center"/>
          </w:tcPr>
          <w:p>
            <w:pPr>
              <w:pStyle w:val="TableContents"/>
              <w:bidi w:val="0"/>
              <w:spacing w:before="0" w:after="283"/>
              <w:jc w:val="left"/>
              <w:rPr>
                <w:sz w:val="4"/>
                <w:szCs w:val="4"/>
              </w:rPr>
            </w:pPr>
            <w:r>
              <w:rPr>
                <w:sz w:val="4"/>
                <w:szCs w:val="4"/>
              </w:rPr>
            </w:r>
          </w:p>
        </w:tc>
        <w:tc>
          <w:tcPr>
            <w:tcW w:w="1968"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712" w:type="dxa"/>
            <w:gridSpan w:val="3"/>
            <w:tcBorders/>
            <w:vAlign w:val="center"/>
          </w:tcPr>
          <w:p>
            <w:pPr>
              <w:pStyle w:val="TableContents"/>
              <w:bidi w:val="0"/>
              <w:spacing w:before="0" w:after="283"/>
              <w:jc w:val="left"/>
              <w:rPr>
                <w:sz w:val="4"/>
                <w:szCs w:val="4"/>
              </w:rPr>
            </w:pPr>
            <w:r>
              <w:rPr>
                <w:sz w:val="4"/>
                <w:szCs w:val="4"/>
              </w:rPr>
            </w:r>
          </w:p>
        </w:tc>
        <w:tc>
          <w:tcPr>
            <w:tcW w:w="1968" w:type="dxa"/>
            <w:gridSpan w:val="3"/>
            <w:tcBorders/>
            <w:vAlign w:val="center"/>
          </w:tcPr>
          <w:p>
            <w:pPr>
              <w:pStyle w:val="TableContents"/>
              <w:bidi w:val="0"/>
              <w:spacing w:before="0" w:after="283"/>
              <w:jc w:val="left"/>
              <w:rPr>
                <w:sz w:val="4"/>
                <w:szCs w:val="4"/>
              </w:rPr>
            </w:pPr>
            <w:r>
              <w:rPr>
                <w:sz w:val="4"/>
                <w:szCs w:val="4"/>
              </w:rPr>
            </w:r>
          </w:p>
        </w:tc>
        <w:tc>
          <w:tcPr>
            <w:tcW w:w="609" w:type="dxa"/>
            <w:gridSpan w:val="3"/>
            <w:tcBorders/>
            <w:vAlign w:val="center"/>
          </w:tcPr>
          <w:p>
            <w:pPr>
              <w:pStyle w:val="TableContents"/>
              <w:bidi w:val="0"/>
              <w:spacing w:before="0" w:after="283"/>
              <w:jc w:val="left"/>
              <w:rPr>
                <w:sz w:val="4"/>
                <w:szCs w:val="4"/>
              </w:rPr>
            </w:pPr>
            <w:r>
              <w:rPr>
                <w:sz w:val="4"/>
                <w:szCs w:val="4"/>
              </w:rPr>
            </w:r>
          </w:p>
        </w:tc>
        <w:tc>
          <w:tcPr>
            <w:tcW w:w="1968"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7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Gain on sale of real estate</w:t>
            </w:r>
          </w:p>
        </w:tc>
        <w:tc>
          <w:tcPr>
            <w:tcW w:w="1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(1,702)</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7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Property operating income (POI)</w:t>
            </w:r>
          </w:p>
        </w:tc>
        <w:tc>
          <w:tcPr>
            <w:tcW w:w="17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195,604 </w:t>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185,288 </w:t>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7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Less: Non-comparable POI - acquisitions/dispositions</w:t>
            </w:r>
          </w:p>
        </w:tc>
        <w:tc>
          <w:tcPr>
            <w:tcW w:w="1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(905)</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(820)</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7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Less: Non-comparable POI - redevelopment, development &amp; other</w:t>
            </w:r>
          </w:p>
        </w:tc>
        <w:tc>
          <w:tcPr>
            <w:tcW w:w="1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(7,549)</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(2,706)</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7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Comparable property POI</w:t>
            </w:r>
          </w:p>
        </w:tc>
        <w:tc>
          <w:tcPr>
            <w:tcW w:w="3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3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187,150 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3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181,762 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9173"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7"/>
                <w:u w:val="single"/>
              </w:rPr>
            </w:pPr>
            <w:r>
              <w:rPr>
                <w:rFonts w:ascii="Times New Roman;sans-serif" w:hAnsi="Times New Roman;sans-serif"/>
                <w:b w:val="false"/>
                <w:i/>
                <w:color w:val="000000"/>
                <w:sz w:val="17"/>
                <w:u w:val="single"/>
              </w:rPr>
              <w:t>Additional information regarding the components of Comparable Property POI</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Three Months Ended</w:t>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7" w:type="dxa"/>
            <w:gridSpan w:val="4"/>
            <w:tcBorders/>
          </w:tcPr>
          <w:p>
            <w:pPr>
              <w:pStyle w:val="TableContents"/>
              <w:bidi w:val="0"/>
              <w:spacing w:before="0" w:after="283"/>
              <w:jc w:val="left"/>
              <w:rPr>
                <w:sz w:val="4"/>
                <w:szCs w:val="4"/>
              </w:rPr>
            </w:pPr>
            <w:r>
              <w:rPr>
                <w:sz w:val="4"/>
                <w:szCs w:val="4"/>
              </w:rPr>
            </w:r>
          </w:p>
        </w:tc>
      </w:tr>
      <w:tr>
        <w:trPr/>
        <w:tc>
          <w:tcPr>
            <w:tcW w:w="3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March 31,</w:t>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7" w:type="dxa"/>
            <w:gridSpan w:val="4"/>
            <w:tcBorders/>
          </w:tcPr>
          <w:p>
            <w:pPr>
              <w:pStyle w:val="TableContents"/>
              <w:bidi w:val="0"/>
              <w:spacing w:before="0" w:after="283"/>
              <w:jc w:val="left"/>
              <w:rPr>
                <w:sz w:val="4"/>
                <w:szCs w:val="4"/>
              </w:rPr>
            </w:pPr>
            <w:r>
              <w:rPr>
                <w:sz w:val="4"/>
                <w:szCs w:val="4"/>
              </w:rPr>
            </w:r>
          </w:p>
        </w:tc>
      </w:tr>
      <w:tr>
        <w:trPr/>
        <w:tc>
          <w:tcPr>
            <w:tcW w:w="3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2024</w:t>
            </w:r>
          </w:p>
        </w:tc>
        <w:tc>
          <w:tcPr>
            <w:tcW w:w="6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2023</w:t>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(in thousands)</w:t>
            </w:r>
          </w:p>
        </w:tc>
        <w:tc>
          <w:tcPr>
            <w:tcW w:w="9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7" w:type="dxa"/>
            <w:gridSpan w:val="4"/>
            <w:tcBorders/>
          </w:tcPr>
          <w:p>
            <w:pPr>
              <w:pStyle w:val="TableContents"/>
              <w:bidi w:val="0"/>
              <w:spacing w:before="0" w:after="283"/>
              <w:jc w:val="left"/>
              <w:rPr>
                <w:sz w:val="4"/>
                <w:szCs w:val="4"/>
              </w:rPr>
            </w:pPr>
            <w:r>
              <w:rPr>
                <w:sz w:val="4"/>
                <w:szCs w:val="4"/>
              </w:rPr>
            </w:r>
          </w:p>
        </w:tc>
      </w:tr>
      <w:tr>
        <w:trPr/>
        <w:tc>
          <w:tcPr>
            <w:tcW w:w="37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Minimum rents (1)</w:t>
            </w:r>
          </w:p>
        </w:tc>
        <w:tc>
          <w:tcPr>
            <w:tcW w:w="39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3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209,699 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3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202,457 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7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Cost reimbursements</w:t>
            </w:r>
          </w:p>
        </w:tc>
        <w:tc>
          <w:tcPr>
            <w:tcW w:w="1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54,958 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49,899 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7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Other</w:t>
            </w:r>
          </w:p>
        </w:tc>
        <w:tc>
          <w:tcPr>
            <w:tcW w:w="1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13,516 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13,331 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7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Collectibility related impacts</w:t>
            </w:r>
          </w:p>
        </w:tc>
        <w:tc>
          <w:tcPr>
            <w:tcW w:w="1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(1,713)</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(231)</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7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Total property revenue</w:t>
            </w:r>
          </w:p>
        </w:tc>
        <w:tc>
          <w:tcPr>
            <w:tcW w:w="17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276,460 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265,456 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7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712" w:type="dxa"/>
            <w:gridSpan w:val="3"/>
            <w:tcBorders/>
            <w:vAlign w:val="center"/>
          </w:tcPr>
          <w:p>
            <w:pPr>
              <w:pStyle w:val="TableContents"/>
              <w:bidi w:val="0"/>
              <w:spacing w:before="0" w:after="283"/>
              <w:jc w:val="left"/>
              <w:rPr>
                <w:sz w:val="4"/>
                <w:szCs w:val="4"/>
              </w:rPr>
            </w:pPr>
            <w:r>
              <w:rPr>
                <w:sz w:val="4"/>
                <w:szCs w:val="4"/>
              </w:rPr>
            </w:r>
          </w:p>
        </w:tc>
        <w:tc>
          <w:tcPr>
            <w:tcW w:w="1968" w:type="dxa"/>
            <w:gridSpan w:val="3"/>
            <w:tcBorders/>
            <w:vAlign w:val="center"/>
          </w:tcPr>
          <w:p>
            <w:pPr>
              <w:pStyle w:val="TableContents"/>
              <w:bidi w:val="0"/>
              <w:spacing w:before="0" w:after="283"/>
              <w:jc w:val="left"/>
              <w:rPr>
                <w:sz w:val="4"/>
                <w:szCs w:val="4"/>
              </w:rPr>
            </w:pPr>
            <w:r>
              <w:rPr>
                <w:sz w:val="4"/>
                <w:szCs w:val="4"/>
              </w:rPr>
            </w:r>
          </w:p>
        </w:tc>
        <w:tc>
          <w:tcPr>
            <w:tcW w:w="609" w:type="dxa"/>
            <w:gridSpan w:val="3"/>
            <w:tcBorders/>
            <w:vAlign w:val="center"/>
          </w:tcPr>
          <w:p>
            <w:pPr>
              <w:pStyle w:val="TableContents"/>
              <w:bidi w:val="0"/>
              <w:spacing w:before="0" w:after="283"/>
              <w:jc w:val="left"/>
              <w:rPr>
                <w:sz w:val="4"/>
                <w:szCs w:val="4"/>
              </w:rPr>
            </w:pPr>
            <w:r>
              <w:rPr>
                <w:sz w:val="4"/>
                <w:szCs w:val="4"/>
              </w:rPr>
            </w:r>
          </w:p>
        </w:tc>
        <w:tc>
          <w:tcPr>
            <w:tcW w:w="1968"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7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Rental expenses</w:t>
            </w:r>
          </w:p>
        </w:tc>
        <w:tc>
          <w:tcPr>
            <w:tcW w:w="1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(56,561)</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(51,830)</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7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Real estate taxes</w:t>
            </w:r>
          </w:p>
        </w:tc>
        <w:tc>
          <w:tcPr>
            <w:tcW w:w="1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(32,749)</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(31,864)</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7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Total property expenses</w:t>
            </w:r>
          </w:p>
        </w:tc>
        <w:tc>
          <w:tcPr>
            <w:tcW w:w="17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(89,310)</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(83,694)</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7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7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Comparable property POI</w:t>
            </w:r>
          </w:p>
        </w:tc>
        <w:tc>
          <w:tcPr>
            <w:tcW w:w="39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3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187,150 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3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181,762 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7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 xml:space="preserve">Less: </w:t>
            </w:r>
          </w:p>
        </w:tc>
        <w:tc>
          <w:tcPr>
            <w:tcW w:w="19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7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Lease termination fees</w:t>
            </w:r>
          </w:p>
        </w:tc>
        <w:tc>
          <w:tcPr>
            <w:tcW w:w="1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(701)</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(1,392)</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7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Prior period rents collected (2)</w:t>
            </w:r>
          </w:p>
        </w:tc>
        <w:tc>
          <w:tcPr>
            <w:tcW w:w="1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(857)</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(1,513)</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7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Comparable property POI excluding lease termination fees and prior period rents collected</w:t>
            </w:r>
          </w:p>
        </w:tc>
        <w:tc>
          <w:tcPr>
            <w:tcW w:w="3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3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185,592 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3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178,857 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7"/>
              </w:rPr>
            </w:pPr>
            <w:r>
              <w:rPr>
                <w:rFonts w:ascii="Times New Roman;sans-serif" w:hAnsi="Times New Roman;sans-serif"/>
                <w:b w:val="false"/>
                <w:color w:val="000000"/>
                <w:sz w:val="17"/>
              </w:rPr>
              <w:t>3.8%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712" w:type="dxa"/>
            <w:gridSpan w:val="3"/>
            <w:tcBorders/>
            <w:vAlign w:val="center"/>
          </w:tcPr>
          <w:p>
            <w:pPr>
              <w:pStyle w:val="TableContents"/>
              <w:bidi w:val="0"/>
              <w:spacing w:before="0" w:after="283"/>
              <w:jc w:val="left"/>
              <w:rPr>
                <w:sz w:val="4"/>
                <w:szCs w:val="4"/>
              </w:rPr>
            </w:pPr>
            <w:r>
              <w:rPr>
                <w:sz w:val="4"/>
                <w:szCs w:val="4"/>
              </w:rPr>
            </w:r>
          </w:p>
        </w:tc>
        <w:tc>
          <w:tcPr>
            <w:tcW w:w="1968" w:type="dxa"/>
            <w:gridSpan w:val="3"/>
            <w:tcBorders/>
            <w:vAlign w:val="center"/>
          </w:tcPr>
          <w:p>
            <w:pPr>
              <w:pStyle w:val="TableContents"/>
              <w:bidi w:val="0"/>
              <w:spacing w:before="0" w:after="283"/>
              <w:jc w:val="left"/>
              <w:rPr>
                <w:sz w:val="4"/>
                <w:szCs w:val="4"/>
              </w:rPr>
            </w:pPr>
            <w:r>
              <w:rPr>
                <w:sz w:val="4"/>
                <w:szCs w:val="4"/>
              </w:rPr>
            </w:r>
          </w:p>
        </w:tc>
        <w:tc>
          <w:tcPr>
            <w:tcW w:w="609" w:type="dxa"/>
            <w:gridSpan w:val="3"/>
            <w:tcBorders/>
            <w:vAlign w:val="center"/>
          </w:tcPr>
          <w:p>
            <w:pPr>
              <w:pStyle w:val="TableContents"/>
              <w:bidi w:val="0"/>
              <w:spacing w:before="0" w:after="283"/>
              <w:jc w:val="left"/>
              <w:rPr>
                <w:sz w:val="4"/>
                <w:szCs w:val="4"/>
              </w:rPr>
            </w:pPr>
            <w:r>
              <w:rPr>
                <w:sz w:val="4"/>
                <w:szCs w:val="4"/>
              </w:rPr>
            </w:r>
          </w:p>
        </w:tc>
        <w:tc>
          <w:tcPr>
            <w:tcW w:w="1968"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7" w:type="dxa"/>
            <w:gridSpan w:val="4"/>
            <w:tcBorders/>
          </w:tcPr>
          <w:p>
            <w:pPr>
              <w:pStyle w:val="TableContents"/>
              <w:bidi w:val="0"/>
              <w:spacing w:before="0" w:after="283"/>
              <w:jc w:val="left"/>
              <w:rPr>
                <w:sz w:val="4"/>
                <w:szCs w:val="4"/>
              </w:rPr>
            </w:pPr>
            <w:r>
              <w:rPr>
                <w:sz w:val="4"/>
                <w:szCs w:val="4"/>
              </w:rPr>
            </w:r>
          </w:p>
        </w:tc>
      </w:tr>
      <w:tr>
        <w:trPr/>
        <w:tc>
          <w:tcPr>
            <w:tcW w:w="3712" w:type="dxa"/>
            <w:gridSpan w:val="3"/>
            <w:tcBorders/>
            <w:vAlign w:val="center"/>
          </w:tcPr>
          <w:p>
            <w:pPr>
              <w:pStyle w:val="TableContents"/>
              <w:bidi w:val="0"/>
              <w:spacing w:before="0" w:after="283"/>
              <w:jc w:val="left"/>
              <w:rPr>
                <w:sz w:val="4"/>
                <w:szCs w:val="4"/>
              </w:rPr>
            </w:pPr>
            <w:r>
              <w:rPr>
                <w:sz w:val="4"/>
                <w:szCs w:val="4"/>
              </w:rPr>
            </w:r>
          </w:p>
        </w:tc>
        <w:tc>
          <w:tcPr>
            <w:tcW w:w="1968" w:type="dxa"/>
            <w:gridSpan w:val="3"/>
            <w:tcBorders/>
            <w:vAlign w:val="center"/>
          </w:tcPr>
          <w:p>
            <w:pPr>
              <w:pStyle w:val="TableContents"/>
              <w:bidi w:val="0"/>
              <w:spacing w:before="0" w:after="283"/>
              <w:jc w:val="left"/>
              <w:rPr>
                <w:sz w:val="4"/>
                <w:szCs w:val="4"/>
              </w:rPr>
            </w:pPr>
            <w:r>
              <w:rPr>
                <w:sz w:val="4"/>
                <w:szCs w:val="4"/>
              </w:rPr>
            </w:r>
          </w:p>
        </w:tc>
        <w:tc>
          <w:tcPr>
            <w:tcW w:w="609" w:type="dxa"/>
            <w:gridSpan w:val="3"/>
            <w:tcBorders/>
            <w:vAlign w:val="center"/>
          </w:tcPr>
          <w:p>
            <w:pPr>
              <w:pStyle w:val="TableContents"/>
              <w:bidi w:val="0"/>
              <w:spacing w:before="0" w:after="283"/>
              <w:jc w:val="left"/>
              <w:rPr>
                <w:sz w:val="4"/>
                <w:szCs w:val="4"/>
              </w:rPr>
            </w:pPr>
            <w:r>
              <w:rPr>
                <w:sz w:val="4"/>
                <w:szCs w:val="4"/>
              </w:rPr>
            </w:r>
          </w:p>
        </w:tc>
        <w:tc>
          <w:tcPr>
            <w:tcW w:w="1968"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712" w:type="dxa"/>
            <w:gridSpan w:val="3"/>
            <w:tcBorders/>
            <w:vAlign w:val="center"/>
          </w:tcPr>
          <w:p>
            <w:pPr>
              <w:pStyle w:val="TableContents"/>
              <w:bidi w:val="0"/>
              <w:spacing w:before="0" w:after="283"/>
              <w:jc w:val="left"/>
              <w:rPr>
                <w:sz w:val="4"/>
                <w:szCs w:val="4"/>
              </w:rPr>
            </w:pPr>
            <w:r>
              <w:rPr>
                <w:sz w:val="4"/>
                <w:szCs w:val="4"/>
              </w:rPr>
            </w:r>
          </w:p>
        </w:tc>
        <w:tc>
          <w:tcPr>
            <w:tcW w:w="1968" w:type="dxa"/>
            <w:gridSpan w:val="3"/>
            <w:tcBorders/>
            <w:vAlign w:val="center"/>
          </w:tcPr>
          <w:p>
            <w:pPr>
              <w:pStyle w:val="TableContents"/>
              <w:bidi w:val="0"/>
              <w:spacing w:before="0" w:after="283"/>
              <w:jc w:val="left"/>
              <w:rPr>
                <w:sz w:val="4"/>
                <w:szCs w:val="4"/>
              </w:rPr>
            </w:pPr>
            <w:r>
              <w:rPr>
                <w:sz w:val="4"/>
                <w:szCs w:val="4"/>
              </w:rPr>
            </w:r>
          </w:p>
        </w:tc>
        <w:tc>
          <w:tcPr>
            <w:tcW w:w="609" w:type="dxa"/>
            <w:gridSpan w:val="3"/>
            <w:tcBorders/>
            <w:vAlign w:val="center"/>
          </w:tcPr>
          <w:p>
            <w:pPr>
              <w:pStyle w:val="TableContents"/>
              <w:bidi w:val="0"/>
              <w:spacing w:before="0" w:after="283"/>
              <w:jc w:val="left"/>
              <w:rPr>
                <w:sz w:val="4"/>
                <w:szCs w:val="4"/>
              </w:rPr>
            </w:pPr>
            <w:r>
              <w:rPr>
                <w:sz w:val="4"/>
                <w:szCs w:val="4"/>
              </w:rPr>
            </w:r>
          </w:p>
        </w:tc>
        <w:tc>
          <w:tcPr>
            <w:tcW w:w="1968"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9173"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7"/>
                <w:u w:val="single"/>
              </w:rPr>
            </w:pPr>
            <w:r>
              <w:rPr>
                <w:rFonts w:ascii="Times New Roman;sans-serif" w:hAnsi="Times New Roman;sans-serif"/>
                <w:b w:val="false"/>
                <w:i/>
                <w:color w:val="000000"/>
                <w:sz w:val="17"/>
                <w:u w:val="single"/>
              </w:rPr>
              <w:t>Comparable Property - Summary of Capital Expenditures (3)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Three Months Ended</w:t>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7" w:type="dxa"/>
            <w:gridSpan w:val="4"/>
            <w:tcBorders/>
          </w:tcPr>
          <w:p>
            <w:pPr>
              <w:pStyle w:val="TableContents"/>
              <w:bidi w:val="0"/>
              <w:spacing w:before="0" w:after="283"/>
              <w:jc w:val="left"/>
              <w:rPr>
                <w:sz w:val="4"/>
                <w:szCs w:val="4"/>
              </w:rPr>
            </w:pPr>
            <w:r>
              <w:rPr>
                <w:sz w:val="4"/>
                <w:szCs w:val="4"/>
              </w:rPr>
            </w:r>
          </w:p>
        </w:tc>
      </w:tr>
      <w:tr>
        <w:trPr/>
        <w:tc>
          <w:tcPr>
            <w:tcW w:w="3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March 31,</w:t>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7" w:type="dxa"/>
            <w:gridSpan w:val="4"/>
            <w:tcBorders/>
          </w:tcPr>
          <w:p>
            <w:pPr>
              <w:pStyle w:val="TableContents"/>
              <w:bidi w:val="0"/>
              <w:spacing w:before="0" w:after="283"/>
              <w:jc w:val="left"/>
              <w:rPr>
                <w:sz w:val="4"/>
                <w:szCs w:val="4"/>
              </w:rPr>
            </w:pPr>
            <w:r>
              <w:rPr>
                <w:sz w:val="4"/>
                <w:szCs w:val="4"/>
              </w:rPr>
            </w:r>
          </w:p>
        </w:tc>
      </w:tr>
      <w:tr>
        <w:trPr/>
        <w:tc>
          <w:tcPr>
            <w:tcW w:w="3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2024</w:t>
            </w:r>
          </w:p>
        </w:tc>
        <w:tc>
          <w:tcPr>
            <w:tcW w:w="6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2023</w:t>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(in thousands)</w:t>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7" w:type="dxa"/>
            <w:gridSpan w:val="4"/>
            <w:tcBorders/>
          </w:tcPr>
          <w:p>
            <w:pPr>
              <w:pStyle w:val="TableContents"/>
              <w:bidi w:val="0"/>
              <w:spacing w:before="0" w:after="283"/>
              <w:jc w:val="left"/>
              <w:rPr>
                <w:sz w:val="4"/>
                <w:szCs w:val="4"/>
              </w:rPr>
            </w:pPr>
            <w:r>
              <w:rPr>
                <w:sz w:val="4"/>
                <w:szCs w:val="4"/>
              </w:rPr>
            </w:r>
          </w:p>
        </w:tc>
      </w:tr>
      <w:tr>
        <w:trPr/>
        <w:tc>
          <w:tcPr>
            <w:tcW w:w="37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Redevelopment and tenant improvements and incentives</w:t>
            </w:r>
          </w:p>
        </w:tc>
        <w:tc>
          <w:tcPr>
            <w:tcW w:w="39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3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36,540 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3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38,937 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7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Maintenance capital expenditures</w:t>
            </w:r>
          </w:p>
        </w:tc>
        <w:tc>
          <w:tcPr>
            <w:tcW w:w="1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3,157 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4,262 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7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3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39,697 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13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43,199 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9173"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7"/>
                <w:u w:val="single"/>
              </w:rPr>
            </w:pPr>
            <w:r>
              <w:rPr>
                <w:rFonts w:ascii="Times New Roman;sans-serif" w:hAnsi="Times New Roman;sans-serif"/>
                <w:b w:val="false"/>
                <w:i/>
                <w:color w:val="000000"/>
                <w:sz w:val="17"/>
                <w:u w:val="single"/>
              </w:rPr>
              <w:t>Comparable Property - Occupancy Statistics (3)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At March 31,</w:t>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7" w:type="dxa"/>
            <w:gridSpan w:val="4"/>
            <w:tcBorders/>
          </w:tcPr>
          <w:p>
            <w:pPr>
              <w:pStyle w:val="TableContents"/>
              <w:bidi w:val="0"/>
              <w:spacing w:before="0" w:after="283"/>
              <w:jc w:val="left"/>
              <w:rPr>
                <w:sz w:val="4"/>
                <w:szCs w:val="4"/>
              </w:rPr>
            </w:pPr>
            <w:r>
              <w:rPr>
                <w:sz w:val="4"/>
                <w:szCs w:val="4"/>
              </w:rPr>
            </w:r>
          </w:p>
        </w:tc>
      </w:tr>
      <w:tr>
        <w:trPr/>
        <w:tc>
          <w:tcPr>
            <w:tcW w:w="3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2024</w:t>
            </w:r>
          </w:p>
        </w:tc>
        <w:tc>
          <w:tcPr>
            <w:tcW w:w="6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7"/>
              </w:rPr>
            </w:pPr>
            <w:r>
              <w:rPr>
                <w:rFonts w:ascii="Times New Roman;sans-serif" w:hAnsi="Times New Roman;sans-serif"/>
                <w:b/>
                <w:color w:val="000000"/>
                <w:sz w:val="17"/>
              </w:rPr>
              <w:t>2023</w:t>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7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GLA - comparable commercial properties</w:t>
            </w:r>
          </w:p>
        </w:tc>
        <w:tc>
          <w:tcPr>
            <w:tcW w:w="17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25,127,000 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25,089,000 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7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Leased % - comparable commercial properties</w:t>
            </w:r>
          </w:p>
        </w:tc>
        <w:tc>
          <w:tcPr>
            <w:tcW w:w="19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94.2%</w:t>
            </w:r>
          </w:p>
        </w:tc>
        <w:tc>
          <w:tcPr>
            <w:tcW w:w="6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94.2%</w:t>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7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Occupancy % - comparable commercial properties</w:t>
            </w:r>
          </w:p>
        </w:tc>
        <w:tc>
          <w:tcPr>
            <w:tcW w:w="19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91.7%</w:t>
            </w:r>
          </w:p>
        </w:tc>
        <w:tc>
          <w:tcPr>
            <w:tcW w:w="6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92.6%</w:t>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0"/>
        <w:jc w:val="left"/>
        <w:rPr>
          <w:rFonts w:ascii="Times New Roman;sans-serif" w:hAnsi="Times New Roman;sans-serif"/>
          <w:b w:val="false"/>
          <w:color w:val="000000"/>
          <w:sz w:val="17"/>
          <w:u w:val="single"/>
        </w:rPr>
      </w:pPr>
      <w:r>
        <w:rPr>
          <w:rFonts w:ascii="Times New Roman;sans-serif" w:hAnsi="Times New Roman;sans-serif"/>
          <w:b w:val="false"/>
          <w:color w:val="000000"/>
          <w:sz w:val="17"/>
          <w:u w:val="single"/>
        </w:rPr>
        <w:t>Notes:</w:t>
      </w:r>
    </w:p>
    <w:p>
      <w:pPr>
        <w:pStyle w:val="TextBody"/>
        <w:bidi w:val="0"/>
        <w:spacing w:lineRule="auto" w:line="288" w:before="0" w:after="0"/>
        <w:ind w:left="0" w:right="0" w:hanging="720"/>
        <w:jc w:val="left"/>
        <w:rPr>
          <w:rFonts w:ascii="Times New Roman;sans-serif" w:hAnsi="Times New Roman;sans-serif"/>
          <w:b w:val="false"/>
          <w:color w:val="000000"/>
          <w:sz w:val="17"/>
        </w:rPr>
      </w:pPr>
      <w:r>
        <w:rPr>
          <w:rFonts w:ascii="Times New Roman;sans-serif" w:hAnsi="Times New Roman;sans-serif"/>
          <w:b w:val="false"/>
          <w:color w:val="000000"/>
          <w:sz w:val="17"/>
        </w:rPr>
        <w:t>(1)For the three months ended March 31, 2024 and 2023, amount includes straight-line rents of $2.7 million and $2.2 million, respectively, and amortization of in-place leases of $3.7 million and $3.2 million, respectively.</w:t>
      </w:r>
    </w:p>
    <w:p>
      <w:pPr>
        <w:pStyle w:val="TextBody"/>
        <w:bidi w:val="0"/>
        <w:spacing w:lineRule="auto" w:line="288" w:before="0" w:after="0"/>
        <w:ind w:left="0" w:right="0" w:hanging="720"/>
        <w:jc w:val="left"/>
        <w:rPr>
          <w:rFonts w:ascii="Times New Roman;sans-serif" w:hAnsi="Times New Roman;sans-serif"/>
          <w:b w:val="false"/>
          <w:color w:val="000000"/>
          <w:sz w:val="17"/>
        </w:rPr>
      </w:pPr>
      <w:r>
        <w:rPr>
          <w:rFonts w:ascii="Times New Roman;sans-serif" w:hAnsi="Times New Roman;sans-serif"/>
          <w:b w:val="false"/>
          <w:color w:val="000000"/>
          <w:sz w:val="17"/>
        </w:rPr>
        <w:t>(2)Amount represents collection of prior period rents which were contractually deferred or payment renegotiated specifically related to the COVID-19 pandemic.</w:t>
      </w:r>
    </w:p>
    <w:p>
      <w:pPr>
        <w:pStyle w:val="TextBody"/>
        <w:bidi w:val="0"/>
        <w:spacing w:lineRule="auto" w:line="288" w:before="0" w:after="0"/>
        <w:ind w:left="0" w:right="0" w:hanging="720"/>
        <w:jc w:val="left"/>
        <w:rPr/>
      </w:pPr>
      <w:r>
        <w:rPr>
          <w:rFonts w:ascii="Times New Roman;sans-serif" w:hAnsi="Times New Roman;sans-serif"/>
          <w:b w:val="false"/>
          <w:color w:val="000000"/>
          <w:sz w:val="17"/>
        </w:rPr>
        <w:t xml:space="preserve">(3)See page </w:t>
      </w:r>
      <w:hyperlink w:anchor="ic3f45c93d4bc43638f13ef7595b5c7a3_16">
        <w:r>
          <w:rPr>
            <w:rStyle w:val="InternetLink"/>
            <w:rFonts w:ascii="Times New Roman;sans-serif" w:hAnsi="Times New Roman;sans-serif"/>
            <w:b w:val="false"/>
            <w:strike w:val="false"/>
            <w:dstrike w:val="false"/>
            <w:color w:val="000000"/>
            <w:sz w:val="17"/>
            <w:u w:val="none"/>
            <w:effect w:val="none"/>
          </w:rPr>
          <w:t>9</w:t>
        </w:r>
      </w:hyperlink>
      <w:r>
        <w:rPr>
          <w:rFonts w:ascii="Times New Roman;sans-serif" w:hAnsi="Times New Roman;sans-serif"/>
          <w:b w:val="false"/>
          <w:color w:val="000000"/>
          <w:sz w:val="17"/>
        </w:rPr>
        <w:t xml:space="preserve"> for "Summary of Capital Expenditures" and page </w:t>
      </w:r>
      <w:hyperlink w:anchor="ic3f45c93d4bc43638f13ef7595b5c7a3_52">
        <w:r>
          <w:rPr>
            <w:rStyle w:val="InternetLink"/>
            <w:rFonts w:ascii="Times New Roman;sans-serif" w:hAnsi="Times New Roman;sans-serif"/>
            <w:b w:val="false"/>
            <w:strike w:val="false"/>
            <w:dstrike w:val="false"/>
            <w:color w:val="000000"/>
            <w:sz w:val="17"/>
            <w:u w:val="none"/>
            <w:effect w:val="none"/>
          </w:rPr>
          <w:t>25</w:t>
        </w:r>
      </w:hyperlink>
      <w:r>
        <w:rPr>
          <w:rFonts w:ascii="Times New Roman;sans-serif" w:hAnsi="Times New Roman;sans-serif"/>
          <w:b w:val="false"/>
          <w:color w:val="000000"/>
          <w:sz w:val="17"/>
        </w:rPr>
        <w:t xml:space="preserve"> for portfolio occupancy statistics for our entire portfolio.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186"/>
        <w:gridCol w:w="148"/>
        <w:gridCol w:w="148"/>
        <w:gridCol w:w="1797"/>
        <w:gridCol w:w="1679"/>
        <w:gridCol w:w="1684"/>
        <w:gridCol w:w="137"/>
        <w:gridCol w:w="137"/>
        <w:gridCol w:w="137"/>
        <w:gridCol w:w="266"/>
        <w:gridCol w:w="1365"/>
        <w:gridCol w:w="137"/>
        <w:gridCol w:w="137"/>
        <w:gridCol w:w="137"/>
        <w:gridCol w:w="137"/>
        <w:gridCol w:w="286"/>
        <w:gridCol w:w="1470"/>
        <w:gridCol w:w="217"/>
      </w:tblGrid>
      <w:tr>
        <w:trPr/>
        <w:tc>
          <w:tcPr>
            <w:tcW w:w="186"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797" w:type="dxa"/>
            <w:tcBorders/>
            <w:vAlign w:val="center"/>
          </w:tcPr>
          <w:p>
            <w:pPr>
              <w:pStyle w:val="TableContents"/>
              <w:bidi w:val="0"/>
              <w:spacing w:before="0" w:after="283"/>
              <w:jc w:val="left"/>
              <w:rPr>
                <w:sz w:val="4"/>
                <w:szCs w:val="4"/>
              </w:rPr>
            </w:pPr>
            <w:r>
              <w:rPr>
                <w:sz w:val="4"/>
                <w:szCs w:val="4"/>
              </w:rPr>
            </w:r>
          </w:p>
        </w:tc>
        <w:tc>
          <w:tcPr>
            <w:tcW w:w="1679" w:type="dxa"/>
            <w:tcBorders/>
            <w:vAlign w:val="center"/>
          </w:tcPr>
          <w:p>
            <w:pPr>
              <w:pStyle w:val="TableContents"/>
              <w:bidi w:val="0"/>
              <w:spacing w:before="0" w:after="283"/>
              <w:jc w:val="left"/>
              <w:rPr>
                <w:sz w:val="4"/>
                <w:szCs w:val="4"/>
              </w:rPr>
            </w:pPr>
            <w:r>
              <w:rPr>
                <w:sz w:val="4"/>
                <w:szCs w:val="4"/>
              </w:rPr>
            </w:r>
          </w:p>
        </w:tc>
        <w:tc>
          <w:tcPr>
            <w:tcW w:w="1684"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365"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70"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r>
      <w:tr>
        <w:trPr/>
        <w:tc>
          <w:tcPr>
            <w:tcW w:w="10205" w:type="dxa"/>
            <w:gridSpan w:val="18"/>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Federal Realty Investment Trust</w:t>
            </w:r>
          </w:p>
        </w:tc>
      </w:tr>
      <w:tr>
        <w:trPr/>
        <w:tc>
          <w:tcPr>
            <w:tcW w:w="10205" w:type="dxa"/>
            <w:gridSpan w:val="18"/>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Market Data, Debt Metrics, and Senior Notes and Debentures Covenants</w:t>
            </w:r>
          </w:p>
        </w:tc>
      </w:tr>
      <w:tr>
        <w:trPr/>
        <w:tc>
          <w:tcPr>
            <w:tcW w:w="10205" w:type="dxa"/>
            <w:gridSpan w:val="18"/>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March 31, 2024</w:t>
            </w:r>
          </w:p>
        </w:tc>
      </w:tr>
      <w:tr>
        <w:trPr/>
        <w:tc>
          <w:tcPr>
            <w:tcW w:w="4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r>
          </w:p>
        </w:tc>
      </w:tr>
      <w:tr>
        <w:trPr/>
        <w:tc>
          <w:tcPr>
            <w:tcW w:w="4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4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 except per share data)</w:t>
            </w:r>
          </w:p>
        </w:tc>
      </w:tr>
      <w:tr>
        <w:trPr/>
        <w:tc>
          <w:tcPr>
            <w:tcW w:w="5642"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 Data</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shares outstanding and downREIT operating partnership units (1)</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83,580 </w:t>
            </w:r>
          </w:p>
        </w:tc>
        <w:tc>
          <w:tcPr>
            <w:tcW w:w="1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82,148 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 price per common share</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102.12 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98.83 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equity market capitalization including downREIT operating partnership units</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8,535,190 </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8,118,687 </w:t>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Series C preferred shares outstanding</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Liquidation price per Series C preferred share</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25,000 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25,000 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Series C preferred equity market capitalization</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150,000 </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150,000 </w:t>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Series 1 preferred shares outstanding (2)</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Liquidation price per Series 1 preferred share</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Series 1 preferred equity market capitalization</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9,825 </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9,825 </w:t>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market capitalization</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8,695,015 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8,278,512 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debt</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4,483,397 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4,389,405 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cash and cash equivalents</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(95,936)</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(99,449)</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net debt (3)</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4,387,461 </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4,289,956 </w:t>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market capitalization</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13,082,476 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12,568,468 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2"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Leverage and Liquidity Ratios</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net debt to market capitalization at market price per common share</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w:t>
            </w:r>
          </w:p>
        </w:tc>
      </w:tr>
      <w:tr>
        <w:trPr/>
        <w:tc>
          <w:tcPr>
            <w:tcW w:w="482" w:type="dxa"/>
            <w:gridSpan w:val="3"/>
            <w:tcBorders/>
            <w:vAlign w:val="center"/>
          </w:tcPr>
          <w:p>
            <w:pPr>
              <w:pStyle w:val="TableContents"/>
              <w:bidi w:val="0"/>
              <w:spacing w:before="0" w:after="283"/>
              <w:jc w:val="left"/>
              <w:rPr>
                <w:sz w:val="4"/>
                <w:szCs w:val="4"/>
              </w:rPr>
            </w:pPr>
            <w:r>
              <w:rPr>
                <w:sz w:val="4"/>
                <w:szCs w:val="4"/>
              </w:rPr>
            </w:r>
          </w:p>
        </w:tc>
        <w:tc>
          <w:tcPr>
            <w:tcW w:w="5160"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768"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973" w:type="dxa"/>
            <w:gridSpan w:val="3"/>
            <w:tcBorders/>
            <w:vAlign w:val="center"/>
          </w:tcPr>
          <w:p>
            <w:pPr>
              <w:pStyle w:val="TableContents"/>
              <w:bidi w:val="0"/>
              <w:spacing w:before="0" w:after="283"/>
              <w:jc w:val="left"/>
              <w:rPr>
                <w:sz w:val="4"/>
                <w:szCs w:val="4"/>
              </w:rPr>
            </w:pPr>
            <w:r>
              <w:rPr>
                <w:sz w:val="4"/>
                <w:szCs w:val="4"/>
              </w:rPr>
            </w:r>
          </w:p>
        </w:tc>
      </w:tr>
      <w:tr>
        <w:trPr/>
        <w:tc>
          <w:tcPr>
            <w:tcW w:w="482" w:type="dxa"/>
            <w:gridSpan w:val="3"/>
            <w:tcBorders/>
            <w:vAlign w:val="center"/>
          </w:tcPr>
          <w:p>
            <w:pPr>
              <w:pStyle w:val="TableContents"/>
              <w:bidi w:val="0"/>
              <w:spacing w:before="0" w:after="283"/>
              <w:jc w:val="left"/>
              <w:rPr>
                <w:sz w:val="4"/>
                <w:szCs w:val="4"/>
              </w:rPr>
            </w:pPr>
            <w:r>
              <w:rPr>
                <w:sz w:val="4"/>
                <w:szCs w:val="4"/>
              </w:rPr>
            </w:r>
          </w:p>
        </w:tc>
        <w:tc>
          <w:tcPr>
            <w:tcW w:w="5160"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768"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973" w:type="dxa"/>
            <w:gridSpan w:val="3"/>
            <w:tcBorders/>
            <w:vAlign w:val="center"/>
          </w:tcPr>
          <w:p>
            <w:pPr>
              <w:pStyle w:val="TableContents"/>
              <w:bidi w:val="0"/>
              <w:spacing w:before="0" w:after="283"/>
              <w:jc w:val="left"/>
              <w:rPr>
                <w:sz w:val="4"/>
                <w:szCs w:val="4"/>
              </w:rPr>
            </w:pPr>
            <w:r>
              <w:rPr>
                <w:sz w:val="4"/>
                <w:szCs w:val="4"/>
              </w:rPr>
            </w:r>
          </w:p>
        </w:tc>
      </w:tr>
      <w:tr>
        <w:trPr/>
        <w:tc>
          <w:tcPr>
            <w:tcW w:w="4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Ratio of EBITDAre to combined fixed charges and preferred share dividends, three months ended (4)(5)</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3.5x</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3.6x</w:t>
            </w:r>
          </w:p>
        </w:tc>
      </w:tr>
      <w:tr>
        <w:trPr/>
        <w:tc>
          <w:tcPr>
            <w:tcW w:w="482" w:type="dxa"/>
            <w:gridSpan w:val="3"/>
            <w:tcBorders/>
            <w:vAlign w:val="center"/>
          </w:tcPr>
          <w:p>
            <w:pPr>
              <w:pStyle w:val="TableContents"/>
              <w:bidi w:val="0"/>
              <w:spacing w:before="0" w:after="283"/>
              <w:jc w:val="left"/>
              <w:rPr>
                <w:sz w:val="4"/>
                <w:szCs w:val="4"/>
              </w:rPr>
            </w:pPr>
            <w:r>
              <w:rPr>
                <w:sz w:val="4"/>
                <w:szCs w:val="4"/>
              </w:rPr>
            </w:r>
          </w:p>
        </w:tc>
        <w:tc>
          <w:tcPr>
            <w:tcW w:w="5160"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768"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973" w:type="dxa"/>
            <w:gridSpan w:val="3"/>
            <w:tcBorders/>
            <w:vAlign w:val="center"/>
          </w:tcPr>
          <w:p>
            <w:pPr>
              <w:pStyle w:val="TableContents"/>
              <w:bidi w:val="0"/>
              <w:spacing w:before="0" w:after="283"/>
              <w:jc w:val="left"/>
              <w:rPr>
                <w:sz w:val="4"/>
                <w:szCs w:val="4"/>
              </w:rPr>
            </w:pPr>
            <w:r>
              <w:rPr>
                <w:sz w:val="4"/>
                <w:szCs w:val="4"/>
              </w:rPr>
            </w:r>
          </w:p>
        </w:tc>
      </w:tr>
      <w:tr>
        <w:trPr/>
        <w:tc>
          <w:tcPr>
            <w:tcW w:w="4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2"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Notes and Debentures Covenants (6)</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2024</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Debt Covenant Threshold (7)</w:t>
            </w:r>
          </w:p>
        </w:tc>
      </w:tr>
      <w:tr>
        <w:trPr/>
        <w:tc>
          <w:tcPr>
            <w:tcW w:w="4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Debt to Total Assets</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&lt; 60%</w:t>
            </w:r>
          </w:p>
        </w:tc>
      </w:tr>
      <w:tr>
        <w:trPr/>
        <w:tc>
          <w:tcPr>
            <w:tcW w:w="482"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5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Secured Debt to Total Assets</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&lt; 40%</w:t>
            </w:r>
          </w:p>
        </w:tc>
      </w:tr>
      <w:tr>
        <w:trPr/>
        <w:tc>
          <w:tcPr>
            <w:tcW w:w="482"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5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Income to Annual Debt Service Charge</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3.6x</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&gt; 1.5x</w:t>
            </w:r>
          </w:p>
        </w:tc>
      </w:tr>
      <w:tr>
        <w:trPr/>
        <w:tc>
          <w:tcPr>
            <w:tcW w:w="482"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5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Unencumbered Assets to Unsecured Debt</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248%</w:t>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&gt; 150%</w:t>
            </w:r>
          </w:p>
        </w:tc>
      </w:tr>
      <w:tr>
        <w:trPr/>
        <w:tc>
          <w:tcPr>
            <w:tcW w:w="482" w:type="dxa"/>
            <w:gridSpan w:val="3"/>
            <w:tcBorders/>
            <w:vAlign w:val="center"/>
          </w:tcPr>
          <w:p>
            <w:pPr>
              <w:pStyle w:val="TableContents"/>
              <w:bidi w:val="0"/>
              <w:spacing w:before="0" w:after="283"/>
              <w:jc w:val="left"/>
              <w:rPr>
                <w:sz w:val="4"/>
                <w:szCs w:val="4"/>
              </w:rPr>
            </w:pPr>
            <w:r>
              <w:rPr>
                <w:sz w:val="4"/>
                <w:szCs w:val="4"/>
              </w:rPr>
            </w:r>
          </w:p>
        </w:tc>
        <w:tc>
          <w:tcPr>
            <w:tcW w:w="5160"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768"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973" w:type="dxa"/>
            <w:gridSpan w:val="3"/>
            <w:tcBorders/>
            <w:vAlign w:val="center"/>
          </w:tcPr>
          <w:p>
            <w:pPr>
              <w:pStyle w:val="TableContents"/>
              <w:bidi w:val="0"/>
              <w:spacing w:before="0" w:after="283"/>
              <w:jc w:val="left"/>
              <w:rPr>
                <w:sz w:val="4"/>
                <w:szCs w:val="4"/>
              </w:rPr>
            </w:pPr>
            <w:r>
              <w:rPr>
                <w:sz w:val="4"/>
                <w:szCs w:val="4"/>
              </w:rPr>
            </w:r>
          </w:p>
        </w:tc>
      </w:tr>
      <w:tr>
        <w:trPr/>
        <w:tc>
          <w:tcPr>
            <w:tcW w:w="482" w:type="dxa"/>
            <w:gridSpan w:val="3"/>
            <w:tcBorders/>
            <w:vAlign w:val="center"/>
          </w:tcPr>
          <w:p>
            <w:pPr>
              <w:pStyle w:val="TableContents"/>
              <w:bidi w:val="0"/>
              <w:spacing w:before="0" w:after="283"/>
              <w:jc w:val="left"/>
              <w:rPr>
                <w:sz w:val="4"/>
                <w:szCs w:val="4"/>
              </w:rPr>
            </w:pPr>
            <w:r>
              <w:rPr>
                <w:sz w:val="4"/>
                <w:szCs w:val="4"/>
              </w:rPr>
            </w:r>
          </w:p>
        </w:tc>
        <w:tc>
          <w:tcPr>
            <w:tcW w:w="5160"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768"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973" w:type="dxa"/>
            <w:gridSpan w:val="3"/>
            <w:tcBorders/>
            <w:vAlign w:val="center"/>
          </w:tcPr>
          <w:p>
            <w:pPr>
              <w:pStyle w:val="TableContents"/>
              <w:bidi w:val="0"/>
              <w:spacing w:before="0" w:after="283"/>
              <w:jc w:val="left"/>
              <w:rPr>
                <w:sz w:val="4"/>
                <w:szCs w:val="4"/>
              </w:rPr>
            </w:pPr>
            <w:r>
              <w:rPr>
                <w:sz w:val="4"/>
                <w:szCs w:val="4"/>
              </w:rPr>
            </w:r>
          </w:p>
        </w:tc>
      </w:tr>
      <w:tr>
        <w:trPr/>
        <w:tc>
          <w:tcPr>
            <w:tcW w:w="482" w:type="dxa"/>
            <w:gridSpan w:val="3"/>
            <w:tcBorders/>
            <w:vAlign w:val="center"/>
          </w:tcPr>
          <w:p>
            <w:pPr>
              <w:pStyle w:val="TableContents"/>
              <w:bidi w:val="0"/>
              <w:spacing w:before="0" w:after="283"/>
              <w:jc w:val="left"/>
              <w:rPr>
                <w:sz w:val="4"/>
                <w:szCs w:val="4"/>
              </w:rPr>
            </w:pPr>
            <w:r>
              <w:rPr>
                <w:sz w:val="4"/>
                <w:szCs w:val="4"/>
              </w:rPr>
            </w:r>
          </w:p>
        </w:tc>
        <w:tc>
          <w:tcPr>
            <w:tcW w:w="5160"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768"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973" w:type="dxa"/>
            <w:gridSpan w:val="3"/>
            <w:tcBorders/>
            <w:vAlign w:val="center"/>
          </w:tcPr>
          <w:p>
            <w:pPr>
              <w:pStyle w:val="TableContents"/>
              <w:bidi w:val="0"/>
              <w:spacing w:before="0" w:after="283"/>
              <w:jc w:val="left"/>
              <w:rPr>
                <w:sz w:val="4"/>
                <w:szCs w:val="4"/>
              </w:rPr>
            </w:pPr>
            <w:r>
              <w:rPr>
                <w:sz w:val="4"/>
                <w:szCs w:val="4"/>
              </w:rPr>
            </w:r>
          </w:p>
        </w:tc>
      </w:tr>
      <w:tr>
        <w:trPr/>
        <w:tc>
          <w:tcPr>
            <w:tcW w:w="482" w:type="dxa"/>
            <w:gridSpan w:val="3"/>
            <w:tcBorders/>
            <w:vAlign w:val="center"/>
          </w:tcPr>
          <w:p>
            <w:pPr>
              <w:pStyle w:val="TableContents"/>
              <w:bidi w:val="0"/>
              <w:spacing w:before="0" w:after="283"/>
              <w:jc w:val="left"/>
              <w:rPr>
                <w:sz w:val="4"/>
                <w:szCs w:val="4"/>
              </w:rPr>
            </w:pPr>
            <w:r>
              <w:rPr>
                <w:sz w:val="4"/>
                <w:szCs w:val="4"/>
              </w:rPr>
            </w:r>
          </w:p>
        </w:tc>
        <w:tc>
          <w:tcPr>
            <w:tcW w:w="5160"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768"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973" w:type="dxa"/>
            <w:gridSpan w:val="3"/>
            <w:tcBorders/>
            <w:vAlign w:val="center"/>
          </w:tcPr>
          <w:p>
            <w:pPr>
              <w:pStyle w:val="TableContents"/>
              <w:bidi w:val="0"/>
              <w:spacing w:before="0" w:after="283"/>
              <w:jc w:val="left"/>
              <w:rPr>
                <w:sz w:val="4"/>
                <w:szCs w:val="4"/>
              </w:rPr>
            </w:pPr>
            <w:r>
              <w:rPr>
                <w:sz w:val="4"/>
                <w:szCs w:val="4"/>
              </w:rPr>
            </w:r>
          </w:p>
        </w:tc>
      </w:tr>
      <w:tr>
        <w:trPr/>
        <w:tc>
          <w:tcPr>
            <w:tcW w:w="482" w:type="dxa"/>
            <w:gridSpan w:val="3"/>
            <w:tcBorders/>
            <w:vAlign w:val="center"/>
          </w:tcPr>
          <w:p>
            <w:pPr>
              <w:pStyle w:val="TableContents"/>
              <w:bidi w:val="0"/>
              <w:spacing w:before="0" w:after="283"/>
              <w:jc w:val="left"/>
              <w:rPr>
                <w:sz w:val="4"/>
                <w:szCs w:val="4"/>
              </w:rPr>
            </w:pPr>
            <w:r>
              <w:rPr>
                <w:sz w:val="4"/>
                <w:szCs w:val="4"/>
              </w:rPr>
            </w:r>
          </w:p>
        </w:tc>
        <w:tc>
          <w:tcPr>
            <w:tcW w:w="5160"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768"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197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8"/>
          <w:u w:val="single"/>
        </w:rPr>
      </w:pPr>
      <w:r>
        <w:rPr>
          <w:rFonts w:ascii="Times New Roman;sans-serif" w:hAnsi="Times New Roman;sans-serif"/>
          <w:b w:val="false"/>
          <w:color w:val="000000"/>
          <w:sz w:val="18"/>
          <w:u w:val="single"/>
        </w:rPr>
        <w:t>Notes:</w:t>
      </w:r>
    </w:p>
    <w:p>
      <w:pPr>
        <w:pStyle w:val="TextBody"/>
        <w:bidi w:val="0"/>
        <w:spacing w:lineRule="auto" w:line="288" w:before="60" w:after="283"/>
        <w:ind w:left="0" w:right="0" w:hanging="720"/>
        <w:jc w:val="left"/>
        <w:rPr>
          <w:rFonts w:ascii="Times New Roman;sans-serif" w:hAnsi="Times New Roman;sans-serif"/>
          <w:b w:val="false"/>
          <w:color w:val="000000"/>
          <w:sz w:val="18"/>
        </w:rPr>
      </w:pPr>
      <w:r>
        <w:rPr>
          <w:rFonts w:ascii="Times New Roman;sans-serif" w:hAnsi="Times New Roman;sans-serif"/>
          <w:b w:val="false"/>
          <w:color w:val="000000"/>
          <w:sz w:val="18"/>
        </w:rPr>
        <w:t>(1)Amounts include 631,271 and 637,031 downREIT operating partnership units outstanding at March 31, 2024 and 2023, respectively.</w:t>
      </w:r>
    </w:p>
    <w:p>
      <w:pPr>
        <w:pStyle w:val="TextBody"/>
        <w:bidi w:val="0"/>
        <w:spacing w:lineRule="auto" w:line="288" w:before="60" w:after="283"/>
        <w:ind w:left="0" w:right="0" w:hanging="720"/>
        <w:jc w:val="left"/>
        <w:rPr>
          <w:rFonts w:ascii="Times New Roman;sans-serif" w:hAnsi="Times New Roman;sans-serif"/>
          <w:b w:val="false"/>
          <w:color w:val="000000"/>
          <w:sz w:val="18"/>
        </w:rPr>
      </w:pPr>
      <w:r>
        <w:rPr>
          <w:rFonts w:ascii="Times New Roman;sans-serif" w:hAnsi="Times New Roman;sans-serif"/>
          <w:b w:val="false"/>
          <w:color w:val="000000"/>
          <w:sz w:val="18"/>
        </w:rPr>
        <w:t>(2)These shares, issued March 8, 2007, are unregistered.</w:t>
      </w:r>
    </w:p>
    <w:p>
      <w:pPr>
        <w:pStyle w:val="TextBody"/>
        <w:bidi w:val="0"/>
        <w:spacing w:lineRule="auto" w:line="288" w:before="60" w:after="283"/>
        <w:ind w:left="0" w:right="0" w:hanging="720"/>
        <w:jc w:val="left"/>
        <w:rPr>
          <w:rFonts w:ascii="Times New Roman;sans-serif" w:hAnsi="Times New Roman;sans-serif"/>
          <w:b w:val="false"/>
          <w:color w:val="000000"/>
          <w:sz w:val="18"/>
        </w:rPr>
      </w:pPr>
      <w:r>
        <w:rPr>
          <w:rFonts w:ascii="Times New Roman;sans-serif" w:hAnsi="Times New Roman;sans-serif"/>
          <w:b w:val="false"/>
          <w:color w:val="000000"/>
          <w:sz w:val="18"/>
        </w:rPr>
        <w:t>(3)Total net debt includes mortgages payable, notes payable, senior notes and debentures, net of premiums/discounts and debt issuance costs and net of cash and cash equivalents from our consolidated balance sheet.</w:t>
      </w:r>
    </w:p>
    <w:p>
      <w:pPr>
        <w:pStyle w:val="TextBody"/>
        <w:bidi w:val="0"/>
        <w:spacing w:lineRule="auto" w:line="288" w:before="60" w:after="283"/>
        <w:ind w:left="0" w:right="0" w:hanging="720"/>
        <w:jc w:val="left"/>
        <w:rPr>
          <w:rFonts w:ascii="Times New Roman;sans-serif" w:hAnsi="Times New Roman;sans-serif"/>
          <w:b w:val="false"/>
          <w:color w:val="000000"/>
          <w:sz w:val="18"/>
        </w:rPr>
      </w:pPr>
      <w:r>
        <w:rPr>
          <w:rFonts w:ascii="Times New Roman;sans-serif" w:hAnsi="Times New Roman;sans-serif"/>
          <w:b w:val="false"/>
          <w:color w:val="000000"/>
          <w:sz w:val="18"/>
        </w:rPr>
        <w:t>(4)EBITDAre is reconciled to net income in the Glossary of Terms.</w:t>
      </w:r>
    </w:p>
    <w:p>
      <w:pPr>
        <w:pStyle w:val="TextBody"/>
        <w:bidi w:val="0"/>
        <w:spacing w:lineRule="auto" w:line="288" w:before="60" w:after="283"/>
        <w:ind w:left="0" w:right="0" w:hanging="720"/>
        <w:jc w:val="left"/>
        <w:rPr>
          <w:rFonts w:ascii="Times New Roman;sans-serif" w:hAnsi="Times New Roman;sans-serif"/>
          <w:b w:val="false"/>
          <w:color w:val="000000"/>
          <w:sz w:val="18"/>
        </w:rPr>
      </w:pPr>
      <w:r>
        <w:rPr>
          <w:rFonts w:ascii="Times New Roman;sans-serif" w:hAnsi="Times New Roman;sans-serif"/>
          <w:b w:val="false"/>
          <w:color w:val="000000"/>
          <w:sz w:val="18"/>
        </w:rPr>
        <w:t>(5)Fixed charges consist of interest on borrowed funds and finance leases (including capitalized interest), amortization of debt discount/premium and debt costs, and the portion of rent expense representing an interest factor.</w:t>
      </w:r>
    </w:p>
    <w:p>
      <w:pPr>
        <w:pStyle w:val="TextBody"/>
        <w:bidi w:val="0"/>
        <w:spacing w:lineRule="auto" w:line="288" w:before="60" w:after="283"/>
        <w:ind w:left="0" w:right="0" w:hanging="720"/>
        <w:jc w:val="left"/>
        <w:rPr>
          <w:rFonts w:ascii="Times New Roman;sans-serif" w:hAnsi="Times New Roman;sans-serif"/>
          <w:b w:val="false"/>
          <w:color w:val="000000"/>
          <w:sz w:val="18"/>
        </w:rPr>
      </w:pPr>
      <w:r>
        <w:rPr>
          <w:rFonts w:ascii="Times New Roman;sans-serif" w:hAnsi="Times New Roman;sans-serif"/>
          <w:b w:val="false"/>
          <w:color w:val="000000"/>
          <w:sz w:val="18"/>
        </w:rPr>
        <w:t>(6)The reference period for calculating these covenants is the most recent twelve months ended March 31, 2024.</w:t>
      </w:r>
    </w:p>
    <w:p>
      <w:pPr>
        <w:pStyle w:val="TextBody"/>
        <w:bidi w:val="0"/>
        <w:spacing w:lineRule="auto" w:line="288" w:before="60" w:after="283"/>
        <w:ind w:left="0" w:right="0" w:hanging="720"/>
        <w:jc w:val="left"/>
        <w:rPr>
          <w:rFonts w:ascii="Times New Roman;sans-serif" w:hAnsi="Times New Roman;sans-serif"/>
          <w:b w:val="false"/>
          <w:color w:val="000000"/>
          <w:sz w:val="18"/>
        </w:rPr>
      </w:pPr>
      <w:r>
        <w:rPr>
          <w:rFonts w:ascii="Times New Roman;sans-serif" w:hAnsi="Times New Roman;sans-serif"/>
          <w:b w:val="false"/>
          <w:color w:val="000000"/>
          <w:sz w:val="18"/>
        </w:rPr>
        <w:t>(7)For a detailed description of the senior unsecured notes covenants and definitions of the terms, please refer to our filings with the Securities and Exchange Commission.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262"/>
        <w:gridCol w:w="230"/>
        <w:gridCol w:w="230"/>
        <w:gridCol w:w="686"/>
        <w:gridCol w:w="655"/>
        <w:gridCol w:w="580"/>
        <w:gridCol w:w="447"/>
        <w:gridCol w:w="447"/>
        <w:gridCol w:w="448"/>
        <w:gridCol w:w="109"/>
        <w:gridCol w:w="109"/>
        <w:gridCol w:w="109"/>
        <w:gridCol w:w="407"/>
        <w:gridCol w:w="396"/>
        <w:gridCol w:w="398"/>
        <w:gridCol w:w="109"/>
        <w:gridCol w:w="109"/>
        <w:gridCol w:w="109"/>
        <w:gridCol w:w="196"/>
        <w:gridCol w:w="871"/>
        <w:gridCol w:w="109"/>
        <w:gridCol w:w="109"/>
        <w:gridCol w:w="109"/>
        <w:gridCol w:w="109"/>
        <w:gridCol w:w="164"/>
        <w:gridCol w:w="155"/>
        <w:gridCol w:w="151"/>
        <w:gridCol w:w="109"/>
        <w:gridCol w:w="109"/>
        <w:gridCol w:w="109"/>
        <w:gridCol w:w="328"/>
        <w:gridCol w:w="318"/>
        <w:gridCol w:w="318"/>
        <w:gridCol w:w="318"/>
        <w:gridCol w:w="318"/>
        <w:gridCol w:w="465"/>
      </w:tblGrid>
      <w:tr>
        <w:trPr/>
        <w:tc>
          <w:tcPr>
            <w:tcW w:w="262"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r>
      <w:tr>
        <w:trPr/>
        <w:tc>
          <w:tcPr>
            <w:tcW w:w="10205" w:type="dxa"/>
            <w:gridSpan w:val="3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Federal Realty Investment Trust</w:t>
            </w:r>
          </w:p>
        </w:tc>
      </w:tr>
      <w:tr>
        <w:trPr/>
        <w:tc>
          <w:tcPr>
            <w:tcW w:w="10205" w:type="dxa"/>
            <w:gridSpan w:val="3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Summary of Outstanding Debt</w:t>
            </w:r>
          </w:p>
        </w:tc>
      </w:tr>
      <w:tr>
        <w:trPr/>
        <w:tc>
          <w:tcPr>
            <w:tcW w:w="10205" w:type="dxa"/>
            <w:gridSpan w:val="3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March 31, 2024</w:t>
            </w:r>
          </w:p>
        </w:tc>
      </w:tr>
      <w:tr>
        <w:trPr/>
        <w:tc>
          <w:tcPr>
            <w:tcW w:w="7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2" w:type="dxa"/>
            <w:gridSpan w:val="30"/>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March 31, 2024</w:t>
            </w:r>
          </w:p>
        </w:tc>
      </w:tr>
      <w:tr>
        <w:trPr/>
        <w:tc>
          <w:tcPr>
            <w:tcW w:w="7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Stated maturity date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Stated interest 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Balance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5"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 average effective rate (6)</w:t>
            </w:r>
          </w:p>
        </w:tc>
      </w:tr>
      <w:tr>
        <w:trPr/>
        <w:tc>
          <w:tcPr>
            <w:tcW w:w="7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3"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u w:val="single"/>
              </w:rPr>
            </w:pPr>
            <w:r>
              <w:rPr>
                <w:rFonts w:ascii="Times New Roman;sans-serif" w:hAnsi="Times New Roman;sans-serif"/>
                <w:b w:val="false"/>
                <w:color w:val="000000"/>
                <w:sz w:val="18"/>
                <w:u w:val="single"/>
              </w:rPr>
              <w:t>Mortgages payable (1)</w:t>
            </w:r>
          </w:p>
        </w:tc>
        <w:tc>
          <w:tcPr>
            <w:tcW w:w="1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Secured fixed rate</w:t>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Azalea</w:t>
            </w:r>
          </w:p>
        </w:tc>
        <w:tc>
          <w:tcPr>
            <w:tcW w:w="1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11/1/2025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3.73%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Bethesda Row</w:t>
            </w:r>
          </w:p>
        </w:tc>
        <w:tc>
          <w:tcPr>
            <w:tcW w:w="1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12/28/2025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5.03% (3)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Bell Gardens</w:t>
            </w:r>
          </w:p>
        </w:tc>
        <w:tc>
          <w:tcPr>
            <w:tcW w:w="1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8/1/2026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Plaza El Segundo</w:t>
            </w:r>
          </w:p>
        </w:tc>
        <w:tc>
          <w:tcPr>
            <w:tcW w:w="1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6/5/2027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3.83%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The Grove at Shrewsbury (East)</w:t>
            </w:r>
          </w:p>
        </w:tc>
        <w:tc>
          <w:tcPr>
            <w:tcW w:w="1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9/1/2027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3.77%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Brook 35</w:t>
            </w:r>
          </w:p>
        </w:tc>
        <w:tc>
          <w:tcPr>
            <w:tcW w:w="1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7/1/2029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Hoboken (24 Buildings)</w:t>
            </w:r>
          </w:p>
        </w:tc>
        <w:tc>
          <w:tcPr>
            <w:tcW w:w="1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12/15/2029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3.67% (3)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53,243 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Various Hoboken (14 Buildings)</w:t>
            </w:r>
          </w:p>
        </w:tc>
        <w:tc>
          <w:tcPr>
            <w:tcW w:w="1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Various through 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3.91% to 5.00%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29,621 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Chelsea</w:t>
            </w:r>
          </w:p>
        </w:tc>
        <w:tc>
          <w:tcPr>
            <w:tcW w:w="1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1/15/2031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5.36%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Subtotal</w:t>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518,325 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3"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unamortized debt issuance costs and discount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mortgages payable, net</w:t>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516,257 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4.50%</w:t>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3"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u w:val="single"/>
              </w:rPr>
            </w:pPr>
            <w:r>
              <w:rPr>
                <w:rFonts w:ascii="Times New Roman;sans-serif" w:hAnsi="Times New Roman;sans-serif"/>
                <w:b w:val="false"/>
                <w:color w:val="000000"/>
                <w:sz w:val="18"/>
                <w:u w:val="single"/>
              </w:rPr>
              <w:t>Notes payable</w:t>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Term loan (4)</w:t>
            </w:r>
          </w:p>
        </w:tc>
        <w:tc>
          <w:tcPr>
            <w:tcW w:w="1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4/16/2025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SOFR + 0.85%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Revolving credit facility (4)(5)</w:t>
            </w:r>
          </w:p>
        </w:tc>
        <w:tc>
          <w:tcPr>
            <w:tcW w:w="1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4/5/2027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SOFR + 0.775%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Various </w:t>
            </w:r>
          </w:p>
        </w:tc>
        <w:tc>
          <w:tcPr>
            <w:tcW w:w="1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Various through 2059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 xml:space="preserve">Various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Subtotal</w:t>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614,832 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3"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unamortized debt issuance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notes payable, net</w:t>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613,912 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6.43%</w:t>
            </w:r>
          </w:p>
        </w:tc>
        <w:tc>
          <w:tcPr>
            <w:tcW w:w="11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(7)</w:t>
            </w:r>
          </w:p>
        </w:tc>
      </w:tr>
      <w:tr>
        <w:trPr/>
        <w:tc>
          <w:tcPr>
            <w:tcW w:w="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3"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u w:val="single"/>
              </w:rPr>
            </w:pPr>
            <w:r>
              <w:rPr>
                <w:rFonts w:ascii="Times New Roman;sans-serif" w:hAnsi="Times New Roman;sans-serif"/>
                <w:b w:val="false"/>
                <w:color w:val="000000"/>
                <w:sz w:val="18"/>
                <w:u w:val="single"/>
              </w:rPr>
              <w:t>Senior notes and debentures</w:t>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Unsecured fixed rate</w:t>
            </w:r>
          </w:p>
        </w:tc>
        <w:tc>
          <w:tcPr>
            <w:tcW w:w="1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1.25% notes</w:t>
            </w:r>
          </w:p>
        </w:tc>
        <w:tc>
          <w:tcPr>
            <w:tcW w:w="1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2/15/2026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7.48% debentures</w:t>
            </w:r>
          </w:p>
        </w:tc>
        <w:tc>
          <w:tcPr>
            <w:tcW w:w="1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8/15/2026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7.48%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29,200 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3.25% notes</w:t>
            </w:r>
          </w:p>
        </w:tc>
        <w:tc>
          <w:tcPr>
            <w:tcW w:w="1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7/15/2027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6.82% medium term notes</w:t>
            </w:r>
          </w:p>
        </w:tc>
        <w:tc>
          <w:tcPr>
            <w:tcW w:w="1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8/1/2027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6.82%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5.375% notes</w:t>
            </w:r>
          </w:p>
        </w:tc>
        <w:tc>
          <w:tcPr>
            <w:tcW w:w="1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5/1/2028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5.375%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3.25% exchangeable notes</w:t>
            </w:r>
          </w:p>
        </w:tc>
        <w:tc>
          <w:tcPr>
            <w:tcW w:w="1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1/15/2029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3.20% notes</w:t>
            </w:r>
          </w:p>
        </w:tc>
        <w:tc>
          <w:tcPr>
            <w:tcW w:w="1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6/15/2029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3.50% notes</w:t>
            </w:r>
          </w:p>
        </w:tc>
        <w:tc>
          <w:tcPr>
            <w:tcW w:w="1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6/1/2030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4.50% notes</w:t>
            </w:r>
          </w:p>
        </w:tc>
        <w:tc>
          <w:tcPr>
            <w:tcW w:w="1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12/1/2044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3.625% notes</w:t>
            </w:r>
          </w:p>
        </w:tc>
        <w:tc>
          <w:tcPr>
            <w:tcW w:w="1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8/1/2046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3.625%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Subtotal</w:t>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3,379,200 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3"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unamortized debt issuance costs and premium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(25,972)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3"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senior notes and debentures,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3,353,228 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3.78%</w:t>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1"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debt,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4,483,397 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5"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fixed rate debt,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3,871,792 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3.88%</w:t>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5"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variable rate debt,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611,605 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6.42%</w:t>
            </w:r>
          </w:p>
        </w:tc>
        <w:tc>
          <w:tcPr>
            <w:tcW w:w="11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(7)</w:t>
            </w:r>
          </w:p>
        </w:tc>
      </w:tr>
      <w:tr>
        <w:trPr/>
        <w:tc>
          <w:tcPr>
            <w:tcW w:w="3985"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debt,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4,483,397 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4.22%</w:t>
            </w:r>
          </w:p>
        </w:tc>
        <w:tc>
          <w:tcPr>
            <w:tcW w:w="11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(7)</w:t>
            </w:r>
          </w:p>
        </w:tc>
      </w:tr>
    </w:tbl>
    <w:p>
      <w:pPr>
        <w:pStyle w:val="TextBody"/>
        <w:bidi w:val="0"/>
        <w:spacing w:lineRule="auto" w:line="288" w:before="60" w:after="283"/>
        <w:jc w:val="left"/>
        <w:rPr>
          <w:rFonts w:ascii="Times New Roman;sans-serif" w:hAnsi="Times New Roman;sans-serif"/>
          <w:b w:val="false"/>
          <w:color w:val="000000"/>
          <w:sz w:val="17"/>
          <w:u w:val="single"/>
        </w:rPr>
      </w:pPr>
      <w:r>
        <w:rPr>
          <w:rFonts w:ascii="Times New Roman;sans-serif" w:hAnsi="Times New Roman;sans-serif"/>
          <w:b w:val="false"/>
          <w:color w:val="000000"/>
          <w:sz w:val="17"/>
          <w:u w:val="single"/>
        </w:rPr>
        <w:t>Notes:</w:t>
      </w:r>
    </w:p>
    <w:p>
      <w:pPr>
        <w:pStyle w:val="TextBody"/>
        <w:bidi w:val="0"/>
        <w:spacing w:lineRule="auto" w:line="288" w:before="60" w:after="283"/>
        <w:ind w:left="0" w:right="0" w:hanging="720"/>
        <w:jc w:val="left"/>
        <w:rPr>
          <w:rFonts w:ascii="Times New Roman;sans-serif" w:hAnsi="Times New Roman;sans-serif"/>
          <w:b w:val="false"/>
          <w:color w:val="000000"/>
          <w:sz w:val="17"/>
        </w:rPr>
      </w:pPr>
      <w:r>
        <w:rPr>
          <w:rFonts w:ascii="Times New Roman;sans-serif" w:hAnsi="Times New Roman;sans-serif"/>
          <w:b w:val="false"/>
          <w:color w:val="000000"/>
          <w:sz w:val="17"/>
        </w:rPr>
        <w:t>(1)Mortgages payable does not include our share of debt on our unconsolidated real estate partnerships. At March 31, 2024, our share of unconsolidated debt was approximately $62.4 million. At March 31, 2024, our noncontrolling interests' share of mortgages payable was $15.4 million.</w:t>
      </w:r>
    </w:p>
    <w:p>
      <w:pPr>
        <w:pStyle w:val="TextBody"/>
        <w:bidi w:val="0"/>
        <w:spacing w:lineRule="auto" w:line="288" w:before="60" w:after="283"/>
        <w:ind w:left="0" w:right="0" w:hanging="720"/>
        <w:jc w:val="left"/>
        <w:rPr>
          <w:rFonts w:ascii="Times New Roman;sans-serif" w:hAnsi="Times New Roman;sans-serif"/>
          <w:b w:val="false"/>
          <w:color w:val="000000"/>
          <w:sz w:val="17"/>
        </w:rPr>
      </w:pPr>
      <w:r>
        <w:rPr>
          <w:rFonts w:ascii="Times New Roman;sans-serif" w:hAnsi="Times New Roman;sans-serif"/>
          <w:b w:val="false"/>
          <w:color w:val="000000"/>
          <w:sz w:val="17"/>
        </w:rPr>
        <w:t>(2)We have two one-year extensions, at our option to extend the maturity date to December 28, 2027.</w:t>
      </w:r>
    </w:p>
    <w:p>
      <w:pPr>
        <w:pStyle w:val="TextBody"/>
        <w:bidi w:val="0"/>
        <w:spacing w:lineRule="auto" w:line="288" w:before="60" w:after="283"/>
        <w:ind w:left="0" w:right="0" w:hanging="720"/>
        <w:jc w:val="left"/>
        <w:rPr>
          <w:rFonts w:ascii="Times New Roman;sans-serif" w:hAnsi="Times New Roman;sans-serif"/>
          <w:b w:val="false"/>
          <w:color w:val="000000"/>
          <w:sz w:val="17"/>
        </w:rPr>
      </w:pPr>
      <w:r>
        <w:rPr>
          <w:rFonts w:ascii="Times New Roman;sans-serif" w:hAnsi="Times New Roman;sans-serif"/>
          <w:b w:val="false"/>
          <w:color w:val="000000"/>
          <w:sz w:val="17"/>
        </w:rPr>
        <w:t>(3)The mortgage loans have interest rate swap agreements that effectively fix the interest rate through the initial maturity date.</w:t>
      </w:r>
    </w:p>
    <w:p>
      <w:pPr>
        <w:pStyle w:val="TextBody"/>
        <w:bidi w:val="0"/>
        <w:spacing w:lineRule="auto" w:line="288" w:before="60" w:after="283"/>
        <w:ind w:left="0" w:right="0" w:hanging="720"/>
        <w:jc w:val="left"/>
        <w:rPr>
          <w:rFonts w:ascii="Times New Roman;sans-serif" w:hAnsi="Times New Roman;sans-serif"/>
          <w:b w:val="false"/>
          <w:color w:val="000000"/>
          <w:sz w:val="17"/>
        </w:rPr>
      </w:pPr>
      <w:r>
        <w:rPr>
          <w:rFonts w:ascii="Times New Roman;sans-serif" w:hAnsi="Times New Roman;sans-serif"/>
          <w:b w:val="false"/>
          <w:color w:val="000000"/>
          <w:sz w:val="17"/>
        </w:rPr>
        <w:t>(4)Our revolving credit facility SOFR loans bear interest at Daily Simple SOFR or Term SOFR, and our term loan bears interest at Term SOFR as defined in the respective credit agreements, plus 0.10%, plus a spread, based on our current credit rating.</w:t>
      </w:r>
    </w:p>
    <w:p>
      <w:pPr>
        <w:pStyle w:val="TextBody"/>
        <w:bidi w:val="0"/>
        <w:spacing w:lineRule="auto" w:line="288" w:before="60" w:after="283"/>
        <w:ind w:left="0" w:right="0" w:hanging="720"/>
        <w:jc w:val="left"/>
        <w:rPr>
          <w:rFonts w:ascii="Times New Roman;sans-serif" w:hAnsi="Times New Roman;sans-serif"/>
          <w:b w:val="false"/>
          <w:color w:val="000000"/>
          <w:sz w:val="17"/>
        </w:rPr>
      </w:pPr>
      <w:r>
        <w:rPr>
          <w:rFonts w:ascii="Times New Roman;sans-serif" w:hAnsi="Times New Roman;sans-serif"/>
          <w:b w:val="false"/>
          <w:color w:val="000000"/>
          <w:sz w:val="17"/>
        </w:rPr>
        <w:t>(5)The maximum amount drawn under our $1.25 billion revolving credit facility during the three months ended March 31, 2024 was $12.5 million. The weighted average interest rate on borrowings under our credit facility, before amortization of debt fees, for the three months ended March 31, 2024 was 6.2%.</w:t>
      </w:r>
    </w:p>
    <w:p>
      <w:pPr>
        <w:pStyle w:val="TextBody"/>
        <w:bidi w:val="0"/>
        <w:spacing w:lineRule="auto" w:line="288" w:before="60" w:after="283"/>
        <w:ind w:left="0" w:right="0" w:hanging="720"/>
        <w:jc w:val="left"/>
        <w:rPr>
          <w:rFonts w:ascii="Times New Roman;sans-serif" w:hAnsi="Times New Roman;sans-serif"/>
          <w:b w:val="false"/>
          <w:color w:val="000000"/>
          <w:sz w:val="17"/>
        </w:rPr>
      </w:pPr>
      <w:r>
        <w:rPr>
          <w:rFonts w:ascii="Times New Roman;sans-serif" w:hAnsi="Times New Roman;sans-serif"/>
          <w:b w:val="false"/>
          <w:color w:val="000000"/>
          <w:sz w:val="17"/>
        </w:rPr>
        <w:t>(6)The weighted average effective interest rate includes the amortization of any debt issuance costs and discounts and premiums, if applicable, except as described in Note 7.</w:t>
      </w:r>
    </w:p>
    <w:p>
      <w:pPr>
        <w:pStyle w:val="TextBody"/>
        <w:bidi w:val="0"/>
        <w:spacing w:lineRule="auto" w:line="288" w:before="60" w:after="283"/>
        <w:ind w:left="0" w:right="0" w:hanging="720"/>
        <w:jc w:val="left"/>
        <w:rPr>
          <w:rFonts w:ascii="Times New Roman;sans-serif" w:hAnsi="Times New Roman;sans-serif"/>
          <w:b w:val="false"/>
          <w:color w:val="000000"/>
          <w:sz w:val="17"/>
        </w:rPr>
      </w:pPr>
      <w:r>
        <w:rPr>
          <w:rFonts w:ascii="Times New Roman;sans-serif" w:hAnsi="Times New Roman;sans-serif"/>
          <w:b w:val="false"/>
          <w:color w:val="000000"/>
          <w:sz w:val="17"/>
        </w:rPr>
        <w:t>(7)The weighted average effective interest rate excludes $0.9 million in quarterly financing fees and quarterly debt fee amortization on our revolving credit facility.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340"/>
        <w:gridCol w:w="300"/>
        <w:gridCol w:w="306"/>
        <w:gridCol w:w="319"/>
        <w:gridCol w:w="1092"/>
        <w:gridCol w:w="166"/>
        <w:gridCol w:w="109"/>
        <w:gridCol w:w="109"/>
        <w:gridCol w:w="109"/>
        <w:gridCol w:w="211"/>
        <w:gridCol w:w="976"/>
        <w:gridCol w:w="109"/>
        <w:gridCol w:w="109"/>
        <w:gridCol w:w="109"/>
        <w:gridCol w:w="109"/>
        <w:gridCol w:w="211"/>
        <w:gridCol w:w="976"/>
        <w:gridCol w:w="109"/>
        <w:gridCol w:w="109"/>
        <w:gridCol w:w="109"/>
        <w:gridCol w:w="109"/>
        <w:gridCol w:w="445"/>
        <w:gridCol w:w="334"/>
        <w:gridCol w:w="835"/>
        <w:gridCol w:w="109"/>
        <w:gridCol w:w="109"/>
        <w:gridCol w:w="109"/>
        <w:gridCol w:w="109"/>
        <w:gridCol w:w="109"/>
        <w:gridCol w:w="361"/>
        <w:gridCol w:w="346"/>
        <w:gridCol w:w="866"/>
        <w:gridCol w:w="109"/>
        <w:gridCol w:w="109"/>
        <w:gridCol w:w="159"/>
      </w:tblGrid>
      <w:tr>
        <w:trPr/>
        <w:tc>
          <w:tcPr>
            <w:tcW w:w="34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8255" w:type="dxa"/>
            <w:gridSpan w:val="2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Federal Realty Investment Trust</w:t>
            </w:r>
          </w:p>
        </w:tc>
        <w:tc>
          <w:tcPr>
            <w:tcW w:w="1950" w:type="dxa"/>
            <w:gridSpan w:val="6"/>
            <w:tcBorders/>
          </w:tcPr>
          <w:p>
            <w:pPr>
              <w:pStyle w:val="TableContents"/>
              <w:bidi w:val="0"/>
              <w:spacing w:before="0" w:after="283"/>
              <w:jc w:val="left"/>
              <w:rPr>
                <w:sz w:val="4"/>
                <w:szCs w:val="4"/>
              </w:rPr>
            </w:pPr>
            <w:r>
              <w:rPr>
                <w:sz w:val="4"/>
                <w:szCs w:val="4"/>
              </w:rPr>
            </w:r>
          </w:p>
        </w:tc>
      </w:tr>
      <w:tr>
        <w:trPr/>
        <w:tc>
          <w:tcPr>
            <w:tcW w:w="8255" w:type="dxa"/>
            <w:gridSpan w:val="2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Summary of Debt Maturities</w:t>
            </w:r>
          </w:p>
        </w:tc>
        <w:tc>
          <w:tcPr>
            <w:tcW w:w="1950" w:type="dxa"/>
            <w:gridSpan w:val="6"/>
            <w:tcBorders/>
          </w:tcPr>
          <w:p>
            <w:pPr>
              <w:pStyle w:val="TableContents"/>
              <w:bidi w:val="0"/>
              <w:spacing w:before="0" w:after="283"/>
              <w:jc w:val="left"/>
              <w:rPr>
                <w:sz w:val="4"/>
                <w:szCs w:val="4"/>
              </w:rPr>
            </w:pPr>
            <w:r>
              <w:rPr>
                <w:sz w:val="4"/>
                <w:szCs w:val="4"/>
              </w:rPr>
            </w:r>
          </w:p>
        </w:tc>
      </w:tr>
      <w:tr>
        <w:trPr/>
        <w:tc>
          <w:tcPr>
            <w:tcW w:w="8255" w:type="dxa"/>
            <w:gridSpan w:val="2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March 31, 2024</w:t>
            </w:r>
          </w:p>
        </w:tc>
        <w:tc>
          <w:tcPr>
            <w:tcW w:w="1950" w:type="dxa"/>
            <w:gridSpan w:val="6"/>
            <w:tcBorders/>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Year</w:t>
            </w:r>
          </w:p>
        </w:tc>
        <w:tc>
          <w:tcPr>
            <w:tcW w:w="15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Scheduled Amortization</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Maturities</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Percent of Debt Maturing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 Average Rate (5)</w:t>
            </w:r>
          </w:p>
        </w:tc>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3"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3,062 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8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4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3,822 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8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8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4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3,176 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1,052,450 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1,055,626 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23.4 </w:t>
            </w:r>
          </w:p>
        </w:tc>
        <w:tc>
          <w:tcPr>
            <w:tcW w:w="8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8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14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2,679 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890,682 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893,361 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19.8 </w:t>
            </w:r>
          </w:p>
        </w:tc>
        <w:tc>
          <w:tcPr>
            <w:tcW w:w="8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8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14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2,511 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365,011 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w:t>
            </w:r>
          </w:p>
        </w:tc>
        <w:tc>
          <w:tcPr>
            <w:tcW w:w="8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8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(6)</w:t>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2029</w:t>
            </w:r>
          </w:p>
        </w:tc>
        <w:tc>
          <w:tcPr>
            <w:tcW w:w="14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2,329 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943,105 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945,434 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8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8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2030</w:t>
            </w:r>
          </w:p>
        </w:tc>
        <w:tc>
          <w:tcPr>
            <w:tcW w:w="14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684 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400,684 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8.9 </w:t>
            </w:r>
          </w:p>
        </w:tc>
        <w:tc>
          <w:tcPr>
            <w:tcW w:w="8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8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2031</w:t>
            </w:r>
          </w:p>
        </w:tc>
        <w:tc>
          <w:tcPr>
            <w:tcW w:w="14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8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2032</w:t>
            </w:r>
          </w:p>
        </w:tc>
        <w:tc>
          <w:tcPr>
            <w:tcW w:w="14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2033</w:t>
            </w:r>
          </w:p>
        </w:tc>
        <w:tc>
          <w:tcPr>
            <w:tcW w:w="14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14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801,000 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801,000 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17.7 </w:t>
            </w:r>
          </w:p>
        </w:tc>
        <w:tc>
          <w:tcPr>
            <w:tcW w:w="8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8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18,322 </w:t>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4,494,035 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4,512,357 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(4)</w:t>
            </w:r>
          </w:p>
        </w:tc>
        <w:tc>
          <w:tcPr>
            <w:tcW w:w="779"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8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center"/>
        <w:rPr/>
      </w:pPr>
      <w:r>
        <w:rPr/>
      </w:r>
    </w:p>
    <w:p>
      <w:pPr>
        <w:pStyle w:val="TextBody"/>
        <w:bidi w:val="0"/>
        <w:spacing w:lineRule="auto" w:line="288" w:before="100" w:after="283"/>
        <w:jc w:val="left"/>
        <w:rPr>
          <w:rFonts w:ascii="Times New Roman;sans-serif" w:hAnsi="Times New Roman;sans-serif"/>
          <w:b w:val="false"/>
          <w:color w:val="000000"/>
          <w:sz w:val="18"/>
          <w:u w:val="single"/>
        </w:rPr>
      </w:pPr>
      <w:r>
        <w:rPr>
          <w:rFonts w:ascii="Times New Roman;sans-serif" w:hAnsi="Times New Roman;sans-serif"/>
          <w:b w:val="false"/>
          <w:color w:val="000000"/>
          <w:sz w:val="18"/>
          <w:u w:val="single"/>
        </w:rPr>
        <w:t>Notes:</w:t>
      </w:r>
    </w:p>
    <w:p>
      <w:pPr>
        <w:pStyle w:val="TextBody"/>
        <w:bidi w:val="0"/>
        <w:spacing w:lineRule="auto" w:line="288" w:before="40" w:after="100"/>
        <w:jc w:val="left"/>
        <w:rPr>
          <w:rFonts w:ascii="Times New Roman;sans-serif" w:hAnsi="Times New Roman;sans-serif"/>
          <w:b w:val="false"/>
          <w:color w:val="000000"/>
          <w:sz w:val="18"/>
        </w:rPr>
      </w:pPr>
      <w:r>
        <w:rPr>
          <w:rFonts w:ascii="Times New Roman;sans-serif" w:hAnsi="Times New Roman;sans-serif"/>
          <w:b w:val="false"/>
          <w:color w:val="000000"/>
          <w:sz w:val="18"/>
        </w:rPr>
        <w:t>The above table assumes all extension options are exercised.</w:t>
      </w:r>
    </w:p>
    <w:p>
      <w:pPr>
        <w:pStyle w:val="TextBody"/>
        <w:bidi w:val="0"/>
        <w:spacing w:lineRule="auto" w:line="288" w:before="60" w:after="283"/>
        <w:ind w:left="0" w:right="0" w:hanging="72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(1)Our $600.0 million term loan matures on April 16, 2025, plus one one-year extension at our option to April 16, 2026. </w:t>
      </w:r>
    </w:p>
    <w:p>
      <w:pPr>
        <w:pStyle w:val="TextBody"/>
        <w:bidi w:val="0"/>
        <w:spacing w:lineRule="auto" w:line="288" w:before="60" w:after="283"/>
        <w:ind w:left="0" w:right="0" w:hanging="720"/>
        <w:jc w:val="left"/>
        <w:rPr>
          <w:rFonts w:ascii="Times New Roman;sans-serif" w:hAnsi="Times New Roman;sans-serif"/>
          <w:b w:val="false"/>
          <w:color w:val="000000"/>
          <w:sz w:val="18"/>
        </w:rPr>
      </w:pPr>
      <w:r>
        <w:rPr>
          <w:rFonts w:ascii="Times New Roman;sans-serif" w:hAnsi="Times New Roman;sans-serif"/>
          <w:b w:val="false"/>
          <w:color w:val="000000"/>
          <w:sz w:val="18"/>
        </w:rPr>
        <w:t>(2)Our $200.0 million mortgage loan secured by Bethesda Row matures on December 28, 2025 plus two one-year extensions, at our option to December 28, 2027.</w:t>
      </w:r>
    </w:p>
    <w:p>
      <w:pPr>
        <w:pStyle w:val="TextBody"/>
        <w:bidi w:val="0"/>
        <w:spacing w:lineRule="auto" w:line="288" w:before="60" w:after="283"/>
        <w:ind w:left="0" w:right="0" w:hanging="720"/>
        <w:jc w:val="left"/>
        <w:rPr>
          <w:rFonts w:ascii="Times New Roman;sans-serif" w:hAnsi="Times New Roman;sans-serif"/>
          <w:b w:val="false"/>
          <w:color w:val="000000"/>
          <w:sz w:val="18"/>
        </w:rPr>
      </w:pPr>
      <w:r>
        <w:rPr>
          <w:rFonts w:ascii="Times New Roman;sans-serif" w:hAnsi="Times New Roman;sans-serif"/>
          <w:b w:val="false"/>
          <w:color w:val="000000"/>
          <w:sz w:val="18"/>
        </w:rPr>
        <w:t>(3)Our $1.25 billion revolving credit facility matures on April 5, 2027, plus two six-month extensions at our option to April 5, 2028. As of March 31, 2024, there was $12.5 million outstanding under this credit facility.</w:t>
      </w:r>
    </w:p>
    <w:p>
      <w:pPr>
        <w:pStyle w:val="TextBody"/>
        <w:bidi w:val="0"/>
        <w:spacing w:lineRule="auto" w:line="288" w:before="60" w:after="283"/>
        <w:ind w:left="0" w:right="0" w:hanging="720"/>
        <w:jc w:val="left"/>
        <w:rPr>
          <w:rFonts w:ascii="Times New Roman;sans-serif" w:hAnsi="Times New Roman;sans-serif"/>
          <w:b w:val="false"/>
          <w:color w:val="000000"/>
          <w:sz w:val="18"/>
        </w:rPr>
      </w:pPr>
      <w:r>
        <w:rPr>
          <w:rFonts w:ascii="Times New Roman;sans-serif" w:hAnsi="Times New Roman;sans-serif"/>
          <w:b w:val="false"/>
          <w:color w:val="000000"/>
          <w:sz w:val="18"/>
        </w:rPr>
        <w:t>(4)The total debt maturities differ from the total reported on the consolidated balance sheet due to the debt issuance costs and unamortized net premium/discount on certain mortgage loans, notes payable, and senior notes as of March 31, 2024. The weighted average remaining term on our mortgages payable, notes payable, and senior notes and debentures is approximately 7 years.</w:t>
      </w:r>
    </w:p>
    <w:p>
      <w:pPr>
        <w:pStyle w:val="TextBody"/>
        <w:bidi w:val="0"/>
        <w:spacing w:lineRule="auto" w:line="288" w:before="60" w:after="283"/>
        <w:ind w:left="0" w:right="0" w:hanging="72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(5)The weighted average rate reflects the weighted average interest rate on debt maturing in the respective year. </w:t>
      </w:r>
    </w:p>
    <w:p>
      <w:pPr>
        <w:pStyle w:val="TextBody"/>
        <w:bidi w:val="0"/>
        <w:spacing w:lineRule="auto" w:line="288" w:before="60" w:after="283"/>
        <w:ind w:left="0" w:right="0" w:hanging="720"/>
        <w:jc w:val="left"/>
        <w:rPr>
          <w:rFonts w:ascii="Times New Roman;sans-serif" w:hAnsi="Times New Roman;sans-serif"/>
          <w:b w:val="false"/>
          <w:color w:val="000000"/>
          <w:sz w:val="18"/>
        </w:rPr>
      </w:pPr>
      <w:r>
        <w:rPr>
          <w:rFonts w:ascii="Times New Roman;sans-serif" w:hAnsi="Times New Roman;sans-serif"/>
          <w:b w:val="false"/>
          <w:color w:val="000000"/>
          <w:sz w:val="18"/>
        </w:rPr>
        <w:t>(6)The weighted average rate excludes $0.9 million in quarterly financing fees and quarterly debt fee amortization on our $1.25 billion revolving credit facility.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649"/>
        <w:gridCol w:w="262"/>
        <w:gridCol w:w="262"/>
        <w:gridCol w:w="636"/>
        <w:gridCol w:w="243"/>
        <w:gridCol w:w="248"/>
        <w:gridCol w:w="1443"/>
        <w:gridCol w:w="1264"/>
        <w:gridCol w:w="1279"/>
        <w:gridCol w:w="213"/>
        <w:gridCol w:w="213"/>
        <w:gridCol w:w="474"/>
        <w:gridCol w:w="300"/>
        <w:gridCol w:w="300"/>
        <w:gridCol w:w="301"/>
        <w:gridCol w:w="339"/>
        <w:gridCol w:w="195"/>
        <w:gridCol w:w="178"/>
        <w:gridCol w:w="533"/>
        <w:gridCol w:w="354"/>
        <w:gridCol w:w="355"/>
        <w:gridCol w:w="164"/>
      </w:tblGrid>
      <w:tr>
        <w:trPr/>
        <w:tc>
          <w:tcPr>
            <w:tcW w:w="64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443" w:type="dxa"/>
            <w:tcBorders/>
            <w:vAlign w:val="center"/>
          </w:tcPr>
          <w:p>
            <w:pPr>
              <w:pStyle w:val="TableContents"/>
              <w:bidi w:val="0"/>
              <w:spacing w:before="0" w:after="283"/>
              <w:jc w:val="left"/>
              <w:rPr>
                <w:sz w:val="4"/>
                <w:szCs w:val="4"/>
              </w:rPr>
            </w:pPr>
            <w:r>
              <w:rPr>
                <w:sz w:val="4"/>
                <w:szCs w:val="4"/>
              </w:rPr>
            </w:r>
          </w:p>
        </w:tc>
        <w:tc>
          <w:tcPr>
            <w:tcW w:w="1264"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30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Federal Realty Investment Trust</w:t>
            </w:r>
          </w:p>
        </w:tc>
        <w:tc>
          <w:tcPr>
            <w:tcW w:w="39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6286"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Summary of Redevelopment and Expansion Opportunities</w:t>
            </w:r>
          </w:p>
        </w:tc>
        <w:tc>
          <w:tcPr>
            <w:tcW w:w="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1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March 31, 2024</w:t>
            </w:r>
          </w:p>
        </w:tc>
        <w:tc>
          <w:tcPr>
            <w:tcW w:w="11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1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0041" w:type="dxa"/>
            <w:gridSpan w:val="21"/>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The following redevelopment opportunities are actively being worked on by the Trust. (1)</w:t>
            </w:r>
          </w:p>
        </w:tc>
        <w:tc>
          <w:tcPr>
            <w:tcW w:w="164" w:type="dxa"/>
            <w:tcBorders/>
            <w:vAlign w:val="center"/>
          </w:tcPr>
          <w:p>
            <w:pPr>
              <w:pStyle w:val="TableContents"/>
              <w:bidi w:val="0"/>
              <w:spacing w:before="0" w:after="283"/>
              <w:jc w:val="left"/>
              <w:rPr>
                <w:sz w:val="4"/>
                <w:szCs w:val="4"/>
              </w:rPr>
            </w:pPr>
            <w:r>
              <w:rPr>
                <w:sz w:val="4"/>
                <w:szCs w:val="4"/>
              </w:rPr>
            </w:r>
          </w:p>
        </w:tc>
      </w:tr>
      <w:tr>
        <w:trPr/>
        <w:tc>
          <w:tcPr>
            <w:tcW w:w="1173"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986" w:type="dxa"/>
            <w:gridSpan w:val="3"/>
            <w:tcBorders/>
            <w:vAlign w:val="center"/>
          </w:tcPr>
          <w:p>
            <w:pPr>
              <w:pStyle w:val="TableContents"/>
              <w:bidi w:val="0"/>
              <w:spacing w:before="0" w:after="283"/>
              <w:jc w:val="left"/>
              <w:rPr>
                <w:sz w:val="4"/>
                <w:szCs w:val="4"/>
              </w:rPr>
            </w:pPr>
            <w:r>
              <w:rPr>
                <w:sz w:val="4"/>
                <w:szCs w:val="4"/>
              </w:rPr>
            </w:r>
          </w:p>
        </w:tc>
        <w:tc>
          <w:tcPr>
            <w:tcW w:w="900"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173"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986" w:type="dxa"/>
            <w:gridSpan w:val="3"/>
            <w:tcBorders/>
            <w:vAlign w:val="center"/>
          </w:tcPr>
          <w:p>
            <w:pPr>
              <w:pStyle w:val="TableContents"/>
              <w:bidi w:val="0"/>
              <w:spacing w:before="0" w:after="283"/>
              <w:jc w:val="left"/>
              <w:rPr>
                <w:sz w:val="4"/>
                <w:szCs w:val="4"/>
              </w:rPr>
            </w:pPr>
            <w:r>
              <w:rPr>
                <w:sz w:val="4"/>
                <w:szCs w:val="4"/>
              </w:rPr>
            </w:r>
          </w:p>
        </w:tc>
        <w:tc>
          <w:tcPr>
            <w:tcW w:w="900"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164" w:type="dxa"/>
            <w:tcBorders/>
          </w:tcPr>
          <w:p>
            <w:pPr>
              <w:pStyle w:val="TableContents"/>
              <w:bidi w:val="0"/>
              <w:spacing w:before="0" w:after="283"/>
              <w:jc w:val="left"/>
              <w:rPr>
                <w:sz w:val="4"/>
                <w:szCs w:val="4"/>
              </w:rPr>
            </w:pPr>
            <w:r>
              <w:rPr>
                <w:sz w:val="4"/>
                <w:szCs w:val="4"/>
              </w:rPr>
            </w:r>
          </w:p>
        </w:tc>
      </w:tr>
      <w:tr>
        <w:trPr/>
        <w:tc>
          <w:tcPr>
            <w:tcW w:w="1173" w:type="dxa"/>
            <w:gridSpan w:val="3"/>
            <w:tcBorders/>
            <w:vAlign w:val="center"/>
          </w:tcPr>
          <w:p>
            <w:pPr>
              <w:pStyle w:val="TableContents"/>
              <w:bidi w:val="0"/>
              <w:spacing w:before="0" w:after="283"/>
              <w:jc w:val="left"/>
              <w:rPr>
                <w:sz w:val="4"/>
                <w:szCs w:val="4"/>
              </w:rPr>
            </w:pPr>
            <w:r>
              <w:rPr>
                <w:sz w:val="4"/>
                <w:szCs w:val="4"/>
              </w:rPr>
            </w:r>
          </w:p>
        </w:tc>
        <w:tc>
          <w:tcPr>
            <w:tcW w:w="9032" w:type="dxa"/>
            <w:gridSpan w:val="19"/>
            <w:tcBorders/>
          </w:tcPr>
          <w:p>
            <w:pPr>
              <w:pStyle w:val="TableContents"/>
              <w:bidi w:val="0"/>
              <w:spacing w:before="0" w:after="283"/>
              <w:jc w:val="left"/>
              <w:rPr>
                <w:sz w:val="4"/>
                <w:szCs w:val="4"/>
              </w:rPr>
            </w:pPr>
            <w:r>
              <w:rPr>
                <w:sz w:val="4"/>
                <w:szCs w:val="4"/>
              </w:rPr>
            </w:r>
          </w:p>
        </w:tc>
      </w:tr>
      <w:tr>
        <w:trPr/>
        <w:tc>
          <w:tcPr>
            <w:tcW w:w="11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173"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986" w:type="dxa"/>
            <w:gridSpan w:val="3"/>
            <w:tcBorders/>
            <w:vAlign w:val="center"/>
          </w:tcPr>
          <w:p>
            <w:pPr>
              <w:pStyle w:val="TableContents"/>
              <w:bidi w:val="0"/>
              <w:spacing w:before="0" w:after="283"/>
              <w:jc w:val="left"/>
              <w:rPr>
                <w:sz w:val="4"/>
                <w:szCs w:val="4"/>
              </w:rPr>
            </w:pPr>
            <w:r>
              <w:rPr>
                <w:sz w:val="4"/>
                <w:szCs w:val="4"/>
              </w:rPr>
            </w:r>
          </w:p>
        </w:tc>
        <w:tc>
          <w:tcPr>
            <w:tcW w:w="900"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173"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986" w:type="dxa"/>
            <w:gridSpan w:val="3"/>
            <w:tcBorders/>
            <w:vAlign w:val="center"/>
          </w:tcPr>
          <w:p>
            <w:pPr>
              <w:pStyle w:val="TableContents"/>
              <w:bidi w:val="0"/>
              <w:spacing w:before="0" w:after="283"/>
              <w:jc w:val="left"/>
              <w:rPr>
                <w:sz w:val="4"/>
                <w:szCs w:val="4"/>
              </w:rPr>
            </w:pPr>
            <w:r>
              <w:rPr>
                <w:sz w:val="4"/>
                <w:szCs w:val="4"/>
              </w:rPr>
            </w:r>
          </w:p>
        </w:tc>
        <w:tc>
          <w:tcPr>
            <w:tcW w:w="900"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173"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986" w:type="dxa"/>
            <w:gridSpan w:val="3"/>
            <w:tcBorders/>
            <w:vAlign w:val="center"/>
          </w:tcPr>
          <w:p>
            <w:pPr>
              <w:pStyle w:val="TableContents"/>
              <w:bidi w:val="0"/>
              <w:spacing w:before="0" w:after="283"/>
              <w:jc w:val="left"/>
              <w:rPr>
                <w:sz w:val="4"/>
                <w:szCs w:val="4"/>
              </w:rPr>
            </w:pPr>
            <w:r>
              <w:rPr>
                <w:sz w:val="4"/>
                <w:szCs w:val="4"/>
              </w:rPr>
            </w:r>
          </w:p>
        </w:tc>
        <w:tc>
          <w:tcPr>
            <w:tcW w:w="900"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1406" w:type="dxa"/>
            <w:gridSpan w:val="4"/>
            <w:tcBorders/>
          </w:tcPr>
          <w:p>
            <w:pPr>
              <w:pStyle w:val="TableContents"/>
              <w:bidi w:val="0"/>
              <w:spacing w:before="0" w:after="283"/>
              <w:jc w:val="left"/>
              <w:rPr>
                <w:sz w:val="4"/>
                <w:szCs w:val="4"/>
              </w:rPr>
            </w:pPr>
            <w:r>
              <w:rPr>
                <w:sz w:val="4"/>
                <w:szCs w:val="4"/>
              </w:rPr>
            </w:r>
          </w:p>
        </w:tc>
      </w:tr>
      <w:tr>
        <w:trPr/>
        <w:tc>
          <w:tcPr>
            <w:tcW w:w="6286" w:type="dxa"/>
            <w:gridSpan w:val="9"/>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173"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986" w:type="dxa"/>
            <w:gridSpan w:val="3"/>
            <w:tcBorders/>
            <w:vAlign w:val="center"/>
          </w:tcPr>
          <w:p>
            <w:pPr>
              <w:pStyle w:val="TableContents"/>
              <w:bidi w:val="0"/>
              <w:spacing w:before="0" w:after="283"/>
              <w:jc w:val="left"/>
              <w:rPr>
                <w:sz w:val="4"/>
                <w:szCs w:val="4"/>
              </w:rPr>
            </w:pPr>
            <w:r>
              <w:rPr>
                <w:sz w:val="4"/>
                <w:szCs w:val="4"/>
              </w:rPr>
            </w:r>
          </w:p>
        </w:tc>
        <w:tc>
          <w:tcPr>
            <w:tcW w:w="900"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164" w:type="dxa"/>
            <w:tcBorders/>
          </w:tcPr>
          <w:p>
            <w:pPr>
              <w:pStyle w:val="TableContents"/>
              <w:bidi w:val="0"/>
              <w:spacing w:before="0" w:after="283"/>
              <w:jc w:val="left"/>
              <w:rPr>
                <w:sz w:val="4"/>
                <w:szCs w:val="4"/>
              </w:rPr>
            </w:pPr>
            <w:r>
              <w:rPr>
                <w:sz w:val="4"/>
                <w:szCs w:val="4"/>
              </w:rPr>
            </w:r>
          </w:p>
        </w:tc>
      </w:tr>
      <w:tr>
        <w:trPr/>
        <w:tc>
          <w:tcPr>
            <w:tcW w:w="1173"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986" w:type="dxa"/>
            <w:gridSpan w:val="3"/>
            <w:tcBorders/>
            <w:vAlign w:val="center"/>
          </w:tcPr>
          <w:p>
            <w:pPr>
              <w:pStyle w:val="TableContents"/>
              <w:bidi w:val="0"/>
              <w:spacing w:before="0" w:after="283"/>
              <w:jc w:val="left"/>
              <w:rPr>
                <w:sz w:val="4"/>
                <w:szCs w:val="4"/>
              </w:rPr>
            </w:pPr>
            <w:r>
              <w:rPr>
                <w:sz w:val="4"/>
                <w:szCs w:val="4"/>
              </w:rPr>
            </w:r>
          </w:p>
        </w:tc>
        <w:tc>
          <w:tcPr>
            <w:tcW w:w="900"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164" w:type="dxa"/>
            <w:tcBorders/>
          </w:tcPr>
          <w:p>
            <w:pPr>
              <w:pStyle w:val="TableContents"/>
              <w:bidi w:val="0"/>
              <w:spacing w:before="0" w:after="283"/>
              <w:jc w:val="left"/>
              <w:rPr>
                <w:sz w:val="4"/>
                <w:szCs w:val="4"/>
              </w:rPr>
            </w:pPr>
            <w:r>
              <w:rPr>
                <w:sz w:val="4"/>
                <w:szCs w:val="4"/>
              </w:rPr>
            </w:r>
          </w:p>
        </w:tc>
      </w:tr>
      <w:tr>
        <w:trPr/>
        <w:tc>
          <w:tcPr>
            <w:tcW w:w="11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Property</w:t>
            </w:r>
          </w:p>
        </w:tc>
        <w:tc>
          <w:tcPr>
            <w:tcW w:w="11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Location</w:t>
            </w:r>
          </w:p>
        </w:tc>
        <w:tc>
          <w:tcPr>
            <w:tcW w:w="39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Opportunity</w:t>
            </w:r>
          </w:p>
        </w:tc>
        <w:tc>
          <w:tcPr>
            <w:tcW w:w="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Projected ROI (2)</w:t>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Projected Cost (1)</w:t>
            </w:r>
          </w:p>
        </w:tc>
        <w:tc>
          <w:tcPr>
            <w:tcW w:w="7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Cost to Date</w:t>
            </w:r>
          </w:p>
        </w:tc>
        <w:tc>
          <w:tcPr>
            <w:tcW w:w="12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Projected 2024 POI Delivered (2)</w:t>
            </w:r>
          </w:p>
        </w:tc>
        <w:tc>
          <w:tcPr>
            <w:tcW w:w="164" w:type="dxa"/>
            <w:tcBorders/>
            <w:vAlign w:val="center"/>
          </w:tcPr>
          <w:p>
            <w:pPr>
              <w:pStyle w:val="TableContents"/>
              <w:bidi w:val="0"/>
              <w:spacing w:before="0" w:after="283"/>
              <w:jc w:val="left"/>
              <w:rPr>
                <w:sz w:val="4"/>
                <w:szCs w:val="4"/>
              </w:rPr>
            </w:pPr>
            <w:r>
              <w:rPr>
                <w:sz w:val="4"/>
                <w:szCs w:val="4"/>
              </w:rPr>
            </w:r>
          </w:p>
        </w:tc>
      </w:tr>
      <w:tr>
        <w:trPr/>
        <w:tc>
          <w:tcPr>
            <w:tcW w:w="11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(in millions)</w:t>
            </w:r>
          </w:p>
        </w:tc>
        <w:tc>
          <w:tcPr>
            <w:tcW w:w="7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(in millions)</w:t>
            </w:r>
          </w:p>
        </w:tc>
        <w:tc>
          <w:tcPr>
            <w:tcW w:w="12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(as a % of Total)</w:t>
            </w:r>
          </w:p>
        </w:tc>
        <w:tc>
          <w:tcPr>
            <w:tcW w:w="164" w:type="dxa"/>
            <w:tcBorders/>
          </w:tcPr>
          <w:p>
            <w:pPr>
              <w:pStyle w:val="TableContents"/>
              <w:bidi w:val="0"/>
              <w:spacing w:before="0" w:after="283"/>
              <w:jc w:val="left"/>
              <w:rPr>
                <w:sz w:val="4"/>
                <w:szCs w:val="4"/>
              </w:rPr>
            </w:pPr>
            <w:r>
              <w:rPr>
                <w:sz w:val="4"/>
                <w:szCs w:val="4"/>
              </w:rPr>
            </w:r>
          </w:p>
        </w:tc>
      </w:tr>
      <w:tr>
        <w:trPr/>
        <w:tc>
          <w:tcPr>
            <w:tcW w:w="1173"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986" w:type="dxa"/>
            <w:gridSpan w:val="3"/>
            <w:tcBorders/>
            <w:vAlign w:val="center"/>
          </w:tcPr>
          <w:p>
            <w:pPr>
              <w:pStyle w:val="TableContents"/>
              <w:bidi w:val="0"/>
              <w:spacing w:before="0" w:after="283"/>
              <w:jc w:val="left"/>
              <w:rPr>
                <w:sz w:val="4"/>
                <w:szCs w:val="4"/>
              </w:rPr>
            </w:pPr>
            <w:r>
              <w:rPr>
                <w:sz w:val="4"/>
                <w:szCs w:val="4"/>
              </w:rPr>
            </w:r>
          </w:p>
        </w:tc>
        <w:tc>
          <w:tcPr>
            <w:tcW w:w="900"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1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Santana West (3)</w:t>
            </w:r>
          </w:p>
        </w:tc>
        <w:tc>
          <w:tcPr>
            <w:tcW w:w="11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San Jose, CA</w:t>
            </w:r>
          </w:p>
        </w:tc>
        <w:tc>
          <w:tcPr>
            <w:tcW w:w="39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Development of a 369,000 square foot office building. 170,000 square feet of office space leased.</w:t>
            </w:r>
          </w:p>
        </w:tc>
        <w:tc>
          <w:tcPr>
            <w:tcW w:w="4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6 </w:t>
            </w:r>
          </w:p>
        </w:tc>
        <w:tc>
          <w:tcPr>
            <w:tcW w:w="4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$315 - $330</w:t>
            </w:r>
          </w:p>
        </w:tc>
        <w:tc>
          <w:tcPr>
            <w:tcW w:w="7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$240</w:t>
            </w:r>
          </w:p>
        </w:tc>
        <w:tc>
          <w:tcPr>
            <w:tcW w:w="12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64" w:type="dxa"/>
            <w:tcBorders/>
            <w:vAlign w:val="center"/>
          </w:tcPr>
          <w:p>
            <w:pPr>
              <w:pStyle w:val="TableContents"/>
              <w:bidi w:val="0"/>
              <w:spacing w:before="0" w:after="283"/>
              <w:jc w:val="left"/>
              <w:rPr>
                <w:sz w:val="4"/>
                <w:szCs w:val="4"/>
              </w:rPr>
            </w:pPr>
            <w:r>
              <w:rPr>
                <w:sz w:val="4"/>
                <w:szCs w:val="4"/>
              </w:rPr>
            </w:r>
          </w:p>
        </w:tc>
      </w:tr>
      <w:tr>
        <w:trPr/>
        <w:tc>
          <w:tcPr>
            <w:tcW w:w="11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Pike &amp; Rose - 915 Meeting Street (3)</w:t>
            </w:r>
          </w:p>
        </w:tc>
        <w:tc>
          <w:tcPr>
            <w:tcW w:w="11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North Bethesda, MD</w:t>
            </w:r>
          </w:p>
        </w:tc>
        <w:tc>
          <w:tcPr>
            <w:tcW w:w="39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Development of a 266,000 square foot office building with 10,000 square feet of retail space. 201,000 square feet of office and 10,000 square feet of retail space leased.</w:t>
            </w:r>
          </w:p>
        </w:tc>
        <w:tc>
          <w:tcPr>
            <w:tcW w:w="4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6 </w:t>
            </w:r>
          </w:p>
        </w:tc>
        <w:tc>
          <w:tcPr>
            <w:tcW w:w="4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$185 - $200</w:t>
            </w:r>
          </w:p>
        </w:tc>
        <w:tc>
          <w:tcPr>
            <w:tcW w:w="7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$156</w:t>
            </w:r>
          </w:p>
        </w:tc>
        <w:tc>
          <w:tcPr>
            <w:tcW w:w="12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45 - 55%</w:t>
            </w:r>
          </w:p>
        </w:tc>
        <w:tc>
          <w:tcPr>
            <w:tcW w:w="164" w:type="dxa"/>
            <w:tcBorders/>
            <w:vAlign w:val="center"/>
          </w:tcPr>
          <w:p>
            <w:pPr>
              <w:pStyle w:val="TableContents"/>
              <w:bidi w:val="0"/>
              <w:spacing w:before="0" w:after="283"/>
              <w:jc w:val="left"/>
              <w:rPr>
                <w:sz w:val="4"/>
                <w:szCs w:val="4"/>
              </w:rPr>
            </w:pPr>
            <w:r>
              <w:rPr>
                <w:sz w:val="4"/>
                <w:szCs w:val="4"/>
              </w:rPr>
            </w:r>
          </w:p>
        </w:tc>
      </w:tr>
      <w:tr>
        <w:trPr/>
        <w:tc>
          <w:tcPr>
            <w:tcW w:w="11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Darien Commons</w:t>
            </w:r>
          </w:p>
        </w:tc>
        <w:tc>
          <w:tcPr>
            <w:tcW w:w="11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Darien, CT</w:t>
            </w:r>
          </w:p>
        </w:tc>
        <w:tc>
          <w:tcPr>
            <w:tcW w:w="39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Demolition of a 45,000 square foot anchor space to construct 75,000 square feet of new retail space, 122 rental apartments, and 720 parking spaces</w:t>
            </w:r>
          </w:p>
        </w:tc>
        <w:tc>
          <w:tcPr>
            <w:tcW w:w="4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6 </w:t>
            </w:r>
          </w:p>
        </w:tc>
        <w:tc>
          <w:tcPr>
            <w:tcW w:w="4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$110 - $120</w:t>
            </w:r>
          </w:p>
        </w:tc>
        <w:tc>
          <w:tcPr>
            <w:tcW w:w="7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$110</w:t>
            </w:r>
          </w:p>
        </w:tc>
        <w:tc>
          <w:tcPr>
            <w:tcW w:w="12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85 - 95%</w:t>
            </w:r>
          </w:p>
        </w:tc>
        <w:tc>
          <w:tcPr>
            <w:tcW w:w="164" w:type="dxa"/>
            <w:tcBorders/>
            <w:vAlign w:val="center"/>
          </w:tcPr>
          <w:p>
            <w:pPr>
              <w:pStyle w:val="TableContents"/>
              <w:bidi w:val="0"/>
              <w:spacing w:before="0" w:after="283"/>
              <w:jc w:val="left"/>
              <w:rPr>
                <w:sz w:val="4"/>
                <w:szCs w:val="4"/>
              </w:rPr>
            </w:pPr>
            <w:r>
              <w:rPr>
                <w:sz w:val="4"/>
                <w:szCs w:val="4"/>
              </w:rPr>
            </w:r>
          </w:p>
        </w:tc>
      </w:tr>
      <w:tr>
        <w:trPr/>
        <w:tc>
          <w:tcPr>
            <w:tcW w:w="11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 Cynwyd</w:t>
            </w:r>
          </w:p>
        </w:tc>
        <w:tc>
          <w:tcPr>
            <w:tcW w:w="11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 Cynwyd, PA</w:t>
            </w:r>
          </w:p>
        </w:tc>
        <w:tc>
          <w:tcPr>
            <w:tcW w:w="39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Demolition of two level department store building to construct a new six story building with 217 residential units, 16,000 square feet of retail and a two-story parking structure with 234 parking stalls</w:t>
            </w:r>
          </w:p>
        </w:tc>
        <w:tc>
          <w:tcPr>
            <w:tcW w:w="4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7 </w:t>
            </w:r>
          </w:p>
        </w:tc>
        <w:tc>
          <w:tcPr>
            <w:tcW w:w="4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$90 - $95</w:t>
            </w:r>
          </w:p>
        </w:tc>
        <w:tc>
          <w:tcPr>
            <w:tcW w:w="7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w:t>
            </w:r>
          </w:p>
        </w:tc>
        <w:tc>
          <w:tcPr>
            <w:tcW w:w="12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64" w:type="dxa"/>
            <w:tcBorders/>
            <w:vAlign w:val="center"/>
          </w:tcPr>
          <w:p>
            <w:pPr>
              <w:pStyle w:val="TableContents"/>
              <w:bidi w:val="0"/>
              <w:spacing w:before="0" w:after="283"/>
              <w:jc w:val="left"/>
              <w:rPr>
                <w:sz w:val="4"/>
                <w:szCs w:val="4"/>
              </w:rPr>
            </w:pPr>
            <w:r>
              <w:rPr>
                <w:sz w:val="4"/>
                <w:szCs w:val="4"/>
              </w:rPr>
            </w:r>
          </w:p>
        </w:tc>
      </w:tr>
      <w:tr>
        <w:trPr/>
        <w:tc>
          <w:tcPr>
            <w:tcW w:w="11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Huntington</w:t>
            </w:r>
          </w:p>
        </w:tc>
        <w:tc>
          <w:tcPr>
            <w:tcW w:w="11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Huntington, NY</w:t>
            </w:r>
          </w:p>
        </w:tc>
        <w:tc>
          <w:tcPr>
            <w:tcW w:w="39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Demolition of the main two level building consisting of 161,000 square feet of anchor and small shop space to construct 102,000 square feet of new ground-level anchor and small shop retail space</w:t>
            </w:r>
          </w:p>
        </w:tc>
        <w:tc>
          <w:tcPr>
            <w:tcW w:w="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7 - 8 %</w:t>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$80 - $85</w:t>
            </w:r>
          </w:p>
        </w:tc>
        <w:tc>
          <w:tcPr>
            <w:tcW w:w="7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w:t>
            </w:r>
          </w:p>
        </w:tc>
        <w:tc>
          <w:tcPr>
            <w:tcW w:w="12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60 - 70%</w:t>
            </w:r>
          </w:p>
        </w:tc>
        <w:tc>
          <w:tcPr>
            <w:tcW w:w="164" w:type="dxa"/>
            <w:tcBorders/>
            <w:vAlign w:val="center"/>
          </w:tcPr>
          <w:p>
            <w:pPr>
              <w:pStyle w:val="TableContents"/>
              <w:bidi w:val="0"/>
              <w:spacing w:before="0" w:after="283"/>
              <w:jc w:val="left"/>
              <w:rPr>
                <w:sz w:val="4"/>
                <w:szCs w:val="4"/>
              </w:rPr>
            </w:pPr>
            <w:r>
              <w:rPr>
                <w:sz w:val="4"/>
                <w:szCs w:val="4"/>
              </w:rPr>
            </w:r>
          </w:p>
        </w:tc>
      </w:tr>
      <w:tr>
        <w:trPr/>
        <w:tc>
          <w:tcPr>
            <w:tcW w:w="1173"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986" w:type="dxa"/>
            <w:gridSpan w:val="3"/>
            <w:tcBorders/>
            <w:vAlign w:val="center"/>
          </w:tcPr>
          <w:p>
            <w:pPr>
              <w:pStyle w:val="TableContents"/>
              <w:bidi w:val="0"/>
              <w:spacing w:before="0" w:after="283"/>
              <w:jc w:val="left"/>
              <w:rPr>
                <w:sz w:val="4"/>
                <w:szCs w:val="4"/>
              </w:rPr>
            </w:pPr>
            <w:r>
              <w:rPr>
                <w:sz w:val="4"/>
                <w:szCs w:val="4"/>
              </w:rPr>
            </w:r>
          </w:p>
        </w:tc>
        <w:tc>
          <w:tcPr>
            <w:tcW w:w="900"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1406" w:type="dxa"/>
            <w:gridSpan w:val="4"/>
            <w:tcBorders/>
          </w:tcPr>
          <w:p>
            <w:pPr>
              <w:pStyle w:val="TableContents"/>
              <w:bidi w:val="0"/>
              <w:spacing w:before="0" w:after="283"/>
              <w:jc w:val="left"/>
              <w:rPr>
                <w:sz w:val="4"/>
                <w:szCs w:val="4"/>
              </w:rPr>
            </w:pPr>
            <w:r>
              <w:rPr>
                <w:sz w:val="4"/>
                <w:szCs w:val="4"/>
              </w:rPr>
            </w:r>
          </w:p>
        </w:tc>
      </w:tr>
      <w:tr>
        <w:trPr/>
        <w:tc>
          <w:tcPr>
            <w:tcW w:w="11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30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1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Property</w:t>
            </w:r>
          </w:p>
        </w:tc>
        <w:tc>
          <w:tcPr>
            <w:tcW w:w="11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Location</w:t>
            </w:r>
          </w:p>
        </w:tc>
        <w:tc>
          <w:tcPr>
            <w:tcW w:w="39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Opportunity</w:t>
            </w:r>
          </w:p>
        </w:tc>
        <w:tc>
          <w:tcPr>
            <w:tcW w:w="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Projected ROI (4)</w:t>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Projected Cost (1)</w:t>
            </w:r>
          </w:p>
        </w:tc>
        <w:tc>
          <w:tcPr>
            <w:tcW w:w="7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Cost to Date</w:t>
            </w:r>
          </w:p>
        </w:tc>
        <w:tc>
          <w:tcPr>
            <w:tcW w:w="12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Anticipated Stabilization (5)</w:t>
            </w:r>
          </w:p>
        </w:tc>
        <w:tc>
          <w:tcPr>
            <w:tcW w:w="164" w:type="dxa"/>
            <w:tcBorders/>
            <w:vAlign w:val="center"/>
          </w:tcPr>
          <w:p>
            <w:pPr>
              <w:pStyle w:val="TableContents"/>
              <w:bidi w:val="0"/>
              <w:spacing w:before="0" w:after="283"/>
              <w:jc w:val="left"/>
              <w:rPr>
                <w:sz w:val="4"/>
                <w:szCs w:val="4"/>
              </w:rPr>
            </w:pPr>
            <w:r>
              <w:rPr>
                <w:sz w:val="4"/>
                <w:szCs w:val="4"/>
              </w:rPr>
            </w:r>
          </w:p>
        </w:tc>
      </w:tr>
      <w:tr>
        <w:trPr/>
        <w:tc>
          <w:tcPr>
            <w:tcW w:w="11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(in millions)</w:t>
            </w:r>
          </w:p>
        </w:tc>
        <w:tc>
          <w:tcPr>
            <w:tcW w:w="7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(in millions)</w:t>
            </w:r>
          </w:p>
        </w:tc>
        <w:tc>
          <w:tcPr>
            <w:tcW w:w="12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1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Lawrence Park</w:t>
            </w:r>
          </w:p>
        </w:tc>
        <w:tc>
          <w:tcPr>
            <w:tcW w:w="11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Broomall, PA</w:t>
            </w:r>
          </w:p>
        </w:tc>
        <w:tc>
          <w:tcPr>
            <w:tcW w:w="39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Full shopping center redevelopment to include expansion of Main Line Health into vacant lower level space, creation of 17,800 square feet of small shop space converted from vacated anchor space, a new 2,000 square foot bank pad building, and a façade renovation for the entire center</w:t>
            </w:r>
          </w:p>
        </w:tc>
        <w:tc>
          <w:tcPr>
            <w:tcW w:w="4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8 </w:t>
            </w:r>
          </w:p>
        </w:tc>
        <w:tc>
          <w:tcPr>
            <w:tcW w:w="4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w:t>
            </w:r>
          </w:p>
        </w:tc>
        <w:tc>
          <w:tcPr>
            <w:tcW w:w="7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w:t>
            </w:r>
          </w:p>
        </w:tc>
        <w:tc>
          <w:tcPr>
            <w:tcW w:w="12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2024</w:t>
            </w:r>
          </w:p>
        </w:tc>
        <w:tc>
          <w:tcPr>
            <w:tcW w:w="164" w:type="dxa"/>
            <w:tcBorders/>
            <w:vAlign w:val="center"/>
          </w:tcPr>
          <w:p>
            <w:pPr>
              <w:pStyle w:val="TableContents"/>
              <w:bidi w:val="0"/>
              <w:spacing w:before="0" w:after="283"/>
              <w:jc w:val="left"/>
              <w:rPr>
                <w:sz w:val="4"/>
                <w:szCs w:val="4"/>
              </w:rPr>
            </w:pPr>
            <w:r>
              <w:rPr>
                <w:sz w:val="4"/>
                <w:szCs w:val="4"/>
              </w:rPr>
            </w:r>
          </w:p>
        </w:tc>
      </w:tr>
      <w:tr>
        <w:trPr/>
        <w:tc>
          <w:tcPr>
            <w:tcW w:w="11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Willow Grove</w:t>
            </w:r>
          </w:p>
        </w:tc>
        <w:tc>
          <w:tcPr>
            <w:tcW w:w="11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Willow Grove, PA</w:t>
            </w:r>
          </w:p>
        </w:tc>
        <w:tc>
          <w:tcPr>
            <w:tcW w:w="39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Development of a new 17,000 square foot multi-tenant pad building</w:t>
            </w:r>
          </w:p>
        </w:tc>
        <w:tc>
          <w:tcPr>
            <w:tcW w:w="4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7 </w:t>
            </w:r>
          </w:p>
        </w:tc>
        <w:tc>
          <w:tcPr>
            <w:tcW w:w="4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w:t>
            </w:r>
          </w:p>
        </w:tc>
        <w:tc>
          <w:tcPr>
            <w:tcW w:w="7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w:t>
            </w:r>
          </w:p>
        </w:tc>
        <w:tc>
          <w:tcPr>
            <w:tcW w:w="12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2024</w:t>
            </w:r>
          </w:p>
        </w:tc>
        <w:tc>
          <w:tcPr>
            <w:tcW w:w="164" w:type="dxa"/>
            <w:tcBorders/>
            <w:vAlign w:val="center"/>
          </w:tcPr>
          <w:p>
            <w:pPr>
              <w:pStyle w:val="TableContents"/>
              <w:bidi w:val="0"/>
              <w:spacing w:before="0" w:after="283"/>
              <w:jc w:val="left"/>
              <w:rPr>
                <w:sz w:val="4"/>
                <w:szCs w:val="4"/>
              </w:rPr>
            </w:pPr>
            <w:r>
              <w:rPr>
                <w:sz w:val="4"/>
                <w:szCs w:val="4"/>
              </w:rPr>
            </w:r>
          </w:p>
        </w:tc>
      </w:tr>
      <w:tr>
        <w:trPr/>
        <w:tc>
          <w:tcPr>
            <w:tcW w:w="11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Pike 7 Plaza</w:t>
            </w:r>
          </w:p>
        </w:tc>
        <w:tc>
          <w:tcPr>
            <w:tcW w:w="11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Vienna, VA</w:t>
            </w:r>
          </w:p>
        </w:tc>
        <w:tc>
          <w:tcPr>
            <w:tcW w:w="39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Development of a new 3,200 square foot pad building pre-leased to a restaurant tenant</w:t>
            </w:r>
          </w:p>
        </w:tc>
        <w:tc>
          <w:tcPr>
            <w:tcW w:w="4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8 </w:t>
            </w:r>
          </w:p>
        </w:tc>
        <w:tc>
          <w:tcPr>
            <w:tcW w:w="4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w:t>
            </w:r>
          </w:p>
        </w:tc>
        <w:tc>
          <w:tcPr>
            <w:tcW w:w="7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w:t>
            </w:r>
          </w:p>
        </w:tc>
        <w:tc>
          <w:tcPr>
            <w:tcW w:w="12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Stabilized</w:t>
            </w:r>
          </w:p>
        </w:tc>
        <w:tc>
          <w:tcPr>
            <w:tcW w:w="164" w:type="dxa"/>
            <w:tcBorders/>
            <w:vAlign w:val="center"/>
          </w:tcPr>
          <w:p>
            <w:pPr>
              <w:pStyle w:val="TableContents"/>
              <w:bidi w:val="0"/>
              <w:spacing w:before="0" w:after="283"/>
              <w:jc w:val="left"/>
              <w:rPr>
                <w:sz w:val="4"/>
                <w:szCs w:val="4"/>
              </w:rPr>
            </w:pPr>
            <w:r>
              <w:rPr>
                <w:sz w:val="4"/>
                <w:szCs w:val="4"/>
              </w:rPr>
            </w:r>
          </w:p>
        </w:tc>
      </w:tr>
      <w:tr>
        <w:trPr/>
        <w:tc>
          <w:tcPr>
            <w:tcW w:w="11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Chelsea Commons</w:t>
            </w:r>
          </w:p>
        </w:tc>
        <w:tc>
          <w:tcPr>
            <w:tcW w:w="11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Chelsea, MA</w:t>
            </w:r>
          </w:p>
        </w:tc>
        <w:tc>
          <w:tcPr>
            <w:tcW w:w="39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Development of a new 2,500 square foot pre-leased pad building with drive-thru</w:t>
            </w:r>
          </w:p>
        </w:tc>
        <w:tc>
          <w:tcPr>
            <w:tcW w:w="4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7 </w:t>
            </w:r>
          </w:p>
        </w:tc>
        <w:tc>
          <w:tcPr>
            <w:tcW w:w="4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w:t>
            </w:r>
          </w:p>
        </w:tc>
        <w:tc>
          <w:tcPr>
            <w:tcW w:w="7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w:t>
            </w:r>
          </w:p>
        </w:tc>
        <w:tc>
          <w:tcPr>
            <w:tcW w:w="12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2025</w:t>
            </w:r>
          </w:p>
        </w:tc>
        <w:tc>
          <w:tcPr>
            <w:tcW w:w="164" w:type="dxa"/>
            <w:tcBorders/>
            <w:vAlign w:val="center"/>
          </w:tcPr>
          <w:p>
            <w:pPr>
              <w:pStyle w:val="TableContents"/>
              <w:bidi w:val="0"/>
              <w:spacing w:before="0" w:after="283"/>
              <w:jc w:val="left"/>
              <w:rPr>
                <w:sz w:val="4"/>
                <w:szCs w:val="4"/>
              </w:rPr>
            </w:pPr>
            <w:r>
              <w:rPr>
                <w:sz w:val="4"/>
                <w:szCs w:val="4"/>
              </w:rPr>
            </w:r>
          </w:p>
        </w:tc>
      </w:tr>
      <w:tr>
        <w:trPr/>
        <w:tc>
          <w:tcPr>
            <w:tcW w:w="11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Santana Row</w:t>
            </w:r>
          </w:p>
        </w:tc>
        <w:tc>
          <w:tcPr>
            <w:tcW w:w="11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San Jose, CA</w:t>
            </w:r>
          </w:p>
        </w:tc>
        <w:tc>
          <w:tcPr>
            <w:tcW w:w="39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Installation and implementation of paid parking system</w:t>
            </w:r>
          </w:p>
        </w:tc>
        <w:tc>
          <w:tcPr>
            <w:tcW w:w="4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25 </w:t>
            </w:r>
          </w:p>
        </w:tc>
        <w:tc>
          <w:tcPr>
            <w:tcW w:w="4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w:t>
            </w:r>
          </w:p>
        </w:tc>
        <w:tc>
          <w:tcPr>
            <w:tcW w:w="7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w:t>
            </w:r>
          </w:p>
        </w:tc>
        <w:tc>
          <w:tcPr>
            <w:tcW w:w="12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2025</w:t>
            </w:r>
          </w:p>
        </w:tc>
        <w:tc>
          <w:tcPr>
            <w:tcW w:w="164" w:type="dxa"/>
            <w:tcBorders/>
            <w:vAlign w:val="center"/>
          </w:tcPr>
          <w:p>
            <w:pPr>
              <w:pStyle w:val="TableContents"/>
              <w:bidi w:val="0"/>
              <w:spacing w:before="0" w:after="283"/>
              <w:jc w:val="left"/>
              <w:rPr>
                <w:sz w:val="4"/>
                <w:szCs w:val="4"/>
              </w:rPr>
            </w:pPr>
            <w:r>
              <w:rPr>
                <w:sz w:val="4"/>
                <w:szCs w:val="4"/>
              </w:rPr>
            </w:r>
          </w:p>
        </w:tc>
      </w:tr>
      <w:tr>
        <w:trPr/>
        <w:tc>
          <w:tcPr>
            <w:tcW w:w="1173"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986" w:type="dxa"/>
            <w:gridSpan w:val="3"/>
            <w:tcBorders/>
            <w:vAlign w:val="center"/>
          </w:tcPr>
          <w:p>
            <w:pPr>
              <w:pStyle w:val="TableContents"/>
              <w:bidi w:val="0"/>
              <w:spacing w:before="0" w:after="283"/>
              <w:jc w:val="left"/>
              <w:rPr>
                <w:sz w:val="4"/>
                <w:szCs w:val="4"/>
              </w:rPr>
            </w:pPr>
            <w:r>
              <w:rPr>
                <w:sz w:val="4"/>
                <w:szCs w:val="4"/>
              </w:rPr>
            </w:r>
          </w:p>
        </w:tc>
        <w:tc>
          <w:tcPr>
            <w:tcW w:w="900"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173"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986" w:type="dxa"/>
            <w:gridSpan w:val="3"/>
            <w:tcBorders/>
            <w:vAlign w:val="center"/>
          </w:tcPr>
          <w:p>
            <w:pPr>
              <w:pStyle w:val="TableContents"/>
              <w:bidi w:val="0"/>
              <w:spacing w:before="0" w:after="283"/>
              <w:jc w:val="left"/>
              <w:rPr>
                <w:sz w:val="4"/>
                <w:szCs w:val="4"/>
              </w:rPr>
            </w:pPr>
            <w:r>
              <w:rPr>
                <w:sz w:val="4"/>
                <w:szCs w:val="4"/>
              </w:rPr>
            </w:r>
          </w:p>
        </w:tc>
        <w:tc>
          <w:tcPr>
            <w:tcW w:w="900"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173"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986" w:type="dxa"/>
            <w:gridSpan w:val="3"/>
            <w:tcBorders/>
            <w:vAlign w:val="center"/>
          </w:tcPr>
          <w:p>
            <w:pPr>
              <w:pStyle w:val="TableContents"/>
              <w:bidi w:val="0"/>
              <w:spacing w:before="0" w:after="283"/>
              <w:jc w:val="left"/>
              <w:rPr>
                <w:sz w:val="4"/>
                <w:szCs w:val="4"/>
              </w:rPr>
            </w:pPr>
            <w:r>
              <w:rPr>
                <w:sz w:val="4"/>
                <w:szCs w:val="4"/>
              </w:rPr>
            </w:r>
          </w:p>
        </w:tc>
        <w:tc>
          <w:tcPr>
            <w:tcW w:w="900"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173" w:type="dxa"/>
            <w:gridSpan w:val="3"/>
            <w:tcBorders/>
            <w:vAlign w:val="center"/>
          </w:tcPr>
          <w:p>
            <w:pPr>
              <w:pStyle w:val="TableContents"/>
              <w:bidi w:val="0"/>
              <w:spacing w:before="0" w:after="283"/>
              <w:jc w:val="left"/>
              <w:rPr>
                <w:sz w:val="4"/>
                <w:szCs w:val="4"/>
              </w:rPr>
            </w:pPr>
            <w:r>
              <w:rPr>
                <w:sz w:val="4"/>
                <w:szCs w:val="4"/>
              </w:rPr>
            </w:r>
          </w:p>
        </w:tc>
        <w:tc>
          <w:tcPr>
            <w:tcW w:w="1127" w:type="dxa"/>
            <w:gridSpan w:val="3"/>
            <w:tcBorders/>
            <w:vAlign w:val="center"/>
          </w:tcPr>
          <w:p>
            <w:pPr>
              <w:pStyle w:val="TableContents"/>
              <w:bidi w:val="0"/>
              <w:spacing w:before="0" w:after="283"/>
              <w:jc w:val="left"/>
              <w:rPr>
                <w:sz w:val="4"/>
                <w:szCs w:val="4"/>
              </w:rPr>
            </w:pPr>
            <w:r>
              <w:rPr>
                <w:sz w:val="4"/>
                <w:szCs w:val="4"/>
              </w:rPr>
            </w:r>
          </w:p>
        </w:tc>
        <w:tc>
          <w:tcPr>
            <w:tcW w:w="3986" w:type="dxa"/>
            <w:gridSpan w:val="3"/>
            <w:tcBorders/>
            <w:vAlign w:val="center"/>
          </w:tcPr>
          <w:p>
            <w:pPr>
              <w:pStyle w:val="TableContents"/>
              <w:bidi w:val="0"/>
              <w:spacing w:before="0" w:after="283"/>
              <w:jc w:val="left"/>
              <w:rPr>
                <w:sz w:val="4"/>
                <w:szCs w:val="4"/>
              </w:rPr>
            </w:pPr>
            <w:r>
              <w:rPr>
                <w:sz w:val="4"/>
                <w:szCs w:val="4"/>
              </w:rPr>
            </w:r>
          </w:p>
        </w:tc>
        <w:tc>
          <w:tcPr>
            <w:tcW w:w="900"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1406" w:type="dxa"/>
            <w:gridSpan w:val="4"/>
            <w:tcBorders/>
          </w:tcPr>
          <w:p>
            <w:pPr>
              <w:pStyle w:val="TableContents"/>
              <w:bidi w:val="0"/>
              <w:spacing w:before="0" w:after="283"/>
              <w:jc w:val="left"/>
              <w:rPr>
                <w:sz w:val="4"/>
                <w:szCs w:val="4"/>
              </w:rPr>
            </w:pPr>
            <w:r>
              <w:rPr>
                <w:sz w:val="4"/>
                <w:szCs w:val="4"/>
              </w:rPr>
            </w:r>
          </w:p>
        </w:tc>
      </w:tr>
      <w:tr>
        <w:trPr/>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300" w:type="dxa"/>
            <w:gridSpan w:val="6"/>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300"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Active Property Improvement Projects (6)</w:t>
            </w:r>
          </w:p>
        </w:tc>
        <w:tc>
          <w:tcPr>
            <w:tcW w:w="39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Ongoing improvements at 7 properties to better position those properties to capture a disproportionate amount of retail demand</w:t>
            </w:r>
          </w:p>
        </w:tc>
        <w:tc>
          <w:tcPr>
            <w:tcW w:w="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 - 13%</w:t>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w:t>
            </w:r>
          </w:p>
        </w:tc>
        <w:tc>
          <w:tcPr>
            <w:tcW w:w="7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w:t>
            </w:r>
          </w:p>
        </w:tc>
        <w:tc>
          <w:tcPr>
            <w:tcW w:w="12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16"/>
          <w:u w:val="single"/>
        </w:rPr>
      </w:pPr>
      <w:r>
        <w:rPr>
          <w:rFonts w:ascii="Times New Roman;sans-serif" w:hAnsi="Times New Roman;sans-serif"/>
          <w:b w:val="false"/>
          <w:color w:val="000000"/>
          <w:sz w:val="16"/>
          <w:u w:val="single"/>
        </w:rPr>
        <w:t>Notes:</w:t>
      </w:r>
    </w:p>
    <w:p>
      <w:pPr>
        <w:pStyle w:val="TextBody"/>
        <w:bidi w:val="0"/>
        <w:spacing w:lineRule="auto" w:line="288" w:before="0" w:after="0"/>
        <w:ind w:left="0" w:right="0" w:hanging="288"/>
        <w:jc w:val="left"/>
        <w:rPr>
          <w:rFonts w:ascii="Times New Roman;sans-serif" w:hAnsi="Times New Roman;sans-serif"/>
          <w:b w:val="false"/>
          <w:color w:val="000000"/>
          <w:sz w:val="15"/>
        </w:rPr>
      </w:pPr>
      <w:r>
        <w:rPr>
          <w:rFonts w:ascii="Times New Roman;sans-serif" w:hAnsi="Times New Roman;sans-serif"/>
          <w:b w:val="false"/>
          <w:color w:val="000000"/>
          <w:sz w:val="15"/>
        </w:rPr>
        <w:t>(1)There is no guarantee that the Trust will ultimately complete any or all of these opportunities, that the ROI or Projected Costs will be the amounts shown or that stabilization will occur as anticipated. The projected returns on investment (ROI) and Projected Cost are management's best estimate based on current information and may change over time. Anticipated total cost, and projected ROI, and projected POI delivered are subject to adjustment as a result of factors inherent in the development process, some of which may not be under the direct control of the Company. Refer to the Company's filings with the Securities and Exchange Commission on Form 10-K and Form 10-Q for other risk factors.</w:t>
      </w:r>
    </w:p>
    <w:p>
      <w:pPr>
        <w:pStyle w:val="TextBody"/>
        <w:bidi w:val="0"/>
        <w:spacing w:lineRule="auto" w:line="288" w:before="0" w:after="0"/>
        <w:ind w:left="0" w:right="0" w:hanging="288"/>
        <w:jc w:val="left"/>
        <w:rPr>
          <w:rFonts w:ascii="Times New Roman;sans-serif" w:hAnsi="Times New Roman;sans-serif"/>
          <w:b w:val="false"/>
          <w:color w:val="000000"/>
          <w:sz w:val="15"/>
        </w:rPr>
      </w:pPr>
      <w:r>
        <w:rPr>
          <w:rFonts w:ascii="Times New Roman;sans-serif" w:hAnsi="Times New Roman;sans-serif"/>
          <w:b w:val="false"/>
          <w:color w:val="000000"/>
          <w:sz w:val="15"/>
        </w:rPr>
        <w:t>(2)Projected ROI for mixed-use redevelopment/expansion projects reflects the unleveraged Property Operating Income (POI) generated by the project and is calculated as POI divided by cost. Projected POI delivered includes straight line rent.</w:t>
      </w:r>
    </w:p>
    <w:p>
      <w:pPr>
        <w:pStyle w:val="TextBody"/>
        <w:bidi w:val="0"/>
        <w:spacing w:lineRule="auto" w:line="288" w:before="0" w:after="0"/>
        <w:ind w:left="0" w:right="0" w:hanging="288"/>
        <w:jc w:val="left"/>
        <w:rPr>
          <w:rFonts w:ascii="Times New Roman;sans-serif" w:hAnsi="Times New Roman;sans-serif"/>
          <w:b w:val="false"/>
          <w:color w:val="000000"/>
          <w:sz w:val="15"/>
        </w:rPr>
      </w:pPr>
      <w:r>
        <w:rPr>
          <w:rFonts w:ascii="Times New Roman;sans-serif" w:hAnsi="Times New Roman;sans-serif"/>
          <w:b w:val="false"/>
          <w:color w:val="000000"/>
          <w:sz w:val="15"/>
        </w:rPr>
        <w:t>(3)Projected costs for Pike &amp; Rose include an allocation of infrastructure costs for the entire project. Santana West includes an allocation of infrastructure for the Santana West site.</w:t>
      </w:r>
    </w:p>
    <w:p>
      <w:pPr>
        <w:pStyle w:val="TextBody"/>
        <w:bidi w:val="0"/>
        <w:spacing w:lineRule="auto" w:line="288" w:before="0" w:after="0"/>
        <w:ind w:left="0" w:right="0" w:hanging="288"/>
        <w:jc w:val="left"/>
        <w:rPr>
          <w:rFonts w:ascii="Times New Roman;sans-serif" w:hAnsi="Times New Roman;sans-serif"/>
          <w:b w:val="false"/>
          <w:color w:val="000000"/>
          <w:sz w:val="15"/>
        </w:rPr>
      </w:pPr>
      <w:r>
        <w:rPr>
          <w:rFonts w:ascii="Times New Roman;sans-serif" w:hAnsi="Times New Roman;sans-serif"/>
          <w:b w:val="false"/>
          <w:color w:val="000000"/>
          <w:sz w:val="15"/>
        </w:rPr>
        <w:t>(4)Projected ROI for redevelopment projects generally reflects only the deal specific cash, unleveraged incremental POI generated by the redevelopment and is calculated as Incremental POI divided by incremental cost. Incremental POI is the POI generated by the redevelopment after deducting rent being paid or management's estimate of rent to be paid for the redevelopment space and any other space taken out of service to accommodate the redevelopment. Projected ROI for redevelopment projects generally does not include peripheral impacts, such as the impact on future lease rollovers at the property or the impact on the long-term value of the property but may for certain property improvement projects.</w:t>
      </w:r>
    </w:p>
    <w:p>
      <w:pPr>
        <w:pStyle w:val="TextBody"/>
        <w:bidi w:val="0"/>
        <w:spacing w:lineRule="auto" w:line="288" w:before="0" w:after="0"/>
        <w:ind w:left="0" w:right="0" w:hanging="288"/>
        <w:jc w:val="left"/>
        <w:rPr>
          <w:rFonts w:ascii="Times New Roman;sans-serif" w:hAnsi="Times New Roman;sans-serif"/>
          <w:b w:val="false"/>
          <w:color w:val="000000"/>
          <w:sz w:val="15"/>
        </w:rPr>
      </w:pPr>
      <w:r>
        <w:rPr>
          <w:rFonts w:ascii="Times New Roman;sans-serif" w:hAnsi="Times New Roman;sans-serif"/>
          <w:b w:val="false"/>
          <w:color w:val="000000"/>
          <w:sz w:val="15"/>
        </w:rPr>
        <w:t>(5)Stabilization is generally the year in which 90% physical occupancy of the redeveloped space is achieved. Economic stabilization may occur at a later point in time.</w:t>
      </w:r>
    </w:p>
    <w:p>
      <w:pPr>
        <w:pStyle w:val="TextBody"/>
        <w:bidi w:val="0"/>
        <w:spacing w:lineRule="auto" w:line="288" w:before="0" w:after="0"/>
        <w:ind w:left="0" w:right="0" w:hanging="288"/>
        <w:jc w:val="left"/>
        <w:rPr>
          <w:rFonts w:ascii="Times New Roman;sans-serif" w:hAnsi="Times New Roman;sans-serif"/>
          <w:b w:val="false"/>
          <w:color w:val="000000"/>
          <w:sz w:val="15"/>
        </w:rPr>
      </w:pPr>
      <w:r>
        <w:rPr>
          <w:rFonts w:ascii="Times New Roman;sans-serif" w:hAnsi="Times New Roman;sans-serif"/>
          <w:b w:val="false"/>
          <w:color w:val="000000"/>
          <w:sz w:val="15"/>
        </w:rPr>
        <w:t>(6)Property improvement projects generally consist of façade renovations, site improvements, landscaping, improved outdoor amenity spaces, and other upgrades to improve the overall look and environment of the property. These projects improve overall tenant and customer experiences, improve market rents, drive leasing demand, and/or provide outdoor spaces critical to meeting the needs of the current environment. Returns on these projects are typically seen over one to five years, however, some projects could extend beyond that. Projected ROI range reflects management's best estimate of the long term expected return on cost of these investments.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843"/>
        <w:gridCol w:w="438"/>
        <w:gridCol w:w="438"/>
        <w:gridCol w:w="438"/>
        <w:gridCol w:w="438"/>
        <w:gridCol w:w="438"/>
        <w:gridCol w:w="1341"/>
        <w:gridCol w:w="438"/>
        <w:gridCol w:w="438"/>
        <w:gridCol w:w="1093"/>
        <w:gridCol w:w="438"/>
        <w:gridCol w:w="438"/>
        <w:gridCol w:w="1067"/>
        <w:gridCol w:w="438"/>
        <w:gridCol w:w="438"/>
        <w:gridCol w:w="509"/>
        <w:gridCol w:w="219"/>
        <w:gridCol w:w="315"/>
      </w:tblGrid>
      <w:tr>
        <w:trPr/>
        <w:tc>
          <w:tcPr>
            <w:tcW w:w="843"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r>
      <w:tr>
        <w:trPr/>
        <w:tc>
          <w:tcPr>
            <w:tcW w:w="9162"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Federal Realty Investment Trust</w:t>
            </w:r>
          </w:p>
        </w:tc>
        <w:tc>
          <w:tcPr>
            <w:tcW w:w="10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2"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Future Redevelopment and Expansion Opportunities</w:t>
            </w:r>
          </w:p>
        </w:tc>
        <w:tc>
          <w:tcPr>
            <w:tcW w:w="10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2"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March 31, 2024</w:t>
            </w:r>
          </w:p>
        </w:tc>
        <w:tc>
          <w:tcPr>
            <w:tcW w:w="10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2" w:type="dxa"/>
            <w:gridSpan w:val="1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8"/>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9"/>
              </w:rPr>
            </w:pPr>
            <w:r>
              <w:rPr>
                <w:rFonts w:ascii="Times New Roman;sans-serif" w:hAnsi="Times New Roman;sans-serif"/>
                <w:b/>
                <w:i/>
                <w:color w:val="000000"/>
                <w:sz w:val="19"/>
              </w:rPr>
              <w:t>We have identified the following potential opportunities to create future shareholder value. Executing these opportunities could be subject to government approvals, tenant consents, market conditions, etc. Work on many of these opportunities is in its preliminary stages and may not ultimately come to fruition. This list will change from time to time as we identify hurdles that cannot be overcome in the near term, and focus on those opportunities that are most likely to lead to the creation of shareholder value over time.</w:t>
            </w:r>
          </w:p>
        </w:tc>
      </w:tr>
      <w:tr>
        <w:trPr/>
        <w:tc>
          <w:tcPr>
            <w:tcW w:w="1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2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5" w:type="dxa"/>
            <w:gridSpan w:val="9"/>
            <w:tcBorders/>
            <w:shd w:fill="DBDBDB"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Redevelopment Opportunities</w:t>
            </w:r>
          </w:p>
        </w:tc>
      </w:tr>
      <w:tr>
        <w:trPr/>
        <w:tc>
          <w:tcPr>
            <w:tcW w:w="3033" w:type="dxa"/>
            <w:gridSpan w:val="6"/>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Property</w:t>
            </w:r>
          </w:p>
        </w:tc>
        <w:tc>
          <w:tcPr>
            <w:tcW w:w="221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9"/>
              </w:rPr>
            </w:pPr>
            <w:r>
              <w:rPr>
                <w:rFonts w:ascii="Times New Roman;sans-serif" w:hAnsi="Times New Roman;sans-serif"/>
                <w:b/>
                <w:color w:val="000000"/>
                <w:sz w:val="19"/>
              </w:rPr>
              <w:t>Location</w:t>
            </w:r>
          </w:p>
        </w:tc>
        <w:tc>
          <w:tcPr>
            <w:tcW w:w="196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Expansion/Conversion (4)</w:t>
            </w:r>
          </w:p>
        </w:tc>
        <w:tc>
          <w:tcPr>
            <w:tcW w:w="194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Residential (5)</w:t>
            </w:r>
          </w:p>
        </w:tc>
        <w:tc>
          <w:tcPr>
            <w:tcW w:w="104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Mixed Use - Long Term</w:t>
            </w:r>
          </w:p>
        </w:tc>
      </w:tr>
      <w:tr>
        <w:trPr/>
        <w:tc>
          <w:tcPr>
            <w:tcW w:w="3033" w:type="dxa"/>
            <w:gridSpan w:val="6"/>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Assembly Row (1)</w:t>
            </w:r>
          </w:p>
        </w:tc>
        <w:tc>
          <w:tcPr>
            <w:tcW w:w="221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Somerville, MA</w:t>
            </w:r>
          </w:p>
        </w:tc>
        <w:tc>
          <w:tcPr>
            <w:tcW w:w="196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56" w:before="0" w:after="283"/>
              <w:jc w:val="center"/>
              <w:rPr>
                <w:rFonts w:ascii="Wingdings;sans-serif" w:hAnsi="Wingdings;sans-serif"/>
                <w:b/>
                <w:color w:val="000000"/>
                <w:sz w:val="19"/>
              </w:rPr>
            </w:pPr>
            <w:r>
              <w:rPr>
                <w:rFonts w:ascii="Wingdings;sans-serif" w:hAnsi="Wingdings;sans-serif"/>
                <w:b/>
                <w:color w:val="000000"/>
                <w:sz w:val="19"/>
              </w:rPr>
              <w:t>ü</w:t>
            </w:r>
          </w:p>
        </w:tc>
      </w:tr>
      <w:tr>
        <w:trPr/>
        <w:tc>
          <w:tcPr>
            <w:tcW w:w="3033"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Andorra</w:t>
            </w:r>
          </w:p>
        </w:tc>
        <w:tc>
          <w:tcPr>
            <w:tcW w:w="22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Philadelphia, PA</w:t>
            </w:r>
          </w:p>
        </w:tc>
        <w:tc>
          <w:tcPr>
            <w:tcW w:w="1969" w:type="dxa"/>
            <w:gridSpan w:val="3"/>
            <w:tcBorders/>
            <w:shd w:fill="CCEEFF" w:val="clear"/>
            <w:tcMar>
              <w:top w:w="0" w:type="dxa"/>
              <w:left w:w="0" w:type="dxa"/>
              <w:bottom w:w="0" w:type="dxa"/>
              <w:right w:w="0" w:type="dxa"/>
            </w:tcMar>
            <w:vAlign w:val="center"/>
          </w:tcPr>
          <w:p>
            <w:pPr>
              <w:pStyle w:val="TableContents"/>
              <w:bidi w:val="0"/>
              <w:spacing w:lineRule="auto" w:line="256" w:before="0" w:after="283"/>
              <w:jc w:val="center"/>
              <w:rPr>
                <w:rFonts w:ascii="Wingdings;sans-serif" w:hAnsi="Wingdings;sans-serif"/>
                <w:b/>
                <w:color w:val="000000"/>
                <w:sz w:val="19"/>
              </w:rPr>
            </w:pPr>
            <w:r>
              <w:rPr>
                <w:rFonts w:ascii="Wingdings;sans-serif" w:hAnsi="Wingdings;sans-serif"/>
                <w:b/>
                <w:color w:val="000000"/>
                <w:sz w:val="19"/>
              </w:rPr>
              <w:t>ü</w:t>
            </w:r>
          </w:p>
        </w:tc>
        <w:tc>
          <w:tcPr>
            <w:tcW w:w="19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3"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Bala Cynwyd</w:t>
            </w:r>
          </w:p>
        </w:tc>
        <w:tc>
          <w:tcPr>
            <w:tcW w:w="22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Bala Cynwyd, PA</w:t>
            </w:r>
          </w:p>
        </w:tc>
        <w:tc>
          <w:tcPr>
            <w:tcW w:w="1969" w:type="dxa"/>
            <w:gridSpan w:val="3"/>
            <w:tcBorders/>
            <w:shd w:fill="FFFFFF" w:val="clear"/>
            <w:tcMar>
              <w:top w:w="0" w:type="dxa"/>
              <w:left w:w="0" w:type="dxa"/>
              <w:bottom w:w="0" w:type="dxa"/>
              <w:right w:w="0" w:type="dxa"/>
            </w:tcMar>
            <w:vAlign w:val="center"/>
          </w:tcPr>
          <w:p>
            <w:pPr>
              <w:pStyle w:val="TableContents"/>
              <w:bidi w:val="0"/>
              <w:spacing w:lineRule="auto" w:line="256" w:before="0" w:after="283"/>
              <w:jc w:val="center"/>
              <w:rPr>
                <w:rFonts w:ascii="Wingdings;sans-serif" w:hAnsi="Wingdings;sans-serif"/>
                <w:b/>
                <w:color w:val="000000"/>
                <w:sz w:val="19"/>
              </w:rPr>
            </w:pPr>
            <w:r>
              <w:rPr>
                <w:rFonts w:ascii="Wingdings;sans-serif" w:hAnsi="Wingdings;sans-serif"/>
                <w:b/>
                <w:color w:val="000000"/>
                <w:sz w:val="19"/>
              </w:rPr>
              <w:t>ü</w:t>
            </w:r>
          </w:p>
        </w:tc>
        <w:tc>
          <w:tcPr>
            <w:tcW w:w="1943" w:type="dxa"/>
            <w:gridSpan w:val="3"/>
            <w:tcBorders/>
            <w:shd w:fill="FFFFFF" w:val="clear"/>
            <w:tcMar>
              <w:top w:w="0" w:type="dxa"/>
              <w:left w:w="0" w:type="dxa"/>
              <w:bottom w:w="0" w:type="dxa"/>
              <w:right w:w="0" w:type="dxa"/>
            </w:tcMar>
            <w:vAlign w:val="center"/>
          </w:tcPr>
          <w:p>
            <w:pPr>
              <w:pStyle w:val="TableContents"/>
              <w:bidi w:val="0"/>
              <w:spacing w:lineRule="auto" w:line="256" w:before="0" w:after="283"/>
              <w:jc w:val="center"/>
              <w:rPr>
                <w:rFonts w:ascii="Wingdings;sans-serif" w:hAnsi="Wingdings;sans-serif"/>
                <w:b/>
                <w:color w:val="000000"/>
                <w:sz w:val="19"/>
              </w:rPr>
            </w:pPr>
            <w:r>
              <w:rPr>
                <w:rFonts w:ascii="Wingdings;sans-serif" w:hAnsi="Wingdings;sans-serif"/>
                <w:b/>
                <w:color w:val="000000"/>
                <w:sz w:val="19"/>
              </w:rPr>
              <w:t>ü</w:t>
            </w:r>
          </w:p>
        </w:tc>
        <w:tc>
          <w:tcPr>
            <w:tcW w:w="10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3"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Barracks Road</w:t>
            </w:r>
          </w:p>
        </w:tc>
        <w:tc>
          <w:tcPr>
            <w:tcW w:w="22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Charlottesville, VA</w:t>
            </w:r>
          </w:p>
        </w:tc>
        <w:tc>
          <w:tcPr>
            <w:tcW w:w="1969" w:type="dxa"/>
            <w:gridSpan w:val="3"/>
            <w:tcBorders/>
            <w:shd w:fill="CCEEFF" w:val="clear"/>
            <w:tcMar>
              <w:top w:w="0" w:type="dxa"/>
              <w:left w:w="0" w:type="dxa"/>
              <w:bottom w:w="0" w:type="dxa"/>
              <w:right w:w="0" w:type="dxa"/>
            </w:tcMar>
            <w:vAlign w:val="center"/>
          </w:tcPr>
          <w:p>
            <w:pPr>
              <w:pStyle w:val="TableContents"/>
              <w:bidi w:val="0"/>
              <w:spacing w:lineRule="auto" w:line="256" w:before="0" w:after="283"/>
              <w:jc w:val="center"/>
              <w:rPr>
                <w:rFonts w:ascii="Wingdings;sans-serif" w:hAnsi="Wingdings;sans-serif"/>
                <w:b/>
                <w:color w:val="000000"/>
                <w:sz w:val="19"/>
              </w:rPr>
            </w:pPr>
            <w:r>
              <w:rPr>
                <w:rFonts w:ascii="Wingdings;sans-serif" w:hAnsi="Wingdings;sans-serif"/>
                <w:b/>
                <w:color w:val="000000"/>
                <w:sz w:val="19"/>
              </w:rPr>
              <w:t>ü</w:t>
            </w:r>
          </w:p>
        </w:tc>
        <w:tc>
          <w:tcPr>
            <w:tcW w:w="1943" w:type="dxa"/>
            <w:gridSpan w:val="3"/>
            <w:tcBorders/>
            <w:shd w:fill="CCEEFF" w:val="clear"/>
            <w:tcMar>
              <w:top w:w="0" w:type="dxa"/>
              <w:left w:w="0" w:type="dxa"/>
              <w:bottom w:w="0" w:type="dxa"/>
              <w:right w:w="0" w:type="dxa"/>
            </w:tcMar>
            <w:vAlign w:val="center"/>
          </w:tcPr>
          <w:p>
            <w:pPr>
              <w:pStyle w:val="TableContents"/>
              <w:bidi w:val="0"/>
              <w:spacing w:lineRule="auto" w:line="256" w:before="0" w:after="283"/>
              <w:jc w:val="center"/>
              <w:rPr>
                <w:rFonts w:ascii="Wingdings;sans-serif" w:hAnsi="Wingdings;sans-serif"/>
                <w:b/>
                <w:color w:val="000000"/>
                <w:sz w:val="19"/>
              </w:rPr>
            </w:pPr>
            <w:r>
              <w:rPr>
                <w:rFonts w:ascii="Wingdings;sans-serif" w:hAnsi="Wingdings;sans-serif"/>
                <w:b/>
                <w:color w:val="000000"/>
                <w:sz w:val="19"/>
              </w:rPr>
              <w:t>ü</w:t>
            </w:r>
          </w:p>
        </w:tc>
        <w:tc>
          <w:tcPr>
            <w:tcW w:w="10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3"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Bethesda Row</w:t>
            </w:r>
          </w:p>
        </w:tc>
        <w:tc>
          <w:tcPr>
            <w:tcW w:w="22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Bethesda, MD</w:t>
            </w:r>
          </w:p>
        </w:tc>
        <w:tc>
          <w:tcPr>
            <w:tcW w:w="1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color w:val="000000"/>
                <w:sz w:val="19"/>
              </w:rPr>
            </w:pPr>
            <w:r>
              <w:rPr>
                <w:rFonts w:ascii="Wingdings;sans-serif" w:hAnsi="Wingdings;sans-serif"/>
                <w:b/>
                <w:color w:val="000000"/>
                <w:sz w:val="19"/>
              </w:rPr>
              <w:t>ü</w:t>
            </w:r>
          </w:p>
        </w:tc>
        <w:tc>
          <w:tcPr>
            <w:tcW w:w="19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color w:val="000000"/>
                <w:sz w:val="19"/>
              </w:rPr>
            </w:pPr>
            <w:r>
              <w:rPr>
                <w:rFonts w:ascii="Wingdings;sans-serif" w:hAnsi="Wingdings;sans-serif"/>
                <w:b/>
                <w:color w:val="000000"/>
                <w:sz w:val="19"/>
              </w:rPr>
              <w:t>ü</w:t>
            </w:r>
          </w:p>
        </w:tc>
        <w:tc>
          <w:tcPr>
            <w:tcW w:w="10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3"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Camelback Colonnade</w:t>
            </w:r>
          </w:p>
        </w:tc>
        <w:tc>
          <w:tcPr>
            <w:tcW w:w="22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Phoenix, AZ</w:t>
            </w:r>
          </w:p>
        </w:tc>
        <w:tc>
          <w:tcPr>
            <w:tcW w:w="1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color w:val="000000"/>
                <w:sz w:val="19"/>
              </w:rPr>
            </w:pPr>
            <w:r>
              <w:rPr>
                <w:rFonts w:ascii="Wingdings;sans-serif" w:hAnsi="Wingdings;sans-serif"/>
                <w:b/>
                <w:color w:val="000000"/>
                <w:sz w:val="19"/>
              </w:rPr>
              <w:t>ü</w:t>
            </w:r>
          </w:p>
        </w:tc>
        <w:tc>
          <w:tcPr>
            <w:tcW w:w="19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color w:val="000000"/>
                <w:sz w:val="19"/>
              </w:rPr>
            </w:pPr>
            <w:r>
              <w:rPr>
                <w:rFonts w:ascii="Wingdings;sans-serif" w:hAnsi="Wingdings;sans-serif"/>
                <w:b/>
                <w:color w:val="000000"/>
                <w:sz w:val="19"/>
              </w:rPr>
              <w:t>ü</w:t>
            </w:r>
          </w:p>
        </w:tc>
        <w:tc>
          <w:tcPr>
            <w:tcW w:w="10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3"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Chelsea Commons</w:t>
            </w:r>
          </w:p>
        </w:tc>
        <w:tc>
          <w:tcPr>
            <w:tcW w:w="22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Chelsea, MA</w:t>
            </w:r>
          </w:p>
        </w:tc>
        <w:tc>
          <w:tcPr>
            <w:tcW w:w="1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color w:val="000000"/>
                <w:sz w:val="19"/>
              </w:rPr>
            </w:pPr>
            <w:r>
              <w:rPr>
                <w:rFonts w:ascii="Wingdings;sans-serif" w:hAnsi="Wingdings;sans-serif"/>
                <w:b/>
                <w:color w:val="000000"/>
                <w:sz w:val="19"/>
              </w:rPr>
              <w:t>ü</w:t>
            </w:r>
          </w:p>
        </w:tc>
        <w:tc>
          <w:tcPr>
            <w:tcW w:w="19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3"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Dedham Plaza</w:t>
            </w:r>
          </w:p>
        </w:tc>
        <w:tc>
          <w:tcPr>
            <w:tcW w:w="22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Dedham, MA</w:t>
            </w:r>
          </w:p>
        </w:tc>
        <w:tc>
          <w:tcPr>
            <w:tcW w:w="1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color w:val="000000"/>
                <w:sz w:val="19"/>
              </w:rPr>
            </w:pPr>
            <w:r>
              <w:rPr>
                <w:rFonts w:ascii="Wingdings;sans-serif" w:hAnsi="Wingdings;sans-serif"/>
                <w:b/>
                <w:color w:val="000000"/>
                <w:sz w:val="19"/>
              </w:rPr>
              <w:t>ü</w:t>
            </w:r>
          </w:p>
        </w:tc>
        <w:tc>
          <w:tcPr>
            <w:tcW w:w="19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3"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Escondido Promenade</w:t>
            </w:r>
          </w:p>
        </w:tc>
        <w:tc>
          <w:tcPr>
            <w:tcW w:w="22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Escondido, CA</w:t>
            </w:r>
          </w:p>
        </w:tc>
        <w:tc>
          <w:tcPr>
            <w:tcW w:w="1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color w:val="000000"/>
                <w:sz w:val="19"/>
              </w:rPr>
            </w:pPr>
            <w:r>
              <w:rPr>
                <w:rFonts w:ascii="Wingdings;sans-serif" w:hAnsi="Wingdings;sans-serif"/>
                <w:b/>
                <w:color w:val="000000"/>
                <w:sz w:val="19"/>
              </w:rPr>
              <w:t>ü</w:t>
            </w:r>
          </w:p>
        </w:tc>
        <w:tc>
          <w:tcPr>
            <w:tcW w:w="19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3"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Fairfax Junction</w:t>
            </w:r>
          </w:p>
        </w:tc>
        <w:tc>
          <w:tcPr>
            <w:tcW w:w="22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Fairfax, VA</w:t>
            </w:r>
          </w:p>
        </w:tc>
        <w:tc>
          <w:tcPr>
            <w:tcW w:w="1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color w:val="000000"/>
                <w:sz w:val="19"/>
              </w:rPr>
            </w:pPr>
            <w:r>
              <w:rPr>
                <w:rFonts w:ascii="Wingdings;sans-serif" w:hAnsi="Wingdings;sans-serif"/>
                <w:b/>
                <w:color w:val="000000"/>
                <w:sz w:val="19"/>
              </w:rPr>
              <w:t>ü</w:t>
            </w:r>
          </w:p>
        </w:tc>
        <w:tc>
          <w:tcPr>
            <w:tcW w:w="19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color w:val="000000"/>
                <w:sz w:val="19"/>
              </w:rPr>
            </w:pPr>
            <w:r>
              <w:rPr>
                <w:rFonts w:ascii="Wingdings;sans-serif" w:hAnsi="Wingdings;sans-serif"/>
                <w:b/>
                <w:color w:val="000000"/>
                <w:sz w:val="19"/>
              </w:rPr>
              <w:t>ü</w:t>
            </w:r>
          </w:p>
        </w:tc>
        <w:tc>
          <w:tcPr>
            <w:tcW w:w="10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3"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Federal Plaza</w:t>
            </w:r>
          </w:p>
        </w:tc>
        <w:tc>
          <w:tcPr>
            <w:tcW w:w="22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Rockville, MD</w:t>
            </w:r>
          </w:p>
        </w:tc>
        <w:tc>
          <w:tcPr>
            <w:tcW w:w="19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color w:val="000000"/>
                <w:sz w:val="19"/>
              </w:rPr>
            </w:pPr>
            <w:r>
              <w:rPr>
                <w:rFonts w:ascii="Wingdings;sans-serif" w:hAnsi="Wingdings;sans-serif"/>
                <w:b/>
                <w:color w:val="000000"/>
                <w:sz w:val="19"/>
              </w:rPr>
              <w:t>ü</w:t>
            </w:r>
          </w:p>
        </w:tc>
        <w:tc>
          <w:tcPr>
            <w:tcW w:w="10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9" w:type="dxa"/>
            <w:gridSpan w:val="3"/>
            <w:tcBorders/>
            <w:vAlign w:val="center"/>
          </w:tcPr>
          <w:p>
            <w:pPr>
              <w:pStyle w:val="TableContents"/>
              <w:bidi w:val="0"/>
              <w:spacing w:before="0" w:after="283"/>
              <w:jc w:val="left"/>
              <w:rPr>
                <w:sz w:val="4"/>
                <w:szCs w:val="4"/>
              </w:rPr>
            </w:pPr>
            <w:r>
              <w:rPr>
                <w:sz w:val="4"/>
                <w:szCs w:val="4"/>
              </w:rPr>
            </w:r>
          </w:p>
        </w:tc>
        <w:tc>
          <w:tcPr>
            <w:tcW w:w="1314" w:type="dxa"/>
            <w:gridSpan w:val="3"/>
            <w:tcBorders/>
            <w:vAlign w:val="center"/>
          </w:tcPr>
          <w:p>
            <w:pPr>
              <w:pStyle w:val="TableContents"/>
              <w:bidi w:val="0"/>
              <w:spacing w:before="0" w:after="283"/>
              <w:jc w:val="left"/>
              <w:rPr>
                <w:sz w:val="4"/>
                <w:szCs w:val="4"/>
              </w:rPr>
            </w:pPr>
            <w:r>
              <w:rPr>
                <w:sz w:val="4"/>
                <w:szCs w:val="4"/>
              </w:rPr>
            </w:r>
          </w:p>
        </w:tc>
        <w:tc>
          <w:tcPr>
            <w:tcW w:w="2217" w:type="dxa"/>
            <w:gridSpan w:val="3"/>
            <w:tcBorders/>
            <w:vAlign w:val="center"/>
          </w:tcPr>
          <w:p>
            <w:pPr>
              <w:pStyle w:val="TableContents"/>
              <w:bidi w:val="0"/>
              <w:spacing w:before="0" w:after="283"/>
              <w:jc w:val="left"/>
              <w:rPr>
                <w:sz w:val="4"/>
                <w:szCs w:val="4"/>
              </w:rPr>
            </w:pPr>
            <w:r>
              <w:rPr>
                <w:sz w:val="4"/>
                <w:szCs w:val="4"/>
              </w:rPr>
            </w:r>
          </w:p>
        </w:tc>
        <w:tc>
          <w:tcPr>
            <w:tcW w:w="1969" w:type="dxa"/>
            <w:gridSpan w:val="3"/>
            <w:tcBorders/>
            <w:vAlign w:val="center"/>
          </w:tcPr>
          <w:p>
            <w:pPr>
              <w:pStyle w:val="TableContents"/>
              <w:bidi w:val="0"/>
              <w:spacing w:before="0" w:after="283"/>
              <w:jc w:val="left"/>
              <w:rPr>
                <w:sz w:val="4"/>
                <w:szCs w:val="4"/>
              </w:rPr>
            </w:pPr>
            <w:r>
              <w:rPr>
                <w:sz w:val="4"/>
                <w:szCs w:val="4"/>
              </w:rPr>
            </w:r>
          </w:p>
        </w:tc>
        <w:tc>
          <w:tcPr>
            <w:tcW w:w="1943"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tcPr>
          <w:p>
            <w:pPr>
              <w:pStyle w:val="TableContents"/>
              <w:bidi w:val="0"/>
              <w:spacing w:before="0" w:after="283"/>
              <w:jc w:val="left"/>
              <w:rPr>
                <w:sz w:val="4"/>
                <w:szCs w:val="4"/>
              </w:rPr>
            </w:pPr>
            <w:r>
              <w:rPr>
                <w:sz w:val="4"/>
                <w:szCs w:val="4"/>
              </w:rPr>
            </w:r>
          </w:p>
        </w:tc>
      </w:tr>
      <w:tr>
        <w:trPr/>
        <w:tc>
          <w:tcPr>
            <w:tcW w:w="3033"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Fresh Meadows</w:t>
            </w:r>
          </w:p>
        </w:tc>
        <w:tc>
          <w:tcPr>
            <w:tcW w:w="22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Queens, NY</w:t>
            </w:r>
          </w:p>
        </w:tc>
        <w:tc>
          <w:tcPr>
            <w:tcW w:w="1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color w:val="000000"/>
                <w:sz w:val="19"/>
              </w:rPr>
            </w:pPr>
            <w:r>
              <w:rPr>
                <w:rFonts w:ascii="Wingdings;sans-serif" w:hAnsi="Wingdings;sans-serif"/>
                <w:b/>
                <w:color w:val="000000"/>
                <w:sz w:val="19"/>
              </w:rPr>
              <w:t>ü</w:t>
            </w:r>
          </w:p>
        </w:tc>
        <w:tc>
          <w:tcPr>
            <w:tcW w:w="19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3"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Friendship Center</w:t>
            </w:r>
          </w:p>
        </w:tc>
        <w:tc>
          <w:tcPr>
            <w:tcW w:w="22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Washington, DC</w:t>
            </w:r>
          </w:p>
        </w:tc>
        <w:tc>
          <w:tcPr>
            <w:tcW w:w="1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color w:val="000000"/>
                <w:sz w:val="19"/>
              </w:rPr>
            </w:pPr>
            <w:r>
              <w:rPr>
                <w:rFonts w:ascii="Wingdings;sans-serif" w:hAnsi="Wingdings;sans-serif"/>
                <w:b/>
                <w:color w:val="000000"/>
                <w:sz w:val="19"/>
              </w:rPr>
              <w:t>ü</w:t>
            </w:r>
          </w:p>
        </w:tc>
        <w:tc>
          <w:tcPr>
            <w:tcW w:w="19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color w:val="000000"/>
                <w:sz w:val="19"/>
              </w:rPr>
            </w:pPr>
            <w:r>
              <w:rPr>
                <w:rFonts w:ascii="Wingdings;sans-serif" w:hAnsi="Wingdings;sans-serif"/>
                <w:b/>
                <w:color w:val="000000"/>
                <w:sz w:val="19"/>
              </w:rPr>
              <w:t>ü</w:t>
            </w:r>
          </w:p>
        </w:tc>
        <w:tc>
          <w:tcPr>
            <w:tcW w:w="10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3"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Grossmont Center</w:t>
            </w:r>
          </w:p>
        </w:tc>
        <w:tc>
          <w:tcPr>
            <w:tcW w:w="22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La Mesa, CA</w:t>
            </w:r>
          </w:p>
        </w:tc>
        <w:tc>
          <w:tcPr>
            <w:tcW w:w="1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color w:val="000000"/>
                <w:sz w:val="19"/>
              </w:rPr>
            </w:pPr>
            <w:r>
              <w:rPr>
                <w:rFonts w:ascii="Wingdings;sans-serif" w:hAnsi="Wingdings;sans-serif"/>
                <w:b/>
                <w:color w:val="000000"/>
                <w:sz w:val="19"/>
              </w:rPr>
              <w:t>ü</w:t>
            </w:r>
          </w:p>
        </w:tc>
        <w:tc>
          <w:tcPr>
            <w:tcW w:w="19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3"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Hoboken</w:t>
            </w:r>
          </w:p>
        </w:tc>
        <w:tc>
          <w:tcPr>
            <w:tcW w:w="22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Hoboken, NJ</w:t>
            </w:r>
          </w:p>
        </w:tc>
        <w:tc>
          <w:tcPr>
            <w:tcW w:w="19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color w:val="000000"/>
                <w:sz w:val="19"/>
              </w:rPr>
            </w:pPr>
            <w:r>
              <w:rPr>
                <w:rFonts w:ascii="Wingdings;sans-serif" w:hAnsi="Wingdings;sans-serif"/>
                <w:b/>
                <w:color w:val="000000"/>
                <w:sz w:val="19"/>
              </w:rPr>
              <w:t>ü</w:t>
            </w:r>
          </w:p>
        </w:tc>
        <w:tc>
          <w:tcPr>
            <w:tcW w:w="10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3"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Huntington</w:t>
            </w:r>
          </w:p>
        </w:tc>
        <w:tc>
          <w:tcPr>
            <w:tcW w:w="22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Huntington, NY</w:t>
            </w:r>
          </w:p>
        </w:tc>
        <w:tc>
          <w:tcPr>
            <w:tcW w:w="19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color w:val="000000"/>
                <w:sz w:val="19"/>
              </w:rPr>
            </w:pPr>
            <w:r>
              <w:rPr>
                <w:rFonts w:ascii="Wingdings;sans-serif" w:hAnsi="Wingdings;sans-serif"/>
                <w:b/>
                <w:color w:val="000000"/>
                <w:sz w:val="19"/>
              </w:rPr>
              <w:t>ü</w:t>
            </w:r>
          </w:p>
        </w:tc>
        <w:tc>
          <w:tcPr>
            <w:tcW w:w="10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3"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Mercer on One</w:t>
            </w:r>
          </w:p>
        </w:tc>
        <w:tc>
          <w:tcPr>
            <w:tcW w:w="22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Lawrenceville, NJ</w:t>
            </w:r>
          </w:p>
        </w:tc>
        <w:tc>
          <w:tcPr>
            <w:tcW w:w="1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color w:val="000000"/>
                <w:sz w:val="19"/>
              </w:rPr>
            </w:pPr>
            <w:r>
              <w:rPr>
                <w:rFonts w:ascii="Wingdings;sans-serif" w:hAnsi="Wingdings;sans-serif"/>
                <w:b/>
                <w:color w:val="000000"/>
                <w:sz w:val="19"/>
              </w:rPr>
              <w:t>ü</w:t>
            </w:r>
          </w:p>
        </w:tc>
        <w:tc>
          <w:tcPr>
            <w:tcW w:w="19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3"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Pan Am</w:t>
            </w:r>
          </w:p>
        </w:tc>
        <w:tc>
          <w:tcPr>
            <w:tcW w:w="22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Fairfax, VA</w:t>
            </w:r>
          </w:p>
        </w:tc>
        <w:tc>
          <w:tcPr>
            <w:tcW w:w="1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color w:val="000000"/>
                <w:sz w:val="19"/>
              </w:rPr>
            </w:pPr>
            <w:r>
              <w:rPr>
                <w:rFonts w:ascii="Wingdings;sans-serif" w:hAnsi="Wingdings;sans-serif"/>
                <w:b/>
                <w:color w:val="000000"/>
                <w:sz w:val="19"/>
              </w:rPr>
              <w:t>ü</w:t>
            </w:r>
          </w:p>
        </w:tc>
        <w:tc>
          <w:tcPr>
            <w:tcW w:w="19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color w:val="000000"/>
                <w:sz w:val="19"/>
              </w:rPr>
            </w:pPr>
            <w:r>
              <w:rPr>
                <w:rFonts w:ascii="Wingdings;sans-serif" w:hAnsi="Wingdings;sans-serif"/>
                <w:b/>
                <w:color w:val="000000"/>
                <w:sz w:val="19"/>
              </w:rPr>
              <w:t>ü</w:t>
            </w:r>
          </w:p>
        </w:tc>
        <w:tc>
          <w:tcPr>
            <w:tcW w:w="10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3"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Pike &amp; Rose (2)</w:t>
            </w:r>
          </w:p>
        </w:tc>
        <w:tc>
          <w:tcPr>
            <w:tcW w:w="22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North Bethesda, MD</w:t>
            </w:r>
          </w:p>
        </w:tc>
        <w:tc>
          <w:tcPr>
            <w:tcW w:w="19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color w:val="000000"/>
                <w:sz w:val="19"/>
              </w:rPr>
            </w:pPr>
            <w:r>
              <w:rPr>
                <w:rFonts w:ascii="Wingdings;sans-serif" w:hAnsi="Wingdings;sans-serif"/>
                <w:b/>
                <w:color w:val="000000"/>
                <w:sz w:val="19"/>
              </w:rPr>
              <w:t>ü</w:t>
            </w:r>
          </w:p>
        </w:tc>
      </w:tr>
      <w:tr>
        <w:trPr/>
        <w:tc>
          <w:tcPr>
            <w:tcW w:w="3033"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Pike 7 Plaza</w:t>
            </w:r>
          </w:p>
        </w:tc>
        <w:tc>
          <w:tcPr>
            <w:tcW w:w="22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Vienna, VA</w:t>
            </w:r>
          </w:p>
        </w:tc>
        <w:tc>
          <w:tcPr>
            <w:tcW w:w="19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color w:val="000000"/>
                <w:sz w:val="19"/>
              </w:rPr>
            </w:pPr>
            <w:r>
              <w:rPr>
                <w:rFonts w:ascii="Wingdings;sans-serif" w:hAnsi="Wingdings;sans-serif"/>
                <w:b/>
                <w:color w:val="000000"/>
                <w:sz w:val="19"/>
              </w:rPr>
              <w:t>ü</w:t>
            </w:r>
          </w:p>
        </w:tc>
      </w:tr>
      <w:tr>
        <w:trPr/>
        <w:tc>
          <w:tcPr>
            <w:tcW w:w="3033"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Riverpoint Center</w:t>
            </w:r>
          </w:p>
        </w:tc>
        <w:tc>
          <w:tcPr>
            <w:tcW w:w="22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Chicago, IL</w:t>
            </w:r>
          </w:p>
        </w:tc>
        <w:tc>
          <w:tcPr>
            <w:tcW w:w="1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color w:val="000000"/>
                <w:sz w:val="19"/>
              </w:rPr>
            </w:pPr>
            <w:r>
              <w:rPr>
                <w:rFonts w:ascii="Wingdings;sans-serif" w:hAnsi="Wingdings;sans-serif"/>
                <w:b/>
                <w:color w:val="000000"/>
                <w:sz w:val="19"/>
              </w:rPr>
              <w:t>ü</w:t>
            </w:r>
          </w:p>
        </w:tc>
        <w:tc>
          <w:tcPr>
            <w:tcW w:w="19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3"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Santana Row (3)</w:t>
            </w:r>
          </w:p>
        </w:tc>
        <w:tc>
          <w:tcPr>
            <w:tcW w:w="22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San Jose, CA</w:t>
            </w:r>
          </w:p>
        </w:tc>
        <w:tc>
          <w:tcPr>
            <w:tcW w:w="19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color w:val="000000"/>
                <w:sz w:val="19"/>
              </w:rPr>
            </w:pPr>
            <w:r>
              <w:rPr>
                <w:rFonts w:ascii="Wingdings;sans-serif" w:hAnsi="Wingdings;sans-serif"/>
                <w:b/>
                <w:color w:val="000000"/>
                <w:sz w:val="19"/>
              </w:rPr>
              <w:t>ü</w:t>
            </w:r>
          </w:p>
        </w:tc>
      </w:tr>
      <w:tr>
        <w:trPr/>
        <w:tc>
          <w:tcPr>
            <w:tcW w:w="1719" w:type="dxa"/>
            <w:gridSpan w:val="3"/>
            <w:tcBorders/>
            <w:vAlign w:val="center"/>
          </w:tcPr>
          <w:p>
            <w:pPr>
              <w:pStyle w:val="TableContents"/>
              <w:bidi w:val="0"/>
              <w:spacing w:before="0" w:after="283"/>
              <w:jc w:val="left"/>
              <w:rPr>
                <w:sz w:val="4"/>
                <w:szCs w:val="4"/>
              </w:rPr>
            </w:pPr>
            <w:r>
              <w:rPr>
                <w:sz w:val="4"/>
                <w:szCs w:val="4"/>
              </w:rPr>
            </w:r>
          </w:p>
        </w:tc>
        <w:tc>
          <w:tcPr>
            <w:tcW w:w="1314" w:type="dxa"/>
            <w:gridSpan w:val="3"/>
            <w:tcBorders/>
            <w:vAlign w:val="center"/>
          </w:tcPr>
          <w:p>
            <w:pPr>
              <w:pStyle w:val="TableContents"/>
              <w:bidi w:val="0"/>
              <w:spacing w:before="0" w:after="283"/>
              <w:jc w:val="left"/>
              <w:rPr>
                <w:sz w:val="4"/>
                <w:szCs w:val="4"/>
              </w:rPr>
            </w:pPr>
            <w:r>
              <w:rPr>
                <w:sz w:val="4"/>
                <w:szCs w:val="4"/>
              </w:rPr>
            </w:r>
          </w:p>
        </w:tc>
        <w:tc>
          <w:tcPr>
            <w:tcW w:w="2217" w:type="dxa"/>
            <w:gridSpan w:val="3"/>
            <w:tcBorders/>
            <w:vAlign w:val="center"/>
          </w:tcPr>
          <w:p>
            <w:pPr>
              <w:pStyle w:val="TableContents"/>
              <w:bidi w:val="0"/>
              <w:spacing w:before="0" w:after="283"/>
              <w:jc w:val="left"/>
              <w:rPr>
                <w:sz w:val="4"/>
                <w:szCs w:val="4"/>
              </w:rPr>
            </w:pPr>
            <w:r>
              <w:rPr>
                <w:sz w:val="4"/>
                <w:szCs w:val="4"/>
              </w:rPr>
            </w:r>
          </w:p>
        </w:tc>
        <w:tc>
          <w:tcPr>
            <w:tcW w:w="1969" w:type="dxa"/>
            <w:gridSpan w:val="3"/>
            <w:tcBorders/>
            <w:vAlign w:val="center"/>
          </w:tcPr>
          <w:p>
            <w:pPr>
              <w:pStyle w:val="TableContents"/>
              <w:bidi w:val="0"/>
              <w:spacing w:before="0" w:after="283"/>
              <w:jc w:val="left"/>
              <w:rPr>
                <w:sz w:val="4"/>
                <w:szCs w:val="4"/>
              </w:rPr>
            </w:pPr>
            <w:r>
              <w:rPr>
                <w:sz w:val="4"/>
                <w:szCs w:val="4"/>
              </w:rPr>
            </w:r>
          </w:p>
        </w:tc>
        <w:tc>
          <w:tcPr>
            <w:tcW w:w="1943"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tcPr>
          <w:p>
            <w:pPr>
              <w:pStyle w:val="TableContents"/>
              <w:bidi w:val="0"/>
              <w:spacing w:before="0" w:after="283"/>
              <w:jc w:val="left"/>
              <w:rPr>
                <w:sz w:val="4"/>
                <w:szCs w:val="4"/>
              </w:rPr>
            </w:pPr>
            <w:r>
              <w:rPr>
                <w:sz w:val="4"/>
                <w:szCs w:val="4"/>
              </w:rPr>
            </w:r>
          </w:p>
        </w:tc>
      </w:tr>
      <w:tr>
        <w:trPr/>
        <w:tc>
          <w:tcPr>
            <w:tcW w:w="3033"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Shops at Pembroke Gardens</w:t>
            </w:r>
          </w:p>
        </w:tc>
        <w:tc>
          <w:tcPr>
            <w:tcW w:w="22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Pembroke Pines, FL</w:t>
            </w:r>
          </w:p>
        </w:tc>
        <w:tc>
          <w:tcPr>
            <w:tcW w:w="19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color w:val="000000"/>
                <w:sz w:val="19"/>
              </w:rPr>
            </w:pPr>
            <w:r>
              <w:rPr>
                <w:rFonts w:ascii="Wingdings;sans-serif" w:hAnsi="Wingdings;sans-serif"/>
                <w:b/>
                <w:color w:val="000000"/>
                <w:sz w:val="19"/>
              </w:rPr>
              <w:t>ü</w:t>
            </w:r>
          </w:p>
        </w:tc>
        <w:tc>
          <w:tcPr>
            <w:tcW w:w="10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3"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The AVENUE at White Marsh</w:t>
            </w:r>
          </w:p>
        </w:tc>
        <w:tc>
          <w:tcPr>
            <w:tcW w:w="22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White Marsh, MD</w:t>
            </w:r>
          </w:p>
        </w:tc>
        <w:tc>
          <w:tcPr>
            <w:tcW w:w="19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color w:val="000000"/>
                <w:sz w:val="19"/>
              </w:rPr>
            </w:pPr>
            <w:r>
              <w:rPr>
                <w:rFonts w:ascii="Wingdings;sans-serif" w:hAnsi="Wingdings;sans-serif"/>
                <w:b/>
                <w:color w:val="000000"/>
                <w:sz w:val="19"/>
              </w:rPr>
              <w:t>ü</w:t>
            </w:r>
          </w:p>
        </w:tc>
        <w:tc>
          <w:tcPr>
            <w:tcW w:w="10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3"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Village at Shirlington</w:t>
            </w:r>
          </w:p>
        </w:tc>
        <w:tc>
          <w:tcPr>
            <w:tcW w:w="22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Arlington, VA</w:t>
            </w:r>
          </w:p>
        </w:tc>
        <w:tc>
          <w:tcPr>
            <w:tcW w:w="19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color w:val="000000"/>
                <w:sz w:val="19"/>
              </w:rPr>
            </w:pPr>
            <w:r>
              <w:rPr>
                <w:rFonts w:ascii="Wingdings;sans-serif" w:hAnsi="Wingdings;sans-serif"/>
                <w:b/>
                <w:color w:val="000000"/>
                <w:sz w:val="19"/>
              </w:rPr>
              <w:t>ü</w:t>
            </w:r>
          </w:p>
        </w:tc>
        <w:tc>
          <w:tcPr>
            <w:tcW w:w="10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9" w:type="dxa"/>
            <w:gridSpan w:val="3"/>
            <w:tcBorders/>
            <w:vAlign w:val="center"/>
          </w:tcPr>
          <w:p>
            <w:pPr>
              <w:pStyle w:val="TableContents"/>
              <w:bidi w:val="0"/>
              <w:spacing w:before="0" w:after="283"/>
              <w:jc w:val="left"/>
              <w:rPr>
                <w:sz w:val="4"/>
                <w:szCs w:val="4"/>
              </w:rPr>
            </w:pPr>
            <w:r>
              <w:rPr>
                <w:sz w:val="4"/>
                <w:szCs w:val="4"/>
              </w:rPr>
            </w:r>
          </w:p>
        </w:tc>
        <w:tc>
          <w:tcPr>
            <w:tcW w:w="1314" w:type="dxa"/>
            <w:gridSpan w:val="3"/>
            <w:tcBorders/>
            <w:vAlign w:val="center"/>
          </w:tcPr>
          <w:p>
            <w:pPr>
              <w:pStyle w:val="TableContents"/>
              <w:bidi w:val="0"/>
              <w:spacing w:before="0" w:after="283"/>
              <w:jc w:val="left"/>
              <w:rPr>
                <w:sz w:val="4"/>
                <w:szCs w:val="4"/>
              </w:rPr>
            </w:pPr>
            <w:r>
              <w:rPr>
                <w:sz w:val="4"/>
                <w:szCs w:val="4"/>
              </w:rPr>
            </w:r>
          </w:p>
        </w:tc>
        <w:tc>
          <w:tcPr>
            <w:tcW w:w="2217" w:type="dxa"/>
            <w:gridSpan w:val="3"/>
            <w:tcBorders/>
            <w:vAlign w:val="center"/>
          </w:tcPr>
          <w:p>
            <w:pPr>
              <w:pStyle w:val="TableContents"/>
              <w:bidi w:val="0"/>
              <w:spacing w:before="0" w:after="283"/>
              <w:jc w:val="left"/>
              <w:rPr>
                <w:sz w:val="4"/>
                <w:szCs w:val="4"/>
              </w:rPr>
            </w:pPr>
            <w:r>
              <w:rPr>
                <w:sz w:val="4"/>
                <w:szCs w:val="4"/>
              </w:rPr>
            </w:r>
          </w:p>
        </w:tc>
        <w:tc>
          <w:tcPr>
            <w:tcW w:w="1969" w:type="dxa"/>
            <w:gridSpan w:val="3"/>
            <w:tcBorders/>
            <w:vAlign w:val="center"/>
          </w:tcPr>
          <w:p>
            <w:pPr>
              <w:pStyle w:val="TableContents"/>
              <w:bidi w:val="0"/>
              <w:spacing w:before="0" w:after="283"/>
              <w:jc w:val="left"/>
              <w:rPr>
                <w:sz w:val="4"/>
                <w:szCs w:val="4"/>
              </w:rPr>
            </w:pPr>
            <w:r>
              <w:rPr>
                <w:sz w:val="4"/>
                <w:szCs w:val="4"/>
              </w:rPr>
            </w:r>
          </w:p>
        </w:tc>
        <w:tc>
          <w:tcPr>
            <w:tcW w:w="1943"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tcPr>
          <w:p>
            <w:pPr>
              <w:pStyle w:val="TableContents"/>
              <w:bidi w:val="0"/>
              <w:spacing w:before="0" w:after="283"/>
              <w:jc w:val="left"/>
              <w:rPr>
                <w:sz w:val="4"/>
                <w:szCs w:val="4"/>
              </w:rPr>
            </w:pPr>
            <w:r>
              <w:rPr>
                <w:sz w:val="4"/>
                <w:szCs w:val="4"/>
              </w:rPr>
            </w:r>
          </w:p>
        </w:tc>
      </w:tr>
      <w:tr>
        <w:trPr/>
        <w:tc>
          <w:tcPr>
            <w:tcW w:w="3033"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Willow Grove</w:t>
            </w:r>
          </w:p>
        </w:tc>
        <w:tc>
          <w:tcPr>
            <w:tcW w:w="22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Willow Grove, PA</w:t>
            </w:r>
          </w:p>
        </w:tc>
        <w:tc>
          <w:tcPr>
            <w:tcW w:w="1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color w:val="000000"/>
                <w:sz w:val="19"/>
              </w:rPr>
            </w:pPr>
            <w:r>
              <w:rPr>
                <w:rFonts w:ascii="Wingdings;sans-serif" w:hAnsi="Wingdings;sans-serif"/>
                <w:b/>
                <w:color w:val="000000"/>
                <w:sz w:val="19"/>
              </w:rPr>
              <w:t>ü</w:t>
            </w:r>
          </w:p>
        </w:tc>
        <w:tc>
          <w:tcPr>
            <w:tcW w:w="19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color w:val="000000"/>
                <w:sz w:val="19"/>
              </w:rPr>
            </w:pPr>
            <w:r>
              <w:rPr>
                <w:rFonts w:ascii="Wingdings;sans-serif" w:hAnsi="Wingdings;sans-serif"/>
                <w:b/>
                <w:color w:val="000000"/>
                <w:sz w:val="19"/>
              </w:rPr>
              <w:t>ü</w:t>
            </w:r>
          </w:p>
        </w:tc>
        <w:tc>
          <w:tcPr>
            <w:tcW w:w="10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3"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Willow Lawn</w:t>
            </w:r>
          </w:p>
        </w:tc>
        <w:tc>
          <w:tcPr>
            <w:tcW w:w="22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Richmond, VA</w:t>
            </w:r>
          </w:p>
        </w:tc>
        <w:tc>
          <w:tcPr>
            <w:tcW w:w="19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color w:val="000000"/>
                <w:sz w:val="19"/>
              </w:rPr>
            </w:pPr>
            <w:r>
              <w:rPr>
                <w:rFonts w:ascii="Wingdings;sans-serif" w:hAnsi="Wingdings;sans-serif"/>
                <w:b/>
                <w:color w:val="000000"/>
                <w:sz w:val="19"/>
              </w:rPr>
              <w:t>ü</w:t>
            </w:r>
          </w:p>
        </w:tc>
        <w:tc>
          <w:tcPr>
            <w:tcW w:w="10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9" w:type="dxa"/>
            <w:gridSpan w:val="3"/>
            <w:tcBorders/>
            <w:vAlign w:val="center"/>
          </w:tcPr>
          <w:p>
            <w:pPr>
              <w:pStyle w:val="TableContents"/>
              <w:bidi w:val="0"/>
              <w:spacing w:before="0" w:after="283"/>
              <w:jc w:val="left"/>
              <w:rPr>
                <w:sz w:val="4"/>
                <w:szCs w:val="4"/>
              </w:rPr>
            </w:pPr>
            <w:r>
              <w:rPr>
                <w:sz w:val="4"/>
                <w:szCs w:val="4"/>
              </w:rPr>
            </w:r>
          </w:p>
        </w:tc>
        <w:tc>
          <w:tcPr>
            <w:tcW w:w="1314" w:type="dxa"/>
            <w:gridSpan w:val="3"/>
            <w:tcBorders/>
            <w:vAlign w:val="center"/>
          </w:tcPr>
          <w:p>
            <w:pPr>
              <w:pStyle w:val="TableContents"/>
              <w:bidi w:val="0"/>
              <w:spacing w:before="0" w:after="283"/>
              <w:jc w:val="left"/>
              <w:rPr>
                <w:sz w:val="4"/>
                <w:szCs w:val="4"/>
              </w:rPr>
            </w:pPr>
            <w:r>
              <w:rPr>
                <w:sz w:val="4"/>
                <w:szCs w:val="4"/>
              </w:rPr>
            </w:r>
          </w:p>
        </w:tc>
        <w:tc>
          <w:tcPr>
            <w:tcW w:w="2217" w:type="dxa"/>
            <w:gridSpan w:val="3"/>
            <w:tcBorders/>
            <w:vAlign w:val="center"/>
          </w:tcPr>
          <w:p>
            <w:pPr>
              <w:pStyle w:val="TableContents"/>
              <w:bidi w:val="0"/>
              <w:spacing w:before="0" w:after="283"/>
              <w:jc w:val="left"/>
              <w:rPr>
                <w:sz w:val="4"/>
                <w:szCs w:val="4"/>
              </w:rPr>
            </w:pPr>
            <w:r>
              <w:rPr>
                <w:sz w:val="4"/>
                <w:szCs w:val="4"/>
              </w:rPr>
            </w:r>
          </w:p>
        </w:tc>
        <w:tc>
          <w:tcPr>
            <w:tcW w:w="1969" w:type="dxa"/>
            <w:gridSpan w:val="3"/>
            <w:tcBorders/>
            <w:vAlign w:val="center"/>
          </w:tcPr>
          <w:p>
            <w:pPr>
              <w:pStyle w:val="TableContents"/>
              <w:bidi w:val="0"/>
              <w:spacing w:before="0" w:after="283"/>
              <w:jc w:val="left"/>
              <w:rPr>
                <w:sz w:val="4"/>
                <w:szCs w:val="4"/>
              </w:rPr>
            </w:pPr>
            <w:r>
              <w:rPr>
                <w:sz w:val="4"/>
                <w:szCs w:val="4"/>
              </w:rPr>
            </w:r>
          </w:p>
        </w:tc>
        <w:tc>
          <w:tcPr>
            <w:tcW w:w="1943" w:type="dxa"/>
            <w:gridSpan w:val="3"/>
            <w:tcBorders/>
            <w:vAlign w:val="center"/>
          </w:tcPr>
          <w:p>
            <w:pPr>
              <w:pStyle w:val="TableContents"/>
              <w:bidi w:val="0"/>
              <w:spacing w:before="0" w:after="283"/>
              <w:jc w:val="left"/>
              <w:rPr>
                <w:sz w:val="4"/>
                <w:szCs w:val="4"/>
              </w:rPr>
            </w:pPr>
            <w:r>
              <w:rPr>
                <w:sz w:val="4"/>
                <w:szCs w:val="4"/>
              </w:rPr>
            </w:r>
          </w:p>
        </w:tc>
        <w:tc>
          <w:tcPr>
            <w:tcW w:w="104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19"/>
          <w:u w:val="single"/>
        </w:rPr>
      </w:pPr>
      <w:r>
        <w:rPr>
          <w:rFonts w:ascii="Times New Roman;sans-serif" w:hAnsi="Times New Roman;sans-serif"/>
          <w:b w:val="false"/>
          <w:color w:val="000000"/>
          <w:sz w:val="19"/>
          <w:u w:val="single"/>
        </w:rPr>
        <w:t>Notes:</w:t>
      </w:r>
    </w:p>
    <w:p>
      <w:pPr>
        <w:pStyle w:val="TextBody"/>
        <w:bidi w:val="0"/>
        <w:spacing w:lineRule="auto" w:line="288" w:before="12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(1)Remaining entitlements at Assembly Row include approximately 1.5 million square feet of commercial-use buildings and 326 residential units.</w:t>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(2)Remaining entitlements at Pike &amp; Rose include approximately 530,000 square feet of commercial-use buildings and 741 residential units.</w:t>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(3)Remaining entitlements at Santana Row include approximately 321,000 square feet of commercial space and 395 residential units, as well as approximately 604,000 square feet of commercial space across from Santana Row.</w:t>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(4)Property expansion/conversion includes opportunities at successful retail properties to convert previously underutilized land into new GLA, to convert other existing uses into more productive uses for the property, and/or to add both single tenant and multi-tenant stand alone pad buildings.</w:t>
      </w:r>
    </w:p>
    <w:p>
      <w:pPr>
        <w:pStyle w:val="TextBody"/>
        <w:bidi w:val="0"/>
        <w:spacing w:lineRule="auto" w:line="288" w:before="0" w:after="0"/>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(5)Residential includes opportunities to add residential units to existing retail and mixed-use properties.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tbl>
      <w:tblPr>
        <w:tblW w:w="3984"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2" w:type="dxa"/>
            <w:gridSpan w:val="3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Federal Realty Investment Trust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2" w:type="dxa"/>
            <w:gridSpan w:val="3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2024 Transactions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2" w:type="dxa"/>
            <w:gridSpan w:val="3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March 31, 2024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400" w:after="283"/>
        <w:jc w:val="left"/>
        <w:rPr>
          <w:rFonts w:ascii="Times New Roman;sans-serif" w:hAnsi="Times New Roman;sans-serif"/>
          <w:b/>
          <w:color w:val="000000"/>
          <w:sz w:val="18"/>
          <w:u w:val="single"/>
        </w:rPr>
      </w:pPr>
      <w:r>
        <w:rPr>
          <w:rFonts w:ascii="Times New Roman;sans-serif" w:hAnsi="Times New Roman;sans-serif"/>
          <w:b/>
          <w:color w:val="000000"/>
          <w:sz w:val="18"/>
          <w:u w:val="single"/>
        </w:rPr>
        <w:t>Financing Transactions</w:t>
      </w:r>
    </w:p>
    <w:p>
      <w:pPr>
        <w:pStyle w:val="TextBody"/>
        <w:bidi w:val="0"/>
        <w:spacing w:lineRule="auto" w:line="288" w:before="180" w:after="283"/>
        <w:jc w:val="left"/>
        <w:rPr>
          <w:rFonts w:ascii="Times New Roman;sans-serif" w:hAnsi="Times New Roman;sans-serif"/>
          <w:b/>
          <w:color w:val="000000"/>
          <w:sz w:val="18"/>
        </w:rPr>
      </w:pPr>
      <w:r>
        <w:rPr>
          <w:rFonts w:ascii="Times New Roman;sans-serif" w:hAnsi="Times New Roman;sans-serif"/>
          <w:b/>
          <w:color w:val="000000"/>
          <w:sz w:val="18"/>
        </w:rPr>
        <w:t>Issuance of Debt</w:t>
      </w:r>
    </w:p>
    <w:tbl>
      <w:tblPr>
        <w:tblW w:w="10205" w:type="dxa"/>
        <w:jc w:val="left"/>
        <w:tblInd w:w="0" w:type="dxa"/>
        <w:tblLayout w:type="fixed"/>
        <w:tblCellMar>
          <w:top w:w="28" w:type="dxa"/>
          <w:left w:w="28" w:type="dxa"/>
          <w:bottom w:w="28" w:type="dxa"/>
          <w:right w:w="28" w:type="dxa"/>
        </w:tblCellMar>
      </w:tblPr>
      <w:tblGrid>
        <w:gridCol w:w="484"/>
        <w:gridCol w:w="424"/>
        <w:gridCol w:w="427"/>
        <w:gridCol w:w="109"/>
        <w:gridCol w:w="109"/>
        <w:gridCol w:w="109"/>
        <w:gridCol w:w="915"/>
        <w:gridCol w:w="915"/>
        <w:gridCol w:w="935"/>
        <w:gridCol w:w="109"/>
        <w:gridCol w:w="109"/>
        <w:gridCol w:w="109"/>
        <w:gridCol w:w="334"/>
        <w:gridCol w:w="949"/>
        <w:gridCol w:w="186"/>
        <w:gridCol w:w="109"/>
        <w:gridCol w:w="109"/>
        <w:gridCol w:w="109"/>
        <w:gridCol w:w="376"/>
        <w:gridCol w:w="372"/>
        <w:gridCol w:w="880"/>
        <w:gridCol w:w="109"/>
        <w:gridCol w:w="109"/>
        <w:gridCol w:w="109"/>
        <w:gridCol w:w="439"/>
        <w:gridCol w:w="439"/>
        <w:gridCol w:w="441"/>
        <w:gridCol w:w="109"/>
        <w:gridCol w:w="109"/>
        <w:gridCol w:w="163"/>
      </w:tblGrid>
      <w:tr>
        <w:trPr/>
        <w:tc>
          <w:tcPr>
            <w:tcW w:w="48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3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Issuance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Debt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Principal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Stated Interest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Maturity Date</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January 11,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3.25% Exchangeable Senior Notes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485.0 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3.25 </w:t>
            </w:r>
          </w:p>
        </w:tc>
        <w:tc>
          <w:tcPr>
            <w:tcW w:w="8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January 15, 2029</w:t>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720"/>
        <w:jc w:val="left"/>
        <w:rPr>
          <w:rFonts w:ascii="Times New Roman;sans-serif" w:hAnsi="Times New Roman;sans-serif"/>
          <w:b w:val="false"/>
          <w:color w:val="000000"/>
          <w:sz w:val="18"/>
        </w:rPr>
      </w:pPr>
      <w:r>
        <w:rPr>
          <w:rFonts w:ascii="Times New Roman;sans-serif" w:hAnsi="Times New Roman;sans-serif"/>
          <w:b w:val="false"/>
          <w:color w:val="000000"/>
          <w:sz w:val="18"/>
        </w:rPr>
        <w:t>(1)See our Form 8-K filing on January 11, 2024 and Note 3 of our March 31, 2024 Form 10-Q for additional information on this transaction.</w:t>
      </w:r>
    </w:p>
    <w:p>
      <w:pPr>
        <w:pStyle w:val="TextBody"/>
        <w:bidi w:val="0"/>
        <w:spacing w:lineRule="auto" w:line="288" w:before="180" w:after="283"/>
        <w:jc w:val="left"/>
        <w:rPr>
          <w:rFonts w:ascii="Times New Roman;sans-serif" w:hAnsi="Times New Roman;sans-serif"/>
          <w:b/>
          <w:color w:val="000000"/>
          <w:sz w:val="18"/>
        </w:rPr>
      </w:pPr>
      <w:r>
        <w:rPr>
          <w:rFonts w:ascii="Times New Roman;sans-serif" w:hAnsi="Times New Roman;sans-serif"/>
          <w:b/>
          <w:color w:val="000000"/>
          <w:sz w:val="18"/>
        </w:rPr>
        <w:t>Repayment of Debt</w:t>
      </w:r>
    </w:p>
    <w:p>
      <w:pPr>
        <w:pStyle w:val="TextBody"/>
        <w:bidi w:val="0"/>
        <w:spacing w:lineRule="auto" w:line="288" w:before="10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The following senior unsecured note was repaid at maturity:</w:t>
      </w:r>
    </w:p>
    <w:tbl>
      <w:tblPr>
        <w:tblW w:w="5313" w:type="dxa"/>
        <w:jc w:val="left"/>
        <w:tblInd w:w="0" w:type="dxa"/>
        <w:tblLayout w:type="fixed"/>
        <w:tblCellMar>
          <w:top w:w="28" w:type="dxa"/>
          <w:left w:w="28" w:type="dxa"/>
          <w:bottom w:w="28" w:type="dxa"/>
          <w:right w:w="28" w:type="dxa"/>
        </w:tblCellMar>
      </w:tblPr>
      <w:tblGrid>
        <w:gridCol w:w="510"/>
        <w:gridCol w:w="448"/>
        <w:gridCol w:w="451"/>
        <w:gridCol w:w="109"/>
        <w:gridCol w:w="109"/>
        <w:gridCol w:w="109"/>
        <w:gridCol w:w="526"/>
        <w:gridCol w:w="526"/>
        <w:gridCol w:w="537"/>
        <w:gridCol w:w="109"/>
        <w:gridCol w:w="109"/>
        <w:gridCol w:w="109"/>
        <w:gridCol w:w="293"/>
        <w:gridCol w:w="833"/>
        <w:gridCol w:w="163"/>
        <w:gridCol w:w="109"/>
        <w:gridCol w:w="109"/>
        <w:gridCol w:w="154"/>
      </w:tblGrid>
      <w:tr>
        <w:trPr/>
        <w:tc>
          <w:tcPr>
            <w:tcW w:w="510"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Repayment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Debt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Payoff Amount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 millions)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January 16,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3.95% Senior Notes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600.0 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0" w:after="283"/>
        <w:ind w:left="0" w:right="0" w:hanging="270"/>
        <w:jc w:val="left"/>
        <w:rPr>
          <w:rFonts w:ascii="Times New Roman;sans-serif" w:hAnsi="Times New Roman;sans-serif"/>
          <w:b/>
          <w:color w:val="000000"/>
          <w:sz w:val="18"/>
          <w:u w:val="single"/>
        </w:rPr>
      </w:pPr>
      <w:r>
        <w:rPr>
          <w:rFonts w:ascii="Times New Roman;sans-serif" w:hAnsi="Times New Roman;sans-serif"/>
          <w:b/>
          <w:color w:val="000000"/>
          <w:sz w:val="18"/>
          <w:u w:val="single"/>
        </w:rPr>
        <w:t>Other Investment Transaction</w:t>
      </w:r>
    </w:p>
    <w:p>
      <w:pPr>
        <w:pStyle w:val="TextBody"/>
        <w:bidi w:val="0"/>
        <w:spacing w:lineRule="auto" w:line="288" w:before="18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On April 1, 2024, we acquired the approximately 10% noncontrolling interest in the partnership that owns our CocoWalk property for approximately $12 million, bringing our ownership to 100%.</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tbl>
      <w:tblPr>
        <w:tblW w:w="11701" w:type="dxa"/>
        <w:jc w:val="center"/>
        <w:tblInd w:w="0" w:type="dxa"/>
        <w:tblLayout w:type="fixed"/>
        <w:tblCellMar>
          <w:top w:w="28" w:type="dxa"/>
          <w:left w:w="28" w:type="dxa"/>
          <w:bottom w:w="28" w:type="dxa"/>
          <w:right w:w="28" w:type="dxa"/>
        </w:tblCellMar>
      </w:tblPr>
      <w:tblGrid>
        <w:gridCol w:w="549"/>
        <w:gridCol w:w="205"/>
        <w:gridCol w:w="207"/>
        <w:gridCol w:w="109"/>
        <w:gridCol w:w="109"/>
        <w:gridCol w:w="109"/>
        <w:gridCol w:w="773"/>
        <w:gridCol w:w="773"/>
        <w:gridCol w:w="585"/>
        <w:gridCol w:w="109"/>
        <w:gridCol w:w="181"/>
        <w:gridCol w:w="616"/>
        <w:gridCol w:w="109"/>
        <w:gridCol w:w="109"/>
        <w:gridCol w:w="180"/>
        <w:gridCol w:w="181"/>
        <w:gridCol w:w="109"/>
        <w:gridCol w:w="109"/>
        <w:gridCol w:w="109"/>
        <w:gridCol w:w="109"/>
        <w:gridCol w:w="360"/>
        <w:gridCol w:w="361"/>
        <w:gridCol w:w="131"/>
        <w:gridCol w:w="109"/>
        <w:gridCol w:w="109"/>
        <w:gridCol w:w="109"/>
        <w:gridCol w:w="186"/>
        <w:gridCol w:w="175"/>
        <w:gridCol w:w="341"/>
        <w:gridCol w:w="109"/>
        <w:gridCol w:w="109"/>
        <w:gridCol w:w="109"/>
        <w:gridCol w:w="109"/>
        <w:gridCol w:w="109"/>
        <w:gridCol w:w="109"/>
        <w:gridCol w:w="260"/>
        <w:gridCol w:w="260"/>
        <w:gridCol w:w="261"/>
        <w:gridCol w:w="321"/>
        <w:gridCol w:w="220"/>
        <w:gridCol w:w="221"/>
        <w:gridCol w:w="109"/>
        <w:gridCol w:w="109"/>
        <w:gridCol w:w="109"/>
        <w:gridCol w:w="365"/>
        <w:gridCol w:w="200"/>
        <w:gridCol w:w="201"/>
        <w:gridCol w:w="645"/>
        <w:gridCol w:w="195"/>
        <w:gridCol w:w="196"/>
        <w:gridCol w:w="154"/>
      </w:tblGrid>
      <w:tr>
        <w:trPr/>
        <w:tc>
          <w:tcPr>
            <w:tcW w:w="54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875" w:type="dxa"/>
            <w:gridSpan w:val="35"/>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Federal Realty Investment Trust</w:t>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045" w:type="dxa"/>
            <w:gridSpan w:val="13"/>
            <w:tcBorders/>
          </w:tcPr>
          <w:p>
            <w:pPr>
              <w:pStyle w:val="TableContents"/>
              <w:bidi w:val="0"/>
              <w:spacing w:before="0" w:after="283"/>
              <w:jc w:val="left"/>
              <w:rPr>
                <w:sz w:val="4"/>
                <w:szCs w:val="4"/>
              </w:rPr>
            </w:pPr>
            <w:r>
              <w:rPr>
                <w:sz w:val="4"/>
                <w:szCs w:val="4"/>
              </w:rPr>
            </w:r>
          </w:p>
        </w:tc>
      </w:tr>
      <w:tr>
        <w:trPr/>
        <w:tc>
          <w:tcPr>
            <w:tcW w:w="7875" w:type="dxa"/>
            <w:gridSpan w:val="35"/>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Real Estate Status Report</w:t>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045" w:type="dxa"/>
            <w:gridSpan w:val="13"/>
            <w:tcBorders/>
          </w:tcPr>
          <w:p>
            <w:pPr>
              <w:pStyle w:val="TableContents"/>
              <w:bidi w:val="0"/>
              <w:spacing w:before="0" w:after="283"/>
              <w:jc w:val="left"/>
              <w:rPr>
                <w:sz w:val="4"/>
                <w:szCs w:val="4"/>
              </w:rPr>
            </w:pPr>
            <w:r>
              <w:rPr>
                <w:sz w:val="4"/>
                <w:szCs w:val="4"/>
              </w:rPr>
            </w:r>
          </w:p>
        </w:tc>
      </w:tr>
      <w:tr>
        <w:trPr/>
        <w:tc>
          <w:tcPr>
            <w:tcW w:w="7875" w:type="dxa"/>
            <w:gridSpan w:val="35"/>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March 31, 2024</w:t>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045" w:type="dxa"/>
            <w:gridSpan w:val="13"/>
            <w:tcBorders/>
          </w:tcPr>
          <w:p>
            <w:pPr>
              <w:pStyle w:val="TableContents"/>
              <w:bidi w:val="0"/>
              <w:spacing w:before="0" w:after="283"/>
              <w:jc w:val="left"/>
              <w:rPr>
                <w:sz w:val="4"/>
                <w:szCs w:val="4"/>
              </w:rPr>
            </w:pPr>
            <w:r>
              <w:rPr>
                <w:sz w:val="4"/>
                <w:szCs w:val="4"/>
              </w:rPr>
            </w:r>
          </w:p>
        </w:tc>
      </w:tr>
      <w:tr>
        <w:trPr/>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Property 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MSA Description</w:t>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Real Estate at Cost</w:t>
            </w:r>
          </w:p>
        </w:tc>
        <w:tc>
          <w:tcPr>
            <w:tcW w:w="109" w:type="dxa"/>
            <w:tcBorders/>
            <w:vAlign w:val="center"/>
          </w:tcPr>
          <w:p>
            <w:pPr>
              <w:pStyle w:val="TableContents"/>
              <w:bidi w:val="0"/>
              <w:spacing w:before="0" w:after="283"/>
              <w:jc w:val="left"/>
              <w:rPr>
                <w:sz w:val="4"/>
                <w:szCs w:val="4"/>
              </w:rPr>
            </w:pPr>
            <w:r>
              <w:rPr>
                <w:sz w:val="4"/>
                <w:szCs w:val="4"/>
              </w:rPr>
            </w:r>
          </w:p>
        </w:tc>
        <w:tc>
          <w:tcPr>
            <w:tcW w:w="79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Acreage</w:t>
            </w:r>
          </w:p>
        </w:tc>
        <w:tc>
          <w:tcPr>
            <w:tcW w:w="8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GLA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 Leased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Residential Units</w:t>
            </w:r>
          </w:p>
        </w:tc>
        <w:tc>
          <w:tcPr>
            <w:tcW w:w="76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14"/>
              </w:rPr>
              <w:t>Grocery Anchor GLA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Grocery Anchor (2)</w:t>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Other Retail Tenants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2"/>
              </w:rPr>
            </w:pPr>
            <w:r>
              <w:rPr>
                <w:rFonts w:ascii="Times New Roman;sans-serif" w:hAnsi="Times New Roman;sans-serif"/>
                <w:b w:val="false"/>
                <w:color w:val="000000"/>
                <w:sz w:val="12"/>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4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19"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u w:val="single"/>
              </w:rPr>
            </w:pPr>
            <w:r>
              <w:rPr>
                <w:color w:val="000000"/>
                <w:u w:val="single"/>
              </w:rPr>
              <w:t>  </w:t>
            </w:r>
            <w:r>
              <w:rPr>
                <w:rFonts w:ascii="Times New Roman;sans-serif" w:hAnsi="Times New Roman;sans-serif"/>
                <w:b/>
                <w:color w:val="000000"/>
                <w:sz w:val="14"/>
                <w:u w:val="single"/>
              </w:rPr>
              <w:t>California</w:t>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Azalea</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(3)</w:t>
            </w:r>
          </w:p>
        </w:tc>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Los Angeles-Long Beach-Anaheim, CA</w:t>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109,553 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226,000 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100 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Walmart (S)</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Marshalls / Ross Dress for Less / Ulta / Michaels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Bell Gardens</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(3)(4)</w:t>
            </w:r>
          </w:p>
        </w:tc>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Los Angeles-Long Beach-Anaheim, CA</w:t>
            </w:r>
          </w:p>
        </w:tc>
        <w:tc>
          <w:tcPr>
            <w:tcW w:w="109" w:type="dxa"/>
            <w:tcBorders/>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119,273 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371,000 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98 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108,000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Food 4 Less / TBA</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Marshalls / Ross Dress for Less / Bob's Discount Furniture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Colorado Blvd</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(4)</w:t>
            </w:r>
          </w:p>
        </w:tc>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Los Angeles-Long Beach-Anaheim, CA</w:t>
            </w:r>
          </w:p>
        </w:tc>
        <w:tc>
          <w:tcPr>
            <w:tcW w:w="109" w:type="dxa"/>
            <w:tcBorders/>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13,987 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42,000 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73 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Banana Republic / True Food Kitchen</w:t>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Crow Canyon Commons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San Francisco-Oakland-Hayward, CA</w:t>
            </w:r>
          </w:p>
        </w:tc>
        <w:tc>
          <w:tcPr>
            <w:tcW w:w="109" w:type="dxa"/>
            <w:tcBorders/>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92,845 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239,000 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84 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32,000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Sprouts</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Total Wine &amp; More / Alamo Ace Hardware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East Bay Bridge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San Francisco-Oakland-Hayward, CA</w:t>
            </w:r>
          </w:p>
        </w:tc>
        <w:tc>
          <w:tcPr>
            <w:tcW w:w="109" w:type="dxa"/>
            <w:tcBorders/>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180,086 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440,000 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100 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199,000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Pak-N-Save / Target</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Home Depot / Nordstrom Rack / Ulta / Michaels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Escondido Promenade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San Diego-Carlsbad, CA</w:t>
            </w:r>
          </w:p>
        </w:tc>
        <w:tc>
          <w:tcPr>
            <w:tcW w:w="109" w:type="dxa"/>
            <w:tcBorders/>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135,231 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298,000 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98 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Target (S)</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TJ Maxx / Dick’s Sporting Goods / Ross Dress for Less / Bob's Discount Furniture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Fourth Street</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(3)</w:t>
            </w:r>
          </w:p>
        </w:tc>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San Francisco-Oakland-Hayward, CA</w:t>
            </w:r>
          </w:p>
        </w:tc>
        <w:tc>
          <w:tcPr>
            <w:tcW w:w="109" w:type="dxa"/>
            <w:tcBorders/>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27,884 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70,000 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82 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CB2</w:t>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Freedom Plaza</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(3)(4)</w:t>
            </w:r>
          </w:p>
        </w:tc>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Los Angeles-Long Beach-Anaheim, CA</w:t>
            </w:r>
          </w:p>
        </w:tc>
        <w:tc>
          <w:tcPr>
            <w:tcW w:w="109" w:type="dxa"/>
            <w:tcBorders/>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44,197 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114,000 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96 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31,000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Smart &amp; Final</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Nike / Blink Fitness / Ross Dress for Less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Grossmont Center</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(3)</w:t>
            </w:r>
          </w:p>
        </w:tc>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San Diego-Carlsbad, CA</w:t>
            </w:r>
          </w:p>
        </w:tc>
        <w:tc>
          <w:tcPr>
            <w:tcW w:w="109" w:type="dxa"/>
            <w:tcBorders/>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176,997 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877,000 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97 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294,000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Target / Walmart</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52"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Barnes &amp; Noble / Macy's / CVS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Hastings Ranch Plaza</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(4)</w:t>
            </w:r>
          </w:p>
        </w:tc>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Los Angeles-Long Beach-Anaheim, CA</w:t>
            </w:r>
          </w:p>
        </w:tc>
        <w:tc>
          <w:tcPr>
            <w:tcW w:w="109" w:type="dxa"/>
            <w:tcBorders/>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25,779 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273,000 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100 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Marshalls / HomeGoods / CVS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Hollywood Blvd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Los Angeles-Long Beach-Anaheim, CA</w:t>
            </w:r>
          </w:p>
        </w:tc>
        <w:tc>
          <w:tcPr>
            <w:tcW w:w="109" w:type="dxa"/>
            <w:tcBorders/>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62,102 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181,000 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86 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39,000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Target</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Marshalls / L.A. Fitness / CVS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Kings Court</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(4)(5)</w:t>
            </w:r>
          </w:p>
        </w:tc>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 xml:space="preserve">San Jose-Sunnyvale-Santa Clara, CA </w:t>
            </w:r>
          </w:p>
        </w:tc>
        <w:tc>
          <w:tcPr>
            <w:tcW w:w="109" w:type="dxa"/>
            <w:tcBorders/>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11,615 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81,000 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98 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31,000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Lunardi's</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CVS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Old Town Center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 xml:space="preserve">San Jose-Sunnyvale-Santa Clara, CA </w:t>
            </w:r>
          </w:p>
        </w:tc>
        <w:tc>
          <w:tcPr>
            <w:tcW w:w="109" w:type="dxa"/>
            <w:tcBorders/>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43,759 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98,000 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85 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Anthropologie / Sephora / Arhaus Furniture / Teleferic Barcelona</w:t>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Olivo at Mission Hills</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(3)</w:t>
            </w:r>
          </w:p>
        </w:tc>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Los Angeles-Long Beach-Anaheim, CA</w:t>
            </w:r>
          </w:p>
        </w:tc>
        <w:tc>
          <w:tcPr>
            <w:tcW w:w="109" w:type="dxa"/>
            <w:tcBorders/>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82,910 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155,000 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100 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32,000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Target</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24 Hour Fitness / Ross Dress for Less / Ulta</w:t>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Plaza Del Sol</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(3)</w:t>
            </w:r>
          </w:p>
        </w:tc>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Los Angeles-Long Beach-Anaheim, CA</w:t>
            </w:r>
          </w:p>
        </w:tc>
        <w:tc>
          <w:tcPr>
            <w:tcW w:w="109" w:type="dxa"/>
            <w:tcBorders/>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17,949 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48,000 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96 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Superior Grocers (S)</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Marshalls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Plaza El Segundo / The Point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Los Angeles-Long Beach-Anaheim, CA</w:t>
            </w:r>
          </w:p>
        </w:tc>
        <w:tc>
          <w:tcPr>
            <w:tcW w:w="109" w:type="dxa"/>
            <w:tcBorders/>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311,719 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502,000 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98 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66,000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Whole Foods</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Nordstrom Rack / HomeGoods / Dick's Sporting Goods / Multiple Restaurants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San Antonio Center</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(4)(5)</w:t>
            </w:r>
          </w:p>
        </w:tc>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 xml:space="preserve">San Jose-Sunnyvale-Santa Clara, CA </w:t>
            </w:r>
          </w:p>
        </w:tc>
        <w:tc>
          <w:tcPr>
            <w:tcW w:w="109" w:type="dxa"/>
            <w:tcBorders/>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52,205 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213,000 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100 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141,000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Trader Joe's / Walmart</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24 Hour Fitness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Santana Row</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(4)</w:t>
            </w:r>
          </w:p>
        </w:tc>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 xml:space="preserve">San Jose-Sunnyvale-Santa Clara, CA </w:t>
            </w:r>
          </w:p>
        </w:tc>
        <w:tc>
          <w:tcPr>
            <w:tcW w:w="109" w:type="dxa"/>
            <w:tcBorders/>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1,325,896 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1,206,000 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99 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662</w:t>
            </w:r>
          </w:p>
        </w:tc>
        <w:tc>
          <w:tcPr>
            <w:tcW w:w="7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Crate &amp; Barrel / Container Store / H&amp;M / Best Buy / Multiple Restaurants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Sylmar Towne Center</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(3)</w:t>
            </w:r>
          </w:p>
        </w:tc>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Los Angeles-Long Beach-Anaheim, CA</w:t>
            </w:r>
          </w:p>
        </w:tc>
        <w:tc>
          <w:tcPr>
            <w:tcW w:w="109" w:type="dxa"/>
            <w:tcBorders/>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46,788 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148,000 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93 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43,000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Food 4 Less</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CVS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Third Street Promenade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Los Angeles-Long Beach-Anaheim, CA</w:t>
            </w:r>
          </w:p>
        </w:tc>
        <w:tc>
          <w:tcPr>
            <w:tcW w:w="109" w:type="dxa"/>
            <w:tcBorders/>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80,341 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185,000 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69 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adidas / John Reed Fitness / Multiple Restaurants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Westgate Center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 xml:space="preserve">San Jose-Sunnyvale-Santa Clara, CA </w:t>
            </w:r>
          </w:p>
        </w:tc>
        <w:tc>
          <w:tcPr>
            <w:tcW w:w="109" w:type="dxa"/>
            <w:tcBorders/>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157,922 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648,000 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86 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167,000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Target</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Nordstrom Rack / Nike Factory / TJ Maxx / Ross Dress for Less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4"/>
              </w:rPr>
            </w:pPr>
            <w:r>
              <w:rPr>
                <w:rFonts w:ascii="Times New Roman;sans-serif" w:hAnsi="Times New Roman;sans-serif"/>
                <w:b/>
                <w:color w:val="000000"/>
                <w:sz w:val="14"/>
              </w:rPr>
              <w:t>Total California</w:t>
            </w:r>
          </w:p>
        </w:tc>
        <w:tc>
          <w:tcPr>
            <w:tcW w:w="109" w:type="dxa"/>
            <w:tcBorders/>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3,119,038 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6,415,000 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95 </w:t>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19"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u w:val="single"/>
              </w:rPr>
            </w:pPr>
            <w:r>
              <w:rPr>
                <w:color w:val="000000"/>
                <w:u w:val="single"/>
              </w:rPr>
              <w:t>  </w:t>
            </w:r>
            <w:r>
              <w:rPr>
                <w:rFonts w:ascii="Times New Roman;sans-serif" w:hAnsi="Times New Roman;sans-serif"/>
                <w:b/>
                <w:color w:val="000000"/>
                <w:sz w:val="14"/>
                <w:u w:val="single"/>
              </w:rPr>
              <w:t>Washington Metropolitan Area</w:t>
            </w:r>
          </w:p>
        </w:tc>
        <w:tc>
          <w:tcPr>
            <w:tcW w:w="109" w:type="dxa"/>
            <w:tcBorders/>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Barcroft Plaza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Washington-Arlington-Alexandria, DC-VA-MD-WV</w:t>
            </w:r>
          </w:p>
        </w:tc>
        <w:tc>
          <w:tcPr>
            <w:tcW w:w="109" w:type="dxa"/>
            <w:tcBorders/>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51,659 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113,000 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100 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46,000 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Harris Teeter</w:t>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Bethesda Row</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(4)</w:t>
            </w:r>
          </w:p>
        </w:tc>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Washington-Arlington-Alexandria, DC-VA-MD-WV</w:t>
            </w:r>
          </w:p>
        </w:tc>
        <w:tc>
          <w:tcPr>
            <w:tcW w:w="109" w:type="dxa"/>
            <w:tcBorders/>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267,316 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530,000 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95 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180</w:t>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40,000 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Giant Food</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Apple / Equinox / Anthropologie / Nike Live / Multiple Restaurants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Birch &amp; Broad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Washington-Arlington-Alexandria, DC-VA-MD-WV</w:t>
            </w:r>
          </w:p>
        </w:tc>
        <w:tc>
          <w:tcPr>
            <w:tcW w:w="109" w:type="dxa"/>
            <w:tcBorders/>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26,095 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144,000 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100 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51,000 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Giant Food</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CVS / Staples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 xml:space="preserve">Chesterbrook </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(3)</w:t>
            </w:r>
          </w:p>
        </w:tc>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Washington-Arlington-Alexandria, DC-VA-MD-WV</w:t>
            </w:r>
          </w:p>
        </w:tc>
        <w:tc>
          <w:tcPr>
            <w:tcW w:w="109" w:type="dxa"/>
            <w:tcBorders/>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46,810 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89,000 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81 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35,000 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Safeway</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Starbucks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Congressional Plaza</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(3)</w:t>
            </w:r>
          </w:p>
        </w:tc>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Washington-Arlington-Alexandria, DC-VA-MD-WV</w:t>
            </w:r>
          </w:p>
        </w:tc>
        <w:tc>
          <w:tcPr>
            <w:tcW w:w="109" w:type="dxa"/>
            <w:tcBorders/>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110,057 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325,000 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89 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194</w:t>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25,000 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The Fresh Market</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Ulta / Barnes &amp; Noble / Container Store / Buy Buy Baby</w:t>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Courthouse Center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Washington-Arlington-Alexandria, DC-VA-MD-WV</w:t>
            </w:r>
          </w:p>
        </w:tc>
        <w:tc>
          <w:tcPr>
            <w:tcW w:w="109" w:type="dxa"/>
            <w:tcBorders/>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7,499 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33,000 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84 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Fairfax Junction</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(5)</w:t>
            </w:r>
          </w:p>
        </w:tc>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Washington-Arlington-Alexandria, DC-VA-MD-WV</w:t>
            </w:r>
          </w:p>
        </w:tc>
        <w:tc>
          <w:tcPr>
            <w:tcW w:w="109" w:type="dxa"/>
            <w:tcBorders/>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46,439 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124,000 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94 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23,000 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Aldi</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CVS / Planet Fitness</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tbl>
      <w:tblPr>
        <w:tblW w:w="11812" w:type="dxa"/>
        <w:jc w:val="center"/>
        <w:tblInd w:w="0" w:type="dxa"/>
        <w:tblLayout w:type="fixed"/>
        <w:tblCellMar>
          <w:top w:w="28" w:type="dxa"/>
          <w:left w:w="28" w:type="dxa"/>
          <w:bottom w:w="28" w:type="dxa"/>
          <w:right w:w="28" w:type="dxa"/>
        </w:tblCellMar>
      </w:tblPr>
      <w:tblGrid>
        <w:gridCol w:w="418"/>
        <w:gridCol w:w="246"/>
        <w:gridCol w:w="207"/>
        <w:gridCol w:w="109"/>
        <w:gridCol w:w="109"/>
        <w:gridCol w:w="109"/>
        <w:gridCol w:w="709"/>
        <w:gridCol w:w="709"/>
        <w:gridCol w:w="713"/>
        <w:gridCol w:w="109"/>
        <w:gridCol w:w="409"/>
        <w:gridCol w:w="312"/>
        <w:gridCol w:w="161"/>
        <w:gridCol w:w="109"/>
        <w:gridCol w:w="180"/>
        <w:gridCol w:w="181"/>
        <w:gridCol w:w="109"/>
        <w:gridCol w:w="109"/>
        <w:gridCol w:w="109"/>
        <w:gridCol w:w="109"/>
        <w:gridCol w:w="360"/>
        <w:gridCol w:w="361"/>
        <w:gridCol w:w="131"/>
        <w:gridCol w:w="109"/>
        <w:gridCol w:w="109"/>
        <w:gridCol w:w="109"/>
        <w:gridCol w:w="186"/>
        <w:gridCol w:w="175"/>
        <w:gridCol w:w="341"/>
        <w:gridCol w:w="109"/>
        <w:gridCol w:w="109"/>
        <w:gridCol w:w="109"/>
        <w:gridCol w:w="109"/>
        <w:gridCol w:w="109"/>
        <w:gridCol w:w="109"/>
        <w:gridCol w:w="260"/>
        <w:gridCol w:w="260"/>
        <w:gridCol w:w="261"/>
        <w:gridCol w:w="396"/>
        <w:gridCol w:w="220"/>
        <w:gridCol w:w="221"/>
        <w:gridCol w:w="109"/>
        <w:gridCol w:w="109"/>
        <w:gridCol w:w="109"/>
        <w:gridCol w:w="335"/>
        <w:gridCol w:w="200"/>
        <w:gridCol w:w="201"/>
        <w:gridCol w:w="825"/>
        <w:gridCol w:w="195"/>
        <w:gridCol w:w="196"/>
        <w:gridCol w:w="154"/>
      </w:tblGrid>
      <w:tr>
        <w:trPr/>
        <w:tc>
          <w:tcPr>
            <w:tcW w:w="418"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761" w:type="dxa"/>
            <w:gridSpan w:val="35"/>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Federal Realty Investment Trust</w:t>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0" w:type="dxa"/>
            <w:gridSpan w:val="13"/>
            <w:tcBorders/>
          </w:tcPr>
          <w:p>
            <w:pPr>
              <w:pStyle w:val="TableContents"/>
              <w:bidi w:val="0"/>
              <w:spacing w:before="0" w:after="283"/>
              <w:jc w:val="left"/>
              <w:rPr>
                <w:sz w:val="4"/>
                <w:szCs w:val="4"/>
              </w:rPr>
            </w:pPr>
            <w:r>
              <w:rPr>
                <w:sz w:val="4"/>
                <w:szCs w:val="4"/>
              </w:rPr>
            </w:r>
          </w:p>
        </w:tc>
      </w:tr>
      <w:tr>
        <w:trPr/>
        <w:tc>
          <w:tcPr>
            <w:tcW w:w="7761" w:type="dxa"/>
            <w:gridSpan w:val="35"/>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Real Estate Status Report</w:t>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0" w:type="dxa"/>
            <w:gridSpan w:val="13"/>
            <w:tcBorders/>
          </w:tcPr>
          <w:p>
            <w:pPr>
              <w:pStyle w:val="TableContents"/>
              <w:bidi w:val="0"/>
              <w:spacing w:before="0" w:after="283"/>
              <w:jc w:val="left"/>
              <w:rPr>
                <w:sz w:val="4"/>
                <w:szCs w:val="4"/>
              </w:rPr>
            </w:pPr>
            <w:r>
              <w:rPr>
                <w:sz w:val="4"/>
                <w:szCs w:val="4"/>
              </w:rPr>
            </w:r>
          </w:p>
        </w:tc>
      </w:tr>
      <w:tr>
        <w:trPr/>
        <w:tc>
          <w:tcPr>
            <w:tcW w:w="7761" w:type="dxa"/>
            <w:gridSpan w:val="35"/>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March 31, 2024</w:t>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0" w:type="dxa"/>
            <w:gridSpan w:val="13"/>
            <w:tcBorders/>
          </w:tcPr>
          <w:p>
            <w:pPr>
              <w:pStyle w:val="TableContents"/>
              <w:bidi w:val="0"/>
              <w:spacing w:before="0" w:after="283"/>
              <w:jc w:val="left"/>
              <w:rPr>
                <w:sz w:val="4"/>
                <w:szCs w:val="4"/>
              </w:rPr>
            </w:pPr>
            <w:r>
              <w:rPr>
                <w:sz w:val="4"/>
                <w:szCs w:val="4"/>
              </w:rPr>
            </w:r>
          </w:p>
        </w:tc>
      </w:tr>
      <w:tr>
        <w:trPr/>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Property 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MSA Description</w:t>
            </w:r>
          </w:p>
        </w:tc>
        <w:tc>
          <w:tcPr>
            <w:tcW w:w="109" w:type="dxa"/>
            <w:tcBorders/>
            <w:vAlign w:val="center"/>
          </w:tcPr>
          <w:p>
            <w:pPr>
              <w:pStyle w:val="TableContents"/>
              <w:bidi w:val="0"/>
              <w:spacing w:before="0" w:after="283"/>
              <w:jc w:val="left"/>
              <w:rPr>
                <w:sz w:val="4"/>
                <w:szCs w:val="4"/>
              </w:rPr>
            </w:pPr>
            <w:r>
              <w:rPr>
                <w:sz w:val="4"/>
                <w:szCs w:val="4"/>
              </w:rPr>
            </w:r>
          </w:p>
        </w:tc>
        <w:tc>
          <w:tcPr>
            <w:tcW w:w="8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Real Estate at Cost</w:t>
            </w:r>
          </w:p>
        </w:tc>
        <w:tc>
          <w:tcPr>
            <w:tcW w:w="109" w:type="dxa"/>
            <w:tcBorders/>
            <w:vAlign w:val="center"/>
          </w:tcPr>
          <w:p>
            <w:pPr>
              <w:pStyle w:val="TableContents"/>
              <w:bidi w:val="0"/>
              <w:spacing w:before="0" w:after="283"/>
              <w:jc w:val="left"/>
              <w:rPr>
                <w:sz w:val="4"/>
                <w:szCs w:val="4"/>
              </w:rPr>
            </w:pPr>
            <w:r>
              <w:rPr>
                <w:sz w:val="4"/>
                <w:szCs w:val="4"/>
              </w:rPr>
            </w:r>
          </w:p>
        </w:tc>
        <w:tc>
          <w:tcPr>
            <w:tcW w:w="79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Acreage</w:t>
            </w:r>
          </w:p>
        </w:tc>
        <w:tc>
          <w:tcPr>
            <w:tcW w:w="8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GLA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 Leased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Residential Units</w:t>
            </w:r>
          </w:p>
        </w:tc>
        <w:tc>
          <w:tcPr>
            <w:tcW w:w="83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14"/>
              </w:rPr>
              <w:t>Grocery Anchor GLA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Grocery Anchor (2)</w:t>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Other Retail Tenants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2"/>
              </w:rPr>
            </w:pPr>
            <w:r>
              <w:rPr>
                <w:rFonts w:ascii="Times New Roman;sans-serif" w:hAnsi="Times New Roman;sans-serif"/>
                <w:b w:val="false"/>
                <w:color w:val="000000"/>
                <w:sz w:val="12"/>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4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Federal Plaza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Washington-Arlington-Alexandria, DC-VA-MD-WV</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73,630 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249,000 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93 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14,000 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Trader Joe's</w:t>
            </w:r>
          </w:p>
        </w:tc>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TJ Maxx / Micro Center / Ross Dress for Less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Friendship Center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Washington-Arlington-Alexandria, DC-VA-MD-WV</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37,310 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54,000 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100 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Marshalls / Maggiano's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Gaithersburg Square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Washington-Arlington-Alexandria, DC-VA-MD-WV</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39,696 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204,000 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99 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Marshalls / Ross Dress for Less / Ashley Furniture HomeStore / CVS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Graham Park Plaza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Washington-Arlington-Alexandria, DC-VA-MD-WV</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27,817 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133,000 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90 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58,000 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Giant Food</w:t>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Idylwood Plaza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Washington-Arlington-Alexandria, DC-VA-MD-WV</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18,086 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73,000 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99 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30,000 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Whole Foods</w:t>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Kingstowne Towne Center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Washington-Arlington-Alexandria, DC-VA-MD-WV</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211,371 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410,000 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100 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135,000 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Giant Food / Safeway</w:t>
            </w:r>
          </w:p>
        </w:tc>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TJ Maxx / HomeGoods / Five Below / Ross Dress for Less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Laurel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Washington-Arlington-Alexandria, DC-VA-MD-WV</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62,072 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367,000 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96 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61,000 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Giant Food</w:t>
            </w:r>
          </w:p>
        </w:tc>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Marshalls / L.A. Fitness / HomeGoods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Montrose Crossing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Washington-Arlington-Alexandria, DC-VA-MD-WV</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172,500 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369,000 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99 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73,000 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Giant Food / Target (S)</w:t>
            </w:r>
          </w:p>
        </w:tc>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Marshalls / Home Depot Design Center / Old Navy / Burlington</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Mount Vernon/South Valley/7770 Richmond Hwy</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(5)</w:t>
            </w:r>
          </w:p>
        </w:tc>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Washington-Arlington-Alexandria, DC-VA-MD-WV</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96,452 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565,000 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98 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62,000 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Shoppers Food Warehouse</w:t>
            </w:r>
          </w:p>
        </w:tc>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TJ Maxx / Home Depot / Old Navy / Petsmart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Old Keene Mill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Washington-Arlington-Alexandria, DC-VA-MD-WV</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16,481 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90,000 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97 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14,000 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TBA</w:t>
            </w:r>
          </w:p>
        </w:tc>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Walgreens / Planet Fitness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Pan Am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Washington-Arlington-Alexandria, DC-VA-MD-WV</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32,596 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228,000 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91 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65,000 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Safeway</w:t>
            </w:r>
          </w:p>
        </w:tc>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Micro Center / CVS / Michaels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Pike &amp; Rose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Washington-Arlington-Alexandria, DC-VA-MD-WV</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871,066 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851,000 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100 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765</w:t>
            </w:r>
          </w:p>
        </w:tc>
        <w:tc>
          <w:tcPr>
            <w:tcW w:w="8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Porsche / Uniqlo / REI / H&amp;M / L.L Bean / Multiple Restaurants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Pike 7 Plaza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Washington-Arlington-Alexandria, DC-VA-MD-WV</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56,469 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175,000 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97 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24,000 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Lidl</w:t>
            </w:r>
          </w:p>
        </w:tc>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TJ Maxx / DSW / Ulta</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Plaza del Mercado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Washington-Arlington-Alexandria, DC-VA-MD-WV</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46,766 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116,000 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94 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18,000 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Aldi</w:t>
            </w:r>
          </w:p>
        </w:tc>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CVS / L.A. Fitness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Quince Orchard</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(4)</w:t>
            </w:r>
          </w:p>
        </w:tc>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Washington-Arlington-Alexandria, DC-VA-MD-WV</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41,184 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271,000 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87 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19,000 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Aldi</w:t>
            </w:r>
          </w:p>
        </w:tc>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HomeGoods / L.A. Fitness / Staples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Tower Shopping Center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Washington-Arlington-Alexandria, DC-VA-MD-WV</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26,450 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112,000 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100 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26,000 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L.A. Mart</w:t>
            </w:r>
          </w:p>
        </w:tc>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Total Wine &amp; More / Talbots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Twinbrooke Shopping Centre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Washington-Arlington-Alexandria, DC-VA-MD-WV</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36,630 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101,000 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93 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35,000 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Safeway</w:t>
            </w:r>
          </w:p>
        </w:tc>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Walgreens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Tyson's Station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Washington-Arlington-Alexandria, DC-VA-MD-WV</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7,219 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48,000 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92 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15,000 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Trader Joe's</w:t>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Village at Shirlington</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(4)</w:t>
            </w:r>
          </w:p>
        </w:tc>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Washington-Arlington-Alexandria, DC-VA-MD-WV</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73,856 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275,000 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87 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28,000 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Harris Teeter</w:t>
            </w:r>
          </w:p>
        </w:tc>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CVS / AMC / Multiple Restaurants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Westpost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Washington-Arlington-Alexandria, DC-VA-MD-WV</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114,476 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298,000 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100 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79,000 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Harris Teeter / Target</w:t>
            </w:r>
          </w:p>
        </w:tc>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TJ Maxx / Ulta / Walgreens / DSW</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Wildwood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Washington-Arlington-Alexandria, DC-VA-MD-WV</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28,542 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88,000 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100 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20,000 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Balducci's</w:t>
            </w:r>
          </w:p>
        </w:tc>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CVS / Multiple Restaurants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32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4"/>
              </w:rPr>
            </w:pPr>
            <w:r>
              <w:rPr>
                <w:rFonts w:ascii="Times New Roman;sans-serif" w:hAnsi="Times New Roman;sans-serif"/>
                <w:b/>
                <w:color w:val="000000"/>
                <w:sz w:val="14"/>
              </w:rPr>
              <w:t>Total Washington Metropolitan Area</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2,646,544 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6,435,000 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96 </w:t>
            </w:r>
          </w:p>
        </w:tc>
        <w:tc>
          <w:tcPr>
            <w:tcW w:w="3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2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u w:val="single"/>
              </w:rPr>
            </w:pPr>
            <w:r>
              <w:rPr>
                <w:color w:val="000000"/>
                <w:u w:val="single"/>
              </w:rPr>
              <w:t>  </w:t>
            </w:r>
            <w:r>
              <w:rPr>
                <w:rFonts w:ascii="Times New Roman;sans-serif" w:hAnsi="Times New Roman;sans-serif"/>
                <w:b/>
                <w:color w:val="000000"/>
                <w:sz w:val="14"/>
                <w:u w:val="single"/>
              </w:rPr>
              <w:t>NY Metro/New Jersey</w:t>
            </w:r>
          </w:p>
        </w:tc>
        <w:tc>
          <w:tcPr>
            <w:tcW w:w="109" w:type="dxa"/>
            <w:tcBorders/>
            <w:vAlign w:val="center"/>
          </w:tcPr>
          <w:p>
            <w:pPr>
              <w:pStyle w:val="TableContents"/>
              <w:bidi w:val="0"/>
              <w:spacing w:before="0" w:after="283"/>
              <w:jc w:val="left"/>
              <w:rPr>
                <w:sz w:val="4"/>
                <w:szCs w:val="4"/>
              </w:rPr>
            </w:pPr>
            <w:r>
              <w:rPr>
                <w:sz w:val="4"/>
                <w:szCs w:val="4"/>
              </w:rPr>
            </w:r>
          </w:p>
        </w:tc>
        <w:tc>
          <w:tcPr>
            <w:tcW w:w="8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Brick Plaza</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(4)</w:t>
            </w:r>
          </w:p>
        </w:tc>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New York-Newark-Jersey City, NY-NJ-PA</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107,396 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408,000 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93 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14,000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Trader Joe's</w:t>
            </w:r>
          </w:p>
        </w:tc>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AMC / HomeGoods / Ulta / Burlington</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Brook 35</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(3) (5)</w:t>
            </w:r>
          </w:p>
        </w:tc>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New York-Newark-Jersey City, NY-NJ-PA</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51,913 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98,000 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94 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Banana Republic / Gap / Williams-Sonoma</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Darien Commons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Bridgeport-Stamford-Norwalk, CT</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150,421 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100,000 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92 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124</w:t>
            </w:r>
          </w:p>
        </w:tc>
        <w:tc>
          <w:tcPr>
            <w:tcW w:w="8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Equinox / Walgreens / Multiple Restaurants</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tbl>
      <w:tblPr>
        <w:tblW w:w="11715" w:type="dxa"/>
        <w:jc w:val="center"/>
        <w:tblInd w:w="0" w:type="dxa"/>
        <w:tblLayout w:type="fixed"/>
        <w:tblCellMar>
          <w:top w:w="28" w:type="dxa"/>
          <w:left w:w="28" w:type="dxa"/>
          <w:bottom w:w="28" w:type="dxa"/>
          <w:right w:w="28" w:type="dxa"/>
        </w:tblCellMar>
      </w:tblPr>
      <w:tblGrid>
        <w:gridCol w:w="364"/>
        <w:gridCol w:w="300"/>
        <w:gridCol w:w="207"/>
        <w:gridCol w:w="110"/>
        <w:gridCol w:w="110"/>
        <w:gridCol w:w="111"/>
        <w:gridCol w:w="817"/>
        <w:gridCol w:w="817"/>
        <w:gridCol w:w="497"/>
        <w:gridCol w:w="109"/>
        <w:gridCol w:w="409"/>
        <w:gridCol w:w="312"/>
        <w:gridCol w:w="161"/>
        <w:gridCol w:w="109"/>
        <w:gridCol w:w="180"/>
        <w:gridCol w:w="181"/>
        <w:gridCol w:w="109"/>
        <w:gridCol w:w="109"/>
        <w:gridCol w:w="109"/>
        <w:gridCol w:w="109"/>
        <w:gridCol w:w="360"/>
        <w:gridCol w:w="361"/>
        <w:gridCol w:w="131"/>
        <w:gridCol w:w="109"/>
        <w:gridCol w:w="109"/>
        <w:gridCol w:w="109"/>
        <w:gridCol w:w="186"/>
        <w:gridCol w:w="175"/>
        <w:gridCol w:w="341"/>
        <w:gridCol w:w="109"/>
        <w:gridCol w:w="109"/>
        <w:gridCol w:w="109"/>
        <w:gridCol w:w="109"/>
        <w:gridCol w:w="109"/>
        <w:gridCol w:w="109"/>
        <w:gridCol w:w="260"/>
        <w:gridCol w:w="260"/>
        <w:gridCol w:w="261"/>
        <w:gridCol w:w="220"/>
        <w:gridCol w:w="220"/>
        <w:gridCol w:w="221"/>
        <w:gridCol w:w="109"/>
        <w:gridCol w:w="109"/>
        <w:gridCol w:w="109"/>
        <w:gridCol w:w="410"/>
        <w:gridCol w:w="200"/>
        <w:gridCol w:w="201"/>
        <w:gridCol w:w="825"/>
        <w:gridCol w:w="195"/>
        <w:gridCol w:w="196"/>
        <w:gridCol w:w="154"/>
      </w:tblGrid>
      <w:tr>
        <w:trPr/>
        <w:tc>
          <w:tcPr>
            <w:tcW w:w="364"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765" w:type="dxa"/>
            <w:gridSpan w:val="35"/>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Federal Realty Investment Trust</w:t>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169" w:type="dxa"/>
            <w:gridSpan w:val="13"/>
            <w:tcBorders/>
          </w:tcPr>
          <w:p>
            <w:pPr>
              <w:pStyle w:val="TableContents"/>
              <w:bidi w:val="0"/>
              <w:spacing w:before="0" w:after="283"/>
              <w:jc w:val="left"/>
              <w:rPr>
                <w:sz w:val="4"/>
                <w:szCs w:val="4"/>
              </w:rPr>
            </w:pPr>
            <w:r>
              <w:rPr>
                <w:sz w:val="4"/>
                <w:szCs w:val="4"/>
              </w:rPr>
            </w:r>
          </w:p>
        </w:tc>
      </w:tr>
      <w:tr>
        <w:trPr/>
        <w:tc>
          <w:tcPr>
            <w:tcW w:w="7765" w:type="dxa"/>
            <w:gridSpan w:val="35"/>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Real Estate Status Report</w:t>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169" w:type="dxa"/>
            <w:gridSpan w:val="13"/>
            <w:tcBorders/>
          </w:tcPr>
          <w:p>
            <w:pPr>
              <w:pStyle w:val="TableContents"/>
              <w:bidi w:val="0"/>
              <w:spacing w:before="0" w:after="283"/>
              <w:jc w:val="left"/>
              <w:rPr>
                <w:sz w:val="4"/>
                <w:szCs w:val="4"/>
              </w:rPr>
            </w:pPr>
            <w:r>
              <w:rPr>
                <w:sz w:val="4"/>
                <w:szCs w:val="4"/>
              </w:rPr>
            </w:r>
          </w:p>
        </w:tc>
      </w:tr>
      <w:tr>
        <w:trPr/>
        <w:tc>
          <w:tcPr>
            <w:tcW w:w="7765" w:type="dxa"/>
            <w:gridSpan w:val="35"/>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March 31, 2024</w:t>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169" w:type="dxa"/>
            <w:gridSpan w:val="13"/>
            <w:tcBorders/>
          </w:tcPr>
          <w:p>
            <w:pPr>
              <w:pStyle w:val="TableContents"/>
              <w:bidi w:val="0"/>
              <w:spacing w:before="0" w:after="283"/>
              <w:jc w:val="left"/>
              <w:rPr>
                <w:sz w:val="4"/>
                <w:szCs w:val="4"/>
              </w:rPr>
            </w:pPr>
            <w:r>
              <w:rPr>
                <w:sz w:val="4"/>
                <w:szCs w:val="4"/>
              </w:rPr>
            </w:r>
          </w:p>
        </w:tc>
      </w:tr>
      <w:tr>
        <w:trPr/>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Property Name</w:t>
            </w:r>
          </w:p>
        </w:tc>
        <w:tc>
          <w:tcPr>
            <w:tcW w:w="3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MSA Description</w:t>
            </w:r>
          </w:p>
        </w:tc>
        <w:tc>
          <w:tcPr>
            <w:tcW w:w="109" w:type="dxa"/>
            <w:tcBorders/>
            <w:vAlign w:val="center"/>
          </w:tcPr>
          <w:p>
            <w:pPr>
              <w:pStyle w:val="TableContents"/>
              <w:bidi w:val="0"/>
              <w:spacing w:before="0" w:after="283"/>
              <w:jc w:val="left"/>
              <w:rPr>
                <w:sz w:val="4"/>
                <w:szCs w:val="4"/>
              </w:rPr>
            </w:pPr>
            <w:r>
              <w:rPr>
                <w:sz w:val="4"/>
                <w:szCs w:val="4"/>
              </w:rPr>
            </w:r>
          </w:p>
        </w:tc>
        <w:tc>
          <w:tcPr>
            <w:tcW w:w="8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Real Estate at Cost</w:t>
            </w:r>
          </w:p>
        </w:tc>
        <w:tc>
          <w:tcPr>
            <w:tcW w:w="109" w:type="dxa"/>
            <w:tcBorders/>
            <w:vAlign w:val="center"/>
          </w:tcPr>
          <w:p>
            <w:pPr>
              <w:pStyle w:val="TableContents"/>
              <w:bidi w:val="0"/>
              <w:spacing w:before="0" w:after="283"/>
              <w:jc w:val="left"/>
              <w:rPr>
                <w:sz w:val="4"/>
                <w:szCs w:val="4"/>
              </w:rPr>
            </w:pPr>
            <w:r>
              <w:rPr>
                <w:sz w:val="4"/>
                <w:szCs w:val="4"/>
              </w:rPr>
            </w:r>
          </w:p>
        </w:tc>
        <w:tc>
          <w:tcPr>
            <w:tcW w:w="79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Acreage</w:t>
            </w:r>
          </w:p>
        </w:tc>
        <w:tc>
          <w:tcPr>
            <w:tcW w:w="8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GLA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 Leased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Residential Units</w:t>
            </w:r>
          </w:p>
        </w:tc>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14"/>
              </w:rPr>
              <w:t>Grocery Anchor GLA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Grocery Anchor (2)</w:t>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Other Retail Tenants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2"/>
              </w:rPr>
            </w:pPr>
            <w:r>
              <w:rPr>
                <w:rFonts w:ascii="Times New Roman;sans-serif" w:hAnsi="Times New Roman;sans-serif"/>
                <w:b w:val="false"/>
                <w:color w:val="000000"/>
                <w:sz w:val="12"/>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4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Fresh Meadows</w:t>
            </w:r>
          </w:p>
        </w:tc>
        <w:tc>
          <w:tcPr>
            <w:tcW w:w="3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New York-Newark-Jersey City, NY-NJ-PA</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96,676 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408,000 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98 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32,000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Island of Gold / TBA</w:t>
            </w:r>
          </w:p>
        </w:tc>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AMC / Kohl's / Planet Fitness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Georgetowne Shopping Center</w:t>
            </w:r>
          </w:p>
        </w:tc>
        <w:tc>
          <w:tcPr>
            <w:tcW w:w="3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New York-Newark-Jersey City, NY-NJ-PA</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86,585 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147,000 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91 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43,000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Foodway</w:t>
            </w:r>
          </w:p>
        </w:tc>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Five Below / IHOP</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Greenlawn Plaza</w:t>
            </w:r>
          </w:p>
        </w:tc>
        <w:tc>
          <w:tcPr>
            <w:tcW w:w="3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New York-Newark-Jersey City, NY-NJ-PA</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33,866 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103,000 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81 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46,000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Greenlawn Farms</w:t>
            </w:r>
          </w:p>
        </w:tc>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Planet Fitness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Greenwich Avenue</w:t>
            </w:r>
          </w:p>
        </w:tc>
        <w:tc>
          <w:tcPr>
            <w:tcW w:w="3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Bridgeport-Stamford-Norwalk, CT</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23,748 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35,000 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100 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Saks Fifth Avenue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Hauppauge</w:t>
            </w:r>
          </w:p>
        </w:tc>
        <w:tc>
          <w:tcPr>
            <w:tcW w:w="3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New York-Newark-Jersey City, NY-NJ-PA</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39,530 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134,000 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95 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61,000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Shop Rite</w:t>
            </w:r>
          </w:p>
        </w:tc>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TJ Maxx / Five Below</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Hoboken</w:t>
            </w:r>
          </w:p>
        </w:tc>
        <w:tc>
          <w:tcPr>
            <w:tcW w:w="3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val="false"/>
                <w:color w:val="000000"/>
                <w:sz w:val="14"/>
              </w:rPr>
              <w:t xml:space="preserve">(3) (6) </w:t>
            </w:r>
          </w:p>
        </w:tc>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New York-Newark-Jersey City, NY-NJ-PA</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228,573 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171,000 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98 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129</w:t>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Nike Live / CVS / New York Sports Club / Sephora / Multiple Restaurants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Huntington</w:t>
            </w:r>
          </w:p>
        </w:tc>
        <w:tc>
          <w:tcPr>
            <w:tcW w:w="3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New York-Newark-Jersey City, NY-NJ-PA</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109,082 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200,000 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96 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43,000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TBA</w:t>
            </w:r>
          </w:p>
        </w:tc>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Petsmart / Michaels / REI / Ulta / Container Store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Huntington Square</w:t>
            </w:r>
          </w:p>
        </w:tc>
        <w:tc>
          <w:tcPr>
            <w:tcW w:w="3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New York-Newark-Jersey City, NY-NJ-PA</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51,092 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244,000 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94 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20,000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TBA / Stop &amp; Shop (S)</w:t>
            </w:r>
          </w:p>
        </w:tc>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At Home / AMC</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Melville Mall</w:t>
            </w:r>
          </w:p>
        </w:tc>
        <w:tc>
          <w:tcPr>
            <w:tcW w:w="3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(4)</w:t>
            </w:r>
          </w:p>
        </w:tc>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New York-Newark-Jersey City, NY-NJ-PA</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105,144 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253,000 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100 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53,000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Uncle Giuseppe's Marketplace</w:t>
            </w:r>
          </w:p>
        </w:tc>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Marshalls / Dick's Sporting Goods / Macy's Backstage / Public Lands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Mercer on One</w:t>
            </w:r>
          </w:p>
        </w:tc>
        <w:tc>
          <w:tcPr>
            <w:tcW w:w="3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(4)</w:t>
            </w:r>
          </w:p>
        </w:tc>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Trenton, NJ</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117,216 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551,000 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98 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75,000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Shop Rite</w:t>
            </w:r>
          </w:p>
        </w:tc>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Nike / Ross Dress for Less / Nordstrom Rack / REI / Tesla</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The Grove at Shrewsbury</w:t>
            </w:r>
          </w:p>
        </w:tc>
        <w:tc>
          <w:tcPr>
            <w:tcW w:w="3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(3) (5)</w:t>
            </w:r>
          </w:p>
        </w:tc>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New York-Newark-Jersey City, NY-NJ-PA</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132,643 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191,000 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99 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Lululemon / Anthropologie / Pottery Barn / Williams-Sonoma</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Troy Hills</w:t>
            </w:r>
          </w:p>
        </w:tc>
        <w:tc>
          <w:tcPr>
            <w:tcW w:w="3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New York-Newark-Jersey City, NY-NJ-PA</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39,781 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211,000 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69 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65,000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Target</w:t>
            </w:r>
          </w:p>
        </w:tc>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Michaels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4"/>
              </w:rPr>
            </w:pPr>
            <w:r>
              <w:rPr>
                <w:rFonts w:ascii="Times New Roman;sans-serif" w:hAnsi="Times New Roman;sans-serif"/>
                <w:b/>
                <w:color w:val="000000"/>
                <w:sz w:val="14"/>
              </w:rPr>
              <w:t>Total NY Metro/New Jersey</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1,373,666 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3,254,000 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94 </w:t>
            </w:r>
          </w:p>
        </w:tc>
        <w:tc>
          <w:tcPr>
            <w:tcW w:w="3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u w:val="single"/>
              </w:rPr>
            </w:pPr>
            <w:r>
              <w:rPr>
                <w:rFonts w:ascii="Times New Roman;sans-serif" w:hAnsi="Times New Roman;sans-serif"/>
                <w:b/>
                <w:color w:val="000000"/>
                <w:sz w:val="14"/>
                <w:u w:val="single"/>
              </w:rPr>
              <w:t>New England</w:t>
            </w:r>
          </w:p>
        </w:tc>
        <w:tc>
          <w:tcPr>
            <w:tcW w:w="3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Assembly Row / Assembly Square Marketplace</w:t>
            </w:r>
          </w:p>
        </w:tc>
        <w:tc>
          <w:tcPr>
            <w:tcW w:w="3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Boston-Cambridge-Newton, MA-NH</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1,130,498 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1,212,000 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95 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947</w:t>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18,000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Trader Joe's</w:t>
            </w:r>
          </w:p>
        </w:tc>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TJ Maxx / AMC / Nike / Multiple Restaurants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Campus Plaza</w:t>
            </w:r>
          </w:p>
        </w:tc>
        <w:tc>
          <w:tcPr>
            <w:tcW w:w="3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Boston-Cambridge-Newton, MA-NH</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31,970 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114,000 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94 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46,000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Roche Bros.</w:t>
            </w:r>
          </w:p>
        </w:tc>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Burlington / Five Below</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Chelsea Commons</w:t>
            </w:r>
          </w:p>
        </w:tc>
        <w:tc>
          <w:tcPr>
            <w:tcW w:w="3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Boston-Cambridge-Newton, MA-NH</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38,276 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230,000 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100 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Home Depot / Planet Fitness / CVS / Burlington</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Dedham Plaza</w:t>
            </w:r>
          </w:p>
        </w:tc>
        <w:tc>
          <w:tcPr>
            <w:tcW w:w="3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Boston-Cambridge-Newton, MA-NH</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52,343 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254,000 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92 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80,000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Star Market</w:t>
            </w:r>
          </w:p>
        </w:tc>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Planet Fitness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Linden Square</w:t>
            </w:r>
          </w:p>
        </w:tc>
        <w:tc>
          <w:tcPr>
            <w:tcW w:w="3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Boston-Cambridge-Newton, MA-NH</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158,195 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224,000 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97 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7</w:t>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50,000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Roche Bros.</w:t>
            </w:r>
          </w:p>
        </w:tc>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CVS / Multiple Restaurants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North Dartmouth</w:t>
            </w:r>
          </w:p>
        </w:tc>
        <w:tc>
          <w:tcPr>
            <w:tcW w:w="3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Providence-Warwick, RI-MA</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9,369 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48,000 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100 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48,000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Stop &amp; Shop</w:t>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Queen Anne Plaza</w:t>
            </w:r>
          </w:p>
        </w:tc>
        <w:tc>
          <w:tcPr>
            <w:tcW w:w="3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Boston-Cambridge-Newton, MA-NH</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19,670 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149,000 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99 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50,000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Big Y Foods</w:t>
            </w:r>
          </w:p>
        </w:tc>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TJ Maxx / HomeGoods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4"/>
              </w:rPr>
            </w:pPr>
            <w:r>
              <w:rPr>
                <w:rFonts w:ascii="Times New Roman;sans-serif" w:hAnsi="Times New Roman;sans-serif"/>
                <w:b/>
                <w:color w:val="000000"/>
                <w:sz w:val="14"/>
              </w:rPr>
              <w:t>Total New England</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1,440,321 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2,231,000 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96 </w:t>
            </w:r>
          </w:p>
        </w:tc>
        <w:tc>
          <w:tcPr>
            <w:tcW w:w="3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33"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u w:val="single"/>
              </w:rPr>
            </w:pPr>
            <w:r>
              <w:rPr>
                <w:color w:val="000000"/>
                <w:u w:val="single"/>
              </w:rPr>
              <w:t>  </w:t>
            </w:r>
            <w:r>
              <w:rPr>
                <w:rFonts w:ascii="Times New Roman;sans-serif" w:hAnsi="Times New Roman;sans-serif"/>
                <w:b/>
                <w:color w:val="000000"/>
                <w:sz w:val="14"/>
                <w:u w:val="single"/>
              </w:rPr>
              <w:t>Philadelphia Metropolitan Area</w:t>
            </w:r>
          </w:p>
        </w:tc>
        <w:tc>
          <w:tcPr>
            <w:tcW w:w="109" w:type="dxa"/>
            <w:tcBorders/>
            <w:vAlign w:val="center"/>
          </w:tcPr>
          <w:p>
            <w:pPr>
              <w:pStyle w:val="TableContents"/>
              <w:bidi w:val="0"/>
              <w:spacing w:before="0" w:after="283"/>
              <w:jc w:val="left"/>
              <w:rPr>
                <w:sz w:val="4"/>
                <w:szCs w:val="4"/>
              </w:rPr>
            </w:pPr>
            <w:r>
              <w:rPr>
                <w:sz w:val="4"/>
                <w:szCs w:val="4"/>
              </w:rPr>
            </w:r>
          </w:p>
        </w:tc>
        <w:tc>
          <w:tcPr>
            <w:tcW w:w="8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Andorra</w:t>
            </w:r>
          </w:p>
        </w:tc>
        <w:tc>
          <w:tcPr>
            <w:tcW w:w="3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Philadelphia-Camden-Wilmington, PA-NJ-DE-MD</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34,306 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270,000 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91 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24,000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Acme Markets</w:t>
            </w:r>
          </w:p>
        </w:tc>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TJ Maxx / Kohl's / L.A. Fitness / Five Below</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Bala Cynwyd</w:t>
            </w:r>
          </w:p>
        </w:tc>
        <w:tc>
          <w:tcPr>
            <w:tcW w:w="3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Philadelphia-Camden-Wilmington, PA-NJ-DE-MD</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77,794 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174,000 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99 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87</w:t>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45,000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Acme Markets</w:t>
            </w:r>
          </w:p>
        </w:tc>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Michaels / L.A. Fitness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Ellisburg</w:t>
            </w:r>
          </w:p>
        </w:tc>
        <w:tc>
          <w:tcPr>
            <w:tcW w:w="3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Philadelphia-Camden-Wilmington, PA-NJ-DE-MD</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39,548 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260,000 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98 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47,000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Whole Foods</w:t>
            </w:r>
          </w:p>
        </w:tc>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Five Below / RH Outlet / Buy Buy Baby</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Flourtown</w:t>
            </w:r>
          </w:p>
        </w:tc>
        <w:tc>
          <w:tcPr>
            <w:tcW w:w="3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Philadelphia-Camden-Wilmington, PA-NJ-DE-MD</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19,667 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158,000 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97 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75,000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Giant Food</w:t>
            </w:r>
          </w:p>
        </w:tc>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Movie Tavern</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Langhorne Square</w:t>
            </w:r>
          </w:p>
        </w:tc>
        <w:tc>
          <w:tcPr>
            <w:tcW w:w="3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Philadelphia-Camden-Wilmington, PA-NJ-DE-MD</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24,646 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223,000 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99 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55,000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Redner's Warehouse Markets</w:t>
            </w:r>
          </w:p>
        </w:tc>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Marshalls / Planet Fitness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Lawrence Park</w:t>
            </w:r>
          </w:p>
        </w:tc>
        <w:tc>
          <w:tcPr>
            <w:tcW w:w="3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Philadelphia-Camden-Wilmington, PA-NJ-DE-MD</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65,960 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357,000 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99 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53,000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Acme Markets</w:t>
            </w:r>
          </w:p>
        </w:tc>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TJ Maxx / HomeGoods / Barnes &amp; Noble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Northeast</w:t>
            </w:r>
          </w:p>
        </w:tc>
        <w:tc>
          <w:tcPr>
            <w:tcW w:w="3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Philadelphia-Camden-Wilmington, PA-NJ-DE-MD</w:t>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35,735 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209,000 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86 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Lidl (S)</w:t>
            </w:r>
          </w:p>
        </w:tc>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Marshalls / Ulta / Skechers / Crunch Fitness</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tbl>
      <w:tblPr>
        <w:tblW w:w="12836" w:type="dxa"/>
        <w:jc w:val="center"/>
        <w:tblInd w:w="0" w:type="dxa"/>
        <w:tblLayout w:type="fixed"/>
        <w:tblCellMar>
          <w:top w:w="28" w:type="dxa"/>
          <w:left w:w="28" w:type="dxa"/>
          <w:bottom w:w="28" w:type="dxa"/>
          <w:right w:w="28" w:type="dxa"/>
        </w:tblCellMar>
      </w:tblPr>
      <w:tblGrid>
        <w:gridCol w:w="364"/>
        <w:gridCol w:w="270"/>
        <w:gridCol w:w="207"/>
        <w:gridCol w:w="109"/>
        <w:gridCol w:w="109"/>
        <w:gridCol w:w="109"/>
        <w:gridCol w:w="709"/>
        <w:gridCol w:w="709"/>
        <w:gridCol w:w="713"/>
        <w:gridCol w:w="616"/>
        <w:gridCol w:w="109"/>
        <w:gridCol w:w="409"/>
        <w:gridCol w:w="207"/>
        <w:gridCol w:w="161"/>
        <w:gridCol w:w="361"/>
        <w:gridCol w:w="109"/>
        <w:gridCol w:w="180"/>
        <w:gridCol w:w="181"/>
        <w:gridCol w:w="109"/>
        <w:gridCol w:w="360"/>
        <w:gridCol w:w="361"/>
        <w:gridCol w:w="109"/>
        <w:gridCol w:w="359"/>
        <w:gridCol w:w="362"/>
        <w:gridCol w:w="131"/>
        <w:gridCol w:w="143"/>
        <w:gridCol w:w="143"/>
        <w:gridCol w:w="211"/>
        <w:gridCol w:w="186"/>
        <w:gridCol w:w="175"/>
        <w:gridCol w:w="341"/>
        <w:gridCol w:w="109"/>
        <w:gridCol w:w="109"/>
        <w:gridCol w:w="109"/>
        <w:gridCol w:w="109"/>
        <w:gridCol w:w="109"/>
        <w:gridCol w:w="109"/>
        <w:gridCol w:w="260"/>
        <w:gridCol w:w="260"/>
        <w:gridCol w:w="261"/>
        <w:gridCol w:w="220"/>
        <w:gridCol w:w="220"/>
        <w:gridCol w:w="221"/>
        <w:gridCol w:w="109"/>
        <w:gridCol w:w="109"/>
        <w:gridCol w:w="109"/>
        <w:gridCol w:w="275"/>
        <w:gridCol w:w="200"/>
        <w:gridCol w:w="201"/>
        <w:gridCol w:w="570"/>
        <w:gridCol w:w="195"/>
        <w:gridCol w:w="196"/>
        <w:gridCol w:w="154"/>
      </w:tblGrid>
      <w:tr>
        <w:trPr/>
        <w:tc>
          <w:tcPr>
            <w:tcW w:w="364"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725" w:type="dxa"/>
            <w:gridSpan w:val="2"/>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470" w:type="dxa"/>
            <w:gridSpan w:val="2"/>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276" w:type="dxa"/>
            <w:gridSpan w:val="37"/>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Federal Realty Investment Trust</w:t>
            </w:r>
          </w:p>
        </w:tc>
        <w:tc>
          <w:tcPr>
            <w:tcW w:w="781" w:type="dxa"/>
            <w:gridSpan w:val="3"/>
            <w:tcBorders/>
            <w:vAlign w:val="center"/>
          </w:tcPr>
          <w:p>
            <w:pPr>
              <w:pStyle w:val="TableContents"/>
              <w:bidi w:val="0"/>
              <w:spacing w:before="0" w:after="283"/>
              <w:jc w:val="left"/>
              <w:rPr>
                <w:sz w:val="4"/>
                <w:szCs w:val="4"/>
              </w:rPr>
            </w:pPr>
            <w:r>
              <w:rPr>
                <w:sz w:val="4"/>
                <w:szCs w:val="4"/>
              </w:rPr>
            </w:r>
          </w:p>
        </w:tc>
        <w:tc>
          <w:tcPr>
            <w:tcW w:w="2779" w:type="dxa"/>
            <w:gridSpan w:val="13"/>
            <w:tcBorders/>
          </w:tcPr>
          <w:p>
            <w:pPr>
              <w:pStyle w:val="TableContents"/>
              <w:bidi w:val="0"/>
              <w:spacing w:before="0" w:after="283"/>
              <w:jc w:val="left"/>
              <w:rPr>
                <w:sz w:val="4"/>
                <w:szCs w:val="4"/>
              </w:rPr>
            </w:pPr>
            <w:r>
              <w:rPr>
                <w:sz w:val="4"/>
                <w:szCs w:val="4"/>
              </w:rPr>
            </w:r>
          </w:p>
        </w:tc>
      </w:tr>
      <w:tr>
        <w:trPr/>
        <w:tc>
          <w:tcPr>
            <w:tcW w:w="9276" w:type="dxa"/>
            <w:gridSpan w:val="37"/>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Real Estate Status Report</w:t>
            </w:r>
          </w:p>
        </w:tc>
        <w:tc>
          <w:tcPr>
            <w:tcW w:w="781" w:type="dxa"/>
            <w:gridSpan w:val="3"/>
            <w:tcBorders/>
            <w:vAlign w:val="center"/>
          </w:tcPr>
          <w:p>
            <w:pPr>
              <w:pStyle w:val="TableContents"/>
              <w:bidi w:val="0"/>
              <w:spacing w:before="0" w:after="283"/>
              <w:jc w:val="left"/>
              <w:rPr>
                <w:sz w:val="4"/>
                <w:szCs w:val="4"/>
              </w:rPr>
            </w:pPr>
            <w:r>
              <w:rPr>
                <w:sz w:val="4"/>
                <w:szCs w:val="4"/>
              </w:rPr>
            </w:r>
          </w:p>
        </w:tc>
        <w:tc>
          <w:tcPr>
            <w:tcW w:w="2779" w:type="dxa"/>
            <w:gridSpan w:val="13"/>
            <w:tcBorders/>
          </w:tcPr>
          <w:p>
            <w:pPr>
              <w:pStyle w:val="TableContents"/>
              <w:bidi w:val="0"/>
              <w:spacing w:before="0" w:after="283"/>
              <w:jc w:val="left"/>
              <w:rPr>
                <w:sz w:val="4"/>
                <w:szCs w:val="4"/>
              </w:rPr>
            </w:pPr>
            <w:r>
              <w:rPr>
                <w:sz w:val="4"/>
                <w:szCs w:val="4"/>
              </w:rPr>
            </w:r>
          </w:p>
        </w:tc>
      </w:tr>
      <w:tr>
        <w:trPr/>
        <w:tc>
          <w:tcPr>
            <w:tcW w:w="9276" w:type="dxa"/>
            <w:gridSpan w:val="37"/>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March 31, 2024</w:t>
            </w:r>
          </w:p>
        </w:tc>
        <w:tc>
          <w:tcPr>
            <w:tcW w:w="781" w:type="dxa"/>
            <w:gridSpan w:val="3"/>
            <w:tcBorders/>
            <w:vAlign w:val="center"/>
          </w:tcPr>
          <w:p>
            <w:pPr>
              <w:pStyle w:val="TableContents"/>
              <w:bidi w:val="0"/>
              <w:spacing w:before="0" w:after="283"/>
              <w:jc w:val="left"/>
              <w:rPr>
                <w:sz w:val="4"/>
                <w:szCs w:val="4"/>
              </w:rPr>
            </w:pPr>
            <w:r>
              <w:rPr>
                <w:sz w:val="4"/>
                <w:szCs w:val="4"/>
              </w:rPr>
            </w:r>
          </w:p>
        </w:tc>
        <w:tc>
          <w:tcPr>
            <w:tcW w:w="2779" w:type="dxa"/>
            <w:gridSpan w:val="13"/>
            <w:tcBorders/>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Property 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MSA Description</w:t>
            </w:r>
          </w:p>
        </w:tc>
        <w:tc>
          <w:tcPr>
            <w:tcW w:w="725" w:type="dxa"/>
            <w:gridSpan w:val="2"/>
            <w:tcBorders/>
            <w:vAlign w:val="center"/>
          </w:tcPr>
          <w:p>
            <w:pPr>
              <w:pStyle w:val="TableContents"/>
              <w:bidi w:val="0"/>
              <w:spacing w:before="0" w:after="283"/>
              <w:jc w:val="left"/>
              <w:rPr>
                <w:sz w:val="4"/>
                <w:szCs w:val="4"/>
              </w:rPr>
            </w:pPr>
            <w:r>
              <w:rPr>
                <w:sz w:val="4"/>
                <w:szCs w:val="4"/>
              </w:rPr>
            </w:r>
          </w:p>
        </w:tc>
        <w:tc>
          <w:tcPr>
            <w:tcW w:w="7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Real Estate at Cost</w:t>
            </w:r>
          </w:p>
        </w:tc>
        <w:tc>
          <w:tcPr>
            <w:tcW w:w="470" w:type="dxa"/>
            <w:gridSpan w:val="2"/>
            <w:tcBorders/>
            <w:vAlign w:val="center"/>
          </w:tcPr>
          <w:p>
            <w:pPr>
              <w:pStyle w:val="TableContents"/>
              <w:bidi w:val="0"/>
              <w:spacing w:before="0" w:after="283"/>
              <w:jc w:val="left"/>
              <w:rPr>
                <w:sz w:val="4"/>
                <w:szCs w:val="4"/>
              </w:rPr>
            </w:pPr>
            <w:r>
              <w:rPr>
                <w:sz w:val="4"/>
                <w:szCs w:val="4"/>
              </w:rPr>
            </w:r>
          </w:p>
        </w:tc>
        <w:tc>
          <w:tcPr>
            <w:tcW w:w="130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Acreage</w:t>
            </w:r>
          </w:p>
        </w:tc>
        <w:tc>
          <w:tcPr>
            <w:tcW w:w="8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GLA (1)</w:t>
            </w:r>
          </w:p>
        </w:tc>
        <w:tc>
          <w:tcPr>
            <w:tcW w:w="4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 Leased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Residential Units</w:t>
            </w:r>
          </w:p>
        </w:tc>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14"/>
              </w:rPr>
              <w:t>Grocery Anchor GLA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Grocery Anchor (2)</w:t>
            </w:r>
          </w:p>
        </w:tc>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Other Retail Tenants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vAlign w:val="center"/>
          </w:tcPr>
          <w:p>
            <w:pPr>
              <w:pStyle w:val="TableContents"/>
              <w:bidi w:val="0"/>
              <w:spacing w:before="0" w:after="283"/>
              <w:jc w:val="left"/>
              <w:rPr>
                <w:sz w:val="4"/>
                <w:szCs w:val="4"/>
              </w:rPr>
            </w:pPr>
            <w:r>
              <w:rPr>
                <w:sz w:val="4"/>
                <w:szCs w:val="4"/>
              </w:rPr>
            </w:r>
          </w:p>
        </w:tc>
        <w:tc>
          <w:tcPr>
            <w:tcW w:w="7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2"/>
              </w:rPr>
            </w:pPr>
            <w:r>
              <w:rPr>
                <w:rFonts w:ascii="Times New Roman;sans-serif" w:hAnsi="Times New Roman;sans-serif"/>
                <w:b w:val="false"/>
                <w:color w:val="000000"/>
                <w:sz w:val="12"/>
              </w:rPr>
              <w:t>(in thousands)</w:t>
            </w:r>
          </w:p>
        </w:tc>
        <w:tc>
          <w:tcPr>
            <w:tcW w:w="470" w:type="dxa"/>
            <w:gridSpan w:val="2"/>
            <w:tcBorders/>
            <w:vAlign w:val="center"/>
          </w:tcPr>
          <w:p>
            <w:pPr>
              <w:pStyle w:val="TableContents"/>
              <w:bidi w:val="0"/>
              <w:spacing w:before="0" w:after="283"/>
              <w:jc w:val="left"/>
              <w:rPr>
                <w:sz w:val="4"/>
                <w:szCs w:val="4"/>
              </w:rPr>
            </w:pPr>
            <w:r>
              <w:rPr>
                <w:sz w:val="4"/>
                <w:szCs w:val="4"/>
              </w:rPr>
            </w:r>
          </w:p>
        </w:tc>
        <w:tc>
          <w:tcPr>
            <w:tcW w:w="4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Willow Grove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Philadelphia-Camden-Wilmington, PA-NJ-DE-MD</w:t>
            </w:r>
          </w:p>
        </w:tc>
        <w:tc>
          <w:tcPr>
            <w:tcW w:w="725" w:type="dxa"/>
            <w:gridSpan w:val="2"/>
            <w:tcBorders/>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51,351 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85,000 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98 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31,000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TBA</w:t>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Marshalls / Five Below</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Wynnewood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Philadelphia-Camden-Wilmington, PA-NJ-DE-MD</w:t>
            </w:r>
          </w:p>
        </w:tc>
        <w:tc>
          <w:tcPr>
            <w:tcW w:w="725" w:type="dxa"/>
            <w:gridSpan w:val="2"/>
            <w:tcBorders/>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44,795 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240,000 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78 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9</w:t>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98,000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Giant Food</w:t>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Old Navy / DSW</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29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4"/>
              </w:rPr>
            </w:pPr>
            <w:r>
              <w:rPr>
                <w:rFonts w:ascii="Times New Roman;sans-serif" w:hAnsi="Times New Roman;sans-serif"/>
                <w:b/>
                <w:color w:val="000000"/>
                <w:sz w:val="14"/>
              </w:rPr>
              <w:t>Total Philadelphia Metropolitan Area</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393,802 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vAlign w:val="center"/>
          </w:tcPr>
          <w:p>
            <w:pPr>
              <w:pStyle w:val="TableContents"/>
              <w:bidi w:val="0"/>
              <w:spacing w:before="0" w:after="283"/>
              <w:jc w:val="left"/>
              <w:rPr>
                <w:sz w:val="4"/>
                <w:szCs w:val="4"/>
              </w:rPr>
            </w:pPr>
            <w:r>
              <w:rPr>
                <w:sz w:val="4"/>
                <w:szCs w:val="4"/>
              </w:rPr>
            </w:r>
          </w:p>
        </w:tc>
        <w:tc>
          <w:tcPr>
            <w:tcW w:w="3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1,976,000 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94 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7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vAlign w:val="center"/>
          </w:tcPr>
          <w:p>
            <w:pPr>
              <w:pStyle w:val="TableContents"/>
              <w:bidi w:val="0"/>
              <w:spacing w:before="0" w:after="283"/>
              <w:jc w:val="left"/>
              <w:rPr>
                <w:sz w:val="4"/>
                <w:szCs w:val="4"/>
              </w:rPr>
            </w:pPr>
            <w:r>
              <w:rPr>
                <w:sz w:val="4"/>
                <w:szCs w:val="4"/>
              </w:rPr>
            </w:r>
          </w:p>
        </w:tc>
        <w:tc>
          <w:tcPr>
            <w:tcW w:w="7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vAlign w:val="center"/>
          </w:tcPr>
          <w:p>
            <w:pPr>
              <w:pStyle w:val="TableContents"/>
              <w:bidi w:val="0"/>
              <w:spacing w:before="0" w:after="283"/>
              <w:jc w:val="left"/>
              <w:rPr>
                <w:sz w:val="4"/>
                <w:szCs w:val="4"/>
              </w:rPr>
            </w:pPr>
            <w:r>
              <w:rPr>
                <w:sz w:val="4"/>
                <w:szCs w:val="4"/>
              </w:rPr>
            </w:r>
          </w:p>
        </w:tc>
        <w:tc>
          <w:tcPr>
            <w:tcW w:w="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31" w:type="dxa"/>
            <w:gridSpan w:val="3"/>
            <w:tcBorders/>
            <w:vAlign w:val="center"/>
          </w:tcPr>
          <w:p>
            <w:pPr>
              <w:pStyle w:val="TableContents"/>
              <w:bidi w:val="0"/>
              <w:spacing w:before="0" w:after="283"/>
              <w:jc w:val="left"/>
              <w:rPr>
                <w:sz w:val="4"/>
                <w:szCs w:val="4"/>
              </w:rPr>
            </w:pPr>
            <w:r>
              <w:rPr>
                <w:sz w:val="4"/>
                <w:szCs w:val="4"/>
              </w:rPr>
            </w:r>
          </w:p>
        </w:tc>
        <w:tc>
          <w:tcPr>
            <w:tcW w:w="725" w:type="dxa"/>
            <w:gridSpan w:val="2"/>
            <w:tcBorders/>
            <w:vAlign w:val="center"/>
          </w:tcPr>
          <w:p>
            <w:pPr>
              <w:pStyle w:val="TableContents"/>
              <w:bidi w:val="0"/>
              <w:spacing w:before="0" w:after="283"/>
              <w:jc w:val="left"/>
              <w:rPr>
                <w:sz w:val="4"/>
                <w:szCs w:val="4"/>
              </w:rPr>
            </w:pPr>
            <w:r>
              <w:rPr>
                <w:sz w:val="4"/>
                <w:szCs w:val="4"/>
              </w:rPr>
            </w:r>
          </w:p>
        </w:tc>
        <w:tc>
          <w:tcPr>
            <w:tcW w:w="777" w:type="dxa"/>
            <w:gridSpan w:val="3"/>
            <w:tcBorders/>
            <w:vAlign w:val="center"/>
          </w:tcPr>
          <w:p>
            <w:pPr>
              <w:pStyle w:val="TableContents"/>
              <w:bidi w:val="0"/>
              <w:spacing w:before="0" w:after="283"/>
              <w:jc w:val="left"/>
              <w:rPr>
                <w:sz w:val="4"/>
                <w:szCs w:val="4"/>
              </w:rPr>
            </w:pPr>
            <w:r>
              <w:rPr>
                <w:sz w:val="4"/>
                <w:szCs w:val="4"/>
              </w:rPr>
            </w:r>
          </w:p>
        </w:tc>
        <w:tc>
          <w:tcPr>
            <w:tcW w:w="470" w:type="dxa"/>
            <w:gridSpan w:val="2"/>
            <w:tcBorders/>
            <w:vAlign w:val="center"/>
          </w:tcPr>
          <w:p>
            <w:pPr>
              <w:pStyle w:val="TableContents"/>
              <w:bidi w:val="0"/>
              <w:spacing w:before="0" w:after="283"/>
              <w:jc w:val="left"/>
              <w:rPr>
                <w:sz w:val="4"/>
                <w:szCs w:val="4"/>
              </w:rPr>
            </w:pPr>
            <w:r>
              <w:rPr>
                <w:sz w:val="4"/>
                <w:szCs w:val="4"/>
              </w:rPr>
            </w:r>
          </w:p>
        </w:tc>
        <w:tc>
          <w:tcPr>
            <w:tcW w:w="470" w:type="dxa"/>
            <w:gridSpan w:val="3"/>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c>
          <w:tcPr>
            <w:tcW w:w="852" w:type="dxa"/>
            <w:gridSpan w:val="3"/>
            <w:tcBorders/>
            <w:vAlign w:val="center"/>
          </w:tcPr>
          <w:p>
            <w:pPr>
              <w:pStyle w:val="TableContents"/>
              <w:bidi w:val="0"/>
              <w:spacing w:before="0" w:after="283"/>
              <w:jc w:val="left"/>
              <w:rPr>
                <w:sz w:val="4"/>
                <w:szCs w:val="4"/>
              </w:rPr>
            </w:pPr>
            <w:r>
              <w:rPr>
                <w:sz w:val="4"/>
                <w:szCs w:val="4"/>
              </w:rPr>
            </w:r>
          </w:p>
        </w:tc>
        <w:tc>
          <w:tcPr>
            <w:tcW w:w="497" w:type="dxa"/>
            <w:gridSpan w:val="3"/>
            <w:tcBorders/>
            <w:vAlign w:val="center"/>
          </w:tcPr>
          <w:p>
            <w:pPr>
              <w:pStyle w:val="TableContents"/>
              <w:bidi w:val="0"/>
              <w:spacing w:before="0" w:after="283"/>
              <w:jc w:val="left"/>
              <w:rPr>
                <w:sz w:val="4"/>
                <w:szCs w:val="4"/>
              </w:rPr>
            </w:pPr>
            <w:r>
              <w:rPr>
                <w:sz w:val="4"/>
                <w:szCs w:val="4"/>
              </w:rPr>
            </w:r>
          </w:p>
        </w:tc>
        <w:tc>
          <w:tcPr>
            <w:tcW w:w="7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6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u w:val="single"/>
              </w:rPr>
            </w:pPr>
            <w:r>
              <w:rPr>
                <w:color w:val="000000"/>
                <w:u w:val="single"/>
              </w:rPr>
              <w:t>  </w:t>
            </w:r>
            <w:r>
              <w:rPr>
                <w:rFonts w:ascii="Times New Roman;sans-serif" w:hAnsi="Times New Roman;sans-serif"/>
                <w:b/>
                <w:color w:val="000000"/>
                <w:sz w:val="14"/>
                <w:u w:val="single"/>
              </w:rPr>
              <w:t>South Florida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vAlign w:val="center"/>
          </w:tcPr>
          <w:p>
            <w:pPr>
              <w:pStyle w:val="TableContents"/>
              <w:bidi w:val="0"/>
              <w:spacing w:before="0" w:after="283"/>
              <w:jc w:val="left"/>
              <w:rPr>
                <w:sz w:val="4"/>
                <w:szCs w:val="4"/>
              </w:rPr>
            </w:pPr>
            <w:r>
              <w:rPr>
                <w:sz w:val="4"/>
                <w:szCs w:val="4"/>
              </w:rPr>
            </w:r>
          </w:p>
        </w:tc>
        <w:tc>
          <w:tcPr>
            <w:tcW w:w="7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vAlign w:val="center"/>
          </w:tcPr>
          <w:p>
            <w:pPr>
              <w:pStyle w:val="TableContents"/>
              <w:bidi w:val="0"/>
              <w:spacing w:before="0" w:after="283"/>
              <w:jc w:val="left"/>
              <w:rPr>
                <w:sz w:val="4"/>
                <w:szCs w:val="4"/>
              </w:rPr>
            </w:pPr>
            <w:r>
              <w:rPr>
                <w:sz w:val="4"/>
                <w:szCs w:val="4"/>
              </w:rPr>
            </w:r>
          </w:p>
        </w:tc>
        <w:tc>
          <w:tcPr>
            <w:tcW w:w="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CocoWalk</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(3) (7)</w:t>
            </w:r>
          </w:p>
        </w:tc>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Miami-Fort Lauderdale-West Palm Beach, FL</w:t>
            </w:r>
          </w:p>
        </w:tc>
        <w:tc>
          <w:tcPr>
            <w:tcW w:w="725" w:type="dxa"/>
            <w:gridSpan w:val="2"/>
            <w:tcBorders/>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205,363 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277,000 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100 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Cinepolis Theaters / Youfit Health Club / Multiple Restaurants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Del Mar Village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Miami-Fort Lauderdale-West Palm Beach, FL</w:t>
            </w:r>
          </w:p>
        </w:tc>
        <w:tc>
          <w:tcPr>
            <w:tcW w:w="725" w:type="dxa"/>
            <w:gridSpan w:val="2"/>
            <w:tcBorders/>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75,861 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187,000 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96 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44,000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Winn Dixie</w:t>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CVS / L.A. Fitness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Shops at Pembroke Gardens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Miami-Fort Lauderdale-West Palm Beach, FL</w:t>
            </w:r>
          </w:p>
        </w:tc>
        <w:tc>
          <w:tcPr>
            <w:tcW w:w="725" w:type="dxa"/>
            <w:gridSpan w:val="2"/>
            <w:tcBorders/>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182,383 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391,000 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96 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Nike Factory / Old Navy / DSW / Barnes &amp; Noble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Tower Shops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Miami-Fort Lauderdale-West Palm Beach, FL</w:t>
            </w:r>
          </w:p>
        </w:tc>
        <w:tc>
          <w:tcPr>
            <w:tcW w:w="725" w:type="dxa"/>
            <w:gridSpan w:val="2"/>
            <w:tcBorders/>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106,026 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431,000 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98 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12,000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Trader Joe's</w:t>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TJ Maxx / Ross Dress For Less / Best Buy / Ulta</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4"/>
              </w:rPr>
            </w:pPr>
            <w:r>
              <w:rPr>
                <w:rFonts w:ascii="Times New Roman;sans-serif" w:hAnsi="Times New Roman;sans-serif"/>
                <w:b/>
                <w:color w:val="000000"/>
                <w:sz w:val="14"/>
              </w:rPr>
              <w:t>Total South Florida</w:t>
            </w:r>
          </w:p>
        </w:tc>
        <w:tc>
          <w:tcPr>
            <w:tcW w:w="725" w:type="dxa"/>
            <w:gridSpan w:val="2"/>
            <w:tcBorders/>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569,633 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1,286,000 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98 </w:t>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vAlign w:val="center"/>
          </w:tcPr>
          <w:p>
            <w:pPr>
              <w:pStyle w:val="TableContents"/>
              <w:bidi w:val="0"/>
              <w:spacing w:before="0" w:after="283"/>
              <w:jc w:val="left"/>
              <w:rPr>
                <w:sz w:val="4"/>
                <w:szCs w:val="4"/>
              </w:rPr>
            </w:pPr>
            <w:r>
              <w:rPr>
                <w:sz w:val="4"/>
                <w:szCs w:val="4"/>
              </w:rPr>
            </w:r>
          </w:p>
        </w:tc>
        <w:tc>
          <w:tcPr>
            <w:tcW w:w="7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vAlign w:val="center"/>
          </w:tcPr>
          <w:p>
            <w:pPr>
              <w:pStyle w:val="TableContents"/>
              <w:bidi w:val="0"/>
              <w:spacing w:before="0" w:after="283"/>
              <w:jc w:val="left"/>
              <w:rPr>
                <w:sz w:val="4"/>
                <w:szCs w:val="4"/>
              </w:rPr>
            </w:pPr>
            <w:r>
              <w:rPr>
                <w:sz w:val="4"/>
                <w:szCs w:val="4"/>
              </w:rPr>
            </w:r>
          </w:p>
        </w:tc>
        <w:tc>
          <w:tcPr>
            <w:tcW w:w="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u w:val="single"/>
              </w:rPr>
            </w:pPr>
            <w:r>
              <w:rPr>
                <w:color w:val="000000"/>
                <w:u w:val="single"/>
              </w:rPr>
              <w:t>  </w:t>
            </w:r>
            <w:r>
              <w:rPr>
                <w:rFonts w:ascii="Times New Roman;sans-serif" w:hAnsi="Times New Roman;sans-serif"/>
                <w:b/>
                <w:color w:val="000000"/>
                <w:sz w:val="14"/>
                <w:u w:val="single"/>
              </w:rPr>
              <w:t>Baltimore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vAlign w:val="center"/>
          </w:tcPr>
          <w:p>
            <w:pPr>
              <w:pStyle w:val="TableContents"/>
              <w:bidi w:val="0"/>
              <w:spacing w:before="0" w:after="283"/>
              <w:jc w:val="left"/>
              <w:rPr>
                <w:sz w:val="4"/>
                <w:szCs w:val="4"/>
              </w:rPr>
            </w:pPr>
            <w:r>
              <w:rPr>
                <w:sz w:val="4"/>
                <w:szCs w:val="4"/>
              </w:rPr>
            </w:r>
          </w:p>
        </w:tc>
        <w:tc>
          <w:tcPr>
            <w:tcW w:w="7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vAlign w:val="center"/>
          </w:tcPr>
          <w:p>
            <w:pPr>
              <w:pStyle w:val="TableContents"/>
              <w:bidi w:val="0"/>
              <w:spacing w:before="0" w:after="283"/>
              <w:jc w:val="left"/>
              <w:rPr>
                <w:sz w:val="4"/>
                <w:szCs w:val="4"/>
              </w:rPr>
            </w:pPr>
            <w:r>
              <w:rPr>
                <w:sz w:val="4"/>
                <w:szCs w:val="4"/>
              </w:rPr>
            </w:r>
          </w:p>
        </w:tc>
        <w:tc>
          <w:tcPr>
            <w:tcW w:w="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Governor Plaza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Baltimore-Columbia-Towson, MD</w:t>
            </w:r>
          </w:p>
        </w:tc>
        <w:tc>
          <w:tcPr>
            <w:tcW w:w="725" w:type="dxa"/>
            <w:gridSpan w:val="2"/>
            <w:tcBorders/>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35,624 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243,000 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100 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16,500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Aldi</w:t>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Dick's Sporting Goods / Ross Dress for Less / Petco / Bob's Discount Furniture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Perring Plaza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Baltimore-Columbia-Towson, MD</w:t>
            </w:r>
          </w:p>
        </w:tc>
        <w:tc>
          <w:tcPr>
            <w:tcW w:w="725" w:type="dxa"/>
            <w:gridSpan w:val="2"/>
            <w:tcBorders/>
            <w:vAlign w:val="center"/>
          </w:tcPr>
          <w:p>
            <w:pPr>
              <w:pStyle w:val="TableContents"/>
              <w:bidi w:val="0"/>
              <w:spacing w:before="0" w:after="283"/>
              <w:jc w:val="left"/>
              <w:rPr>
                <w:sz w:val="4"/>
                <w:szCs w:val="4"/>
              </w:rPr>
            </w:pPr>
            <w:r>
              <w:rPr>
                <w:sz w:val="4"/>
                <w:szCs w:val="4"/>
              </w:rPr>
            </w:r>
          </w:p>
        </w:tc>
        <w:tc>
          <w:tcPr>
            <w:tcW w:w="7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40,334</w:t>
            </w:r>
          </w:p>
        </w:tc>
        <w:tc>
          <w:tcPr>
            <w:tcW w:w="470" w:type="dxa"/>
            <w:gridSpan w:val="2"/>
            <w:tcBorders/>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397,000 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94 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57,000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TBA</w:t>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Home Depot / Dick's Sporting Goods / Micro Center</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THE AVENUE at White Marsh</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(5)</w:t>
            </w:r>
          </w:p>
        </w:tc>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Baltimore-Columbia-Towson, MD</w:t>
            </w:r>
          </w:p>
        </w:tc>
        <w:tc>
          <w:tcPr>
            <w:tcW w:w="725" w:type="dxa"/>
            <w:gridSpan w:val="2"/>
            <w:tcBorders/>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135,920 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315,000 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96 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AMC / Ulta / Old Navy / Nike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The Shoppes at Nottingham Square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Baltimore-Columbia-Towson, MD</w:t>
            </w:r>
          </w:p>
        </w:tc>
        <w:tc>
          <w:tcPr>
            <w:tcW w:w="725" w:type="dxa"/>
            <w:gridSpan w:val="2"/>
            <w:tcBorders/>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19,602 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33,000 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96 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White Marsh Plaza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Baltimore-Columbia-Towson, MD</w:t>
            </w:r>
          </w:p>
        </w:tc>
        <w:tc>
          <w:tcPr>
            <w:tcW w:w="725" w:type="dxa"/>
            <w:gridSpan w:val="2"/>
            <w:tcBorders/>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27,000 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80,000 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96 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54,000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Giant Food</w:t>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White Marsh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Baltimore-Columbia-Towson, MD</w:t>
            </w:r>
          </w:p>
        </w:tc>
        <w:tc>
          <w:tcPr>
            <w:tcW w:w="725" w:type="dxa"/>
            <w:gridSpan w:val="2"/>
            <w:tcBorders/>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27,935 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56,000 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87 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4"/>
              </w:rPr>
            </w:pPr>
            <w:r>
              <w:rPr>
                <w:rFonts w:ascii="Times New Roman;sans-serif" w:hAnsi="Times New Roman;sans-serif"/>
                <w:b/>
                <w:color w:val="000000"/>
                <w:sz w:val="14"/>
              </w:rPr>
              <w:t>Total Baltimore</w:t>
            </w:r>
          </w:p>
        </w:tc>
        <w:tc>
          <w:tcPr>
            <w:tcW w:w="725" w:type="dxa"/>
            <w:gridSpan w:val="2"/>
            <w:tcBorders/>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286,415 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1,124,000 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96 </w:t>
            </w:r>
          </w:p>
        </w:tc>
        <w:tc>
          <w:tcPr>
            <w:tcW w:w="3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vAlign w:val="center"/>
          </w:tcPr>
          <w:p>
            <w:pPr>
              <w:pStyle w:val="TableContents"/>
              <w:bidi w:val="0"/>
              <w:spacing w:before="0" w:after="283"/>
              <w:jc w:val="left"/>
              <w:rPr>
                <w:sz w:val="4"/>
                <w:szCs w:val="4"/>
              </w:rPr>
            </w:pPr>
            <w:r>
              <w:rPr>
                <w:sz w:val="4"/>
                <w:szCs w:val="4"/>
              </w:rPr>
            </w:r>
          </w:p>
        </w:tc>
        <w:tc>
          <w:tcPr>
            <w:tcW w:w="7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vAlign w:val="center"/>
          </w:tcPr>
          <w:p>
            <w:pPr>
              <w:pStyle w:val="TableContents"/>
              <w:bidi w:val="0"/>
              <w:spacing w:before="0" w:after="283"/>
              <w:jc w:val="left"/>
              <w:rPr>
                <w:sz w:val="4"/>
                <w:szCs w:val="4"/>
              </w:rPr>
            </w:pPr>
            <w:r>
              <w:rPr>
                <w:sz w:val="4"/>
                <w:szCs w:val="4"/>
              </w:rPr>
            </w:r>
          </w:p>
        </w:tc>
        <w:tc>
          <w:tcPr>
            <w:tcW w:w="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u w:val="single"/>
              </w:rPr>
            </w:pPr>
            <w:r>
              <w:rPr>
                <w:color w:val="000000"/>
                <w:u w:val="single"/>
              </w:rPr>
              <w:t>  </w:t>
            </w:r>
            <w:r>
              <w:rPr>
                <w:rFonts w:ascii="Times New Roman;sans-serif" w:hAnsi="Times New Roman;sans-serif"/>
                <w:b/>
                <w:color w:val="000000"/>
                <w:sz w:val="14"/>
                <w:u w:val="single"/>
              </w:rPr>
              <w:t>Chicago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vAlign w:val="center"/>
          </w:tcPr>
          <w:p>
            <w:pPr>
              <w:pStyle w:val="TableContents"/>
              <w:bidi w:val="0"/>
              <w:spacing w:before="0" w:after="283"/>
              <w:jc w:val="left"/>
              <w:rPr>
                <w:sz w:val="4"/>
                <w:szCs w:val="4"/>
              </w:rPr>
            </w:pPr>
            <w:r>
              <w:rPr>
                <w:sz w:val="4"/>
                <w:szCs w:val="4"/>
              </w:rPr>
            </w:r>
          </w:p>
        </w:tc>
        <w:tc>
          <w:tcPr>
            <w:tcW w:w="7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vAlign w:val="center"/>
          </w:tcPr>
          <w:p>
            <w:pPr>
              <w:pStyle w:val="TableContents"/>
              <w:bidi w:val="0"/>
              <w:spacing w:before="0" w:after="283"/>
              <w:jc w:val="left"/>
              <w:rPr>
                <w:sz w:val="4"/>
                <w:szCs w:val="4"/>
              </w:rPr>
            </w:pPr>
            <w:r>
              <w:rPr>
                <w:sz w:val="4"/>
                <w:szCs w:val="4"/>
              </w:rPr>
            </w:r>
          </w:p>
        </w:tc>
        <w:tc>
          <w:tcPr>
            <w:tcW w:w="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Crossroads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Chicago-Naperville-Elgin, IL-IN-WI</w:t>
            </w:r>
          </w:p>
        </w:tc>
        <w:tc>
          <w:tcPr>
            <w:tcW w:w="725" w:type="dxa"/>
            <w:gridSpan w:val="2"/>
            <w:tcBorders/>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36,807 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168,000 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96 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L.A. Fitness / Ulta / Binny's / Ferguson's Bath, Kitchen &amp; Lighting Gallery</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Finley Square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Chicago-Naperville-Elgin, IL-IN-WI</w:t>
            </w:r>
          </w:p>
        </w:tc>
        <w:tc>
          <w:tcPr>
            <w:tcW w:w="725" w:type="dxa"/>
            <w:gridSpan w:val="2"/>
            <w:tcBorders/>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39,727 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281,000 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53 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Michaels / Five Below / Portillo's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Garden Market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Chicago-Naperville-Elgin, IL-IN-WI</w:t>
            </w:r>
          </w:p>
        </w:tc>
        <w:tc>
          <w:tcPr>
            <w:tcW w:w="725" w:type="dxa"/>
            <w:gridSpan w:val="2"/>
            <w:tcBorders/>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16,766 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139,000 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97 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63,000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Mariano's Fresh Market</w:t>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Walgreens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Riverpoint Center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Chicago-Naperville-Elgin, IL-IN-WI</w:t>
            </w:r>
          </w:p>
        </w:tc>
        <w:tc>
          <w:tcPr>
            <w:tcW w:w="725" w:type="dxa"/>
            <w:gridSpan w:val="2"/>
            <w:tcBorders/>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122,602 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211,000 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95 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86,000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Jewel Osco</w:t>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Marshalls / Old Navy</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4"/>
              </w:rPr>
            </w:pPr>
            <w:r>
              <w:rPr>
                <w:rFonts w:ascii="Times New Roman;sans-serif" w:hAnsi="Times New Roman;sans-serif"/>
                <w:b/>
                <w:color w:val="000000"/>
                <w:sz w:val="14"/>
              </w:rPr>
              <w:t>Total Chicago</w:t>
            </w:r>
          </w:p>
        </w:tc>
        <w:tc>
          <w:tcPr>
            <w:tcW w:w="725" w:type="dxa"/>
            <w:gridSpan w:val="2"/>
            <w:tcBorders/>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215,902 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799,000 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81 </w:t>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vAlign w:val="center"/>
          </w:tcPr>
          <w:p>
            <w:pPr>
              <w:pStyle w:val="TableContents"/>
              <w:bidi w:val="0"/>
              <w:spacing w:before="0" w:after="283"/>
              <w:jc w:val="left"/>
              <w:rPr>
                <w:sz w:val="4"/>
                <w:szCs w:val="4"/>
              </w:rPr>
            </w:pPr>
            <w:r>
              <w:rPr>
                <w:sz w:val="4"/>
                <w:szCs w:val="4"/>
              </w:rPr>
            </w:r>
          </w:p>
        </w:tc>
        <w:tc>
          <w:tcPr>
            <w:tcW w:w="7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vAlign w:val="center"/>
          </w:tcPr>
          <w:p>
            <w:pPr>
              <w:pStyle w:val="TableContents"/>
              <w:bidi w:val="0"/>
              <w:spacing w:before="0" w:after="283"/>
              <w:jc w:val="left"/>
              <w:rPr>
                <w:sz w:val="4"/>
                <w:szCs w:val="4"/>
              </w:rPr>
            </w:pPr>
            <w:r>
              <w:rPr>
                <w:sz w:val="4"/>
                <w:szCs w:val="4"/>
              </w:rPr>
            </w:r>
          </w:p>
        </w:tc>
        <w:tc>
          <w:tcPr>
            <w:tcW w:w="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u w:val="single"/>
              </w:rPr>
            </w:pPr>
            <w:r>
              <w:rPr>
                <w:color w:val="000000"/>
                <w:u w:val="single"/>
              </w:rPr>
              <w:t>  </w:t>
            </w:r>
            <w:r>
              <w:rPr>
                <w:rFonts w:ascii="Times New Roman;sans-serif" w:hAnsi="Times New Roman;sans-serif"/>
                <w:b/>
                <w:color w:val="000000"/>
                <w:sz w:val="14"/>
                <w:u w:val="single"/>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2"/>
            <w:tcBorders/>
            <w:vAlign w:val="center"/>
          </w:tcPr>
          <w:p>
            <w:pPr>
              <w:pStyle w:val="TableContents"/>
              <w:bidi w:val="0"/>
              <w:spacing w:before="0" w:after="283"/>
              <w:jc w:val="left"/>
              <w:rPr>
                <w:sz w:val="4"/>
                <w:szCs w:val="4"/>
              </w:rPr>
            </w:pPr>
            <w:r>
              <w:rPr>
                <w:sz w:val="4"/>
                <w:szCs w:val="4"/>
              </w:rPr>
            </w:r>
          </w:p>
        </w:tc>
        <w:tc>
          <w:tcPr>
            <w:tcW w:w="7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vAlign w:val="center"/>
          </w:tcPr>
          <w:p>
            <w:pPr>
              <w:pStyle w:val="TableContents"/>
              <w:bidi w:val="0"/>
              <w:spacing w:before="0" w:after="283"/>
              <w:jc w:val="left"/>
              <w:rPr>
                <w:sz w:val="4"/>
                <w:szCs w:val="4"/>
              </w:rPr>
            </w:pPr>
            <w:r>
              <w:rPr>
                <w:sz w:val="4"/>
                <w:szCs w:val="4"/>
              </w:rPr>
            </w:r>
          </w:p>
        </w:tc>
        <w:tc>
          <w:tcPr>
            <w:tcW w:w="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Barracks Road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Charlottesville, VA</w:t>
            </w:r>
          </w:p>
        </w:tc>
        <w:tc>
          <w:tcPr>
            <w:tcW w:w="725" w:type="dxa"/>
            <w:gridSpan w:val="2"/>
            <w:tcBorders/>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75,758 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495,000 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89 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99,000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Harris Teeter / Kroger</w:t>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Anthropologie / Old Navy / Ulta / Michaels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Bristol Plaza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Hartford-West Hartford-East Hartford, CT</w:t>
            </w:r>
          </w:p>
        </w:tc>
        <w:tc>
          <w:tcPr>
            <w:tcW w:w="725" w:type="dxa"/>
            <w:gridSpan w:val="2"/>
            <w:tcBorders/>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37,037 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264,000 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88 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74,000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Stop &amp; Shop</w:t>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TJ Maxx / Burlington</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Camelback Colonnade</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(3)</w:t>
            </w:r>
          </w:p>
        </w:tc>
        <w:tc>
          <w:tcPr>
            <w:tcW w:w="2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Phoenix-Mesa-Chandler, AZ</w:t>
            </w:r>
          </w:p>
        </w:tc>
        <w:tc>
          <w:tcPr>
            <w:tcW w:w="725" w:type="dxa"/>
            <w:gridSpan w:val="2"/>
            <w:tcBorders/>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180,601 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642,000 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90 </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82,000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Fry's Food &amp; Drug</w:t>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Marshalls / Nordstrom Last Chance / Best Buy / Floor &amp; Décor</w:t>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Gratiot Plaza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Detroit-Warren-Dearborn, MI</w:t>
            </w:r>
          </w:p>
        </w:tc>
        <w:tc>
          <w:tcPr>
            <w:tcW w:w="725" w:type="dxa"/>
            <w:gridSpan w:val="2"/>
            <w:tcBorders/>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20,009 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216,000 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78 </w:t>
            </w:r>
          </w:p>
        </w:tc>
        <w:tc>
          <w:tcPr>
            <w:tcW w:w="3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69,000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Kroger</w:t>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Best Buy / DSW</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tbl>
      <w:tblPr>
        <w:tblW w:w="10782" w:type="dxa"/>
        <w:jc w:val="center"/>
        <w:tblInd w:w="0" w:type="dxa"/>
        <w:tblLayout w:type="fixed"/>
        <w:tblCellMar>
          <w:top w:w="28" w:type="dxa"/>
          <w:left w:w="28" w:type="dxa"/>
          <w:bottom w:w="28" w:type="dxa"/>
          <w:right w:w="28" w:type="dxa"/>
        </w:tblCellMar>
      </w:tblPr>
      <w:tblGrid>
        <w:gridCol w:w="249"/>
        <w:gridCol w:w="205"/>
        <w:gridCol w:w="207"/>
        <w:gridCol w:w="109"/>
        <w:gridCol w:w="109"/>
        <w:gridCol w:w="109"/>
        <w:gridCol w:w="509"/>
        <w:gridCol w:w="509"/>
        <w:gridCol w:w="513"/>
        <w:gridCol w:w="109"/>
        <w:gridCol w:w="181"/>
        <w:gridCol w:w="826"/>
        <w:gridCol w:w="109"/>
        <w:gridCol w:w="109"/>
        <w:gridCol w:w="247"/>
        <w:gridCol w:w="249"/>
        <w:gridCol w:w="109"/>
        <w:gridCol w:w="109"/>
        <w:gridCol w:w="109"/>
        <w:gridCol w:w="109"/>
        <w:gridCol w:w="412"/>
        <w:gridCol w:w="414"/>
        <w:gridCol w:w="131"/>
        <w:gridCol w:w="109"/>
        <w:gridCol w:w="109"/>
        <w:gridCol w:w="109"/>
        <w:gridCol w:w="197"/>
        <w:gridCol w:w="164"/>
        <w:gridCol w:w="363"/>
        <w:gridCol w:w="109"/>
        <w:gridCol w:w="109"/>
        <w:gridCol w:w="109"/>
        <w:gridCol w:w="109"/>
        <w:gridCol w:w="109"/>
        <w:gridCol w:w="109"/>
        <w:gridCol w:w="260"/>
        <w:gridCol w:w="260"/>
        <w:gridCol w:w="261"/>
        <w:gridCol w:w="220"/>
        <w:gridCol w:w="220"/>
        <w:gridCol w:w="221"/>
        <w:gridCol w:w="109"/>
        <w:gridCol w:w="109"/>
        <w:gridCol w:w="109"/>
        <w:gridCol w:w="200"/>
        <w:gridCol w:w="200"/>
        <w:gridCol w:w="201"/>
        <w:gridCol w:w="420"/>
        <w:gridCol w:w="195"/>
        <w:gridCol w:w="196"/>
        <w:gridCol w:w="154"/>
      </w:tblGrid>
      <w:tr>
        <w:trPr/>
        <w:tc>
          <w:tcPr>
            <w:tcW w:w="24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447" w:type="dxa"/>
            <w:gridSpan w:val="35"/>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Federal Realty Investment Trust</w:t>
            </w:r>
          </w:p>
        </w:tc>
        <w:tc>
          <w:tcPr>
            <w:tcW w:w="781" w:type="dxa"/>
            <w:gridSpan w:val="3"/>
            <w:tcBorders/>
            <w:vAlign w:val="center"/>
          </w:tcPr>
          <w:p>
            <w:pPr>
              <w:pStyle w:val="TableContents"/>
              <w:bidi w:val="0"/>
              <w:spacing w:before="0" w:after="283"/>
              <w:jc w:val="left"/>
              <w:rPr>
                <w:sz w:val="4"/>
                <w:szCs w:val="4"/>
              </w:rPr>
            </w:pPr>
            <w:r>
              <w:rPr>
                <w:sz w:val="4"/>
                <w:szCs w:val="4"/>
              </w:rPr>
            </w:r>
          </w:p>
        </w:tc>
        <w:tc>
          <w:tcPr>
            <w:tcW w:w="2554" w:type="dxa"/>
            <w:gridSpan w:val="13"/>
            <w:tcBorders/>
          </w:tcPr>
          <w:p>
            <w:pPr>
              <w:pStyle w:val="TableContents"/>
              <w:bidi w:val="0"/>
              <w:spacing w:before="0" w:after="283"/>
              <w:jc w:val="left"/>
              <w:rPr>
                <w:sz w:val="4"/>
                <w:szCs w:val="4"/>
              </w:rPr>
            </w:pPr>
            <w:r>
              <w:rPr>
                <w:sz w:val="4"/>
                <w:szCs w:val="4"/>
              </w:rPr>
            </w:r>
          </w:p>
        </w:tc>
      </w:tr>
      <w:tr>
        <w:trPr/>
        <w:tc>
          <w:tcPr>
            <w:tcW w:w="7447" w:type="dxa"/>
            <w:gridSpan w:val="35"/>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Real Estate Status Report</w:t>
            </w:r>
          </w:p>
        </w:tc>
        <w:tc>
          <w:tcPr>
            <w:tcW w:w="781" w:type="dxa"/>
            <w:gridSpan w:val="3"/>
            <w:tcBorders/>
            <w:vAlign w:val="center"/>
          </w:tcPr>
          <w:p>
            <w:pPr>
              <w:pStyle w:val="TableContents"/>
              <w:bidi w:val="0"/>
              <w:spacing w:before="0" w:after="283"/>
              <w:jc w:val="left"/>
              <w:rPr>
                <w:sz w:val="4"/>
                <w:szCs w:val="4"/>
              </w:rPr>
            </w:pPr>
            <w:r>
              <w:rPr>
                <w:sz w:val="4"/>
                <w:szCs w:val="4"/>
              </w:rPr>
            </w:r>
          </w:p>
        </w:tc>
        <w:tc>
          <w:tcPr>
            <w:tcW w:w="2554" w:type="dxa"/>
            <w:gridSpan w:val="13"/>
            <w:tcBorders/>
          </w:tcPr>
          <w:p>
            <w:pPr>
              <w:pStyle w:val="TableContents"/>
              <w:bidi w:val="0"/>
              <w:spacing w:before="0" w:after="283"/>
              <w:jc w:val="left"/>
              <w:rPr>
                <w:sz w:val="4"/>
                <w:szCs w:val="4"/>
              </w:rPr>
            </w:pPr>
            <w:r>
              <w:rPr>
                <w:sz w:val="4"/>
                <w:szCs w:val="4"/>
              </w:rPr>
            </w:r>
          </w:p>
        </w:tc>
      </w:tr>
      <w:tr>
        <w:trPr/>
        <w:tc>
          <w:tcPr>
            <w:tcW w:w="7447" w:type="dxa"/>
            <w:gridSpan w:val="35"/>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March 31, 2024</w:t>
            </w:r>
          </w:p>
        </w:tc>
        <w:tc>
          <w:tcPr>
            <w:tcW w:w="781" w:type="dxa"/>
            <w:gridSpan w:val="3"/>
            <w:tcBorders/>
            <w:vAlign w:val="center"/>
          </w:tcPr>
          <w:p>
            <w:pPr>
              <w:pStyle w:val="TableContents"/>
              <w:bidi w:val="0"/>
              <w:spacing w:before="0" w:after="283"/>
              <w:jc w:val="left"/>
              <w:rPr>
                <w:sz w:val="4"/>
                <w:szCs w:val="4"/>
              </w:rPr>
            </w:pPr>
            <w:r>
              <w:rPr>
                <w:sz w:val="4"/>
                <w:szCs w:val="4"/>
              </w:rPr>
            </w:r>
          </w:p>
        </w:tc>
        <w:tc>
          <w:tcPr>
            <w:tcW w:w="2554" w:type="dxa"/>
            <w:gridSpan w:val="13"/>
            <w:tcBorders/>
          </w:tcPr>
          <w:p>
            <w:pPr>
              <w:pStyle w:val="TableContents"/>
              <w:bidi w:val="0"/>
              <w:spacing w:before="0" w:after="283"/>
              <w:jc w:val="left"/>
              <w:rPr>
                <w:sz w:val="4"/>
                <w:szCs w:val="4"/>
              </w:rPr>
            </w:pPr>
            <w:r>
              <w:rPr>
                <w:sz w:val="4"/>
                <w:szCs w:val="4"/>
              </w:rPr>
            </w:r>
          </w:p>
        </w:tc>
      </w:tr>
      <w:tr>
        <w:trPr/>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Property 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MSA Description</w:t>
            </w:r>
          </w:p>
        </w:tc>
        <w:tc>
          <w:tcPr>
            <w:tcW w:w="109" w:type="dxa"/>
            <w:tcBorders/>
            <w:vAlign w:val="center"/>
          </w:tcPr>
          <w:p>
            <w:pPr>
              <w:pStyle w:val="TableContents"/>
              <w:bidi w:val="0"/>
              <w:spacing w:before="0" w:after="283"/>
              <w:jc w:val="left"/>
              <w:rPr>
                <w:sz w:val="4"/>
                <w:szCs w:val="4"/>
              </w:rPr>
            </w:pPr>
            <w:r>
              <w:rPr>
                <w:sz w:val="4"/>
                <w:szCs w:val="4"/>
              </w:rPr>
            </w:r>
          </w:p>
        </w:tc>
        <w:tc>
          <w:tcPr>
            <w:tcW w:w="11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Real Estate at Cost</w:t>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Acreage</w:t>
            </w:r>
          </w:p>
        </w:tc>
        <w:tc>
          <w:tcPr>
            <w:tcW w:w="9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GLA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 Leased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Residential Units</w:t>
            </w:r>
          </w:p>
        </w:tc>
        <w:tc>
          <w:tcPr>
            <w:tcW w:w="66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14"/>
              </w:rPr>
              <w:t>Grocery Anchor GLA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Grocery Anchor (2)</w:t>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Other Retail Tenants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2"/>
              </w:rPr>
            </w:pPr>
            <w:r>
              <w:rPr>
                <w:rFonts w:ascii="Times New Roman;sans-serif" w:hAnsi="Times New Roman;sans-serif"/>
                <w:b w:val="false"/>
                <w:color w:val="000000"/>
                <w:sz w:val="12"/>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6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Hilton Village</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(3)(4)</w:t>
            </w:r>
          </w:p>
        </w:tc>
        <w:tc>
          <w:tcPr>
            <w:tcW w:w="1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Phoenix-Mesa-Chandler, AZ</w:t>
            </w:r>
          </w:p>
        </w:tc>
        <w:tc>
          <w:tcPr>
            <w:tcW w:w="109" w:type="dxa"/>
            <w:tcBorders/>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87,307 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305,000 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90 </w:t>
            </w:r>
          </w:p>
        </w:tc>
        <w:tc>
          <w:tcPr>
            <w:tcW w:w="3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CVS / Houston's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Lancaster</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(4)</w:t>
            </w:r>
          </w:p>
        </w:tc>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Lancaster, PA</w:t>
            </w:r>
          </w:p>
        </w:tc>
        <w:tc>
          <w:tcPr>
            <w:tcW w:w="109" w:type="dxa"/>
            <w:tcBorders/>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8,799 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126,000 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100 </w:t>
            </w:r>
          </w:p>
        </w:tc>
        <w:tc>
          <w:tcPr>
            <w:tcW w:w="3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75,000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Giant Food</w:t>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AutoZone</w:t>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29th Place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Charlottesville, VA</w:t>
            </w:r>
          </w:p>
        </w:tc>
        <w:tc>
          <w:tcPr>
            <w:tcW w:w="109" w:type="dxa"/>
            <w:tcBorders/>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40,938 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168,000 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98 </w:t>
            </w:r>
          </w:p>
        </w:tc>
        <w:tc>
          <w:tcPr>
            <w:tcW w:w="3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HomeGoods / DSW / Staples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Willow Lawn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Richmond, VA</w:t>
            </w:r>
          </w:p>
        </w:tc>
        <w:tc>
          <w:tcPr>
            <w:tcW w:w="109" w:type="dxa"/>
            <w:tcBorders/>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109,331 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462,000 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99 </w:t>
            </w:r>
          </w:p>
        </w:tc>
        <w:tc>
          <w:tcPr>
            <w:tcW w:w="3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66,000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Kroger</w:t>
            </w:r>
          </w:p>
        </w:tc>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4"/>
              </w:rPr>
            </w:pPr>
            <w:r>
              <w:rPr>
                <w:rFonts w:ascii="Times New Roman;sans-serif" w:hAnsi="Times New Roman;sans-serif"/>
                <w:b w:val="false"/>
                <w:color w:val="000000"/>
                <w:sz w:val="14"/>
              </w:rPr>
              <w:t>Old Navy / Ross Dress for Less / Gold's Gym / Dick's Sporting Goods / Ulta</w:t>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4"/>
              </w:rPr>
            </w:pPr>
            <w:r>
              <w:rPr>
                <w:rFonts w:ascii="Times New Roman;sans-serif" w:hAnsi="Times New Roman;sans-serif"/>
                <w:b/>
                <w:color w:val="000000"/>
                <w:sz w:val="14"/>
              </w:rPr>
              <w:t>Total Other</w:t>
            </w:r>
          </w:p>
        </w:tc>
        <w:tc>
          <w:tcPr>
            <w:tcW w:w="109" w:type="dxa"/>
            <w:tcBorders/>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559,780 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2,678,000 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91 </w:t>
            </w:r>
          </w:p>
        </w:tc>
        <w:tc>
          <w:tcPr>
            <w:tcW w:w="3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4"/>
              </w:rPr>
            </w:pPr>
            <w:r>
              <w:rPr>
                <w:rFonts w:ascii="Times New Roman;sans-serif" w:hAnsi="Times New Roman;sans-serif"/>
                <w:b w:val="false"/>
                <w:color w:val="000000"/>
                <w:sz w:val="1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Grand Total</w:t>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4"/>
              </w:rPr>
              <w:t>10,605,101</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4"/>
              </w:rPr>
              <w:t>2,037</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4"/>
              </w:rPr>
              <w:t>26,198,000</w:t>
            </w:r>
            <w:r>
              <w:rPr>
                <w:color w:val="000000"/>
              </w:rPr>
              <w:t> </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4"/>
              </w:rPr>
              <w:t>94</w:t>
            </w:r>
            <w:r>
              <w:rPr>
                <w:color w:val="000000"/>
              </w:rPr>
              <w:t> </w:t>
            </w:r>
          </w:p>
        </w:tc>
        <w:tc>
          <w:tcPr>
            <w:tcW w:w="3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color w:val="000000"/>
                <w:sz w:val="14"/>
              </w:rPr>
            </w:pPr>
            <w:r>
              <w:rPr>
                <w:rFonts w:ascii="Times New Roman;sans-serif" w:hAnsi="Times New Roman;sans-serif"/>
                <w:b/>
                <w:color w:val="000000"/>
                <w:sz w:val="14"/>
              </w:rPr>
              <w:t>%</w:t>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3,104</w:t>
            </w:r>
          </w:p>
        </w:tc>
        <w:tc>
          <w:tcPr>
            <w:tcW w:w="661"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93"/>
        <w:gridCol w:w="169"/>
        <w:gridCol w:w="171"/>
        <w:gridCol w:w="2837"/>
        <w:gridCol w:w="2830"/>
        <w:gridCol w:w="4005"/>
      </w:tblGrid>
      <w:tr>
        <w:trPr/>
        <w:tc>
          <w:tcPr>
            <w:tcW w:w="193"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837" w:type="dxa"/>
            <w:tcBorders/>
            <w:vAlign w:val="center"/>
          </w:tcPr>
          <w:p>
            <w:pPr>
              <w:pStyle w:val="TableContents"/>
              <w:bidi w:val="0"/>
              <w:spacing w:before="0" w:after="283"/>
              <w:jc w:val="left"/>
              <w:rPr>
                <w:sz w:val="4"/>
                <w:szCs w:val="4"/>
              </w:rPr>
            </w:pPr>
            <w:r>
              <w:rPr>
                <w:sz w:val="4"/>
                <w:szCs w:val="4"/>
              </w:rPr>
            </w:r>
          </w:p>
        </w:tc>
        <w:tc>
          <w:tcPr>
            <w:tcW w:w="2830" w:type="dxa"/>
            <w:tcBorders/>
            <w:vAlign w:val="center"/>
          </w:tcPr>
          <w:p>
            <w:pPr>
              <w:pStyle w:val="TableContents"/>
              <w:bidi w:val="0"/>
              <w:spacing w:before="0" w:after="283"/>
              <w:jc w:val="left"/>
              <w:rPr>
                <w:sz w:val="4"/>
                <w:szCs w:val="4"/>
              </w:rPr>
            </w:pPr>
            <w:r>
              <w:rPr>
                <w:sz w:val="4"/>
                <w:szCs w:val="4"/>
              </w:rPr>
            </w:r>
          </w:p>
        </w:tc>
        <w:tc>
          <w:tcPr>
            <w:tcW w:w="4005" w:type="dxa"/>
            <w:tcBorders/>
            <w:vAlign w:val="center"/>
          </w:tcPr>
          <w:p>
            <w:pPr>
              <w:pStyle w:val="TableContents"/>
              <w:bidi w:val="0"/>
              <w:spacing w:before="0" w:after="283"/>
              <w:jc w:val="left"/>
              <w:rPr>
                <w:sz w:val="4"/>
                <w:szCs w:val="4"/>
              </w:rPr>
            </w:pPr>
            <w:r>
              <w:rPr>
                <w:sz w:val="4"/>
                <w:szCs w:val="4"/>
              </w:rPr>
            </w:r>
          </w:p>
        </w:tc>
      </w:tr>
      <w:tr>
        <w:trPr/>
        <w:tc>
          <w:tcPr>
            <w:tcW w:w="5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u w:val="single"/>
              </w:rPr>
            </w:pPr>
            <w:r>
              <w:rPr>
                <w:rFonts w:ascii="Times New Roman;sans-serif" w:hAnsi="Times New Roman;sans-serif"/>
                <w:b w:val="false"/>
                <w:color w:val="000000"/>
                <w:sz w:val="16"/>
                <w:u w:val="single"/>
              </w:rPr>
              <w:t>Notes:</w:t>
            </w:r>
          </w:p>
        </w:tc>
        <w:tc>
          <w:tcPr>
            <w:tcW w:w="96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96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Represents the GLA and the percentage leased of the commercial portion of the property. Some of our properties include office space which is included in this square footage. Excludes newly created redevelopment square footage not yet in service, as well as residential and hotel square footage.</w:t>
            </w:r>
          </w:p>
        </w:tc>
      </w:tr>
      <w:tr>
        <w:trPr/>
        <w:tc>
          <w:tcPr>
            <w:tcW w:w="533" w:type="dxa"/>
            <w:gridSpan w:val="3"/>
            <w:tcBorders/>
            <w:vAlign w:val="center"/>
          </w:tcPr>
          <w:p>
            <w:pPr>
              <w:pStyle w:val="TableContents"/>
              <w:bidi w:val="0"/>
              <w:spacing w:before="0" w:after="283"/>
              <w:jc w:val="left"/>
              <w:rPr>
                <w:sz w:val="4"/>
                <w:szCs w:val="4"/>
              </w:rPr>
            </w:pPr>
            <w:r>
              <w:rPr>
                <w:sz w:val="4"/>
                <w:szCs w:val="4"/>
              </w:rPr>
            </w:r>
          </w:p>
        </w:tc>
        <w:tc>
          <w:tcPr>
            <w:tcW w:w="9672" w:type="dxa"/>
            <w:gridSpan w:val="3"/>
            <w:tcBorders/>
            <w:vAlign w:val="center"/>
          </w:tcPr>
          <w:p>
            <w:pPr>
              <w:pStyle w:val="TableContents"/>
              <w:bidi w:val="0"/>
              <w:spacing w:before="0" w:after="283"/>
              <w:jc w:val="left"/>
              <w:rPr>
                <w:sz w:val="4"/>
                <w:szCs w:val="4"/>
              </w:rPr>
            </w:pPr>
            <w:r>
              <w:rPr>
                <w:sz w:val="4"/>
                <w:szCs w:val="4"/>
              </w:rPr>
            </w:r>
          </w:p>
        </w:tc>
      </w:tr>
      <w:tr>
        <w:trPr/>
        <w:tc>
          <w:tcPr>
            <w:tcW w:w="5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(2)</w:t>
            </w:r>
          </w:p>
        </w:tc>
        <w:tc>
          <w:tcPr>
            <w:tcW w:w="96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TBA indicates that a lease is signed.</w:t>
            </w:r>
          </w:p>
        </w:tc>
      </w:tr>
      <w:tr>
        <w:trPr/>
        <w:tc>
          <w:tcPr>
            <w:tcW w:w="5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(3)</w:t>
            </w:r>
          </w:p>
        </w:tc>
        <w:tc>
          <w:tcPr>
            <w:tcW w:w="967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5"/>
              </w:rPr>
              <w:t xml:space="preserve">The Trust has a controlling financial interest in this property. On April 1, 2024, we acquired the noncontrolling interest in the partnership that owns our CocoWalk property. See page </w:t>
            </w:r>
            <w:hyperlink w:anchor="ic3f45c93d4bc43638f13ef7595b5c7a3_40">
              <w:r>
                <w:rPr>
                  <w:rStyle w:val="InternetLink"/>
                  <w:rFonts w:ascii="Times New Roman;sans-serif" w:hAnsi="Times New Roman;sans-serif"/>
                  <w:b w:val="false"/>
                  <w:strike w:val="false"/>
                  <w:dstrike w:val="false"/>
                  <w:color w:val="000000"/>
                  <w:sz w:val="15"/>
                  <w:u w:val="none"/>
                  <w:effect w:val="none"/>
                </w:rPr>
                <w:t>17</w:t>
              </w:r>
            </w:hyperlink>
            <w:r>
              <w:rPr>
                <w:rFonts w:ascii="Times New Roman;sans-serif" w:hAnsi="Times New Roman;sans-serif"/>
                <w:b w:val="false"/>
                <w:color w:val="000000"/>
                <w:sz w:val="15"/>
              </w:rPr>
              <w:t xml:space="preserve"> for additional information.</w:t>
            </w:r>
          </w:p>
        </w:tc>
      </w:tr>
      <w:tr>
        <w:trPr/>
        <w:tc>
          <w:tcPr>
            <w:tcW w:w="5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(4)</w:t>
            </w:r>
          </w:p>
        </w:tc>
        <w:tc>
          <w:tcPr>
            <w:tcW w:w="96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All or a portion of this property is owned pursuant to a ground lease.</w:t>
            </w:r>
          </w:p>
        </w:tc>
      </w:tr>
      <w:tr>
        <w:trPr/>
        <w:tc>
          <w:tcPr>
            <w:tcW w:w="5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(5)</w:t>
            </w:r>
          </w:p>
        </w:tc>
        <w:tc>
          <w:tcPr>
            <w:tcW w:w="96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All or a portion of the property is owned in a "downREIT" partnership, of which a wholly owned subsidiary of the Trust is the sole general partner, with third party partners holding operating partnership units.</w:t>
            </w:r>
          </w:p>
        </w:tc>
      </w:tr>
      <w:tr>
        <w:trPr/>
        <w:tc>
          <w:tcPr>
            <w:tcW w:w="533" w:type="dxa"/>
            <w:gridSpan w:val="3"/>
            <w:tcBorders/>
            <w:vAlign w:val="center"/>
          </w:tcPr>
          <w:p>
            <w:pPr>
              <w:pStyle w:val="TableContents"/>
              <w:bidi w:val="0"/>
              <w:spacing w:before="0" w:after="283"/>
              <w:jc w:val="left"/>
              <w:rPr>
                <w:sz w:val="4"/>
                <w:szCs w:val="4"/>
              </w:rPr>
            </w:pPr>
            <w:r>
              <w:rPr>
                <w:sz w:val="4"/>
                <w:szCs w:val="4"/>
              </w:rPr>
            </w:r>
          </w:p>
        </w:tc>
        <w:tc>
          <w:tcPr>
            <w:tcW w:w="9672" w:type="dxa"/>
            <w:gridSpan w:val="3"/>
            <w:tcBorders/>
            <w:vAlign w:val="center"/>
          </w:tcPr>
          <w:p>
            <w:pPr>
              <w:pStyle w:val="TableContents"/>
              <w:bidi w:val="0"/>
              <w:spacing w:before="0" w:after="283"/>
              <w:jc w:val="left"/>
              <w:rPr>
                <w:sz w:val="4"/>
                <w:szCs w:val="4"/>
              </w:rPr>
            </w:pPr>
            <w:r>
              <w:rPr>
                <w:sz w:val="4"/>
                <w:szCs w:val="4"/>
              </w:rPr>
            </w:r>
          </w:p>
        </w:tc>
      </w:tr>
      <w:tr>
        <w:trPr/>
        <w:tc>
          <w:tcPr>
            <w:tcW w:w="533" w:type="dxa"/>
            <w:gridSpan w:val="3"/>
            <w:tcBorders/>
            <w:vAlign w:val="center"/>
          </w:tcPr>
          <w:p>
            <w:pPr>
              <w:pStyle w:val="TableContents"/>
              <w:bidi w:val="0"/>
              <w:spacing w:before="0" w:after="283"/>
              <w:jc w:val="left"/>
              <w:rPr>
                <w:sz w:val="4"/>
                <w:szCs w:val="4"/>
              </w:rPr>
            </w:pPr>
            <w:r>
              <w:rPr>
                <w:sz w:val="4"/>
                <w:szCs w:val="4"/>
              </w:rPr>
            </w:r>
          </w:p>
        </w:tc>
        <w:tc>
          <w:tcPr>
            <w:tcW w:w="9672" w:type="dxa"/>
            <w:gridSpan w:val="3"/>
            <w:tcBorders/>
            <w:vAlign w:val="center"/>
          </w:tcPr>
          <w:p>
            <w:pPr>
              <w:pStyle w:val="TableContents"/>
              <w:bidi w:val="0"/>
              <w:spacing w:before="0" w:after="283"/>
              <w:jc w:val="left"/>
              <w:rPr>
                <w:sz w:val="4"/>
                <w:szCs w:val="4"/>
              </w:rPr>
            </w:pPr>
            <w:r>
              <w:rPr>
                <w:sz w:val="4"/>
                <w:szCs w:val="4"/>
              </w:rPr>
            </w:r>
          </w:p>
        </w:tc>
      </w:tr>
      <w:tr>
        <w:trPr/>
        <w:tc>
          <w:tcPr>
            <w:tcW w:w="5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(6)</w:t>
            </w:r>
          </w:p>
        </w:tc>
        <w:tc>
          <w:tcPr>
            <w:tcW w:w="96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This property includes 40 buildings primarily along Washington Street and 14th Street in Hoboken, New Jersey.</w:t>
            </w:r>
          </w:p>
        </w:tc>
      </w:tr>
      <w:tr>
        <w:trPr/>
        <w:tc>
          <w:tcPr>
            <w:tcW w:w="5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(7)</w:t>
            </w:r>
          </w:p>
        </w:tc>
        <w:tc>
          <w:tcPr>
            <w:tcW w:w="96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This property includes CocoWalk and interests in four buildings in Coconut Grove.</w:t>
            </w:r>
          </w:p>
        </w:tc>
      </w:tr>
      <w:tr>
        <w:trPr/>
        <w:tc>
          <w:tcPr>
            <w:tcW w:w="5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w:t>
            </w:r>
          </w:p>
        </w:tc>
        <w:tc>
          <w:tcPr>
            <w:tcW w:w="96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5"/>
              </w:rPr>
            </w:pPr>
            <w:r>
              <w:rPr>
                <w:rFonts w:ascii="Times New Roman;sans-serif" w:hAnsi="Times New Roman;sans-serif"/>
                <w:b w:val="false"/>
                <w:color w:val="000000"/>
                <w:sz w:val="15"/>
              </w:rPr>
              <w:t>Grocer is a shadow anchor located adjacent to the property, but is not part of the owned property.</w:t>
            </w:r>
          </w:p>
        </w:tc>
      </w:tr>
      <w:tr>
        <w:trPr/>
        <w:tc>
          <w:tcPr>
            <w:tcW w:w="533" w:type="dxa"/>
            <w:gridSpan w:val="3"/>
            <w:tcBorders/>
            <w:vAlign w:val="center"/>
          </w:tcPr>
          <w:p>
            <w:pPr>
              <w:pStyle w:val="TableContents"/>
              <w:bidi w:val="0"/>
              <w:spacing w:before="0" w:after="283"/>
              <w:jc w:val="left"/>
              <w:rPr>
                <w:sz w:val="4"/>
                <w:szCs w:val="4"/>
              </w:rPr>
            </w:pPr>
            <w:r>
              <w:rPr>
                <w:sz w:val="4"/>
                <w:szCs w:val="4"/>
              </w:rPr>
            </w:r>
          </w:p>
        </w:tc>
        <w:tc>
          <w:tcPr>
            <w:tcW w:w="9672"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tbl>
      <w:tblPr>
        <w:tblW w:w="14365" w:type="dxa"/>
        <w:jc w:val="center"/>
        <w:tblInd w:w="0" w:type="dxa"/>
        <w:tblLayout w:type="fixed"/>
        <w:tblCellMar>
          <w:top w:w="28" w:type="dxa"/>
          <w:left w:w="28" w:type="dxa"/>
          <w:bottom w:w="28" w:type="dxa"/>
          <w:right w:w="28" w:type="dxa"/>
        </w:tblCellMar>
      </w:tblPr>
      <w:tblGrid>
        <w:gridCol w:w="233"/>
        <w:gridCol w:w="205"/>
        <w:gridCol w:w="208"/>
        <w:gridCol w:w="109"/>
        <w:gridCol w:w="109"/>
        <w:gridCol w:w="109"/>
        <w:gridCol w:w="241"/>
        <w:gridCol w:w="180"/>
        <w:gridCol w:w="181"/>
        <w:gridCol w:w="109"/>
        <w:gridCol w:w="109"/>
        <w:gridCol w:w="109"/>
        <w:gridCol w:w="243"/>
        <w:gridCol w:w="178"/>
        <w:gridCol w:w="395"/>
        <w:gridCol w:w="109"/>
        <w:gridCol w:w="109"/>
        <w:gridCol w:w="109"/>
        <w:gridCol w:w="435"/>
        <w:gridCol w:w="436"/>
        <w:gridCol w:w="146"/>
        <w:gridCol w:w="109"/>
        <w:gridCol w:w="109"/>
        <w:gridCol w:w="109"/>
        <w:gridCol w:w="196"/>
        <w:gridCol w:w="556"/>
        <w:gridCol w:w="109"/>
        <w:gridCol w:w="109"/>
        <w:gridCol w:w="109"/>
        <w:gridCol w:w="109"/>
        <w:gridCol w:w="196"/>
        <w:gridCol w:w="556"/>
        <w:gridCol w:w="241"/>
        <w:gridCol w:w="109"/>
        <w:gridCol w:w="109"/>
        <w:gridCol w:w="109"/>
        <w:gridCol w:w="196"/>
        <w:gridCol w:w="871"/>
        <w:gridCol w:w="109"/>
        <w:gridCol w:w="109"/>
        <w:gridCol w:w="109"/>
        <w:gridCol w:w="109"/>
        <w:gridCol w:w="167"/>
        <w:gridCol w:w="167"/>
        <w:gridCol w:w="372"/>
        <w:gridCol w:w="109"/>
        <w:gridCol w:w="109"/>
        <w:gridCol w:w="109"/>
        <w:gridCol w:w="196"/>
        <w:gridCol w:w="556"/>
        <w:gridCol w:w="241"/>
        <w:gridCol w:w="109"/>
        <w:gridCol w:w="109"/>
        <w:gridCol w:w="109"/>
        <w:gridCol w:w="266"/>
        <w:gridCol w:w="200"/>
        <w:gridCol w:w="201"/>
        <w:gridCol w:w="109"/>
        <w:gridCol w:w="109"/>
        <w:gridCol w:w="109"/>
        <w:gridCol w:w="196"/>
        <w:gridCol w:w="961"/>
        <w:gridCol w:w="109"/>
        <w:gridCol w:w="327"/>
        <w:gridCol w:w="198"/>
        <w:gridCol w:w="562"/>
        <w:gridCol w:w="111"/>
        <w:gridCol w:w="154"/>
      </w:tblGrid>
      <w:tr>
        <w:trPr/>
        <w:tc>
          <w:tcPr>
            <w:tcW w:w="23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4211" w:type="dxa"/>
            <w:gridSpan w:val="6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Federal Realty Investment Trust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4211" w:type="dxa"/>
            <w:gridSpan w:val="6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Retail Leasing Summary (1)</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4211" w:type="dxa"/>
            <w:gridSpan w:val="6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March 31, 2024</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4211" w:type="dxa"/>
            <w:gridSpan w:val="6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211" w:type="dxa"/>
            <w:gridSpan w:val="6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Total Lease Summary - Comparable (2)</w:t>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Quarter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Number of Leases Signed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 of Comparable Leases Signed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GLA Signed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Contractual Rent (3) Per Sq. Ft. (PSF)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Prior Rent (4) PSF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12"/>
              </w:rPr>
              <w:t>Annual Increase in Rent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Cash Basis % Increase Over Prior Rent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Straight-lined Basis % Increase Over Prior Rent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Weighted Average Lease Term (5)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Tenant Improvements &amp; Incentives (6)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Tenant Improvements &amp; Incentives PSF</w:t>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1st Quarter 2024</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104 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100 </w:t>
            </w:r>
          </w:p>
        </w:tc>
        <w:tc>
          <w:tcPr>
            <w:tcW w:w="3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566,865 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33.30 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1,750,831 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9 </w:t>
            </w:r>
          </w:p>
        </w:tc>
        <w:tc>
          <w:tcPr>
            <w:tcW w:w="3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15,902,708 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28.05 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4th Quarter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100 </w:t>
            </w:r>
          </w:p>
        </w:tc>
        <w:tc>
          <w:tcPr>
            <w:tcW w:w="3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393,761 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39.97 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1,811,782 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12 </w:t>
            </w:r>
          </w:p>
        </w:tc>
        <w:tc>
          <w:tcPr>
            <w:tcW w:w="3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13,762,615 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34.95 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3rd Quarter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100 </w:t>
            </w:r>
          </w:p>
        </w:tc>
        <w:tc>
          <w:tcPr>
            <w:tcW w:w="3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552,765 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31.17 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1,848,740 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11 </w:t>
            </w:r>
          </w:p>
        </w:tc>
        <w:tc>
          <w:tcPr>
            <w:tcW w:w="3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17,240,180 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31.19 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2nd Quarter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107 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100 </w:t>
            </w:r>
          </w:p>
        </w:tc>
        <w:tc>
          <w:tcPr>
            <w:tcW w:w="3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576,345 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33.09 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1,295,986 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7 </w:t>
            </w:r>
          </w:p>
        </w:tc>
        <w:tc>
          <w:tcPr>
            <w:tcW w:w="3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9,582,941 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16.63 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Total - 12 months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411 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100 </w:t>
            </w:r>
          </w:p>
        </w:tc>
        <w:tc>
          <w:tcPr>
            <w:tcW w:w="3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2,089,736 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33.93 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6,707,339 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9 </w:t>
            </w:r>
          </w:p>
        </w:tc>
        <w:tc>
          <w:tcPr>
            <w:tcW w:w="3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56,488,444 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27.03 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211" w:type="dxa"/>
            <w:gridSpan w:val="6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New Lease Summary - Comparable (2)</w:t>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Quarter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Number of Leases Signed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 of Comparable Leases Signed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GLA Signed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Contractual Rent (3) PSF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Prior Rent (4) PSF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Annual Increase in 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Cash Basis % Increase Over Prior 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Straight-lined Basis % Increase Over Prior 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Weighted Average Lease Term (5)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Tenant Improvements &amp; Incentives (6)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Tenant Improvements &amp; Incentives PSF</w:t>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1st Quarter 2024</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40 </w:t>
            </w:r>
          </w:p>
        </w:tc>
        <w:tc>
          <w:tcPr>
            <w:tcW w:w="3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222,415 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32.99 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1,438,272 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20 </w:t>
            </w:r>
          </w:p>
        </w:tc>
        <w:tc>
          <w:tcPr>
            <w:tcW w:w="3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14,313,788 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64.36 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4th Quarter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45 </w:t>
            </w:r>
          </w:p>
        </w:tc>
        <w:tc>
          <w:tcPr>
            <w:tcW w:w="3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234,729 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33.46 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1,247,214 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16 </w:t>
            </w:r>
          </w:p>
        </w:tc>
        <w:tc>
          <w:tcPr>
            <w:tcW w:w="3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9.4 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12,989,353 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55.34 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3rd Quarter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56 </w:t>
            </w:r>
          </w:p>
        </w:tc>
        <w:tc>
          <w:tcPr>
            <w:tcW w:w="3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410,575 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24.91 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1,340,705 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13 </w:t>
            </w:r>
          </w:p>
        </w:tc>
        <w:tc>
          <w:tcPr>
            <w:tcW w:w="3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11.0 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16,926,600 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41.23 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2nd Quarter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39 </w:t>
            </w:r>
          </w:p>
        </w:tc>
        <w:tc>
          <w:tcPr>
            <w:tcW w:w="3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128,861 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37.91 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651,591 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13 </w:t>
            </w:r>
          </w:p>
        </w:tc>
        <w:tc>
          <w:tcPr>
            <w:tcW w:w="3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8,784,091 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68.17 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Total - 12 months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185 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45 </w:t>
            </w:r>
          </w:p>
        </w:tc>
        <w:tc>
          <w:tcPr>
            <w:tcW w:w="3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996,580 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30.41 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4,677,782 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15 </w:t>
            </w:r>
          </w:p>
        </w:tc>
        <w:tc>
          <w:tcPr>
            <w:tcW w:w="3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9.8 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53,013,832 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53.20 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211" w:type="dxa"/>
            <w:gridSpan w:val="6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Renewal Lease Summary - Comparable (2) (7)</w:t>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Quarter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Number of Leases Signed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 of Comparable Leases Signed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GLA Signed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Contractual Rent (3) PSF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Prior Rent (4) PSF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Annual Increase in 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Cash Basis % Increase Over Prior 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Straight-lined Basis % Increase Over Prior 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Weighted Average Lease Term (5)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Tenant Improvements &amp; Incentives (6)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Tenant Improvements &amp; Incentives PSF</w:t>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1st Quarter 2024</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60 </w:t>
            </w:r>
          </w:p>
        </w:tc>
        <w:tc>
          <w:tcPr>
            <w:tcW w:w="3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344,450 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33.51 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312,559 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3 </w:t>
            </w:r>
          </w:p>
        </w:tc>
        <w:tc>
          <w:tcPr>
            <w:tcW w:w="3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1,588,920 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4.61 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4th Quarter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55 </w:t>
            </w:r>
          </w:p>
        </w:tc>
        <w:tc>
          <w:tcPr>
            <w:tcW w:w="3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159,032 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49.57 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564,568 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7 </w:t>
            </w:r>
          </w:p>
        </w:tc>
        <w:tc>
          <w:tcPr>
            <w:tcW w:w="3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773,262 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3rd Quarter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44 </w:t>
            </w:r>
          </w:p>
        </w:tc>
        <w:tc>
          <w:tcPr>
            <w:tcW w:w="3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142,190 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49.23 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508,035 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7 </w:t>
            </w:r>
          </w:p>
        </w:tc>
        <w:tc>
          <w:tcPr>
            <w:tcW w:w="3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313,580 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2nd Quarter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61 </w:t>
            </w:r>
          </w:p>
        </w:tc>
        <w:tc>
          <w:tcPr>
            <w:tcW w:w="3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447,484 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31.71 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644,395 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5 </w:t>
            </w:r>
          </w:p>
        </w:tc>
        <w:tc>
          <w:tcPr>
            <w:tcW w:w="3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798,850 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Total - 12 months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226 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55 </w:t>
            </w:r>
          </w:p>
        </w:tc>
        <w:tc>
          <w:tcPr>
            <w:tcW w:w="3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1,093,156 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37.15 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2,029,557 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5 </w:t>
            </w:r>
          </w:p>
        </w:tc>
        <w:tc>
          <w:tcPr>
            <w:tcW w:w="3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3,474,612 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3.18 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211" w:type="dxa"/>
            <w:gridSpan w:val="6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Total Lease Summary - Comparable and Non-comparable (2) (8)</w:t>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Quarter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Number of Leases Signed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 of Comparable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9" w:type="dxa"/>
            <w:gridSpan w:val="9"/>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GLA Signed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Contractual Rent (3) PSF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Weighted Average Lease Term (5)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Tenant Improvements &amp; Incentives (6)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Tenant Improvements &amp; Incentives PSF</w:t>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1st Quarter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94 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7" w:type="dxa"/>
            <w:gridSpan w:val="8"/>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587,329 </w:t>
            </w:r>
          </w:p>
        </w:tc>
        <w:tc>
          <w:tcPr>
            <w:tcW w:w="3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36.94 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16,427,528 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27.97 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4th Quarter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98 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7" w:type="dxa"/>
            <w:gridSpan w:val="8"/>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398,378 </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44.64 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14,057,750 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35.29 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3rd Quarter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7" w:type="dxa"/>
            <w:gridSpan w:val="8"/>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565,496 </w:t>
            </w:r>
          </w:p>
        </w:tc>
        <w:tc>
          <w:tcPr>
            <w:tcW w:w="3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35.00 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8.9 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18,301,660 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32.36 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2nd Quarter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96 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7" w:type="dxa"/>
            <w:gridSpan w:val="8"/>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602,911 </w:t>
            </w:r>
          </w:p>
        </w:tc>
        <w:tc>
          <w:tcPr>
            <w:tcW w:w="372"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35.72 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11,511,825 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19.09 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Total - 12 months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96 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7" w:type="dxa"/>
            <w:gridSpan w:val="8"/>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2,154,114 </w:t>
            </w:r>
          </w:p>
        </w:tc>
        <w:tc>
          <w:tcPr>
            <w:tcW w:w="3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37.51 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60,298,763 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27.99 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211" w:type="dxa"/>
            <w:gridSpan w:val="6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Total Lease Summary - Comparable, Non-comparable, and Option Exercises (2) (8) (9)</w:t>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Quarter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Number of Leases Signed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9"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GLA Signed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Contractual Rent (3) PSF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Weighted Average Lease Term (5)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Tenant Improvements &amp; Incentives (6)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2"/>
              </w:rPr>
            </w:pPr>
            <w:r>
              <w:rPr>
                <w:rFonts w:ascii="Times New Roman;sans-serif" w:hAnsi="Times New Roman;sans-serif"/>
                <w:b/>
                <w:color w:val="000000"/>
                <w:sz w:val="12"/>
              </w:rPr>
              <w:t>Tenant Improvements &amp; Incentives PSF</w:t>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1st Quarter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7" w:type="dxa"/>
            <w:gridSpan w:val="8"/>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831,076 </w:t>
            </w:r>
          </w:p>
        </w:tc>
        <w:tc>
          <w:tcPr>
            <w:tcW w:w="3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34.55 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16,427,528 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19.77 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4th Quarter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7" w:type="dxa"/>
            <w:gridSpan w:val="8"/>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696,428 </w:t>
            </w:r>
          </w:p>
        </w:tc>
        <w:tc>
          <w:tcPr>
            <w:tcW w:w="3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38.73 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14,057,750 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20.19 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3rd Quarter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7" w:type="dxa"/>
            <w:gridSpan w:val="8"/>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1,047,182 </w:t>
            </w:r>
          </w:p>
        </w:tc>
        <w:tc>
          <w:tcPr>
            <w:tcW w:w="3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28.19 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18,301,660 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17.48 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2nd Quarter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7" w:type="dxa"/>
            <w:gridSpan w:val="8"/>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938,977 </w:t>
            </w:r>
          </w:p>
        </w:tc>
        <w:tc>
          <w:tcPr>
            <w:tcW w:w="372"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31.92 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11,511,825 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12.26 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Total - 12 months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7" w:type="dxa"/>
            <w:gridSpan w:val="8"/>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3,513,663 </w:t>
            </w:r>
          </w:p>
        </w:tc>
        <w:tc>
          <w:tcPr>
            <w:tcW w:w="3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32.78 </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6.9 </w:t>
            </w:r>
          </w:p>
        </w:tc>
        <w:tc>
          <w:tcPr>
            <w:tcW w:w="2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60,298,763 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17.16 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89"/>
        <w:gridCol w:w="165"/>
        <w:gridCol w:w="167"/>
        <w:gridCol w:w="2906"/>
        <w:gridCol w:w="2805"/>
        <w:gridCol w:w="3973"/>
      </w:tblGrid>
      <w:tr>
        <w:trPr/>
        <w:tc>
          <w:tcPr>
            <w:tcW w:w="18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906" w:type="dxa"/>
            <w:tcBorders/>
            <w:vAlign w:val="center"/>
          </w:tcPr>
          <w:p>
            <w:pPr>
              <w:pStyle w:val="TableContents"/>
              <w:bidi w:val="0"/>
              <w:spacing w:before="0" w:after="283"/>
              <w:jc w:val="left"/>
              <w:rPr>
                <w:sz w:val="4"/>
                <w:szCs w:val="4"/>
              </w:rPr>
            </w:pPr>
            <w:r>
              <w:rPr>
                <w:sz w:val="4"/>
                <w:szCs w:val="4"/>
              </w:rPr>
            </w:r>
          </w:p>
        </w:tc>
        <w:tc>
          <w:tcPr>
            <w:tcW w:w="2805" w:type="dxa"/>
            <w:tcBorders/>
            <w:vAlign w:val="center"/>
          </w:tcPr>
          <w:p>
            <w:pPr>
              <w:pStyle w:val="TableContents"/>
              <w:bidi w:val="0"/>
              <w:spacing w:before="0" w:after="283"/>
              <w:jc w:val="left"/>
              <w:rPr>
                <w:sz w:val="4"/>
                <w:szCs w:val="4"/>
              </w:rPr>
            </w:pPr>
            <w:r>
              <w:rPr>
                <w:sz w:val="4"/>
                <w:szCs w:val="4"/>
              </w:rPr>
            </w:r>
          </w:p>
        </w:tc>
        <w:tc>
          <w:tcPr>
            <w:tcW w:w="3973" w:type="dxa"/>
            <w:tcBorders/>
            <w:vAlign w:val="center"/>
          </w:tcPr>
          <w:p>
            <w:pPr>
              <w:pStyle w:val="TableContents"/>
              <w:bidi w:val="0"/>
              <w:spacing w:before="0" w:after="283"/>
              <w:jc w:val="left"/>
              <w:rPr>
                <w:sz w:val="4"/>
                <w:szCs w:val="4"/>
              </w:rPr>
            </w:pPr>
            <w:r>
              <w:rPr>
                <w:sz w:val="4"/>
                <w:szCs w:val="4"/>
              </w:rPr>
            </w:r>
          </w:p>
        </w:tc>
      </w:tr>
      <w:tr>
        <w:trPr/>
        <w:tc>
          <w:tcPr>
            <w:tcW w:w="5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u w:val="single"/>
              </w:rPr>
            </w:pPr>
            <w:r>
              <w:rPr>
                <w:rFonts w:ascii="Times New Roman;sans-serif" w:hAnsi="Times New Roman;sans-serif"/>
                <w:b w:val="false"/>
                <w:color w:val="000000"/>
                <w:sz w:val="16"/>
                <w:u w:val="single"/>
              </w:rPr>
              <w:t>Notes:</w:t>
            </w:r>
          </w:p>
        </w:tc>
        <w:tc>
          <w:tcPr>
            <w:tcW w:w="9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w:t>
            </w:r>
          </w:p>
        </w:tc>
        <w:tc>
          <w:tcPr>
            <w:tcW w:w="9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Information reflects activity in retail spaces only for consolidated properties; office and residential spaces are not included. See Glossary of Terms for further discussion of information included above.</w:t>
            </w:r>
          </w:p>
        </w:tc>
      </w:tr>
      <w:tr>
        <w:trPr/>
        <w:tc>
          <w:tcPr>
            <w:tcW w:w="5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(2)</w:t>
            </w:r>
          </w:p>
        </w:tc>
        <w:tc>
          <w:tcPr>
            <w:tcW w:w="9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Comparable leases represent those leases signed on spaces for which there was a former tenant. Contractual option exercises are not included unless they are fair market value options. </w:t>
            </w:r>
          </w:p>
        </w:tc>
      </w:tr>
      <w:tr>
        <w:trPr/>
        <w:tc>
          <w:tcPr>
            <w:tcW w:w="5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(3)</w:t>
            </w:r>
          </w:p>
        </w:tc>
        <w:tc>
          <w:tcPr>
            <w:tcW w:w="9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Contractual rent represents annual rent under the new lease.</w:t>
            </w:r>
          </w:p>
        </w:tc>
      </w:tr>
      <w:tr>
        <w:trPr/>
        <w:tc>
          <w:tcPr>
            <w:tcW w:w="5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(4)</w:t>
            </w:r>
          </w:p>
        </w:tc>
        <w:tc>
          <w:tcPr>
            <w:tcW w:w="9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Prior rent represents contractual rent, including percentage rent, from the prior tenant in the final 12 months of the term.</w:t>
            </w:r>
          </w:p>
        </w:tc>
      </w:tr>
      <w:tr>
        <w:trPr/>
        <w:tc>
          <w:tcPr>
            <w:tcW w:w="5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(5)</w:t>
            </w:r>
          </w:p>
        </w:tc>
        <w:tc>
          <w:tcPr>
            <w:tcW w:w="9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Weighted average is determined on the basis of contractual rent for the lease.</w:t>
            </w:r>
          </w:p>
        </w:tc>
      </w:tr>
      <w:tr>
        <w:trPr/>
        <w:tc>
          <w:tcPr>
            <w:tcW w:w="5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(6)</w:t>
            </w:r>
          </w:p>
        </w:tc>
        <w:tc>
          <w:tcPr>
            <w:tcW w:w="9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See Glossary of Terms.</w:t>
            </w:r>
          </w:p>
        </w:tc>
      </w:tr>
      <w:tr>
        <w:trPr/>
        <w:tc>
          <w:tcPr>
            <w:tcW w:w="5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(7)</w:t>
            </w:r>
          </w:p>
        </w:tc>
        <w:tc>
          <w:tcPr>
            <w:tcW w:w="9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Renewal leases represent expiring leases rolling over with the same tenant in the same location. All other leases are categorized as new.</w:t>
            </w:r>
          </w:p>
        </w:tc>
      </w:tr>
      <w:tr>
        <w:trPr/>
        <w:tc>
          <w:tcPr>
            <w:tcW w:w="5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(8)</w:t>
            </w:r>
          </w:p>
        </w:tc>
        <w:tc>
          <w:tcPr>
            <w:tcW w:w="9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The Number of Leases Signed, GLA Signed, Contractual Rent Per Sq. Ft. and Weighted Average Lease Term columns include information for leases signed at Phase III of Assembly Row and Phase IV of Pike &amp; Rose. The Tenant Improvements &amp; Incentives and Tenant Improvements &amp; Incentives Per Sq. Ft. columns do not include the tenant improvements and incentives on leases signed for those projects; these amounts for leases signed are included in the projected costs for the respective projects.</w:t>
            </w:r>
          </w:p>
        </w:tc>
      </w:tr>
      <w:tr>
        <w:trPr/>
        <w:tc>
          <w:tcPr>
            <w:tcW w:w="5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(9)</w:t>
            </w:r>
          </w:p>
        </w:tc>
        <w:tc>
          <w:tcPr>
            <w:tcW w:w="96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Option exercises reflect a fixed rate contractual option under the lease agreement that was exercised during the period reflected.</w:t>
            </w:r>
          </w:p>
        </w:tc>
      </w:tr>
      <w:tr>
        <w:trPr/>
        <w:tc>
          <w:tcPr>
            <w:tcW w:w="521" w:type="dxa"/>
            <w:gridSpan w:val="3"/>
            <w:tcBorders/>
            <w:vAlign w:val="center"/>
          </w:tcPr>
          <w:p>
            <w:pPr>
              <w:pStyle w:val="TableContents"/>
              <w:bidi w:val="0"/>
              <w:spacing w:before="0" w:after="283"/>
              <w:jc w:val="left"/>
              <w:rPr>
                <w:sz w:val="4"/>
                <w:szCs w:val="4"/>
              </w:rPr>
            </w:pPr>
            <w:r>
              <w:rPr>
                <w:sz w:val="4"/>
                <w:szCs w:val="4"/>
              </w:rPr>
            </w:r>
          </w:p>
        </w:tc>
        <w:tc>
          <w:tcPr>
            <w:tcW w:w="9684" w:type="dxa"/>
            <w:gridSpan w:val="3"/>
            <w:tcBorders/>
            <w:vAlign w:val="center"/>
          </w:tcPr>
          <w:p>
            <w:pPr>
              <w:pStyle w:val="TableContents"/>
              <w:bidi w:val="0"/>
              <w:spacing w:before="0" w:after="283"/>
              <w:jc w:val="left"/>
              <w:rPr>
                <w:sz w:val="4"/>
                <w:szCs w:val="4"/>
              </w:rPr>
            </w:pPr>
            <w:r>
              <w:rPr>
                <w:sz w:val="4"/>
                <w:szCs w:val="4"/>
              </w:rPr>
            </w:r>
          </w:p>
        </w:tc>
      </w:tr>
      <w:tr>
        <w:trPr/>
        <w:tc>
          <w:tcPr>
            <w:tcW w:w="521" w:type="dxa"/>
            <w:gridSpan w:val="3"/>
            <w:tcBorders/>
            <w:vAlign w:val="center"/>
          </w:tcPr>
          <w:p>
            <w:pPr>
              <w:pStyle w:val="TableContents"/>
              <w:bidi w:val="0"/>
              <w:spacing w:before="0" w:after="283"/>
              <w:jc w:val="left"/>
              <w:rPr>
                <w:sz w:val="4"/>
                <w:szCs w:val="4"/>
              </w:rPr>
            </w:pPr>
            <w:r>
              <w:rPr>
                <w:sz w:val="4"/>
                <w:szCs w:val="4"/>
              </w:rPr>
            </w:r>
          </w:p>
        </w:tc>
        <w:tc>
          <w:tcPr>
            <w:tcW w:w="9684"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472"/>
        <w:gridCol w:w="247"/>
        <w:gridCol w:w="212"/>
        <w:gridCol w:w="479"/>
        <w:gridCol w:w="482"/>
        <w:gridCol w:w="267"/>
        <w:gridCol w:w="246"/>
        <w:gridCol w:w="178"/>
        <w:gridCol w:w="263"/>
        <w:gridCol w:w="365"/>
        <w:gridCol w:w="290"/>
        <w:gridCol w:w="291"/>
        <w:gridCol w:w="109"/>
        <w:gridCol w:w="109"/>
        <w:gridCol w:w="109"/>
        <w:gridCol w:w="435"/>
        <w:gridCol w:w="436"/>
        <w:gridCol w:w="267"/>
        <w:gridCol w:w="299"/>
        <w:gridCol w:w="127"/>
        <w:gridCol w:w="266"/>
        <w:gridCol w:w="365"/>
        <w:gridCol w:w="290"/>
        <w:gridCol w:w="291"/>
        <w:gridCol w:w="109"/>
        <w:gridCol w:w="109"/>
        <w:gridCol w:w="109"/>
        <w:gridCol w:w="479"/>
        <w:gridCol w:w="482"/>
        <w:gridCol w:w="268"/>
        <w:gridCol w:w="273"/>
        <w:gridCol w:w="150"/>
        <w:gridCol w:w="292"/>
        <w:gridCol w:w="384"/>
        <w:gridCol w:w="268"/>
        <w:gridCol w:w="387"/>
      </w:tblGrid>
      <w:tr>
        <w:trPr/>
        <w:tc>
          <w:tcPr>
            <w:tcW w:w="472"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r>
      <w:tr>
        <w:trPr/>
        <w:tc>
          <w:tcPr>
            <w:tcW w:w="10205" w:type="dxa"/>
            <w:gridSpan w:val="3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Federal Realty Investment Trust</w:t>
            </w:r>
          </w:p>
        </w:tc>
      </w:tr>
      <w:tr>
        <w:trPr/>
        <w:tc>
          <w:tcPr>
            <w:tcW w:w="10205" w:type="dxa"/>
            <w:gridSpan w:val="3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Lease Expirations</w:t>
            </w:r>
          </w:p>
        </w:tc>
      </w:tr>
      <w:tr>
        <w:trPr/>
        <w:tc>
          <w:tcPr>
            <w:tcW w:w="10205" w:type="dxa"/>
            <w:gridSpan w:val="3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March 31, 2024</w:t>
            </w:r>
          </w:p>
        </w:tc>
      </w:tr>
      <w:tr>
        <w:trPr/>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2" w:type="dxa"/>
            <w:gridSpan w:val="1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Assumes no exercise of lease options</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Anchor Tenants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Small Shop Tenants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w:t>
            </w:r>
          </w:p>
        </w:tc>
        <w:tc>
          <w:tcPr>
            <w:tcW w:w="12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16"/>
              </w:rPr>
              <w:t>Expiring SF</w:t>
            </w:r>
          </w:p>
        </w:tc>
        <w:tc>
          <w:tcPr>
            <w:tcW w:w="6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16"/>
              </w:rPr>
              <w:t>% of Anchor SF</w:t>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16"/>
              </w:rPr>
              <w:t>Minimum Rent PSF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16"/>
              </w:rPr>
              <w:t>Expiring SF</w:t>
            </w:r>
          </w:p>
        </w:tc>
        <w:tc>
          <w:tcPr>
            <w:tcW w:w="6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16"/>
              </w:rPr>
              <w:t>% of Small Shop SF</w:t>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16"/>
              </w:rPr>
              <w:t>Minimum Rent PSF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16"/>
              </w:rPr>
              <w:t>Expiring SF (4)</w:t>
            </w:r>
          </w:p>
        </w:tc>
        <w:tc>
          <w:tcPr>
            <w:tcW w:w="7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16"/>
              </w:rPr>
              <w:t>% of Total SF</w:t>
            </w:r>
          </w:p>
        </w:tc>
        <w:tc>
          <w:tcPr>
            <w:tcW w:w="10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16"/>
              </w:rPr>
              <w:t>Minimum Rent PSF (2)</w:t>
            </w:r>
          </w:p>
        </w:tc>
      </w:tr>
      <w:tr>
        <w:trPr/>
        <w:tc>
          <w:tcPr>
            <w:tcW w:w="9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2024</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659,000 </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$20.97 </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575,000 </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$41.64 </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1,234,000 </w:t>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$30.59 </w:t>
            </w:r>
          </w:p>
        </w:tc>
        <w:tc>
          <w:tcPr>
            <w:tcW w:w="3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2025</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2,108,000 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2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$19.32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1,090,000 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$40.72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3,198,000 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$26.61 </w:t>
            </w:r>
          </w:p>
        </w:tc>
        <w:tc>
          <w:tcPr>
            <w:tcW w:w="3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2026</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1,227,000 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2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$23.16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954,000 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2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$50.04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2,181,000 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$34.92 </w:t>
            </w:r>
          </w:p>
        </w:tc>
        <w:tc>
          <w:tcPr>
            <w:tcW w:w="3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2027</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2,037,000 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2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$25.88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1,041,000 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$51.40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3,078,000 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$34.51 </w:t>
            </w:r>
          </w:p>
        </w:tc>
        <w:tc>
          <w:tcPr>
            <w:tcW w:w="3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2028</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1,640,000 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2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$20.95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1,024,000 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2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$52.05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2,664,000 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$32.91 </w:t>
            </w:r>
          </w:p>
        </w:tc>
        <w:tc>
          <w:tcPr>
            <w:tcW w:w="3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2029</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2,156,000 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2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$24.34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985,000 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$48.63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3,141,000 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$31.96 </w:t>
            </w:r>
          </w:p>
        </w:tc>
        <w:tc>
          <w:tcPr>
            <w:tcW w:w="3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2030</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882,000 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2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$20.06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440,000 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2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$50.76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1,322,000 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$30.29 </w:t>
            </w:r>
          </w:p>
        </w:tc>
        <w:tc>
          <w:tcPr>
            <w:tcW w:w="3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2031</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724,000 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2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$26.40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453,000 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$46.84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1,177,000 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$34.28 </w:t>
            </w:r>
          </w:p>
        </w:tc>
        <w:tc>
          <w:tcPr>
            <w:tcW w:w="3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2032</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1,648,000 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2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$29.48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575,000 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2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$46.85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2,223,000 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$33.97 </w:t>
            </w:r>
          </w:p>
        </w:tc>
        <w:tc>
          <w:tcPr>
            <w:tcW w:w="3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2033</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935,000 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2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$25.55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482,000 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$46.97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1,417,000 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$32.84 </w:t>
            </w:r>
          </w:p>
        </w:tc>
        <w:tc>
          <w:tcPr>
            <w:tcW w:w="3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Thereafter</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2,075,000 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2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$26.95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391,000 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2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$51.20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2,466,000 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$30.79 </w:t>
            </w:r>
          </w:p>
        </w:tc>
        <w:tc>
          <w:tcPr>
            <w:tcW w:w="3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Total (3)</w:t>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16,091,000 </w:t>
            </w:r>
          </w:p>
        </w:tc>
        <w:tc>
          <w:tcPr>
            <w:tcW w:w="2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2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$24.09 </w:t>
            </w:r>
          </w:p>
        </w:tc>
        <w:tc>
          <w:tcPr>
            <w:tcW w:w="2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8,010,000 </w:t>
            </w:r>
          </w:p>
        </w:tc>
        <w:tc>
          <w:tcPr>
            <w:tcW w:w="2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2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$47.93 </w:t>
            </w:r>
          </w:p>
        </w:tc>
        <w:tc>
          <w:tcPr>
            <w:tcW w:w="2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24,101,000 </w:t>
            </w:r>
          </w:p>
        </w:tc>
        <w:tc>
          <w:tcPr>
            <w:tcW w:w="2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2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$32.02 </w:t>
            </w:r>
          </w:p>
        </w:tc>
        <w:tc>
          <w:tcPr>
            <w:tcW w:w="3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2" w:type="dxa"/>
            <w:gridSpan w:val="12"/>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Assumes all lease options are exercised</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Anchor Tenants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Small Shop Tenants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w:t>
            </w:r>
          </w:p>
        </w:tc>
        <w:tc>
          <w:tcPr>
            <w:tcW w:w="12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16"/>
              </w:rPr>
              <w:t>Expiring SF</w:t>
            </w:r>
          </w:p>
        </w:tc>
        <w:tc>
          <w:tcPr>
            <w:tcW w:w="6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16"/>
              </w:rPr>
              <w:t>% of Anchor SF</w:t>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16"/>
              </w:rPr>
              <w:t>Minimum Rent PSF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16"/>
              </w:rPr>
              <w:t>Expiring SF</w:t>
            </w:r>
          </w:p>
        </w:tc>
        <w:tc>
          <w:tcPr>
            <w:tcW w:w="6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16"/>
              </w:rPr>
              <w:t>% of Small Shop SF</w:t>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16"/>
              </w:rPr>
              <w:t>Minimum Rent PSF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16"/>
              </w:rPr>
              <w:t>Expiring SF (4)</w:t>
            </w:r>
          </w:p>
        </w:tc>
        <w:tc>
          <w:tcPr>
            <w:tcW w:w="7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16"/>
              </w:rPr>
              <w:t>% of Total SF</w:t>
            </w:r>
          </w:p>
        </w:tc>
        <w:tc>
          <w:tcPr>
            <w:tcW w:w="10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16"/>
              </w:rPr>
              <w:t>Minimum Rent PSF (2)</w:t>
            </w:r>
          </w:p>
        </w:tc>
      </w:tr>
      <w:tr>
        <w:trPr/>
        <w:tc>
          <w:tcPr>
            <w:tcW w:w="9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2024</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532,000 </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$21.55 </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522,000 </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$41.05 </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1,055,000 </w:t>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$31.21 </w:t>
            </w:r>
          </w:p>
        </w:tc>
        <w:tc>
          <w:tcPr>
            <w:tcW w:w="3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2025</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832,000 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2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$17.61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796,000 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$38.55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1,628,000 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$27.85 </w:t>
            </w:r>
          </w:p>
        </w:tc>
        <w:tc>
          <w:tcPr>
            <w:tcW w:w="3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2026</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379,000 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2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$27.75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569,000 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2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$49.94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948,000 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$41.06 </w:t>
            </w:r>
          </w:p>
        </w:tc>
        <w:tc>
          <w:tcPr>
            <w:tcW w:w="3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2027</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508,000 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2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$21.15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559,000 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$50.68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1,067,000 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$36.62 </w:t>
            </w:r>
          </w:p>
        </w:tc>
        <w:tc>
          <w:tcPr>
            <w:tcW w:w="3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2028</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439,000 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2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$19.42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553,000 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2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$47.62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992,000 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$35.14 </w:t>
            </w:r>
          </w:p>
        </w:tc>
        <w:tc>
          <w:tcPr>
            <w:tcW w:w="3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2029</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635,000 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2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$24.81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560,000 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$47.95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1,195,000 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$35.65 </w:t>
            </w:r>
          </w:p>
        </w:tc>
        <w:tc>
          <w:tcPr>
            <w:tcW w:w="3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2030</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377,000 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2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$22.03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385,000 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2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$49.85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762,000 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$36.08 </w:t>
            </w:r>
          </w:p>
        </w:tc>
        <w:tc>
          <w:tcPr>
            <w:tcW w:w="3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2031</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357,000 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2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$20.77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373,000 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$50.44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729,000 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$35.94 </w:t>
            </w:r>
          </w:p>
        </w:tc>
        <w:tc>
          <w:tcPr>
            <w:tcW w:w="3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2032</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346,000 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2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$32.00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463,000 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2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$52.35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809,000 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$43.66 </w:t>
            </w:r>
          </w:p>
        </w:tc>
        <w:tc>
          <w:tcPr>
            <w:tcW w:w="3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2033</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316,000 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2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$24.39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452,000 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$56.80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768,000 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$43.48 </w:t>
            </w:r>
          </w:p>
        </w:tc>
        <w:tc>
          <w:tcPr>
            <w:tcW w:w="3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Thereafter</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11,370,000 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71 </w:t>
            </w:r>
          </w:p>
        </w:tc>
        <w:tc>
          <w:tcPr>
            <w:tcW w:w="2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$24.76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2,778,000 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35 </w:t>
            </w:r>
          </w:p>
        </w:tc>
        <w:tc>
          <w:tcPr>
            <w:tcW w:w="2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$48.22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14,148,000 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59 </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$29.37 </w:t>
            </w:r>
          </w:p>
        </w:tc>
        <w:tc>
          <w:tcPr>
            <w:tcW w:w="3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Total (3)</w:t>
            </w:r>
          </w:p>
        </w:tc>
        <w:tc>
          <w:tcPr>
            <w:tcW w:w="96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16,091,000 </w:t>
            </w:r>
          </w:p>
        </w:tc>
        <w:tc>
          <w:tcPr>
            <w:tcW w:w="2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4"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2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$24.09 </w:t>
            </w:r>
          </w:p>
        </w:tc>
        <w:tc>
          <w:tcPr>
            <w:tcW w:w="2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8,010,000 </w:t>
            </w:r>
          </w:p>
        </w:tc>
        <w:tc>
          <w:tcPr>
            <w:tcW w:w="2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2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$47.93 </w:t>
            </w:r>
          </w:p>
        </w:tc>
        <w:tc>
          <w:tcPr>
            <w:tcW w:w="2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24,101,000 </w:t>
            </w:r>
          </w:p>
        </w:tc>
        <w:tc>
          <w:tcPr>
            <w:tcW w:w="2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3"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2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$32.02 </w:t>
            </w:r>
          </w:p>
        </w:tc>
        <w:tc>
          <w:tcPr>
            <w:tcW w:w="3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208"/>
        <w:gridCol w:w="183"/>
        <w:gridCol w:w="184"/>
        <w:gridCol w:w="2815"/>
        <w:gridCol w:w="2815"/>
        <w:gridCol w:w="4000"/>
      </w:tblGrid>
      <w:tr>
        <w:trPr/>
        <w:tc>
          <w:tcPr>
            <w:tcW w:w="208"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2815" w:type="dxa"/>
            <w:tcBorders/>
            <w:vAlign w:val="center"/>
          </w:tcPr>
          <w:p>
            <w:pPr>
              <w:pStyle w:val="TableContents"/>
              <w:bidi w:val="0"/>
              <w:spacing w:before="0" w:after="283"/>
              <w:jc w:val="left"/>
              <w:rPr>
                <w:sz w:val="4"/>
                <w:szCs w:val="4"/>
              </w:rPr>
            </w:pPr>
            <w:r>
              <w:rPr>
                <w:sz w:val="4"/>
                <w:szCs w:val="4"/>
              </w:rPr>
            </w:r>
          </w:p>
        </w:tc>
        <w:tc>
          <w:tcPr>
            <w:tcW w:w="2815" w:type="dxa"/>
            <w:tcBorders/>
            <w:vAlign w:val="center"/>
          </w:tcPr>
          <w:p>
            <w:pPr>
              <w:pStyle w:val="TableContents"/>
              <w:bidi w:val="0"/>
              <w:spacing w:before="0" w:after="283"/>
              <w:jc w:val="left"/>
              <w:rPr>
                <w:sz w:val="4"/>
                <w:szCs w:val="4"/>
              </w:rPr>
            </w:pPr>
            <w:r>
              <w:rPr>
                <w:sz w:val="4"/>
                <w:szCs w:val="4"/>
              </w:rPr>
            </w:r>
          </w:p>
        </w:tc>
        <w:tc>
          <w:tcPr>
            <w:tcW w:w="4000" w:type="dxa"/>
            <w:tcBorders/>
            <w:vAlign w:val="center"/>
          </w:tcPr>
          <w:p>
            <w:pPr>
              <w:pStyle w:val="TableContents"/>
              <w:bidi w:val="0"/>
              <w:spacing w:before="0" w:after="283"/>
              <w:jc w:val="left"/>
              <w:rPr>
                <w:sz w:val="4"/>
                <w:szCs w:val="4"/>
              </w:rPr>
            </w:pPr>
            <w:r>
              <w:rPr>
                <w:sz w:val="4"/>
                <w:szCs w:val="4"/>
              </w:rPr>
            </w:r>
          </w:p>
        </w:tc>
      </w:tr>
      <w:tr>
        <w:trPr/>
        <w:tc>
          <w:tcPr>
            <w:tcW w:w="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u w:val="single"/>
              </w:rPr>
            </w:pPr>
            <w:r>
              <w:rPr>
                <w:rFonts w:ascii="Times New Roman;sans-serif" w:hAnsi="Times New Roman;sans-serif"/>
                <w:b w:val="false"/>
                <w:color w:val="000000"/>
                <w:sz w:val="18"/>
                <w:u w:val="single"/>
              </w:rPr>
              <w:t>Notes:</w:t>
            </w:r>
          </w:p>
        </w:tc>
        <w:tc>
          <w:tcPr>
            <w:tcW w:w="9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9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Anchor is defined as a commercial tenant leasing 10,000 square feet or more.</w:t>
            </w:r>
          </w:p>
        </w:tc>
      </w:tr>
      <w:tr>
        <w:trPr/>
        <w:tc>
          <w:tcPr>
            <w:tcW w:w="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9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Minimum Rent reflects in-place contractual (defined as rents on a cash-basis without taking the impacts of rent abatements into account) rent as of March 31, 2024.</w:t>
            </w:r>
          </w:p>
        </w:tc>
      </w:tr>
      <w:tr>
        <w:trPr/>
        <w:tc>
          <w:tcPr>
            <w:tcW w:w="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9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Represents occupied square footage of the commercial portion of our portfolio as of March 31, 2024.</w:t>
            </w:r>
          </w:p>
        </w:tc>
      </w:tr>
      <w:tr>
        <w:trPr/>
        <w:tc>
          <w:tcPr>
            <w:tcW w:w="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(4)</w:t>
            </w:r>
          </w:p>
        </w:tc>
        <w:tc>
          <w:tcPr>
            <w:tcW w:w="9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Individual items may not add up to total due to rounding.</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tbl>
      <w:tblPr>
        <w:tblW w:w="7685" w:type="dxa"/>
        <w:jc w:val="left"/>
        <w:tblInd w:w="0" w:type="dxa"/>
        <w:tblLayout w:type="fixed"/>
        <w:tblCellMar>
          <w:top w:w="28" w:type="dxa"/>
          <w:left w:w="28" w:type="dxa"/>
          <w:bottom w:w="28" w:type="dxa"/>
          <w:right w:w="28" w:type="dxa"/>
        </w:tblCellMar>
      </w:tblPr>
      <w:tblGrid>
        <w:gridCol w:w="1038"/>
        <w:gridCol w:w="910"/>
        <w:gridCol w:w="916"/>
        <w:gridCol w:w="295"/>
        <w:gridCol w:w="295"/>
        <w:gridCol w:w="699"/>
        <w:gridCol w:w="109"/>
        <w:gridCol w:w="109"/>
        <w:gridCol w:w="109"/>
        <w:gridCol w:w="354"/>
        <w:gridCol w:w="354"/>
        <w:gridCol w:w="836"/>
        <w:gridCol w:w="109"/>
        <w:gridCol w:w="109"/>
        <w:gridCol w:w="109"/>
        <w:gridCol w:w="278"/>
        <w:gridCol w:w="278"/>
        <w:gridCol w:w="778"/>
      </w:tblGrid>
      <w:tr>
        <w:trPr/>
        <w:tc>
          <w:tcPr>
            <w:tcW w:w="103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Federal Realty Investment Trust</w:t>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Portfolio Leased Statistics</w:t>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March 31, 2024</w:t>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w:t>
            </w:r>
          </w:p>
        </w:tc>
      </w:tr>
      <w:tr>
        <w:trPr/>
        <w:tc>
          <w:tcPr>
            <w:tcW w:w="2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2023</w:t>
            </w:r>
          </w:p>
        </w:tc>
      </w:tr>
      <w:tr>
        <w:trPr/>
        <w:tc>
          <w:tcPr>
            <w:tcW w:w="2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Commercial Properties</w:t>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Overall Portfolio (1)(2)</w:t>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Gross Leasable Area (GLA)</w:t>
            </w:r>
          </w:p>
        </w:tc>
        <w:tc>
          <w:tcPr>
            <w:tcW w:w="1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26,198,000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26,039,000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25,852,000</w:t>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Leased %</w:t>
            </w:r>
          </w:p>
        </w:tc>
        <w:tc>
          <w:tcPr>
            <w:tcW w:w="5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94.3 </w:t>
            </w:r>
          </w:p>
        </w:tc>
        <w:tc>
          <w:tcPr>
            <w:tcW w:w="6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94.2 </w:t>
            </w:r>
          </w:p>
        </w:tc>
        <w:tc>
          <w:tcPr>
            <w:tcW w:w="8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94.2 </w:t>
            </w:r>
          </w:p>
        </w:tc>
        <w:tc>
          <w:tcPr>
            <w:tcW w:w="7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Occupied %</w:t>
            </w:r>
          </w:p>
        </w:tc>
        <w:tc>
          <w:tcPr>
            <w:tcW w:w="5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92.0 </w:t>
            </w:r>
          </w:p>
        </w:tc>
        <w:tc>
          <w:tcPr>
            <w:tcW w:w="6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92.2 </w:t>
            </w:r>
          </w:p>
        </w:tc>
        <w:tc>
          <w:tcPr>
            <w:tcW w:w="8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92.6 </w:t>
            </w:r>
          </w:p>
        </w:tc>
        <w:tc>
          <w:tcPr>
            <w:tcW w:w="7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Leased % - anchor tenants</w:t>
            </w:r>
          </w:p>
        </w:tc>
        <w:tc>
          <w:tcPr>
            <w:tcW w:w="5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95.8 </w:t>
            </w:r>
          </w:p>
        </w:tc>
        <w:tc>
          <w:tcPr>
            <w:tcW w:w="6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96.0 </w:t>
            </w:r>
          </w:p>
        </w:tc>
        <w:tc>
          <w:tcPr>
            <w:tcW w:w="8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96.5 </w:t>
            </w:r>
          </w:p>
        </w:tc>
        <w:tc>
          <w:tcPr>
            <w:tcW w:w="7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Leased % - small shop tenants</w:t>
            </w:r>
          </w:p>
        </w:tc>
        <w:tc>
          <w:tcPr>
            <w:tcW w:w="5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91.4 </w:t>
            </w:r>
          </w:p>
        </w:tc>
        <w:tc>
          <w:tcPr>
            <w:tcW w:w="6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90.7 </w:t>
            </w:r>
          </w:p>
        </w:tc>
        <w:tc>
          <w:tcPr>
            <w:tcW w:w="8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90.0 </w:t>
            </w:r>
          </w:p>
        </w:tc>
        <w:tc>
          <w:tcPr>
            <w:tcW w:w="7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Active commercial tenant leases</w:t>
            </w:r>
          </w:p>
        </w:tc>
        <w:tc>
          <w:tcPr>
            <w:tcW w:w="1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3,277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3,248</w:t>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Comparable Properties (1)</w:t>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GLA </w:t>
            </w:r>
          </w:p>
        </w:tc>
        <w:tc>
          <w:tcPr>
            <w:tcW w:w="1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25,127,000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25,089,000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25,089,000</w:t>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Leased %</w:t>
            </w:r>
          </w:p>
        </w:tc>
        <w:tc>
          <w:tcPr>
            <w:tcW w:w="5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94.2 </w:t>
            </w:r>
          </w:p>
        </w:tc>
        <w:tc>
          <w:tcPr>
            <w:tcW w:w="6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94.1 </w:t>
            </w:r>
          </w:p>
        </w:tc>
        <w:tc>
          <w:tcPr>
            <w:tcW w:w="8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94.2 </w:t>
            </w:r>
          </w:p>
        </w:tc>
        <w:tc>
          <w:tcPr>
            <w:tcW w:w="7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Occupied %</w:t>
            </w:r>
          </w:p>
        </w:tc>
        <w:tc>
          <w:tcPr>
            <w:tcW w:w="5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91.7 </w:t>
            </w:r>
          </w:p>
        </w:tc>
        <w:tc>
          <w:tcPr>
            <w:tcW w:w="6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92.0 </w:t>
            </w:r>
          </w:p>
        </w:tc>
        <w:tc>
          <w:tcPr>
            <w:tcW w:w="8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92.6 </w:t>
            </w:r>
          </w:p>
        </w:tc>
        <w:tc>
          <w:tcPr>
            <w:tcW w:w="7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Residential Properties</w:t>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Overall Portfolio (1)(2)</w:t>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Residential units</w:t>
            </w:r>
          </w:p>
        </w:tc>
        <w:tc>
          <w:tcPr>
            <w:tcW w:w="1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3,103</w:t>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Leased %</w:t>
            </w:r>
          </w:p>
        </w:tc>
        <w:tc>
          <w:tcPr>
            <w:tcW w:w="5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96.3 </w:t>
            </w:r>
          </w:p>
        </w:tc>
        <w:tc>
          <w:tcPr>
            <w:tcW w:w="6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95.9 </w:t>
            </w:r>
          </w:p>
        </w:tc>
        <w:tc>
          <w:tcPr>
            <w:tcW w:w="8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95.0 </w:t>
            </w:r>
          </w:p>
        </w:tc>
        <w:tc>
          <w:tcPr>
            <w:tcW w:w="7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Comparable Properties (1)</w:t>
            </w:r>
          </w:p>
        </w:tc>
        <w:tc>
          <w:tcPr>
            <w:tcW w:w="12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Residential units</w:t>
            </w:r>
          </w:p>
        </w:tc>
        <w:tc>
          <w:tcPr>
            <w:tcW w:w="1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2,980</w:t>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Leased %</w:t>
            </w:r>
          </w:p>
        </w:tc>
        <w:tc>
          <w:tcPr>
            <w:tcW w:w="5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96.2 </w:t>
            </w:r>
          </w:p>
        </w:tc>
        <w:tc>
          <w:tcPr>
            <w:tcW w:w="6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95.8 </w:t>
            </w:r>
          </w:p>
        </w:tc>
        <w:tc>
          <w:tcPr>
            <w:tcW w:w="8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96.4 </w:t>
            </w:r>
          </w:p>
        </w:tc>
        <w:tc>
          <w:tcPr>
            <w:tcW w:w="7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bidi w:val="0"/>
        <w:spacing w:before="0" w:after="0"/>
        <w:jc w:val="left"/>
        <w:rPr/>
      </w:pPr>
      <w:r>
        <w:rPr/>
      </w:r>
    </w:p>
    <w:tbl>
      <w:tblPr>
        <w:tblW w:w="6780" w:type="dxa"/>
        <w:jc w:val="left"/>
        <w:tblInd w:w="0" w:type="dxa"/>
        <w:tblLayout w:type="fixed"/>
        <w:tblCellMar>
          <w:top w:w="28" w:type="dxa"/>
          <w:left w:w="28" w:type="dxa"/>
          <w:bottom w:w="28" w:type="dxa"/>
          <w:right w:w="28" w:type="dxa"/>
        </w:tblCellMar>
      </w:tblPr>
      <w:tblGrid>
        <w:gridCol w:w="212"/>
        <w:gridCol w:w="186"/>
        <w:gridCol w:w="187"/>
        <w:gridCol w:w="1813"/>
        <w:gridCol w:w="1813"/>
        <w:gridCol w:w="2569"/>
      </w:tblGrid>
      <w:tr>
        <w:trPr/>
        <w:tc>
          <w:tcPr>
            <w:tcW w:w="212"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13" w:type="dxa"/>
            <w:tcBorders/>
            <w:vAlign w:val="center"/>
          </w:tcPr>
          <w:p>
            <w:pPr>
              <w:pStyle w:val="TableContents"/>
              <w:bidi w:val="0"/>
              <w:spacing w:before="0" w:after="283"/>
              <w:jc w:val="left"/>
              <w:rPr>
                <w:sz w:val="4"/>
                <w:szCs w:val="4"/>
              </w:rPr>
            </w:pPr>
            <w:r>
              <w:rPr>
                <w:sz w:val="4"/>
                <w:szCs w:val="4"/>
              </w:rPr>
            </w:r>
          </w:p>
        </w:tc>
        <w:tc>
          <w:tcPr>
            <w:tcW w:w="1813" w:type="dxa"/>
            <w:tcBorders/>
            <w:vAlign w:val="center"/>
          </w:tcPr>
          <w:p>
            <w:pPr>
              <w:pStyle w:val="TableContents"/>
              <w:bidi w:val="0"/>
              <w:spacing w:before="0" w:after="283"/>
              <w:jc w:val="left"/>
              <w:rPr>
                <w:sz w:val="4"/>
                <w:szCs w:val="4"/>
              </w:rPr>
            </w:pPr>
            <w:r>
              <w:rPr>
                <w:sz w:val="4"/>
                <w:szCs w:val="4"/>
              </w:rPr>
            </w:r>
          </w:p>
        </w:tc>
        <w:tc>
          <w:tcPr>
            <w:tcW w:w="2569" w:type="dxa"/>
            <w:tcBorders/>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u w:val="single"/>
              </w:rPr>
            </w:pPr>
            <w:r>
              <w:rPr>
                <w:rFonts w:ascii="Times New Roman;sans-serif" w:hAnsi="Times New Roman;sans-serif"/>
                <w:b w:val="false"/>
                <w:color w:val="000000"/>
                <w:sz w:val="18"/>
                <w:u w:val="single"/>
              </w:rPr>
              <w:t>Notes:</w:t>
            </w:r>
          </w:p>
        </w:tc>
        <w:tc>
          <w:tcPr>
            <w:tcW w:w="6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61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See Glossary of terms.</w:t>
            </w:r>
          </w:p>
        </w:tc>
      </w:tr>
      <w:tr>
        <w:trPr/>
        <w:tc>
          <w:tcPr>
            <w:tcW w:w="585" w:type="dxa"/>
            <w:gridSpan w:val="3"/>
            <w:tcBorders/>
            <w:vAlign w:val="center"/>
          </w:tcPr>
          <w:p>
            <w:pPr>
              <w:pStyle w:val="TableContents"/>
              <w:bidi w:val="0"/>
              <w:spacing w:before="0" w:after="283"/>
              <w:jc w:val="left"/>
              <w:rPr>
                <w:sz w:val="4"/>
                <w:szCs w:val="4"/>
              </w:rPr>
            </w:pPr>
            <w:r>
              <w:rPr>
                <w:sz w:val="4"/>
                <w:szCs w:val="4"/>
              </w:rPr>
            </w:r>
          </w:p>
        </w:tc>
        <w:tc>
          <w:tcPr>
            <w:tcW w:w="6195" w:type="dxa"/>
            <w:gridSpan w:val="3"/>
            <w:tcBorders/>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61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Excludes redevelopment square footage and residential units not yet placed in service.</w:t>
            </w:r>
          </w:p>
        </w:tc>
      </w:tr>
      <w:tr>
        <w:trPr/>
        <w:tc>
          <w:tcPr>
            <w:tcW w:w="585" w:type="dxa"/>
            <w:gridSpan w:val="3"/>
            <w:tcBorders/>
            <w:vAlign w:val="center"/>
          </w:tcPr>
          <w:p>
            <w:pPr>
              <w:pStyle w:val="TableContents"/>
              <w:bidi w:val="0"/>
              <w:spacing w:before="0" w:after="283"/>
              <w:jc w:val="left"/>
              <w:rPr>
                <w:sz w:val="4"/>
                <w:szCs w:val="4"/>
              </w:rPr>
            </w:pPr>
            <w:r>
              <w:rPr>
                <w:sz w:val="4"/>
                <w:szCs w:val="4"/>
              </w:rPr>
            </w:r>
          </w:p>
        </w:tc>
        <w:tc>
          <w:tcPr>
            <w:tcW w:w="6195"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185"/>
        <w:gridCol w:w="162"/>
        <w:gridCol w:w="164"/>
        <w:gridCol w:w="109"/>
        <w:gridCol w:w="109"/>
        <w:gridCol w:w="109"/>
        <w:gridCol w:w="784"/>
        <w:gridCol w:w="673"/>
        <w:gridCol w:w="568"/>
        <w:gridCol w:w="300"/>
        <w:gridCol w:w="300"/>
        <w:gridCol w:w="302"/>
        <w:gridCol w:w="204"/>
        <w:gridCol w:w="1095"/>
        <w:gridCol w:w="113"/>
        <w:gridCol w:w="424"/>
        <w:gridCol w:w="312"/>
        <w:gridCol w:w="737"/>
        <w:gridCol w:w="479"/>
        <w:gridCol w:w="482"/>
        <w:gridCol w:w="230"/>
        <w:gridCol w:w="374"/>
        <w:gridCol w:w="262"/>
        <w:gridCol w:w="620"/>
        <w:gridCol w:w="320"/>
        <w:gridCol w:w="320"/>
        <w:gridCol w:w="468"/>
      </w:tblGrid>
      <w:tr>
        <w:trPr/>
        <w:tc>
          <w:tcPr>
            <w:tcW w:w="185"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r>
      <w:tr>
        <w:trPr/>
        <w:tc>
          <w:tcPr>
            <w:tcW w:w="10205" w:type="dxa"/>
            <w:gridSpan w:val="27"/>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Federal Realty Investment Trust</w:t>
            </w:r>
          </w:p>
        </w:tc>
      </w:tr>
      <w:tr>
        <w:trPr/>
        <w:tc>
          <w:tcPr>
            <w:tcW w:w="10205" w:type="dxa"/>
            <w:gridSpan w:val="27"/>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Summary of Top 25 Tenants</w:t>
            </w:r>
          </w:p>
        </w:tc>
      </w:tr>
      <w:tr>
        <w:trPr/>
        <w:tc>
          <w:tcPr>
            <w:tcW w:w="10205" w:type="dxa"/>
            <w:gridSpan w:val="27"/>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March 31, 2024</w:t>
            </w:r>
          </w:p>
        </w:tc>
      </w:tr>
      <w:tr>
        <w:trPr/>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Rank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Tenant Name</w:t>
            </w:r>
          </w:p>
        </w:tc>
        <w:tc>
          <w:tcPr>
            <w:tcW w:w="9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Credit Ratings </w:t>
              <w:br/>
              <w:t>(S&amp;P/Moody's) (1)</w:t>
            </w:r>
          </w:p>
        </w:tc>
        <w:tc>
          <w:tcPr>
            <w:tcW w:w="141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Annualized Base Rent</w:t>
            </w:r>
          </w:p>
        </w:tc>
        <w:tc>
          <w:tcPr>
            <w:tcW w:w="147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Percentage of Total Annualized Base Rent (3)</w:t>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Tenant GLA</w:t>
            </w:r>
          </w:p>
        </w:tc>
        <w:tc>
          <w:tcPr>
            <w:tcW w:w="125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Percentage of Total GLA (3)</w:t>
            </w:r>
          </w:p>
        </w:tc>
        <w:tc>
          <w:tcPr>
            <w:tcW w:w="110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Number of Locations Leased</w:t>
            </w:r>
          </w:p>
        </w:tc>
      </w:tr>
      <w:tr>
        <w:trPr/>
        <w:tc>
          <w:tcPr>
            <w:tcW w:w="5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TJX Companies, The</w:t>
            </w:r>
          </w:p>
        </w:tc>
        <w:tc>
          <w:tcPr>
            <w:tcW w:w="9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 / A2</w:t>
            </w:r>
          </w:p>
        </w:tc>
        <w:tc>
          <w:tcPr>
            <w:tcW w:w="2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23,523,000 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2.68 </w:t>
            </w:r>
          </w:p>
        </w:tc>
        <w:tc>
          <w:tcPr>
            <w:tcW w:w="7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1,147,000 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3.95 </w:t>
            </w:r>
          </w:p>
        </w:tc>
        <w:tc>
          <w:tcPr>
            <w:tcW w:w="6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37 </w:t>
            </w:r>
          </w:p>
        </w:tc>
        <w:tc>
          <w:tcPr>
            <w:tcW w:w="4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Ahold Delhaize</w:t>
            </w:r>
          </w:p>
        </w:tc>
        <w:tc>
          <w:tcPr>
            <w:tcW w:w="9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BBB+ / Baa1</w:t>
            </w:r>
          </w:p>
        </w:tc>
        <w:tc>
          <w:tcPr>
            <w:tcW w:w="2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15,071,000 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1.72 </w:t>
            </w:r>
          </w:p>
        </w:tc>
        <w:tc>
          <w:tcPr>
            <w:tcW w:w="7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776,000 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2.67 </w:t>
            </w:r>
          </w:p>
        </w:tc>
        <w:tc>
          <w:tcPr>
            <w:tcW w:w="6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4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Cisco Systems, Inc.</w:t>
            </w:r>
          </w:p>
        </w:tc>
        <w:tc>
          <w:tcPr>
            <w:tcW w:w="9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AA- / A1</w:t>
            </w:r>
          </w:p>
        </w:tc>
        <w:tc>
          <w:tcPr>
            <w:tcW w:w="2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14,897,000 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1.70 </w:t>
            </w:r>
          </w:p>
        </w:tc>
        <w:tc>
          <w:tcPr>
            <w:tcW w:w="7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268,000 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0.92 </w:t>
            </w:r>
          </w:p>
        </w:tc>
        <w:tc>
          <w:tcPr>
            <w:tcW w:w="6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4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NetApp, Inc.</w:t>
            </w:r>
          </w:p>
        </w:tc>
        <w:tc>
          <w:tcPr>
            <w:tcW w:w="9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BBB+ / Baa2</w:t>
            </w:r>
          </w:p>
        </w:tc>
        <w:tc>
          <w:tcPr>
            <w:tcW w:w="2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14,769,000 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1.68 </w:t>
            </w:r>
          </w:p>
        </w:tc>
        <w:tc>
          <w:tcPr>
            <w:tcW w:w="7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304,000 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1.05 </w:t>
            </w:r>
          </w:p>
        </w:tc>
        <w:tc>
          <w:tcPr>
            <w:tcW w:w="6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4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CVS Corporation</w:t>
            </w:r>
          </w:p>
        </w:tc>
        <w:tc>
          <w:tcPr>
            <w:tcW w:w="9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BBB / Baa2</w:t>
            </w:r>
          </w:p>
        </w:tc>
        <w:tc>
          <w:tcPr>
            <w:tcW w:w="2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11,386,000 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1.30 </w:t>
            </w:r>
          </w:p>
        </w:tc>
        <w:tc>
          <w:tcPr>
            <w:tcW w:w="7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288,000 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0.99 </w:t>
            </w:r>
          </w:p>
        </w:tc>
        <w:tc>
          <w:tcPr>
            <w:tcW w:w="6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21 </w:t>
            </w:r>
          </w:p>
        </w:tc>
        <w:tc>
          <w:tcPr>
            <w:tcW w:w="4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Gap, Inc., The</w:t>
            </w:r>
          </w:p>
        </w:tc>
        <w:tc>
          <w:tcPr>
            <w:tcW w:w="9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BB / Ba3</w:t>
            </w:r>
          </w:p>
        </w:tc>
        <w:tc>
          <w:tcPr>
            <w:tcW w:w="2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11,382,000 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1.30 </w:t>
            </w:r>
          </w:p>
        </w:tc>
        <w:tc>
          <w:tcPr>
            <w:tcW w:w="7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325,000 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1.12 </w:t>
            </w:r>
          </w:p>
        </w:tc>
        <w:tc>
          <w:tcPr>
            <w:tcW w:w="6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29 </w:t>
            </w:r>
          </w:p>
        </w:tc>
        <w:tc>
          <w:tcPr>
            <w:tcW w:w="4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L.A. Fitness International LLC</w:t>
            </w:r>
          </w:p>
        </w:tc>
        <w:tc>
          <w:tcPr>
            <w:tcW w:w="9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B / B2</w:t>
            </w:r>
          </w:p>
        </w:tc>
        <w:tc>
          <w:tcPr>
            <w:tcW w:w="2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9,374,000 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1.07 </w:t>
            </w:r>
          </w:p>
        </w:tc>
        <w:tc>
          <w:tcPr>
            <w:tcW w:w="7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354,000 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1.22 </w:t>
            </w:r>
          </w:p>
        </w:tc>
        <w:tc>
          <w:tcPr>
            <w:tcW w:w="6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4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Albertsons Companies Inc. (Acme, Balducci's, Safeway)</w:t>
            </w:r>
          </w:p>
        </w:tc>
        <w:tc>
          <w:tcPr>
            <w:tcW w:w="9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BB+ / Ba2</w:t>
            </w:r>
          </w:p>
        </w:tc>
        <w:tc>
          <w:tcPr>
            <w:tcW w:w="2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8,588,000 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0.98 </w:t>
            </w:r>
          </w:p>
        </w:tc>
        <w:tc>
          <w:tcPr>
            <w:tcW w:w="7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568,000 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1.96 </w:t>
            </w:r>
          </w:p>
        </w:tc>
        <w:tc>
          <w:tcPr>
            <w:tcW w:w="6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4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Ross Stores, Inc.</w:t>
            </w:r>
          </w:p>
        </w:tc>
        <w:tc>
          <w:tcPr>
            <w:tcW w:w="9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BBB+ / A2</w:t>
            </w:r>
          </w:p>
        </w:tc>
        <w:tc>
          <w:tcPr>
            <w:tcW w:w="2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7,856,000 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0.89 </w:t>
            </w:r>
          </w:p>
        </w:tc>
        <w:tc>
          <w:tcPr>
            <w:tcW w:w="7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365,000 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1.26 </w:t>
            </w:r>
          </w:p>
        </w:tc>
        <w:tc>
          <w:tcPr>
            <w:tcW w:w="6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4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Home Depot, Inc.</w:t>
            </w:r>
          </w:p>
        </w:tc>
        <w:tc>
          <w:tcPr>
            <w:tcW w:w="9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 / A2</w:t>
            </w:r>
          </w:p>
        </w:tc>
        <w:tc>
          <w:tcPr>
            <w:tcW w:w="2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7,485,000 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0.85 </w:t>
            </w:r>
          </w:p>
        </w:tc>
        <w:tc>
          <w:tcPr>
            <w:tcW w:w="7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478,000 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1.65 </w:t>
            </w:r>
          </w:p>
        </w:tc>
        <w:tc>
          <w:tcPr>
            <w:tcW w:w="6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4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Kroger Co., The</w:t>
            </w:r>
          </w:p>
        </w:tc>
        <w:tc>
          <w:tcPr>
            <w:tcW w:w="9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BBB / Baa1</w:t>
            </w:r>
          </w:p>
        </w:tc>
        <w:tc>
          <w:tcPr>
            <w:tcW w:w="2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7,166,000 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0.82 </w:t>
            </w:r>
          </w:p>
        </w:tc>
        <w:tc>
          <w:tcPr>
            <w:tcW w:w="7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611,000 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2.10 </w:t>
            </w:r>
          </w:p>
        </w:tc>
        <w:tc>
          <w:tcPr>
            <w:tcW w:w="6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4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AMC Entertainment Inc.</w:t>
            </w:r>
          </w:p>
        </w:tc>
        <w:tc>
          <w:tcPr>
            <w:tcW w:w="9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CCC+ / Caa2</w:t>
            </w:r>
          </w:p>
        </w:tc>
        <w:tc>
          <w:tcPr>
            <w:tcW w:w="2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7,106,000 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0.81 </w:t>
            </w:r>
          </w:p>
        </w:tc>
        <w:tc>
          <w:tcPr>
            <w:tcW w:w="7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283,000 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0.97 </w:t>
            </w:r>
          </w:p>
        </w:tc>
        <w:tc>
          <w:tcPr>
            <w:tcW w:w="6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4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PUMA North America, Inc.</w:t>
            </w:r>
          </w:p>
        </w:tc>
        <w:tc>
          <w:tcPr>
            <w:tcW w:w="9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NR / NR</w:t>
            </w:r>
          </w:p>
        </w:tc>
        <w:tc>
          <w:tcPr>
            <w:tcW w:w="2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6,963,000 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0.79 </w:t>
            </w:r>
          </w:p>
        </w:tc>
        <w:tc>
          <w:tcPr>
            <w:tcW w:w="7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155,000 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0.53 </w:t>
            </w:r>
          </w:p>
        </w:tc>
        <w:tc>
          <w:tcPr>
            <w:tcW w:w="6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4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Dick's Sporting Goods, Inc.</w:t>
            </w:r>
          </w:p>
        </w:tc>
        <w:tc>
          <w:tcPr>
            <w:tcW w:w="9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BBB / Baa3</w:t>
            </w:r>
          </w:p>
        </w:tc>
        <w:tc>
          <w:tcPr>
            <w:tcW w:w="2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6,856,000 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0.78 </w:t>
            </w:r>
          </w:p>
        </w:tc>
        <w:tc>
          <w:tcPr>
            <w:tcW w:w="7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358,000 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1.23 </w:t>
            </w:r>
          </w:p>
        </w:tc>
        <w:tc>
          <w:tcPr>
            <w:tcW w:w="6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4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Bank of America, N.A.</w:t>
            </w:r>
          </w:p>
        </w:tc>
        <w:tc>
          <w:tcPr>
            <w:tcW w:w="9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 / A1</w:t>
            </w:r>
          </w:p>
        </w:tc>
        <w:tc>
          <w:tcPr>
            <w:tcW w:w="2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6,761,000 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0.77 </w:t>
            </w:r>
          </w:p>
        </w:tc>
        <w:tc>
          <w:tcPr>
            <w:tcW w:w="7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115,000 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0.40 </w:t>
            </w:r>
          </w:p>
        </w:tc>
        <w:tc>
          <w:tcPr>
            <w:tcW w:w="6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22 </w:t>
            </w:r>
          </w:p>
        </w:tc>
        <w:tc>
          <w:tcPr>
            <w:tcW w:w="4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Target Corporation</w:t>
            </w:r>
          </w:p>
        </w:tc>
        <w:tc>
          <w:tcPr>
            <w:tcW w:w="9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 / A2</w:t>
            </w:r>
          </w:p>
        </w:tc>
        <w:tc>
          <w:tcPr>
            <w:tcW w:w="2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6,375,000 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0.73 </w:t>
            </w:r>
          </w:p>
        </w:tc>
        <w:tc>
          <w:tcPr>
            <w:tcW w:w="7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627,000 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2.16 </w:t>
            </w:r>
          </w:p>
        </w:tc>
        <w:tc>
          <w:tcPr>
            <w:tcW w:w="6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4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Ulta Beauty, Inc.</w:t>
            </w:r>
          </w:p>
        </w:tc>
        <w:tc>
          <w:tcPr>
            <w:tcW w:w="9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NR / NR</w:t>
            </w:r>
          </w:p>
        </w:tc>
        <w:tc>
          <w:tcPr>
            <w:tcW w:w="2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6,308,000 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0.72 </w:t>
            </w:r>
          </w:p>
        </w:tc>
        <w:tc>
          <w:tcPr>
            <w:tcW w:w="7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182,000 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0.63 </w:t>
            </w:r>
          </w:p>
        </w:tc>
        <w:tc>
          <w:tcPr>
            <w:tcW w:w="6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17 </w:t>
            </w:r>
          </w:p>
        </w:tc>
        <w:tc>
          <w:tcPr>
            <w:tcW w:w="4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KnitWell Group (Ann Taylor, Chico's, Loft, Talbots, White House Black Market, Soma)</w:t>
            </w:r>
          </w:p>
        </w:tc>
        <w:tc>
          <w:tcPr>
            <w:tcW w:w="9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NR / NR</w:t>
            </w:r>
          </w:p>
        </w:tc>
        <w:tc>
          <w:tcPr>
            <w:tcW w:w="2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6,301,000 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0.72 </w:t>
            </w:r>
          </w:p>
        </w:tc>
        <w:tc>
          <w:tcPr>
            <w:tcW w:w="7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155,000 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0.53 </w:t>
            </w:r>
          </w:p>
        </w:tc>
        <w:tc>
          <w:tcPr>
            <w:tcW w:w="6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29 </w:t>
            </w:r>
          </w:p>
        </w:tc>
        <w:tc>
          <w:tcPr>
            <w:tcW w:w="4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Whole Foods Market, Inc.</w:t>
            </w:r>
          </w:p>
        </w:tc>
        <w:tc>
          <w:tcPr>
            <w:tcW w:w="9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AA- / A1</w:t>
            </w:r>
          </w:p>
        </w:tc>
        <w:tc>
          <w:tcPr>
            <w:tcW w:w="2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5,859,000 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0.67 </w:t>
            </w:r>
          </w:p>
        </w:tc>
        <w:tc>
          <w:tcPr>
            <w:tcW w:w="7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186,000 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0.64 </w:t>
            </w:r>
          </w:p>
        </w:tc>
        <w:tc>
          <w:tcPr>
            <w:tcW w:w="6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4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Michaels Stores, Inc.</w:t>
            </w:r>
          </w:p>
        </w:tc>
        <w:tc>
          <w:tcPr>
            <w:tcW w:w="9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CCC+ / B3</w:t>
            </w:r>
          </w:p>
        </w:tc>
        <w:tc>
          <w:tcPr>
            <w:tcW w:w="2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5,806,000 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0.66 </w:t>
            </w:r>
          </w:p>
        </w:tc>
        <w:tc>
          <w:tcPr>
            <w:tcW w:w="7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316,000 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1.09 </w:t>
            </w:r>
          </w:p>
        </w:tc>
        <w:tc>
          <w:tcPr>
            <w:tcW w:w="6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4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Choice Hotels International, Inc.</w:t>
            </w:r>
          </w:p>
        </w:tc>
        <w:tc>
          <w:tcPr>
            <w:tcW w:w="9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BBB- / Baa3</w:t>
            </w:r>
          </w:p>
        </w:tc>
        <w:tc>
          <w:tcPr>
            <w:tcW w:w="2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5,607,000 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0.64 </w:t>
            </w:r>
          </w:p>
        </w:tc>
        <w:tc>
          <w:tcPr>
            <w:tcW w:w="7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110,000 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0.38 </w:t>
            </w:r>
          </w:p>
        </w:tc>
        <w:tc>
          <w:tcPr>
            <w:tcW w:w="6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4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Hudson's Bay Company (Saks)</w:t>
            </w:r>
          </w:p>
        </w:tc>
        <w:tc>
          <w:tcPr>
            <w:tcW w:w="9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NR / NR</w:t>
            </w:r>
          </w:p>
        </w:tc>
        <w:tc>
          <w:tcPr>
            <w:tcW w:w="2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5,155,000 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0.59 </w:t>
            </w:r>
          </w:p>
        </w:tc>
        <w:tc>
          <w:tcPr>
            <w:tcW w:w="7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100,000 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0.34 </w:t>
            </w:r>
          </w:p>
        </w:tc>
        <w:tc>
          <w:tcPr>
            <w:tcW w:w="6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4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Starbucks Corporation</w:t>
            </w:r>
          </w:p>
        </w:tc>
        <w:tc>
          <w:tcPr>
            <w:tcW w:w="9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BBB+ / Baa1</w:t>
            </w:r>
          </w:p>
        </w:tc>
        <w:tc>
          <w:tcPr>
            <w:tcW w:w="2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5,057,000 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0.58 </w:t>
            </w:r>
          </w:p>
        </w:tc>
        <w:tc>
          <w:tcPr>
            <w:tcW w:w="7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73,000 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0.25 </w:t>
            </w:r>
          </w:p>
        </w:tc>
        <w:tc>
          <w:tcPr>
            <w:tcW w:w="6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41 </w:t>
            </w:r>
          </w:p>
        </w:tc>
        <w:tc>
          <w:tcPr>
            <w:tcW w:w="4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Wells Fargo Bank, N.A.</w:t>
            </w:r>
          </w:p>
        </w:tc>
        <w:tc>
          <w:tcPr>
            <w:tcW w:w="9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BBB+ / A1</w:t>
            </w:r>
          </w:p>
        </w:tc>
        <w:tc>
          <w:tcPr>
            <w:tcW w:w="2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4,999,000 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0.57 </w:t>
            </w:r>
          </w:p>
        </w:tc>
        <w:tc>
          <w:tcPr>
            <w:tcW w:w="7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63,000 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0.22 </w:t>
            </w:r>
          </w:p>
        </w:tc>
        <w:tc>
          <w:tcPr>
            <w:tcW w:w="6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4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JPMorgan Chase Bank</w:t>
            </w:r>
          </w:p>
        </w:tc>
        <w:tc>
          <w:tcPr>
            <w:tcW w:w="9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 / A1</w:t>
            </w:r>
          </w:p>
        </w:tc>
        <w:tc>
          <w:tcPr>
            <w:tcW w:w="2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4,948,000 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0.56 </w:t>
            </w:r>
          </w:p>
        </w:tc>
        <w:tc>
          <w:tcPr>
            <w:tcW w:w="7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77,000 </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0.27 </w:t>
            </w:r>
          </w:p>
        </w:tc>
        <w:tc>
          <w:tcPr>
            <w:tcW w:w="6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19 </w:t>
            </w:r>
          </w:p>
        </w:tc>
        <w:tc>
          <w:tcPr>
            <w:tcW w:w="4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Totals - Top 25 Tenants</w:t>
            </w:r>
          </w:p>
        </w:tc>
        <w:tc>
          <w:tcPr>
            <w:tcW w:w="9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215,598,000 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24.54 </w:t>
            </w:r>
          </w:p>
        </w:tc>
        <w:tc>
          <w:tcPr>
            <w:tcW w:w="7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8,284,000 </w:t>
            </w:r>
          </w:p>
        </w:tc>
        <w:tc>
          <w:tcPr>
            <w:tcW w:w="2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28.53 </w:t>
            </w:r>
          </w:p>
        </w:tc>
        <w:tc>
          <w:tcPr>
            <w:tcW w:w="6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340 </w:t>
            </w:r>
          </w:p>
        </w:tc>
        <w:tc>
          <w:tcPr>
            <w:tcW w:w="4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(5):</w:t>
            </w:r>
          </w:p>
        </w:tc>
        <w:tc>
          <w:tcPr>
            <w:tcW w:w="9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878,698,000 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29,035,000 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(4)</w:t>
            </w:r>
          </w:p>
        </w:tc>
        <w:tc>
          <w:tcPr>
            <w:tcW w:w="11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3"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u w:val="single"/>
              </w:rPr>
            </w:pPr>
            <w:r>
              <w:rPr>
                <w:rFonts w:ascii="Times New Roman;sans-serif" w:hAnsi="Times New Roman;sans-serif"/>
                <w:b w:val="false"/>
                <w:color w:val="000000"/>
                <w:sz w:val="18"/>
                <w:u w:val="single"/>
              </w:rPr>
              <w:t>Notes:</w:t>
            </w:r>
          </w:p>
        </w:tc>
        <w:tc>
          <w:tcPr>
            <w:tcW w:w="9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7" w:type="dxa"/>
            <w:gridSpan w:val="21"/>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Credit Ratings are as of March 31, 2024. Subsequent rating changes have not been reflected.</w:t>
            </w:r>
          </w:p>
        </w:tc>
      </w:tr>
      <w:tr>
        <w:trPr/>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7" w:type="dxa"/>
            <w:gridSpan w:val="21"/>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See Glossary of Terms.</w:t>
            </w:r>
          </w:p>
        </w:tc>
      </w:tr>
      <w:tr>
        <w:trPr/>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7" w:type="dxa"/>
            <w:gridSpan w:val="21"/>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Individual items may not add up to total due to rounding.</w:t>
            </w:r>
          </w:p>
        </w:tc>
      </w:tr>
      <w:tr>
        <w:trPr/>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7" w:type="dxa"/>
            <w:gridSpan w:val="21"/>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Excludes redevelopment square footage not yet placed in service.</w:t>
            </w:r>
          </w:p>
        </w:tc>
      </w:tr>
      <w:tr>
        <w:trPr/>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7" w:type="dxa"/>
            <w:gridSpan w:val="21"/>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Totals reflect both the commercial and residential portions of our properties.</w:t>
            </w:r>
          </w:p>
        </w:tc>
      </w:tr>
      <w:tr>
        <w:trPr/>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25" w:type="dxa"/>
            <w:gridSpan w:val="3"/>
            <w:tcBorders/>
            <w:vAlign w:val="center"/>
          </w:tcPr>
          <w:p>
            <w:pPr>
              <w:pStyle w:val="TableContents"/>
              <w:bidi w:val="0"/>
              <w:spacing w:before="0" w:after="283"/>
              <w:jc w:val="left"/>
              <w:rPr>
                <w:sz w:val="4"/>
                <w:szCs w:val="4"/>
              </w:rPr>
            </w:pPr>
            <w:r>
              <w:rPr>
                <w:sz w:val="4"/>
                <w:szCs w:val="4"/>
              </w:rPr>
            </w:r>
          </w:p>
        </w:tc>
        <w:tc>
          <w:tcPr>
            <w:tcW w:w="7342" w:type="dxa"/>
            <w:gridSpan w:val="18"/>
            <w:tcBorders/>
          </w:tcPr>
          <w:p>
            <w:pPr>
              <w:pStyle w:val="TableContents"/>
              <w:bidi w:val="0"/>
              <w:spacing w:before="0" w:after="283"/>
              <w:jc w:val="left"/>
              <w:rPr>
                <w:sz w:val="4"/>
                <w:szCs w:val="4"/>
              </w:rPr>
            </w:pPr>
            <w:r>
              <w:rPr>
                <w:sz w:val="4"/>
                <w:szCs w:val="4"/>
              </w:rPr>
            </w:r>
          </w:p>
        </w:tc>
      </w:tr>
      <w:tr>
        <w:trPr/>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25" w:type="dxa"/>
            <w:gridSpan w:val="3"/>
            <w:tcBorders/>
            <w:vAlign w:val="center"/>
          </w:tcPr>
          <w:p>
            <w:pPr>
              <w:pStyle w:val="TableContents"/>
              <w:bidi w:val="0"/>
              <w:spacing w:before="0" w:after="283"/>
              <w:jc w:val="left"/>
              <w:rPr>
                <w:sz w:val="4"/>
                <w:szCs w:val="4"/>
              </w:rPr>
            </w:pPr>
            <w:r>
              <w:rPr>
                <w:sz w:val="4"/>
                <w:szCs w:val="4"/>
              </w:rPr>
            </w:r>
          </w:p>
        </w:tc>
        <w:tc>
          <w:tcPr>
            <w:tcW w:w="7342" w:type="dxa"/>
            <w:gridSpan w:val="18"/>
            <w:tcBorders/>
          </w:tcPr>
          <w:p>
            <w:pPr>
              <w:pStyle w:val="TableContents"/>
              <w:bidi w:val="0"/>
              <w:spacing w:before="0" w:after="283"/>
              <w:jc w:val="left"/>
              <w:rPr>
                <w:sz w:val="4"/>
                <w:szCs w:val="4"/>
              </w:rPr>
            </w:pPr>
            <w:r>
              <w:rPr>
                <w:sz w:val="4"/>
                <w:szCs w:val="4"/>
              </w:rPr>
            </w:r>
          </w:p>
        </w:tc>
      </w:tr>
    </w:tbl>
    <w:p>
      <w:pPr>
        <w:pStyle w:val="TextBody"/>
        <w:bidi w:val="0"/>
        <w:spacing w:before="100" w:after="283"/>
        <w:jc w:val="center"/>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tbl>
      <w:tblPr>
        <w:tblW w:w="3657"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57" w:type="dxa"/>
            <w:gridSpan w:val="3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Federal Realty Investment Trust</w:t>
            </w:r>
          </w:p>
        </w:tc>
      </w:tr>
      <w:tr>
        <w:trPr/>
        <w:tc>
          <w:tcPr>
            <w:tcW w:w="3657" w:type="dxa"/>
            <w:gridSpan w:val="3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Reconciliation of FFO Guidance</w:t>
            </w:r>
          </w:p>
        </w:tc>
      </w:tr>
      <w:tr>
        <w:trPr/>
        <w:tc>
          <w:tcPr>
            <w:tcW w:w="3657" w:type="dxa"/>
            <w:gridSpan w:val="3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March 31, 2024</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a reconciliation of the range of estimated earnings per diluted share to estimated FFO per diluted share for the full year 2024.</w:t>
      </w:r>
    </w:p>
    <w:p>
      <w:pPr>
        <w:pStyle w:val="TextBody"/>
        <w:bidi w:val="0"/>
        <w:spacing w:before="0" w:after="0"/>
        <w:jc w:val="left"/>
        <w:rPr/>
      </w:pPr>
      <w:r>
        <w:rPr/>
      </w:r>
    </w:p>
    <w:p>
      <w:pPr>
        <w:pStyle w:val="TextBody"/>
        <w:bidi w:val="0"/>
        <w:spacing w:before="0" w:after="0"/>
        <w:jc w:val="left"/>
        <w:rPr/>
      </w:pPr>
      <w:r>
        <w:rPr/>
      </w:r>
    </w:p>
    <w:tbl>
      <w:tblPr>
        <w:tblW w:w="8996" w:type="dxa"/>
        <w:jc w:val="left"/>
        <w:tblInd w:w="0" w:type="dxa"/>
        <w:tblLayout w:type="fixed"/>
        <w:tblCellMar>
          <w:top w:w="28" w:type="dxa"/>
          <w:left w:w="28" w:type="dxa"/>
          <w:bottom w:w="28" w:type="dxa"/>
          <w:right w:w="28" w:type="dxa"/>
        </w:tblCellMar>
      </w:tblPr>
      <w:tblGrid>
        <w:gridCol w:w="2224"/>
        <w:gridCol w:w="1950"/>
        <w:gridCol w:w="1960"/>
        <w:gridCol w:w="297"/>
        <w:gridCol w:w="720"/>
        <w:gridCol w:w="153"/>
        <w:gridCol w:w="153"/>
        <w:gridCol w:w="153"/>
        <w:gridCol w:w="153"/>
        <w:gridCol w:w="297"/>
        <w:gridCol w:w="720"/>
        <w:gridCol w:w="216"/>
      </w:tblGrid>
      <w:tr>
        <w:trPr/>
        <w:tc>
          <w:tcPr>
            <w:tcW w:w="2224" w:type="dxa"/>
            <w:tcBorders/>
            <w:vAlign w:val="center"/>
          </w:tcPr>
          <w:p>
            <w:pPr>
              <w:pStyle w:val="TableContents"/>
              <w:bidi w:val="0"/>
              <w:spacing w:before="0" w:after="283"/>
              <w:jc w:val="left"/>
              <w:rPr>
                <w:sz w:val="4"/>
                <w:szCs w:val="4"/>
              </w:rPr>
            </w:pPr>
            <w:r>
              <w:rPr>
                <w:sz w:val="4"/>
                <w:szCs w:val="4"/>
              </w:rPr>
            </w:r>
          </w:p>
        </w:tc>
        <w:tc>
          <w:tcPr>
            <w:tcW w:w="1950" w:type="dxa"/>
            <w:tcBorders/>
            <w:vAlign w:val="center"/>
          </w:tcPr>
          <w:p>
            <w:pPr>
              <w:pStyle w:val="TableContents"/>
              <w:bidi w:val="0"/>
              <w:spacing w:before="0" w:after="283"/>
              <w:jc w:val="left"/>
              <w:rPr>
                <w:sz w:val="4"/>
                <w:szCs w:val="4"/>
              </w:rPr>
            </w:pPr>
            <w:r>
              <w:rPr>
                <w:sz w:val="4"/>
                <w:szCs w:val="4"/>
              </w:rPr>
            </w:r>
          </w:p>
        </w:tc>
        <w:tc>
          <w:tcPr>
            <w:tcW w:w="1960"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6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Full Year 2024 Guidance Range</w:t>
            </w:r>
          </w:p>
        </w:tc>
      </w:tr>
      <w:tr>
        <w:trPr/>
        <w:tc>
          <w:tcPr>
            <w:tcW w:w="6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Low</w:t>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High</w:t>
            </w:r>
          </w:p>
        </w:tc>
      </w:tr>
      <w:tr>
        <w:trPr/>
        <w:tc>
          <w:tcPr>
            <w:tcW w:w="6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Estimated net income available to common shareholders, per diluted share</w:t>
            </w:r>
          </w:p>
        </w:tc>
        <w:tc>
          <w:tcPr>
            <w:tcW w:w="2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2.74 </w:t>
            </w:r>
          </w:p>
        </w:tc>
        <w:tc>
          <w:tcPr>
            <w:tcW w:w="1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2.94 </w:t>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w:t>
            </w:r>
          </w:p>
        </w:tc>
        <w:tc>
          <w:tcPr>
            <w:tcW w:w="11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c>
          <w:tcPr>
            <w:tcW w:w="459"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Estimated depreciation and amortization</w:t>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Estimated FFO per diluted share</w:t>
            </w:r>
          </w:p>
        </w:tc>
        <w:tc>
          <w:tcPr>
            <w:tcW w:w="2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6.67 </w:t>
            </w:r>
          </w:p>
        </w:tc>
        <w:tc>
          <w:tcPr>
            <w:tcW w:w="1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6.87 </w:t>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Note:</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See Glossary of Terms. Individual items may not add up to total due to rounding.</w:t>
      </w:r>
    </w:p>
    <w:p>
      <w:pPr>
        <w:pStyle w:val="TextBody"/>
        <w:bidi w:val="0"/>
        <w:spacing w:before="0" w:after="0"/>
        <w:jc w:val="left"/>
        <w:rPr/>
      </w:pPr>
      <w:r>
        <w:rPr/>
      </w:r>
    </w:p>
    <w:p>
      <w:pPr>
        <w:pStyle w:val="TextBody"/>
        <w:bidi w:val="0"/>
        <w:spacing w:before="0" w:after="0"/>
        <w:jc w:val="left"/>
        <w:rPr/>
      </w:pPr>
      <w:r>
        <w:rPr/>
      </w:r>
    </w:p>
    <w:tbl>
      <w:tblPr>
        <w:tblW w:w="8819" w:type="dxa"/>
        <w:jc w:val="left"/>
        <w:tblInd w:w="0" w:type="dxa"/>
        <w:tblLayout w:type="fixed"/>
        <w:tblCellMar>
          <w:top w:w="28" w:type="dxa"/>
          <w:left w:w="28" w:type="dxa"/>
          <w:bottom w:w="28" w:type="dxa"/>
          <w:right w:w="28" w:type="dxa"/>
        </w:tblCellMar>
      </w:tblPr>
      <w:tblGrid>
        <w:gridCol w:w="2550"/>
        <w:gridCol w:w="2237"/>
        <w:gridCol w:w="2248"/>
        <w:gridCol w:w="522"/>
        <w:gridCol w:w="522"/>
        <w:gridCol w:w="740"/>
      </w:tblGrid>
      <w:tr>
        <w:trPr/>
        <w:tc>
          <w:tcPr>
            <w:tcW w:w="2550" w:type="dxa"/>
            <w:tcBorders/>
            <w:vAlign w:val="center"/>
          </w:tcPr>
          <w:p>
            <w:pPr>
              <w:pStyle w:val="TableContents"/>
              <w:bidi w:val="0"/>
              <w:spacing w:before="0" w:after="283"/>
              <w:jc w:val="left"/>
              <w:rPr>
                <w:sz w:val="4"/>
                <w:szCs w:val="4"/>
              </w:rPr>
            </w:pPr>
            <w:r>
              <w:rPr>
                <w:sz w:val="4"/>
                <w:szCs w:val="4"/>
              </w:rPr>
            </w:r>
          </w:p>
        </w:tc>
        <w:tc>
          <w:tcPr>
            <w:tcW w:w="2237" w:type="dxa"/>
            <w:tcBorders/>
            <w:vAlign w:val="center"/>
          </w:tcPr>
          <w:p>
            <w:pPr>
              <w:pStyle w:val="TableContents"/>
              <w:bidi w:val="0"/>
              <w:spacing w:before="0" w:after="283"/>
              <w:jc w:val="left"/>
              <w:rPr>
                <w:sz w:val="4"/>
                <w:szCs w:val="4"/>
              </w:rPr>
            </w:pPr>
            <w:r>
              <w:rPr>
                <w:sz w:val="4"/>
                <w:szCs w:val="4"/>
              </w:rPr>
            </w:r>
          </w:p>
        </w:tc>
        <w:tc>
          <w:tcPr>
            <w:tcW w:w="2248"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r>
      <w:tr>
        <w:trPr/>
        <w:tc>
          <w:tcPr>
            <w:tcW w:w="70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Guidance Assumptions (1):</w:t>
            </w:r>
          </w:p>
        </w:tc>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Comparable properties growth</w:t>
            </w:r>
          </w:p>
        </w:tc>
        <w:tc>
          <w:tcPr>
            <w:tcW w:w="1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2.25% - 3.5%</w:t>
            </w:r>
          </w:p>
        </w:tc>
      </w:tr>
      <w:tr>
        <w:trPr/>
        <w:tc>
          <w:tcPr>
            <w:tcW w:w="70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Comparable properties growth excluding prior period rents and lease termination fees</w:t>
            </w:r>
          </w:p>
        </w:tc>
        <w:tc>
          <w:tcPr>
            <w:tcW w:w="17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2.75% - 4%</w:t>
            </w:r>
          </w:p>
        </w:tc>
      </w:tr>
      <w:tr>
        <w:trPr/>
        <w:tc>
          <w:tcPr>
            <w:tcW w:w="7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Prior period rents (2)</w:t>
            </w:r>
          </w:p>
        </w:tc>
        <w:tc>
          <w:tcPr>
            <w:tcW w:w="1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$2 - $3 million</w:t>
            </w:r>
          </w:p>
        </w:tc>
      </w:tr>
      <w:tr>
        <w:trPr/>
        <w:tc>
          <w:tcPr>
            <w:tcW w:w="70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termination fees</w:t>
            </w:r>
          </w:p>
        </w:tc>
        <w:tc>
          <w:tcPr>
            <w:tcW w:w="17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$4 - $7 million</w:t>
            </w:r>
          </w:p>
        </w:tc>
      </w:tr>
      <w:tr>
        <w:trPr/>
        <w:tc>
          <w:tcPr>
            <w:tcW w:w="7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Incremental redevelopment/expansion POI (3)</w:t>
            </w:r>
          </w:p>
        </w:tc>
        <w:tc>
          <w:tcPr>
            <w:tcW w:w="1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$9 - $12 million</w:t>
            </w:r>
          </w:p>
        </w:tc>
      </w:tr>
      <w:tr>
        <w:trPr/>
        <w:tc>
          <w:tcPr>
            <w:tcW w:w="70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w:t>
            </w:r>
          </w:p>
        </w:tc>
        <w:tc>
          <w:tcPr>
            <w:tcW w:w="17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$48 - $52 million</w:t>
            </w:r>
          </w:p>
        </w:tc>
      </w:tr>
      <w:tr>
        <w:trPr/>
        <w:tc>
          <w:tcPr>
            <w:tcW w:w="7035" w:type="dxa"/>
            <w:gridSpan w:val="3"/>
            <w:tcBorders/>
            <w:vAlign w:val="center"/>
          </w:tcPr>
          <w:p>
            <w:pPr>
              <w:pStyle w:val="TableContents"/>
              <w:bidi w:val="0"/>
              <w:spacing w:before="0" w:after="283"/>
              <w:jc w:val="left"/>
              <w:rPr>
                <w:sz w:val="4"/>
                <w:szCs w:val="4"/>
              </w:rPr>
            </w:pPr>
            <w:r>
              <w:rPr>
                <w:sz w:val="4"/>
                <w:szCs w:val="4"/>
              </w:rPr>
            </w:r>
          </w:p>
        </w:tc>
        <w:tc>
          <w:tcPr>
            <w:tcW w:w="1784" w:type="dxa"/>
            <w:gridSpan w:val="3"/>
            <w:tcBorders/>
            <w:vAlign w:val="center"/>
          </w:tcPr>
          <w:p>
            <w:pPr>
              <w:pStyle w:val="TableContents"/>
              <w:bidi w:val="0"/>
              <w:spacing w:before="0" w:after="283"/>
              <w:jc w:val="left"/>
              <w:rPr>
                <w:sz w:val="4"/>
                <w:szCs w:val="4"/>
              </w:rPr>
            </w:pPr>
            <w:r>
              <w:rPr>
                <w:sz w:val="4"/>
                <w:szCs w:val="4"/>
              </w:rPr>
            </w:r>
          </w:p>
        </w:tc>
      </w:tr>
      <w:tr>
        <w:trPr/>
        <w:tc>
          <w:tcPr>
            <w:tcW w:w="7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Development/redevelopment capital</w:t>
            </w:r>
          </w:p>
        </w:tc>
        <w:tc>
          <w:tcPr>
            <w:tcW w:w="1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$100 - $150 million</w:t>
            </w:r>
          </w:p>
        </w:tc>
      </w:tr>
      <w:tr>
        <w:trPr/>
        <w:tc>
          <w:tcPr>
            <w:tcW w:w="7035" w:type="dxa"/>
            <w:gridSpan w:val="3"/>
            <w:tcBorders/>
            <w:vAlign w:val="center"/>
          </w:tcPr>
          <w:p>
            <w:pPr>
              <w:pStyle w:val="TableContents"/>
              <w:bidi w:val="0"/>
              <w:spacing w:before="0" w:after="283"/>
              <w:jc w:val="left"/>
              <w:rPr>
                <w:sz w:val="4"/>
                <w:szCs w:val="4"/>
              </w:rPr>
            </w:pPr>
            <w:r>
              <w:rPr>
                <w:sz w:val="4"/>
                <w:szCs w:val="4"/>
              </w:rPr>
            </w:r>
          </w:p>
        </w:tc>
        <w:tc>
          <w:tcPr>
            <w:tcW w:w="1784" w:type="dxa"/>
            <w:gridSpan w:val="3"/>
            <w:tcBorders/>
            <w:vAlign w:val="center"/>
          </w:tcPr>
          <w:p>
            <w:pPr>
              <w:pStyle w:val="TableContents"/>
              <w:bidi w:val="0"/>
              <w:spacing w:before="0" w:after="283"/>
              <w:jc w:val="left"/>
              <w:rPr>
                <w:sz w:val="4"/>
                <w:szCs w:val="4"/>
              </w:rPr>
            </w:pPr>
            <w:r>
              <w:rPr>
                <w:sz w:val="4"/>
                <w:szCs w:val="4"/>
              </w:rPr>
            </w:r>
          </w:p>
        </w:tc>
      </w:tr>
      <w:tr>
        <w:trPr/>
        <w:tc>
          <w:tcPr>
            <w:tcW w:w="7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Capitalized interest</w:t>
            </w:r>
          </w:p>
        </w:tc>
        <w:tc>
          <w:tcPr>
            <w:tcW w:w="1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$18 - $21 million</w:t>
            </w:r>
          </w:p>
        </w:tc>
      </w:tr>
    </w:tbl>
    <w:p>
      <w:pPr>
        <w:pStyle w:val="TextBody"/>
        <w:bidi w:val="0"/>
        <w:spacing w:lineRule="auto" w:line="288" w:before="10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Notes:</w:t>
      </w:r>
    </w:p>
    <w:p>
      <w:pPr>
        <w:pStyle w:val="TextBody"/>
        <w:bidi w:val="0"/>
        <w:spacing w:lineRule="auto" w:line="288" w:before="0" w:after="0"/>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(1)Does not assume the impact of potential acquisitions or dispositions which have not closed as of April 30, 2024.</w:t>
      </w:r>
    </w:p>
    <w:p>
      <w:pPr>
        <w:pStyle w:val="TextBody"/>
        <w:bidi w:val="0"/>
        <w:spacing w:lineRule="auto" w:line="288" w:before="0" w:after="0"/>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(2)Reflects amounts which were contractually deferred or payments renegotiated specifically related to the COVID-19 pandemic.</w:t>
      </w:r>
    </w:p>
    <w:p>
      <w:pPr>
        <w:pStyle w:val="TextBody"/>
        <w:bidi w:val="0"/>
        <w:spacing w:lineRule="auto" w:line="288" w:before="0" w:after="0"/>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(3)Includes the expected additional POI to be recognized in 2024 compared to the amount recognized in 2023 from all of the redevelopments listed on page 15. Does not include any additional POI from "Active Property Improvement Projects."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88" w:before="0" w:after="140"/>
        <w:jc w:val="center"/>
        <w:rPr>
          <w:rFonts w:ascii="Times New Roman;sans-serif" w:hAnsi="Times New Roman;sans-serif"/>
          <w:b/>
          <w:color w:val="000000"/>
          <w:sz w:val="20"/>
        </w:rPr>
      </w:pPr>
      <w:r>
        <w:rPr>
          <w:rFonts w:ascii="Times New Roman;sans-serif" w:hAnsi="Times New Roman;sans-serif"/>
          <w:b/>
          <w:color w:val="000000"/>
          <w:sz w:val="20"/>
        </w:rPr>
        <w:t>Glossary of Terms</w:t>
      </w:r>
    </w:p>
    <w:p>
      <w:pPr>
        <w:pStyle w:val="TextBody"/>
        <w:bidi w:val="0"/>
        <w:spacing w:lineRule="auto" w:line="288" w:before="0" w:after="0"/>
        <w:jc w:val="left"/>
        <w:rPr/>
      </w:pPr>
      <w:r>
        <w:rPr>
          <w:rFonts w:ascii="Times New Roman;sans-serif" w:hAnsi="Times New Roman;sans-serif"/>
          <w:b/>
          <w:color w:val="000000"/>
          <w:sz w:val="18"/>
        </w:rPr>
        <w:t>EBITDA for Real Estate ("EBITDAre"):</w:t>
      </w:r>
      <w:r>
        <w:rPr>
          <w:color w:val="000000"/>
        </w:rPr>
        <w:t xml:space="preserve"> </w:t>
      </w:r>
      <w:r>
        <w:rPr>
          <w:rFonts w:ascii="Times New Roman;sans-serif" w:hAnsi="Times New Roman;sans-serif"/>
          <w:b w:val="false"/>
          <w:color w:val="000000"/>
          <w:sz w:val="18"/>
        </w:rPr>
        <w:t>EBITDAre is a non-GAAP measure that the National Association of Real Estate Investment Trusts ("NAREIT") defines as: net income computed in accordance with GAAP plus net interest expense, income tax expense, depreciation and amortization, gain or loss on sale of real estate, impairments of real estate and change in control of interest, and adjustments to reflect the entity's share of EBITDAre of unconsolidated affiliates. We calculate EBITDAre consistent with the NAREIT definition. As EBITDA is a widely known and understood measure of performance, management believes EBITDAre represents an additional non-GAAP performance measure, independent of a company's capital structure, that will provide investors with a uniform basis to measure the enterprise value of a company. EBITDAre also approximates a key performance measure in our debt covenants, but it should not be considered an alternative measure of operating results or cash flow from operations as determined in accordance with GAAP. The reconciliation of net income to EBITDAre for the three months ended March 31, 2024 and 2023 is as follows:</w:t>
      </w:r>
    </w:p>
    <w:tbl>
      <w:tblPr>
        <w:tblW w:w="7112" w:type="dxa"/>
        <w:jc w:val="center"/>
        <w:tblInd w:w="0" w:type="dxa"/>
        <w:tblLayout w:type="fixed"/>
        <w:tblCellMar>
          <w:top w:w="28" w:type="dxa"/>
          <w:left w:w="28" w:type="dxa"/>
          <w:bottom w:w="28" w:type="dxa"/>
          <w:right w:w="28" w:type="dxa"/>
        </w:tblCellMar>
      </w:tblPr>
      <w:tblGrid>
        <w:gridCol w:w="1448"/>
        <w:gridCol w:w="1276"/>
        <w:gridCol w:w="1280"/>
        <w:gridCol w:w="196"/>
        <w:gridCol w:w="736"/>
        <w:gridCol w:w="109"/>
        <w:gridCol w:w="109"/>
        <w:gridCol w:w="109"/>
        <w:gridCol w:w="109"/>
        <w:gridCol w:w="196"/>
        <w:gridCol w:w="736"/>
        <w:gridCol w:w="109"/>
        <w:gridCol w:w="109"/>
        <w:gridCol w:w="109"/>
        <w:gridCol w:w="109"/>
        <w:gridCol w:w="109"/>
        <w:gridCol w:w="109"/>
        <w:gridCol w:w="154"/>
      </w:tblGrid>
      <w:tr>
        <w:trPr/>
        <w:tc>
          <w:tcPr>
            <w:tcW w:w="1448"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Net income </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58,016 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57,731 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43,693 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39,225 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interest income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 (benefit) provision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83,404 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78,637 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Gain on sale of real estate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Adjustments of EBITDAre of unconsolidated affiliates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EBITDAre</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185,576 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176,777 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360"/>
        <w:jc w:val="left"/>
        <w:rPr/>
      </w:pPr>
      <w:r>
        <w:rPr/>
      </w:r>
    </w:p>
    <w:p>
      <w:pPr>
        <w:pStyle w:val="TextBody"/>
        <w:bidi w:val="0"/>
        <w:spacing w:lineRule="auto" w:line="288" w:before="100" w:after="283"/>
        <w:jc w:val="left"/>
        <w:rPr/>
      </w:pPr>
      <w:r>
        <w:rPr>
          <w:rFonts w:ascii="Times New Roman;sans-serif" w:hAnsi="Times New Roman;sans-serif"/>
          <w:b/>
          <w:color w:val="000000"/>
          <w:sz w:val="18"/>
        </w:rPr>
        <w:t>Funds From Operations (FFO):</w:t>
      </w:r>
      <w:r>
        <w:rPr>
          <w:color w:val="000000"/>
        </w:rPr>
        <w:t xml:space="preserve"> </w:t>
      </w:r>
      <w:r>
        <w:rPr>
          <w:rFonts w:ascii="Times New Roman;sans-serif" w:hAnsi="Times New Roman;sans-serif"/>
          <w:b w:val="false"/>
          <w:color w:val="000000"/>
          <w:sz w:val="18"/>
        </w:rPr>
        <w:t xml:space="preserve">FFO is a supplemental measure of real estate companies' operating performances. NAREIT defines FFO as follows: net income, computed in accordance with GAAP plus real estate related depreciation and amortization, gains and losses on sale of real estate, and impairment write-downs of depreciable real estate. NAREIT developed FFO as a relative measure of performance and liquidity of an equity REIT in order to recognize that the value of income-producing real estate historically has not depreciated on the basis determined under GAAP. However, FFO does not represent cash flows from operating activities in accordance with GAAP (which, unlike FFO, generally reflects all cash effects of transactions and other events in the determination of net income); should not be considered an alternative to net income as an indication of our performance; and is not necessarily indicative of cash flow as a measure of liquidity or ability to pay dividends. We consider FFO a meaningful, additional measure of operating performance primarily because it excludes the assumption that the value of real estate assets diminishes predictably over time, and because industry analysts have accepted it as a performance measure. Comparison of our presentation of FFO to similarly titled measures for other REITs may not necessarily be meaningful due to possible differences in the application of the NAREIT definition used by such REITs. </w:t>
      </w:r>
    </w:p>
    <w:p>
      <w:pPr>
        <w:pStyle w:val="TextBody"/>
        <w:bidi w:val="0"/>
        <w:spacing w:lineRule="auto" w:line="288" w:before="140" w:after="283"/>
        <w:jc w:val="left"/>
        <w:rPr/>
      </w:pPr>
      <w:r>
        <w:rPr>
          <w:rFonts w:ascii="Times New Roman;sans-serif" w:hAnsi="Times New Roman;sans-serif"/>
          <w:b/>
          <w:color w:val="000000"/>
          <w:sz w:val="18"/>
        </w:rPr>
        <w:t xml:space="preserve">Property Operating Income: </w:t>
      </w:r>
      <w:r>
        <w:rPr>
          <w:rFonts w:ascii="Times New Roman;sans-serif" w:hAnsi="Times New Roman;sans-serif"/>
          <w:b w:val="false"/>
          <w:color w:val="000000"/>
          <w:sz w:val="18"/>
        </w:rPr>
        <w:t>Rental income and mortgage interest income, less rental expenses and real estate taxes.</w:t>
      </w:r>
    </w:p>
    <w:p>
      <w:pPr>
        <w:pStyle w:val="TextBody"/>
        <w:bidi w:val="0"/>
        <w:spacing w:lineRule="auto" w:line="288" w:before="140" w:after="283"/>
        <w:jc w:val="left"/>
        <w:rPr/>
      </w:pPr>
      <w:r>
        <w:rPr>
          <w:rFonts w:ascii="Times New Roman;sans-serif" w:hAnsi="Times New Roman;sans-serif"/>
          <w:b/>
          <w:color w:val="000000"/>
          <w:sz w:val="18"/>
        </w:rPr>
        <w:t>Overall Portfolio:</w:t>
      </w:r>
      <w:r>
        <w:rPr>
          <w:color w:val="000000"/>
        </w:rPr>
        <w:t xml:space="preserve"> </w:t>
      </w:r>
      <w:r>
        <w:rPr>
          <w:rFonts w:ascii="Times New Roman;sans-serif" w:hAnsi="Times New Roman;sans-serif"/>
          <w:b w:val="false"/>
          <w:color w:val="000000"/>
          <w:sz w:val="18"/>
        </w:rPr>
        <w:t>Includes all operating properties owned in reporting period.</w:t>
      </w:r>
    </w:p>
    <w:p>
      <w:pPr>
        <w:pStyle w:val="TextBody"/>
        <w:bidi w:val="0"/>
        <w:spacing w:lineRule="auto" w:line="288" w:before="140" w:after="283"/>
        <w:jc w:val="left"/>
        <w:rPr/>
      </w:pPr>
      <w:r>
        <w:rPr>
          <w:rFonts w:ascii="Times New Roman;sans-serif" w:hAnsi="Times New Roman;sans-serif"/>
          <w:b/>
          <w:color w:val="000000"/>
          <w:sz w:val="18"/>
        </w:rPr>
        <w:t xml:space="preserve">Comparable Properties: </w:t>
      </w:r>
      <w:r>
        <w:rPr>
          <w:rFonts w:ascii="Times New Roman;sans-serif" w:hAnsi="Times New Roman;sans-serif"/>
          <w:b w:val="false"/>
          <w:color w:val="000000"/>
          <w:sz w:val="18"/>
        </w:rPr>
        <w:t xml:space="preserve">Represents our consolidated property portfolio other than those properties that distort comparability between periods in two primary categories: (1) assets that were not owned for the full quarter in both periods presented and (2) assets currently under development or being repositioned for significant redevelopment and investment. Comparable property growth statistics are calculated on a GAAP basis. </w:t>
      </w:r>
    </w:p>
    <w:p>
      <w:pPr>
        <w:pStyle w:val="TextBody"/>
        <w:bidi w:val="0"/>
        <w:spacing w:lineRule="auto" w:line="288" w:before="140" w:after="283"/>
        <w:jc w:val="left"/>
        <w:rPr/>
      </w:pPr>
      <w:r>
        <w:rPr>
          <w:rFonts w:ascii="Times New Roman;sans-serif" w:hAnsi="Times New Roman;sans-serif"/>
          <w:b/>
          <w:color w:val="000000"/>
          <w:sz w:val="18"/>
        </w:rPr>
        <w:t xml:space="preserve">Annualized Base Rent (ABR): </w:t>
      </w:r>
      <w:r>
        <w:rPr>
          <w:rFonts w:ascii="Times New Roman;sans-serif" w:hAnsi="Times New Roman;sans-serif"/>
          <w:b w:val="false"/>
          <w:color w:val="000000"/>
          <w:sz w:val="18"/>
        </w:rPr>
        <w:t xml:space="preserve">Represents aggregate, annualized in-place contractual (defined as rents billed on a cash basis without taking the impact of rent abatements into account) minimum rent for all occupied spaces as of the reporting period. </w:t>
      </w:r>
    </w:p>
    <w:p>
      <w:pPr>
        <w:pStyle w:val="TextBody"/>
        <w:bidi w:val="0"/>
        <w:spacing w:lineRule="auto" w:line="288" w:before="140" w:after="283"/>
        <w:jc w:val="left"/>
        <w:rPr/>
      </w:pPr>
      <w:r>
        <w:rPr>
          <w:rFonts w:ascii="Times New Roman;sans-serif" w:hAnsi="Times New Roman;sans-serif"/>
          <w:b/>
          <w:color w:val="000000"/>
          <w:sz w:val="18"/>
        </w:rPr>
        <w:t xml:space="preserve">Retail Leasing Summary - Lease Rollover Calculation: </w:t>
      </w:r>
      <w:r>
        <w:rPr>
          <w:rFonts w:ascii="Times New Roman;sans-serif" w:hAnsi="Times New Roman;sans-serif"/>
          <w:b w:val="false"/>
          <w:color w:val="000000"/>
          <w:sz w:val="18"/>
        </w:rPr>
        <w:t>The rental increases associated with comparable spaces generally include all leases signed for retail space in arms-length transactions reflecting market leverage between landlords and tenants during the period, excluding leases at properties sold during the quarter or under contract to be sold. The comparison between the rent for expiring leases and new leases is determined by including contractual rent on the expiring lease, including percentage rent, and the comparable annual rent and in some instances, projections of percentage rent, to be paid on the new lease. In atypical circumstances, management may exercise judgement as to how to most effectively reflect the comparability of rents reported in the calculation. The change in rental income on comparable space leases is impacted by numerous factors including current market rates, location, individual tenant creditworthiness, use of space, market conditions when the expiring lease was signed, capital investment made in the space and the specific lease structure.</w:t>
      </w:r>
    </w:p>
    <w:p>
      <w:pPr>
        <w:pStyle w:val="TextBody"/>
        <w:bidi w:val="0"/>
        <w:spacing w:lineRule="auto" w:line="288" w:before="140" w:after="283"/>
        <w:jc w:val="left"/>
        <w:rPr/>
      </w:pPr>
      <w:r>
        <w:rPr>
          <w:rFonts w:ascii="Times New Roman;sans-serif" w:hAnsi="Times New Roman;sans-serif"/>
          <w:b/>
          <w:color w:val="000000"/>
          <w:sz w:val="18"/>
        </w:rPr>
        <w:t xml:space="preserve">Tenant Improvements and Incentives: </w:t>
      </w:r>
      <w:r>
        <w:rPr>
          <w:rFonts w:ascii="Times New Roman;sans-serif" w:hAnsi="Times New Roman;sans-serif"/>
          <w:b w:val="false"/>
          <w:color w:val="000000"/>
          <w:sz w:val="18"/>
        </w:rPr>
        <w:t>Represents the total dollars committed for the improvement (fit-out) of a space as it relates to a specific lease. Incentives include amounts paid to tenants as an inducement to sign a lease that do not represent building improvements.</w:t>
      </w:r>
    </w:p>
    <w:p>
      <w:pPr>
        <w:pStyle w:val="TextBody"/>
        <w:bidi w:val="0"/>
        <w:spacing w:lineRule="auto" w:line="288" w:before="140" w:after="283"/>
        <w:jc w:val="left"/>
        <w:rPr/>
      </w:pPr>
      <w:r>
        <w:rPr>
          <w:rFonts w:ascii="Times New Roman;sans-serif" w:hAnsi="Times New Roman;sans-serif"/>
          <w:b/>
          <w:color w:val="000000"/>
          <w:sz w:val="18"/>
        </w:rPr>
        <w:t>General:</w:t>
      </w:r>
      <w:r>
        <w:rPr>
          <w:color w:val="000000"/>
        </w:rPr>
        <w:t xml:space="preserve"> </w:t>
      </w:r>
      <w:r>
        <w:rPr>
          <w:rFonts w:ascii="Times New Roman;sans-serif" w:hAnsi="Times New Roman;sans-serif"/>
          <w:b w:val="false"/>
          <w:color w:val="000000"/>
          <w:sz w:val="18"/>
        </w:rPr>
        <w:t xml:space="preserve">Property related statistics are the for the consolidated property portfolio except where noted. </w:t>
      </w:r>
    </w:p>
    <w:p>
      <w:pPr>
        <w:pStyle w:val="TextBody"/>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Arial">
    <w:altName w:val="sans-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image" Target="media/image1.jpeg"/><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29</Pages>
  <Words>12587</Words>
  <Characters>67795</Characters>
  <CharactersWithSpaces>78123</CharactersWithSpaces>
  <Paragraphs>3877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