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4" w:lineRule="exact"/>
        <w:rPr>
          <w:sz w:val="24"/>
          <w:szCs w:val="24"/>
          <w:color w:val="auto"/>
        </w:rPr>
      </w:pPr>
    </w:p>
    <w:p>
      <w:pPr>
        <w:ind w:left="2380"/>
        <w:spacing w:after="0"/>
        <w:tabs>
          <w:tab w:leader="none" w:pos="3880" w:val="left"/>
        </w:tabs>
        <w:rPr>
          <w:sz w:val="20"/>
          <w:szCs w:val="20"/>
          <w:color w:val="auto"/>
        </w:rPr>
      </w:pPr>
      <w:r>
        <w:rPr>
          <w:rFonts w:ascii="Courier New" w:cs="Courier New" w:eastAsia="Courier New" w:hAnsi="Courier New"/>
          <w:sz w:val="14"/>
          <w:szCs w:val="14"/>
          <w:color w:val="auto"/>
        </w:rPr>
        <w:t>Washington, D.C.</w:t>
        <w:tab/>
        <w:t>20549</w:t>
      </w:r>
    </w:p>
    <w:p>
      <w:pPr>
        <w:spacing w:after="0" w:line="200" w:lineRule="exact"/>
        <w:rPr>
          <w:sz w:val="24"/>
          <w:szCs w:val="24"/>
          <w:color w:val="auto"/>
        </w:rPr>
      </w:pPr>
    </w:p>
    <w:p>
      <w:pPr>
        <w:spacing w:after="0" w:line="29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FORM 8-K</w:t>
      </w:r>
    </w:p>
    <w:p>
      <w:pPr>
        <w:spacing w:after="0" w:line="168" w:lineRule="exact"/>
        <w:rPr>
          <w:sz w:val="24"/>
          <w:szCs w:val="24"/>
          <w:color w:val="auto"/>
        </w:rPr>
      </w:pPr>
    </w:p>
    <w:p>
      <w:pPr>
        <w:ind w:left="280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294" w:lineRule="exact"/>
        <w:rPr>
          <w:sz w:val="24"/>
          <w:szCs w:val="24"/>
          <w:color w:val="auto"/>
        </w:rPr>
      </w:pPr>
    </w:p>
    <w:p>
      <w:pPr>
        <w:ind w:left="520" w:right="3799" w:hanging="84"/>
        <w:spacing w:after="0" w:line="248" w:lineRule="auto"/>
        <w:rPr>
          <w:sz w:val="20"/>
          <w:szCs w:val="20"/>
          <w:color w:val="auto"/>
        </w:rPr>
      </w:pPr>
      <w:r>
        <w:rPr>
          <w:rFonts w:ascii="Courier New" w:cs="Courier New" w:eastAsia="Courier New" w:hAnsi="Courier New"/>
          <w:sz w:val="14"/>
          <w:szCs w:val="14"/>
          <w:color w:val="auto"/>
        </w:rPr>
        <w:t>Pursuant to Section 13 or 15(d) of the Securities Exchange Act of 1934 Date of Report (Date of earliest event reported) December 31, 1999</w:t>
      </w:r>
    </w:p>
    <w:p>
      <w:pPr>
        <w:spacing w:after="0" w:line="200" w:lineRule="exact"/>
        <w:rPr>
          <w:sz w:val="24"/>
          <w:szCs w:val="24"/>
          <w:color w:val="auto"/>
        </w:rPr>
      </w:pPr>
    </w:p>
    <w:p>
      <w:pPr>
        <w:spacing w:after="0" w:line="288" w:lineRule="exact"/>
        <w:rPr>
          <w:sz w:val="24"/>
          <w:szCs w:val="24"/>
          <w:color w:val="auto"/>
        </w:rPr>
      </w:pPr>
    </w:p>
    <w:p>
      <w:pPr>
        <w:ind w:left="2040"/>
        <w:spacing w:after="0"/>
        <w:rPr>
          <w:sz w:val="20"/>
          <w:szCs w:val="20"/>
          <w:color w:val="auto"/>
        </w:rPr>
      </w:pPr>
      <w:r>
        <w:rPr>
          <w:rFonts w:ascii="Courier New" w:cs="Courier New" w:eastAsia="Courier New" w:hAnsi="Courier New"/>
          <w:sz w:val="14"/>
          <w:szCs w:val="14"/>
          <w:color w:val="auto"/>
        </w:rPr>
        <w:t>Federal Realty Investment Trust</w:t>
      </w:r>
    </w:p>
    <w:p>
      <w:pPr>
        <w:spacing w:after="0" w:line="4" w:lineRule="exact"/>
        <w:rPr>
          <w:sz w:val="24"/>
          <w:szCs w:val="24"/>
          <w:color w:val="auto"/>
        </w:rPr>
      </w:pPr>
    </w:p>
    <w:p>
      <w:pPr>
        <w:ind w:left="20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4"/>
          <w:szCs w:val="24"/>
          <w:color w:val="auto"/>
        </w:rPr>
      </w:pPr>
    </w:p>
    <w:p>
      <w:pPr>
        <w:ind w:left="110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159"/>
          </w:cols>
          <w:pgMar w:left="300" w:top="554" w:right="1440" w:bottom="1440" w:gutter="0" w:footer="0" w:header="0"/>
        </w:sectPr>
      </w:pPr>
    </w:p>
    <w:p>
      <w:pPr>
        <w:spacing w:after="0" w:line="200" w:lineRule="exact"/>
        <w:rPr>
          <w:sz w:val="24"/>
          <w:szCs w:val="24"/>
          <w:color w:val="auto"/>
        </w:rPr>
      </w:pPr>
    </w:p>
    <w:p>
      <w:pPr>
        <w:spacing w:after="0" w:line="294" w:lineRule="exact"/>
        <w:rPr>
          <w:sz w:val="24"/>
          <w:szCs w:val="24"/>
          <w:color w:val="auto"/>
        </w:rPr>
      </w:pPr>
    </w:p>
    <w:p>
      <w:pPr>
        <w:ind w:left="1620"/>
        <w:spacing w:after="0"/>
        <w:rPr>
          <w:sz w:val="20"/>
          <w:szCs w:val="20"/>
          <w:color w:val="auto"/>
        </w:rPr>
      </w:pPr>
      <w:r>
        <w:rPr>
          <w:rFonts w:ascii="Courier New" w:cs="Courier New" w:eastAsia="Courier New" w:hAnsi="Courier New"/>
          <w:sz w:val="14"/>
          <w:szCs w:val="14"/>
          <w:color w:val="auto"/>
        </w:rPr>
        <w:t>Maryland</w:t>
      </w:r>
    </w:p>
    <w:p>
      <w:pPr>
        <w:spacing w:after="0" w:line="4" w:lineRule="exact"/>
        <w:rPr>
          <w:sz w:val="24"/>
          <w:szCs w:val="24"/>
          <w:color w:val="auto"/>
        </w:rPr>
      </w:pPr>
    </w:p>
    <w:p>
      <w:pPr>
        <w:ind w:left="6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4"/>
          <w:szCs w:val="24"/>
          <w:color w:val="auto"/>
        </w:rPr>
      </w:pPr>
    </w:p>
    <w:p>
      <w:pPr>
        <w:ind w:left="680"/>
        <w:spacing w:after="0"/>
        <w:rPr>
          <w:sz w:val="20"/>
          <w:szCs w:val="20"/>
          <w:color w:val="auto"/>
        </w:rPr>
      </w:pPr>
      <w:r>
        <w:rPr>
          <w:rFonts w:ascii="Courier New" w:cs="Courier New" w:eastAsia="Courier New" w:hAnsi="Courier New"/>
          <w:sz w:val="14"/>
          <w:szCs w:val="14"/>
          <w:color w:val="auto"/>
        </w:rPr>
        <w:t>(State or other jurisdiction</w:t>
      </w:r>
    </w:p>
    <w:p>
      <w:pPr>
        <w:spacing w:after="0" w:line="4" w:lineRule="exact"/>
        <w:rPr>
          <w:sz w:val="24"/>
          <w:szCs w:val="24"/>
          <w:color w:val="auto"/>
        </w:rPr>
      </w:pPr>
    </w:p>
    <w:p>
      <w:pPr>
        <w:ind w:left="680"/>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4"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1-7533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4"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52-0782497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3220" w:space="180"/>
            <w:col w:w="1020" w:space="160"/>
            <w:col w:w="5579"/>
          </w:cols>
          <w:pgMar w:left="300" w:top="554" w:right="1440" w:bottom="1440" w:gutter="0" w:footer="0" w:header="0"/>
          <w:type w:val="continuous"/>
        </w:sectPr>
      </w:pPr>
    </w:p>
    <w:p>
      <w:pPr>
        <w:spacing w:after="0" w:line="131" w:lineRule="exact"/>
        <w:rPr>
          <w:sz w:val="24"/>
          <w:szCs w:val="24"/>
          <w:color w:val="auto"/>
        </w:rPr>
      </w:pPr>
    </w:p>
    <w:p>
      <w:pPr>
        <w:jc w:val="both"/>
        <w:ind w:left="860"/>
        <w:spacing w:after="0" w:line="247" w:lineRule="auto"/>
        <w:rPr>
          <w:sz w:val="20"/>
          <w:szCs w:val="20"/>
          <w:color w:val="auto"/>
        </w:rPr>
      </w:pPr>
      <w:r>
        <w:rPr>
          <w:rFonts w:ascii="Courier New" w:cs="Courier New" w:eastAsia="Courier New" w:hAnsi="Courier New"/>
          <w:sz w:val="14"/>
          <w:szCs w:val="14"/>
          <w:color w:val="auto"/>
        </w:rPr>
        <w:t>1626 East Jefferson Street, Rockville, Maryland ----------------------------------------------- (Address of principal executive offices)</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20852-4041</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(Zip Code)</w:t>
      </w:r>
    </w:p>
    <w:p>
      <w:pPr>
        <w:spacing w:after="0" w:line="216" w:lineRule="exact"/>
        <w:rPr>
          <w:sz w:val="24"/>
          <w:szCs w:val="24"/>
          <w:color w:val="auto"/>
        </w:rPr>
      </w:pPr>
    </w:p>
    <w:p>
      <w:pPr>
        <w:sectPr>
          <w:pgSz w:w="11900" w:h="16838" w:orient="portrait"/>
          <w:cols w:equalWidth="0" w:num="2">
            <w:col w:w="4840" w:space="340"/>
            <w:col w:w="4979"/>
          </w:cols>
          <w:pgMar w:left="300" w:top="554" w:right="1440" w:bottom="1440" w:gutter="0" w:footer="0" w:header="0"/>
          <w:type w:val="continuous"/>
        </w:sectPr>
      </w:pPr>
    </w:p>
    <w:p>
      <w:pPr>
        <w:spacing w:after="0" w:line="126" w:lineRule="exact"/>
        <w:rPr>
          <w:sz w:val="24"/>
          <w:szCs w:val="24"/>
          <w:color w:val="auto"/>
        </w:rPr>
      </w:pPr>
    </w:p>
    <w:p>
      <w:pPr>
        <w:ind w:left="68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301/998-8100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4920" w:space="180"/>
            <w:col w:w="5059"/>
          </w:cols>
          <w:pgMar w:left="300" w:top="554" w:right="1440" w:bottom="1440" w:gutter="0" w:footer="0" w:header="0"/>
          <w:type w:val="continuous"/>
        </w:sect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159"/>
          </w:cols>
          <w:pgMar w:left="300" w:top="554" w:right="1440" w:bottom="1440" w:gutter="0" w:footer="0" w:header="0"/>
          <w:type w:val="continuous"/>
        </w:sectPr>
      </w:pPr>
    </w:p>
    <w:bookmarkStart w:id="1" w:name="page2"/>
    <w:bookmarkEnd w:id="1"/>
    <w:p>
      <w:pPr>
        <w:spacing w:after="0"/>
        <w:tabs>
          <w:tab w:leader="none" w:pos="126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68" w:lineRule="exact"/>
        <w:rPr>
          <w:sz w:val="20"/>
          <w:szCs w:val="20"/>
          <w:color w:val="auto"/>
        </w:rPr>
      </w:pPr>
    </w:p>
    <w:p>
      <w:pPr>
        <w:jc w:val="both"/>
        <w:ind w:right="4039" w:firstLine="848"/>
        <w:spacing w:after="0" w:line="247"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December 31, 1999.</w:t>
      </w:r>
    </w:p>
    <w:p>
      <w:pPr>
        <w:spacing w:after="0" w:line="32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68" w:lineRule="exact"/>
        <w:rPr>
          <w:sz w:val="20"/>
          <w:szCs w:val="20"/>
          <w:color w:val="auto"/>
        </w:rPr>
      </w:pPr>
    </w:p>
    <w:p>
      <w:pPr>
        <w:ind w:left="1280" w:hanging="934"/>
        <w:spacing w:after="0"/>
        <w:tabs>
          <w:tab w:leader="none" w:pos="12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67"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   Supplemental portfolio information at December 31, 1999</w:t>
      </w:r>
    </w:p>
    <w:p>
      <w:pPr>
        <w:spacing w:after="0" w:line="200" w:lineRule="exact"/>
        <w:rPr>
          <w:sz w:val="20"/>
          <w:szCs w:val="20"/>
          <w:color w:val="auto"/>
        </w:rPr>
      </w:pPr>
    </w:p>
    <w:p>
      <w:pPr>
        <w:spacing w:after="0" w:line="29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SIGNATURES</w:t>
      </w:r>
    </w:p>
    <w:p>
      <w:pPr>
        <w:spacing w:after="0" w:line="331" w:lineRule="exact"/>
        <w:rPr>
          <w:sz w:val="20"/>
          <w:szCs w:val="20"/>
          <w:color w:val="auto"/>
        </w:rPr>
      </w:pPr>
    </w:p>
    <w:p>
      <w:pPr>
        <w:ind w:right="3539" w:firstLine="848"/>
        <w:spacing w:after="0" w:line="247"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32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159"/>
          </w:cols>
          <w:pgMar w:left="300" w:top="609"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15,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 Cecily A. Ward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 and Treasurer</w:t>
      </w:r>
    </w:p>
    <w:p>
      <w:pPr>
        <w:spacing w:after="0" w:line="200" w:lineRule="exact"/>
        <w:rPr>
          <w:sz w:val="20"/>
          <w:szCs w:val="20"/>
          <w:color w:val="auto"/>
        </w:rPr>
      </w:pPr>
    </w:p>
    <w:p>
      <w:pPr>
        <w:sectPr>
          <w:pgSz w:w="11900" w:h="16838" w:orient="portrait"/>
          <w:cols w:equalWidth="0" w:num="3">
            <w:col w:w="440" w:space="160"/>
            <w:col w:w="1900" w:space="720"/>
            <w:col w:w="6939"/>
          </w:cols>
          <w:pgMar w:left="300" w:top="609" w:right="1440" w:bottom="1440" w:gutter="0" w:footer="0" w:header="0"/>
          <w:type w:val="continuous"/>
        </w:sectPr>
      </w:pPr>
    </w:p>
    <w:p>
      <w:pPr>
        <w:spacing w:after="0" w:line="29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09" w:right="1440" w:bottom="1440" w:gutter="0" w:footer="0" w:header="0"/>
          <w:type w:val="continuous"/>
        </w:sectPr>
      </w:pPr>
    </w:p>
    <w:bookmarkStart w:id="2" w:name="page3"/>
    <w:bookmarkEnd w:id="2"/>
    <w:p>
      <w:pPr>
        <w:ind w:left="280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159"/>
          </w:cols>
          <w:pgMar w:left="300" w:top="609" w:right="1440" w:bottom="1440" w:gutter="0" w:footer="0" w:header="0"/>
        </w:sect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3">
            <w:col w:w="780" w:space="80"/>
            <w:col w:w="4440" w:space="720"/>
            <w:col w:w="4139"/>
          </w:cols>
          <w:pgMar w:left="300" w:top="609" w:right="1440" w:bottom="1440" w:gutter="0" w:footer="0" w:header="0"/>
          <w:type w:val="continuous"/>
        </w:sectPr>
      </w:pPr>
    </w:p>
    <w:p>
      <w:pPr>
        <w:ind w:left="180"/>
        <w:spacing w:after="0"/>
        <w:tabs>
          <w:tab w:leader="none" w:pos="84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portfolio information at December 31,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ectPr>
          <w:pgSz w:w="11900" w:h="16838" w:orient="portrait"/>
          <w:cols w:equalWidth="0" w:num="2">
            <w:col w:w="5640" w:space="720"/>
            <w:col w:w="3799"/>
          </w:cols>
          <w:pgMar w:left="300" w:top="60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09" w:right="1440" w:bottom="1440" w:gutter="0" w:footer="0" w:header="0"/>
          <w:type w:val="continuous"/>
        </w:sectPr>
      </w:pPr>
    </w:p>
    <w:bookmarkStart w:id="3" w:name="page4"/>
    <w:bookmarkEnd w:id="3"/>
    <w:p>
      <w:pPr>
        <w:ind w:left="2040"/>
        <w:spacing w:after="0"/>
        <w:rPr>
          <w:sz w:val="20"/>
          <w:szCs w:val="20"/>
          <w:color w:val="auto"/>
        </w:rPr>
      </w:pPr>
      <w:r>
        <w:rPr>
          <w:rFonts w:ascii="Courier New" w:cs="Courier New" w:eastAsia="Courier New" w:hAnsi="Courier New"/>
          <w:sz w:val="14"/>
          <w:szCs w:val="14"/>
          <w:color w:val="auto"/>
        </w:rPr>
        <w:t>FEDERAL REALTY INVESTMENT TRUST</w:t>
      </w:r>
    </w:p>
    <w:p>
      <w:pPr>
        <w:spacing w:after="0" w:line="331"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Supplemental Information</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December 31, 1999</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TABLE OF CONTENTS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280" w:type="dxa"/>
            <w:vAlign w:val="bottom"/>
          </w:tcPr>
          <w:p>
            <w:pPr>
              <w:spacing w:after="0"/>
              <w:rPr>
                <w:sz w:val="20"/>
                <w:szCs w:val="20"/>
                <w:color w:val="auto"/>
              </w:rPr>
            </w:pPr>
            <w:r>
              <w:rPr>
                <w:rFonts w:ascii="Courier New" w:cs="Courier New" w:eastAsia="Courier New" w:hAnsi="Courier New"/>
                <w:sz w:val="14"/>
                <w:szCs w:val="14"/>
                <w:color w:val="auto"/>
              </w:rPr>
              <w:t>1.   Debt Summary.........................................................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E-2</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280" w:type="dxa"/>
            <w:vAlign w:val="bottom"/>
          </w:tcPr>
          <w:p>
            <w:pPr>
              <w:spacing w:after="0"/>
              <w:rPr>
                <w:sz w:val="20"/>
                <w:szCs w:val="20"/>
                <w:color w:val="auto"/>
              </w:rPr>
            </w:pPr>
            <w:r>
              <w:rPr>
                <w:rFonts w:ascii="Courier New" w:cs="Courier New" w:eastAsia="Courier New" w:hAnsi="Courier New"/>
                <w:sz w:val="14"/>
                <w:szCs w:val="14"/>
                <w:color w:val="auto"/>
              </w:rPr>
              <w:t>2.   Occupancy</w:t>
            </w:r>
          </w:p>
        </w:tc>
        <w:tc>
          <w:tcPr>
            <w:tcW w:w="260" w:type="dxa"/>
            <w:vAlign w:val="bottom"/>
          </w:tcPr>
          <w:p>
            <w:pPr>
              <w:spacing w:after="0"/>
              <w:rPr>
                <w:sz w:val="13"/>
                <w:szCs w:val="13"/>
                <w:color w:val="auto"/>
              </w:rPr>
            </w:pPr>
          </w:p>
        </w:tc>
      </w:tr>
      <w:tr>
        <w:trPr>
          <w:trHeight w:val="163"/>
        </w:trPr>
        <w:tc>
          <w:tcPr>
            <w:tcW w:w="6280" w:type="dxa"/>
            <w:vAlign w:val="bottom"/>
          </w:tcPr>
          <w:p>
            <w:pPr>
              <w:ind w:left="1020"/>
              <w:spacing w:after="0"/>
              <w:rPr>
                <w:sz w:val="20"/>
                <w:szCs w:val="20"/>
                <w:color w:val="auto"/>
              </w:rPr>
            </w:pPr>
            <w:r>
              <w:rPr>
                <w:rFonts w:ascii="Courier New" w:cs="Courier New" w:eastAsia="Courier New" w:hAnsi="Courier New"/>
                <w:sz w:val="14"/>
                <w:szCs w:val="14"/>
                <w:color w:val="auto"/>
              </w:rPr>
              <w:t>Percentage Leased.............................................</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E-3</w:t>
            </w:r>
          </w:p>
        </w:tc>
      </w:tr>
      <w:tr>
        <w:trPr>
          <w:trHeight w:val="163"/>
        </w:trPr>
        <w:tc>
          <w:tcPr>
            <w:tcW w:w="6280" w:type="dxa"/>
            <w:vAlign w:val="bottom"/>
          </w:tcPr>
          <w:p>
            <w:pPr>
              <w:ind w:left="1020"/>
              <w:spacing w:after="0"/>
              <w:rPr>
                <w:sz w:val="20"/>
                <w:szCs w:val="20"/>
                <w:color w:val="auto"/>
              </w:rPr>
            </w:pPr>
            <w:r>
              <w:rPr>
                <w:rFonts w:ascii="Courier New" w:cs="Courier New" w:eastAsia="Courier New" w:hAnsi="Courier New"/>
                <w:sz w:val="14"/>
                <w:szCs w:val="14"/>
                <w:color w:val="auto"/>
              </w:rPr>
              <w:t>Regional Breakdown............................................</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E-4</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280" w:type="dxa"/>
            <w:vAlign w:val="bottom"/>
          </w:tcPr>
          <w:p>
            <w:pPr>
              <w:spacing w:after="0"/>
              <w:rPr>
                <w:sz w:val="20"/>
                <w:szCs w:val="20"/>
                <w:color w:val="auto"/>
              </w:rPr>
            </w:pPr>
            <w:r>
              <w:rPr>
                <w:rFonts w:ascii="Courier New" w:cs="Courier New" w:eastAsia="Courier New" w:hAnsi="Courier New"/>
                <w:sz w:val="14"/>
                <w:szCs w:val="14"/>
                <w:color w:val="auto"/>
              </w:rPr>
              <w:t>3.   Leases Signed Analysis</w:t>
            </w:r>
          </w:p>
        </w:tc>
        <w:tc>
          <w:tcPr>
            <w:tcW w:w="260" w:type="dxa"/>
            <w:vAlign w:val="bottom"/>
          </w:tcPr>
          <w:p>
            <w:pPr>
              <w:spacing w:after="0"/>
              <w:rPr>
                <w:sz w:val="13"/>
                <w:szCs w:val="13"/>
                <w:color w:val="auto"/>
              </w:rPr>
            </w:pPr>
          </w:p>
        </w:tc>
      </w:tr>
      <w:tr>
        <w:trPr>
          <w:trHeight w:val="163"/>
        </w:trPr>
        <w:tc>
          <w:tcPr>
            <w:tcW w:w="6280" w:type="dxa"/>
            <w:vAlign w:val="bottom"/>
          </w:tcPr>
          <w:p>
            <w:pPr>
              <w:ind w:left="1020"/>
              <w:spacing w:after="0"/>
              <w:rPr>
                <w:sz w:val="20"/>
                <w:szCs w:val="20"/>
                <w:color w:val="auto"/>
              </w:rPr>
            </w:pPr>
            <w:r>
              <w:rPr>
                <w:rFonts w:ascii="Courier New" w:cs="Courier New" w:eastAsia="Courier New" w:hAnsi="Courier New"/>
                <w:sz w:val="14"/>
                <w:szCs w:val="14"/>
                <w:color w:val="auto"/>
              </w:rPr>
              <w:t>Comparable and Non-Comparable.................................</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E-5</w:t>
            </w:r>
          </w:p>
        </w:tc>
      </w:tr>
    </w:tbl>
    <w:p>
      <w:pPr>
        <w:spacing w:after="0" w:line="166" w:lineRule="exact"/>
        <w:rPr>
          <w:sz w:val="20"/>
          <w:szCs w:val="20"/>
          <w:color w:val="auto"/>
        </w:rPr>
      </w:pPr>
    </w:p>
    <w:p>
      <w:pPr>
        <w:ind w:left="440" w:hanging="433"/>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Expirations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0" w:type="dxa"/>
            <w:vAlign w:val="bottom"/>
          </w:tcPr>
          <w:p>
            <w:pPr>
              <w:spacing w:after="0"/>
              <w:rPr>
                <w:sz w:val="13"/>
                <w:szCs w:val="13"/>
                <w:color w:val="auto"/>
              </w:rPr>
            </w:pPr>
          </w:p>
        </w:tc>
        <w:tc>
          <w:tcPr>
            <w:tcW w:w="20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Average Rent on</w:t>
            </w:r>
          </w:p>
        </w:tc>
        <w:tc>
          <w:tcPr>
            <w:tcW w:w="3820" w:type="dxa"/>
            <w:vAlign w:val="bottom"/>
          </w:tcPr>
          <w:p>
            <w:pPr>
              <w:jc w:val="right"/>
              <w:spacing w:after="0"/>
              <w:rPr>
                <w:sz w:val="20"/>
                <w:szCs w:val="20"/>
                <w:color w:val="auto"/>
              </w:rPr>
            </w:pPr>
            <w:r>
              <w:rPr>
                <w:rFonts w:ascii="Courier New" w:cs="Courier New" w:eastAsia="Courier New" w:hAnsi="Courier New"/>
                <w:sz w:val="14"/>
                <w:szCs w:val="14"/>
                <w:color w:val="auto"/>
                <w:w w:val="98"/>
              </w:rPr>
              <w:t>Leases Expiring...............................</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E-6</w:t>
            </w:r>
          </w:p>
        </w:tc>
      </w:tr>
      <w:tr>
        <w:trPr>
          <w:trHeight w:val="163"/>
        </w:trPr>
        <w:tc>
          <w:tcPr>
            <w:tcW w:w="300" w:type="dxa"/>
            <w:vAlign w:val="bottom"/>
          </w:tcPr>
          <w:p>
            <w:pPr>
              <w:spacing w:after="0"/>
              <w:rPr>
                <w:sz w:val="14"/>
                <w:szCs w:val="14"/>
                <w:color w:val="auto"/>
              </w:rPr>
            </w:pPr>
          </w:p>
        </w:tc>
        <w:tc>
          <w:tcPr>
            <w:tcW w:w="1280" w:type="dxa"/>
            <w:vAlign w:val="bottom"/>
          </w:tcPr>
          <w:p>
            <w:pPr>
              <w:ind w:left="720"/>
              <w:spacing w:after="0"/>
              <w:rPr>
                <w:sz w:val="20"/>
                <w:szCs w:val="20"/>
                <w:color w:val="auto"/>
              </w:rPr>
            </w:pPr>
            <w:r>
              <w:rPr>
                <w:rFonts w:ascii="Courier New" w:cs="Courier New" w:eastAsia="Courier New" w:hAnsi="Courier New"/>
                <w:sz w:val="14"/>
                <w:szCs w:val="14"/>
                <w:color w:val="auto"/>
              </w:rPr>
              <w:t>Leases</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Expiring</w:t>
            </w:r>
          </w:p>
        </w:tc>
        <w:tc>
          <w:tcPr>
            <w:tcW w:w="3820" w:type="dxa"/>
            <w:vAlign w:val="bottom"/>
          </w:tcPr>
          <w:p>
            <w:pPr>
              <w:jc w:val="right"/>
              <w:spacing w:after="0"/>
              <w:rPr>
                <w:sz w:val="20"/>
                <w:szCs w:val="20"/>
                <w:color w:val="auto"/>
              </w:rPr>
            </w:pPr>
            <w:r>
              <w:rPr>
                <w:rFonts w:ascii="Courier New" w:cs="Courier New" w:eastAsia="Courier New" w:hAnsi="Courier New"/>
                <w:sz w:val="14"/>
                <w:szCs w:val="14"/>
                <w:color w:val="auto"/>
                <w:w w:val="98"/>
              </w:rPr>
              <w:t>on Anchor and Small Shops.....................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E-7</w:t>
            </w:r>
          </w:p>
        </w:tc>
      </w:tr>
      <w:tr>
        <w:trPr>
          <w:trHeight w:val="326"/>
        </w:trPr>
        <w:tc>
          <w:tcPr>
            <w:tcW w:w="3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4"/>
              </w:rPr>
              <w:t>5.</w:t>
            </w:r>
          </w:p>
        </w:tc>
        <w:tc>
          <w:tcPr>
            <w:tcW w:w="1280" w:type="dxa"/>
            <w:vAlign w:val="bottom"/>
          </w:tcPr>
          <w:p>
            <w:pPr>
              <w:ind w:left="140"/>
              <w:spacing w:after="0"/>
              <w:rPr>
                <w:sz w:val="20"/>
                <w:szCs w:val="20"/>
                <w:color w:val="auto"/>
              </w:rPr>
            </w:pPr>
            <w:r>
              <w:rPr>
                <w:rFonts w:ascii="Courier New" w:cs="Courier New" w:eastAsia="Courier New" w:hAnsi="Courier New"/>
                <w:sz w:val="14"/>
                <w:szCs w:val="14"/>
                <w:color w:val="auto"/>
              </w:rPr>
              <w:t>Major Tenants</w:t>
            </w:r>
          </w:p>
        </w:tc>
        <w:tc>
          <w:tcPr>
            <w:tcW w:w="46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by Revenue Contribution................................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E-8</w:t>
            </w:r>
          </w:p>
        </w:tc>
      </w:tr>
      <w:tr>
        <w:trPr>
          <w:trHeight w:val="326"/>
        </w:trPr>
        <w:tc>
          <w:tcPr>
            <w:tcW w:w="3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4"/>
              </w:rPr>
              <w:t>6.</w:t>
            </w:r>
          </w:p>
        </w:tc>
        <w:tc>
          <w:tcPr>
            <w:tcW w:w="1280" w:type="dxa"/>
            <w:vAlign w:val="bottom"/>
          </w:tcPr>
          <w:p>
            <w:pPr>
              <w:ind w:left="140"/>
              <w:spacing w:after="0"/>
              <w:rPr>
                <w:sz w:val="20"/>
                <w:szCs w:val="20"/>
                <w:color w:val="auto"/>
              </w:rPr>
            </w:pPr>
            <w:r>
              <w:rPr>
                <w:rFonts w:ascii="Courier New" w:cs="Courier New" w:eastAsia="Courier New" w:hAnsi="Courier New"/>
                <w:sz w:val="14"/>
                <w:szCs w:val="14"/>
                <w:color w:val="auto"/>
              </w:rPr>
              <w:t>Street Retail</w:t>
            </w:r>
          </w:p>
        </w:tc>
        <w:tc>
          <w:tcPr>
            <w:tcW w:w="46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Operating &amp; Development Overview.......................</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E-9</w:t>
            </w:r>
          </w:p>
        </w:tc>
      </w:tr>
      <w:tr>
        <w:trPr>
          <w:trHeight w:val="326"/>
        </w:trPr>
        <w:tc>
          <w:tcPr>
            <w:tcW w:w="3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4"/>
              </w:rPr>
              <w:t>7.</w:t>
            </w:r>
          </w:p>
        </w:tc>
        <w:tc>
          <w:tcPr>
            <w:tcW w:w="59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Development Pipeline................................................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E-10</w:t>
            </w:r>
          </w:p>
        </w:tc>
      </w:tr>
      <w:tr>
        <w:trPr>
          <w:trHeight w:val="326"/>
        </w:trPr>
        <w:tc>
          <w:tcPr>
            <w:tcW w:w="3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4"/>
              </w:rPr>
              <w:t>8.</w:t>
            </w:r>
          </w:p>
        </w:tc>
        <w:tc>
          <w:tcPr>
            <w:tcW w:w="1280" w:type="dxa"/>
            <w:vAlign w:val="bottom"/>
          </w:tcPr>
          <w:p>
            <w:pPr>
              <w:ind w:left="140"/>
              <w:spacing w:after="0"/>
              <w:rPr>
                <w:sz w:val="20"/>
                <w:szCs w:val="20"/>
                <w:color w:val="auto"/>
              </w:rPr>
            </w:pPr>
            <w:r>
              <w:rPr>
                <w:rFonts w:ascii="Courier New" w:cs="Courier New" w:eastAsia="Courier New" w:hAnsi="Courier New"/>
                <w:sz w:val="14"/>
                <w:szCs w:val="14"/>
                <w:color w:val="auto"/>
              </w:rPr>
              <w:t>1999 Year End</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Earnings</w:t>
            </w:r>
          </w:p>
        </w:tc>
        <w:tc>
          <w:tcPr>
            <w:tcW w:w="3820" w:type="dxa"/>
            <w:vAlign w:val="bottom"/>
          </w:tcPr>
          <w:p>
            <w:pPr>
              <w:jc w:val="right"/>
              <w:spacing w:after="0"/>
              <w:rPr>
                <w:sz w:val="20"/>
                <w:szCs w:val="20"/>
                <w:color w:val="auto"/>
              </w:rPr>
            </w:pPr>
            <w:r>
              <w:rPr>
                <w:rFonts w:ascii="Courier New" w:cs="Courier New" w:eastAsia="Courier New" w:hAnsi="Courier New"/>
                <w:sz w:val="14"/>
                <w:szCs w:val="14"/>
                <w:color w:val="auto"/>
              </w:rPr>
              <w:t>Press Release, February 14, 2000.............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E-11</w:t>
            </w:r>
          </w:p>
        </w:tc>
      </w:tr>
      <w:tr>
        <w:trPr>
          <w:trHeight w:val="326"/>
        </w:trPr>
        <w:tc>
          <w:tcPr>
            <w:tcW w:w="3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4"/>
              </w:rPr>
              <w:t>9.</w:t>
            </w:r>
          </w:p>
        </w:tc>
        <w:tc>
          <w:tcPr>
            <w:tcW w:w="59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Glossary of Terms...................................................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E-14</w:t>
            </w:r>
          </w:p>
        </w:tc>
      </w:tr>
    </w:tbl>
    <w:p>
      <w:pPr>
        <w:spacing w:after="0" w:line="200" w:lineRule="exact"/>
        <w:rPr>
          <w:sz w:val="20"/>
          <w:szCs w:val="20"/>
          <w:color w:val="auto"/>
        </w:rPr>
      </w:pPr>
    </w:p>
    <w:p>
      <w:pPr>
        <w:spacing w:after="0" w:line="293"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1626 East Jefferson Street</w:t>
      </w:r>
    </w:p>
    <w:p>
      <w:pPr>
        <w:spacing w:after="0" w:line="4" w:lineRule="exact"/>
        <w:rPr>
          <w:sz w:val="20"/>
          <w:szCs w:val="20"/>
          <w:color w:val="auto"/>
        </w:rPr>
      </w:pPr>
    </w:p>
    <w:p>
      <w:pPr>
        <w:ind w:left="2040"/>
        <w:spacing w:after="0"/>
        <w:tabs>
          <w:tab w:leader="none" w:pos="3800" w:val="left"/>
        </w:tabs>
        <w:rPr>
          <w:sz w:val="20"/>
          <w:szCs w:val="20"/>
          <w:color w:val="auto"/>
        </w:rPr>
      </w:pPr>
      <w:r>
        <w:rPr>
          <w:rFonts w:ascii="Courier New" w:cs="Courier New" w:eastAsia="Courier New" w:hAnsi="Courier New"/>
          <w:sz w:val="14"/>
          <w:szCs w:val="14"/>
          <w:color w:val="auto"/>
        </w:rPr>
        <w:t>Rockville, Maryland</w:t>
        <w:tab/>
        <w:t>20852-4041</w:t>
      </w:r>
    </w:p>
    <w:p>
      <w:pPr>
        <w:spacing w:after="0" w:line="4"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301/998-8100</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E-1</w:t>
      </w:r>
    </w:p>
    <w:p>
      <w:pPr>
        <w:sectPr>
          <w:pgSz w:w="11900" w:h="16838" w:orient="portrait"/>
          <w:cols w:equalWidth="0" w:num="1">
            <w:col w:w="10159"/>
          </w:cols>
          <w:pgMar w:left="300" w:top="468" w:right="1440" w:bottom="1440" w:gutter="0" w:footer="0" w:header="0"/>
        </w:sectPr>
      </w:pPr>
    </w:p>
    <w:bookmarkStart w:id="4" w:name="page5"/>
    <w:bookmarkEnd w:id="4"/>
    <w:p>
      <w:pPr>
        <w:spacing w:after="0"/>
        <w:tabs>
          <w:tab w:leader="none" w:pos="760" w:val="left"/>
        </w:tabs>
        <w:rPr>
          <w:sz w:val="20"/>
          <w:szCs w:val="20"/>
          <w:color w:val="auto"/>
        </w:rPr>
      </w:pPr>
      <w:r>
        <w:rPr>
          <w:rFonts w:ascii="Courier New" w:cs="Courier New" w:eastAsia="Courier New" w:hAnsi="Courier New"/>
          <w:sz w:val="14"/>
          <w:szCs w:val="14"/>
          <w:color w:val="auto"/>
        </w:rPr>
        <w:t>FEDERAL</w:t>
        <w:tab/>
        <w:t>REALTY INVESTMENT TRUST</w:t>
      </w:r>
    </w:p>
    <w:p>
      <w:pPr>
        <w:spacing w:after="0" w:line="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4"/>
          <w:szCs w:val="14"/>
          <w:color w:val="auto"/>
        </w:rPr>
        <w:t>DEBT ANALYSIS</w:t>
        <w:tab/>
        <w:t>(excluding capital leases and interest rate swaps)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Balance</w:t>
            </w:r>
          </w:p>
        </w:tc>
        <w:tc>
          <w:tcPr>
            <w:tcW w:w="1740" w:type="dxa"/>
            <w:vAlign w:val="bottom"/>
          </w:tcPr>
          <w:p>
            <w:pPr>
              <w:spacing w:after="0"/>
              <w:rPr>
                <w:sz w:val="13"/>
                <w:szCs w:val="13"/>
                <w:color w:val="auto"/>
              </w:rPr>
            </w:pPr>
          </w:p>
        </w:tc>
      </w:tr>
      <w:tr>
        <w:trPr>
          <w:trHeight w:val="163"/>
        </w:trPr>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Maturity</w:t>
            </w:r>
          </w:p>
        </w:tc>
        <w:tc>
          <w:tcPr>
            <w:tcW w:w="140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Rate</w:t>
            </w:r>
          </w:p>
        </w:tc>
        <w:tc>
          <w:tcPr>
            <w:tcW w:w="29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(in thousands)</w:t>
            </w:r>
          </w:p>
        </w:tc>
      </w:tr>
      <w:tr>
        <w:trPr>
          <w:trHeight w:val="163"/>
        </w:trPr>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29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w:t>
            </w:r>
          </w:p>
        </w:tc>
      </w:tr>
      <w:tr>
        <w:trPr>
          <w:trHeight w:val="326"/>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Mortgages</w:t>
            </w:r>
          </w:p>
        </w:tc>
        <w:tc>
          <w:tcPr>
            <w:tcW w:w="1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Leesburg Plaza</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10/01/08</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6.10%</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9,900</w:t>
            </w: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Federal Plaza</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03/10/01</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8.95%</w:t>
            </w:r>
          </w:p>
        </w:tc>
        <w:tc>
          <w:tcPr>
            <w:tcW w:w="46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27,179</w:t>
            </w: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Tysons Station</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09/01/01</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9.875%</w:t>
            </w:r>
          </w:p>
        </w:tc>
        <w:tc>
          <w:tcPr>
            <w:tcW w:w="46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4,068</w:t>
            </w: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Escondido (Municipal bonds)</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10/01/16</w:t>
            </w:r>
          </w:p>
        </w:tc>
        <w:tc>
          <w:tcPr>
            <w:tcW w:w="14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Variable (a)</w:t>
            </w:r>
          </w:p>
        </w:tc>
        <w:tc>
          <w:tcPr>
            <w:tcW w:w="46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9,400</w:t>
            </w: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9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w:t>
            </w:r>
          </w:p>
        </w:tc>
      </w:tr>
      <w:tr>
        <w:trPr>
          <w:trHeight w:val="326"/>
        </w:trPr>
        <w:tc>
          <w:tcPr>
            <w:tcW w:w="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$ 50,547</w:t>
            </w:r>
          </w:p>
        </w:tc>
        <w:tc>
          <w:tcPr>
            <w:tcW w:w="1740" w:type="dxa"/>
            <w:vAlign w:val="bottom"/>
          </w:tcPr>
          <w:p>
            <w:pPr>
              <w:spacing w:after="0"/>
              <w:rPr>
                <w:sz w:val="24"/>
                <w:szCs w:val="2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9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w:t>
            </w:r>
          </w:p>
        </w:tc>
      </w:tr>
      <w:tr>
        <w:trPr>
          <w:trHeight w:val="326"/>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Notes payable</w:t>
            </w:r>
          </w:p>
        </w:tc>
        <w:tc>
          <w:tcPr>
            <w:tcW w:w="1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Revolving credit facilities</w:t>
            </w:r>
          </w:p>
        </w:tc>
        <w:tc>
          <w:tcPr>
            <w:tcW w:w="1880" w:type="dxa"/>
            <w:vAlign w:val="bottom"/>
          </w:tcPr>
          <w:p>
            <w:pPr>
              <w:spacing w:after="0"/>
              <w:rPr>
                <w:sz w:val="14"/>
                <w:szCs w:val="14"/>
                <w:color w:val="auto"/>
              </w:rPr>
            </w:pP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libor +.65%</w:t>
            </w:r>
          </w:p>
        </w:tc>
        <w:tc>
          <w:tcPr>
            <w:tcW w:w="11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$ 34,000</w:t>
            </w: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Term note with banks</w:t>
            </w:r>
          </w:p>
        </w:tc>
        <w:tc>
          <w:tcPr>
            <w:tcW w:w="1880" w:type="dxa"/>
            <w:vAlign w:val="bottom"/>
          </w:tcPr>
          <w:p>
            <w:pPr>
              <w:spacing w:after="0"/>
              <w:rPr>
                <w:sz w:val="14"/>
                <w:szCs w:val="14"/>
                <w:color w:val="auto"/>
              </w:rPr>
            </w:pP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libor +.75%</w:t>
            </w:r>
          </w:p>
        </w:tc>
        <w:tc>
          <w:tcPr>
            <w:tcW w:w="46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125,000</w:t>
            </w: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Note issued in connection with</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140"/>
              <w:spacing w:after="0"/>
              <w:rPr>
                <w:sz w:val="20"/>
                <w:szCs w:val="20"/>
                <w:color w:val="auto"/>
              </w:rPr>
            </w:pPr>
            <w:r>
              <w:rPr>
                <w:rFonts w:ascii="Courier New" w:cs="Courier New" w:eastAsia="Courier New" w:hAnsi="Courier New"/>
                <w:sz w:val="14"/>
                <w:szCs w:val="14"/>
                <w:color w:val="auto"/>
              </w:rPr>
              <w:t>tenant buyout at Queen Anne Plaza</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01/15/06</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8.875%</w:t>
            </w:r>
          </w:p>
        </w:tc>
        <w:tc>
          <w:tcPr>
            <w:tcW w:w="46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1,011</w:t>
            </w: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Note issued in connection with</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140"/>
              <w:spacing w:after="0"/>
              <w:rPr>
                <w:sz w:val="20"/>
                <w:szCs w:val="20"/>
                <w:color w:val="auto"/>
              </w:rPr>
            </w:pPr>
            <w:r>
              <w:rPr>
                <w:rFonts w:ascii="Courier New" w:cs="Courier New" w:eastAsia="Courier New" w:hAnsi="Courier New"/>
                <w:sz w:val="14"/>
                <w:szCs w:val="14"/>
                <w:color w:val="auto"/>
              </w:rPr>
              <w:t>renovation of Perring Plaza</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01/31/13</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10.00%</w:t>
            </w:r>
          </w:p>
        </w:tc>
        <w:tc>
          <w:tcPr>
            <w:tcW w:w="46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2,603</w:t>
            </w: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Other</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various</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various</w:t>
            </w:r>
          </w:p>
        </w:tc>
        <w:tc>
          <w:tcPr>
            <w:tcW w:w="46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154</w:t>
            </w: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9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w:t>
            </w:r>
          </w:p>
        </w:tc>
      </w:tr>
      <w:tr>
        <w:trPr>
          <w:trHeight w:val="326"/>
        </w:trPr>
        <w:tc>
          <w:tcPr>
            <w:tcW w:w="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$162,768</w:t>
            </w:r>
          </w:p>
        </w:tc>
        <w:tc>
          <w:tcPr>
            <w:tcW w:w="1740" w:type="dxa"/>
            <w:vAlign w:val="bottom"/>
          </w:tcPr>
          <w:p>
            <w:pPr>
              <w:spacing w:after="0"/>
              <w:rPr>
                <w:sz w:val="24"/>
                <w:szCs w:val="2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9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w:t>
            </w:r>
          </w:p>
        </w:tc>
      </w:tr>
      <w:tr>
        <w:trPr>
          <w:trHeight w:val="489"/>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Unsecured Public Debt</w:t>
            </w:r>
          </w:p>
        </w:tc>
        <w:tc>
          <w:tcPr>
            <w:tcW w:w="1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5 1/4% Convertible subordinated debentures</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04/30/02</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5.250%</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289</w:t>
            </w: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5 1/4% Convertible subordinated debentures</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10/28/03</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5.250%</w:t>
            </w:r>
          </w:p>
        </w:tc>
        <w:tc>
          <w:tcPr>
            <w:tcW w:w="46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75,000</w:t>
            </w: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8 7/8% Notes (fixed)</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01/15/00</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8.875%</w:t>
            </w:r>
          </w:p>
        </w:tc>
        <w:tc>
          <w:tcPr>
            <w:tcW w:w="46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75,000</w:t>
            </w: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8 7/8% Notes (fixed) (b)</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01/15/00</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7.530%</w:t>
            </w:r>
          </w:p>
        </w:tc>
        <w:tc>
          <w:tcPr>
            <w:tcW w:w="46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25,000</w:t>
            </w: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8% Notes (fixed)</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04/21/02</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8.000%</w:t>
            </w:r>
          </w:p>
        </w:tc>
        <w:tc>
          <w:tcPr>
            <w:tcW w:w="46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25,000</w:t>
            </w: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6 5/8% Notes (fixed)</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12/01/05</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6.625%</w:t>
            </w:r>
          </w:p>
        </w:tc>
        <w:tc>
          <w:tcPr>
            <w:tcW w:w="46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40,000</w:t>
            </w: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7.48% Debentures</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08/15/26</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7.480%</w:t>
            </w:r>
          </w:p>
        </w:tc>
        <w:tc>
          <w:tcPr>
            <w:tcW w:w="46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50,000</w:t>
            </w: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6.82% Medium Term Notes</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08/01/27</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6.820%</w:t>
            </w:r>
          </w:p>
        </w:tc>
        <w:tc>
          <w:tcPr>
            <w:tcW w:w="46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40,000</w:t>
            </w: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6.74% Medium Term Notes (b)</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03/10/04</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6.370%</w:t>
            </w:r>
          </w:p>
        </w:tc>
        <w:tc>
          <w:tcPr>
            <w:tcW w:w="46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39,500</w:t>
            </w: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6.99% Medium Term Notes (b)</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03/10/06</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6.894%</w:t>
            </w:r>
          </w:p>
        </w:tc>
        <w:tc>
          <w:tcPr>
            <w:tcW w:w="46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40,500</w:t>
            </w: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8.75% Notes</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12/01/09</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8.750%</w:t>
            </w:r>
          </w:p>
        </w:tc>
        <w:tc>
          <w:tcPr>
            <w:tcW w:w="46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175,000</w:t>
            </w: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9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w:t>
            </w:r>
          </w:p>
        </w:tc>
      </w:tr>
      <w:tr>
        <w:trPr>
          <w:trHeight w:val="326"/>
        </w:trPr>
        <w:tc>
          <w:tcPr>
            <w:tcW w:w="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$585,289</w:t>
            </w:r>
          </w:p>
        </w:tc>
        <w:tc>
          <w:tcPr>
            <w:tcW w:w="1740" w:type="dxa"/>
            <w:vAlign w:val="bottom"/>
          </w:tcPr>
          <w:p>
            <w:pPr>
              <w:spacing w:after="0"/>
              <w:rPr>
                <w:sz w:val="24"/>
                <w:szCs w:val="2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9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w:t>
            </w:r>
          </w:p>
        </w:tc>
      </w:tr>
      <w:tr>
        <w:trPr>
          <w:trHeight w:val="326"/>
        </w:trPr>
        <w:tc>
          <w:tcPr>
            <w:tcW w:w="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Courier New" w:cs="Courier New" w:eastAsia="Courier New" w:hAnsi="Courier New"/>
                <w:sz w:val="14"/>
                <w:szCs w:val="14"/>
                <w:color w:val="auto"/>
              </w:rPr>
              <w:t>Total fixed rate debt</w:t>
            </w:r>
          </w:p>
        </w:tc>
        <w:tc>
          <w:tcPr>
            <w:tcW w:w="1400" w:type="dxa"/>
            <w:vAlign w:val="bottom"/>
          </w:tcPr>
          <w:p>
            <w:pPr>
              <w:spacing w:after="0"/>
              <w:rPr>
                <w:sz w:val="24"/>
                <w:szCs w:val="24"/>
                <w:color w:val="auto"/>
              </w:rPr>
            </w:pPr>
          </w:p>
        </w:tc>
        <w:tc>
          <w:tcPr>
            <w:tcW w:w="11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$630,204</w:t>
            </w:r>
          </w:p>
        </w:tc>
        <w:tc>
          <w:tcPr>
            <w:tcW w:w="17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79.00%</w:t>
            </w:r>
          </w:p>
        </w:tc>
      </w:tr>
      <w:tr>
        <w:trPr>
          <w:trHeight w:val="326"/>
        </w:trPr>
        <w:tc>
          <w:tcPr>
            <w:tcW w:w="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Total variable rate debt</w:t>
            </w:r>
          </w:p>
        </w:tc>
        <w:tc>
          <w:tcPr>
            <w:tcW w:w="460" w:type="dxa"/>
            <w:vAlign w:val="bottom"/>
          </w:tcPr>
          <w:p>
            <w:pPr>
              <w:spacing w:after="0"/>
              <w:rPr>
                <w:sz w:val="24"/>
                <w:szCs w:val="2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168,400</w:t>
            </w:r>
          </w:p>
        </w:tc>
        <w:tc>
          <w:tcPr>
            <w:tcW w:w="17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21.00%</w:t>
            </w:r>
          </w:p>
        </w:tc>
      </w:tr>
      <w:tr>
        <w:trPr>
          <w:trHeight w:val="163"/>
        </w:trPr>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Courier New" w:cs="Courier New" w:eastAsia="Courier New" w:hAnsi="Courier New"/>
                <w:sz w:val="14"/>
                <w:szCs w:val="14"/>
                <w:color w:val="auto"/>
              </w:rPr>
              <w:t>Total debt</w:t>
            </w:r>
          </w:p>
        </w:tc>
        <w:tc>
          <w:tcPr>
            <w:tcW w:w="1400" w:type="dxa"/>
            <w:vAlign w:val="bottom"/>
          </w:tcPr>
          <w:p>
            <w:pPr>
              <w:spacing w:after="0"/>
              <w:rPr>
                <w:sz w:val="24"/>
                <w:szCs w:val="24"/>
                <w:color w:val="auto"/>
              </w:rPr>
            </w:pPr>
          </w:p>
        </w:tc>
        <w:tc>
          <w:tcPr>
            <w:tcW w:w="11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$798,604</w:t>
            </w:r>
          </w:p>
        </w:tc>
        <w:tc>
          <w:tcPr>
            <w:tcW w:w="17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100.00%</w:t>
            </w:r>
          </w:p>
        </w:tc>
      </w:tr>
      <w:tr>
        <w:trPr>
          <w:trHeight w:val="163"/>
        </w:trPr>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28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Weighted average interest rate:</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28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80" w:type="dxa"/>
            <w:vAlign w:val="bottom"/>
          </w:tcPr>
          <w:p>
            <w:pPr>
              <w:ind w:left="340"/>
              <w:spacing w:after="0"/>
              <w:rPr>
                <w:sz w:val="20"/>
                <w:szCs w:val="20"/>
                <w:color w:val="auto"/>
              </w:rPr>
            </w:pPr>
            <w:r>
              <w:rPr>
                <w:rFonts w:ascii="Courier New" w:cs="Courier New" w:eastAsia="Courier New" w:hAnsi="Courier New"/>
                <w:sz w:val="14"/>
                <w:szCs w:val="14"/>
                <w:color w:val="auto"/>
              </w:rPr>
              <w:t>Fixed rate debt</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7.62%</w:t>
            </w: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2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Variable on revolving facilities</w:t>
            </w:r>
          </w:p>
        </w:tc>
        <w:tc>
          <w:tcPr>
            <w:tcW w:w="46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5.93%</w:t>
            </w:r>
          </w:p>
        </w:tc>
        <w:tc>
          <w:tcPr>
            <w:tcW w:w="1740" w:type="dxa"/>
            <w:vAlign w:val="bottom"/>
          </w:tcPr>
          <w:p>
            <w:pPr>
              <w:jc w:val="right"/>
              <w:ind w:right="1369"/>
              <w:spacing w:after="0"/>
              <w:rPr>
                <w:sz w:val="20"/>
                <w:szCs w:val="20"/>
                <w:color w:val="auto"/>
              </w:rPr>
            </w:pPr>
            <w:r>
              <w:rPr>
                <w:rFonts w:ascii="Courier New" w:cs="Courier New" w:eastAsia="Courier New" w:hAnsi="Courier New"/>
                <w:sz w:val="14"/>
                <w:szCs w:val="14"/>
                <w:color w:val="auto"/>
              </w:rPr>
              <w:t>(c)</w:t>
            </w:r>
          </w:p>
        </w:tc>
      </w:tr>
      <w:tr>
        <w:trPr>
          <w:trHeight w:val="163"/>
        </w:trPr>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2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Variable on muncipal bonds</w:t>
            </w:r>
          </w:p>
        </w:tc>
        <w:tc>
          <w:tcPr>
            <w:tcW w:w="46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(a)</w:t>
            </w:r>
          </w:p>
        </w:tc>
        <w:tc>
          <w:tcPr>
            <w:tcW w:w="1740" w:type="dxa"/>
            <w:vAlign w:val="bottom"/>
          </w:tcPr>
          <w:p>
            <w:pPr>
              <w:spacing w:after="0"/>
              <w:rPr>
                <w:sz w:val="14"/>
                <w:szCs w:val="14"/>
                <w:color w:val="auto"/>
              </w:rPr>
            </w:pPr>
          </w:p>
        </w:tc>
      </w:tr>
      <w:tr>
        <w:trPr>
          <w:trHeight w:val="652"/>
        </w:trPr>
        <w:tc>
          <w:tcPr>
            <w:tcW w:w="30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688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The bonds bear interest at a variable rate determined weekly to be the</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3"/>
        </w:trPr>
        <w:tc>
          <w:tcPr>
            <w:tcW w:w="300" w:type="dxa"/>
            <w:vAlign w:val="bottom"/>
          </w:tcPr>
          <w:p>
            <w:pPr>
              <w:spacing w:after="0"/>
              <w:rPr>
                <w:sz w:val="14"/>
                <w:szCs w:val="14"/>
                <w:color w:val="auto"/>
              </w:rPr>
            </w:pPr>
          </w:p>
        </w:tc>
        <w:tc>
          <w:tcPr>
            <w:tcW w:w="688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interest rate which would enable the bonds to be remarketed at 100% of</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140"/>
              <w:spacing w:after="0"/>
              <w:rPr>
                <w:sz w:val="20"/>
                <w:szCs w:val="20"/>
                <w:color w:val="auto"/>
              </w:rPr>
            </w:pPr>
            <w:r>
              <w:rPr>
                <w:rFonts w:ascii="Courier New" w:cs="Courier New" w:eastAsia="Courier New" w:hAnsi="Courier New"/>
                <w:sz w:val="14"/>
                <w:szCs w:val="14"/>
                <w:color w:val="auto"/>
              </w:rPr>
              <w:t>their principal amount.</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688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The Trust purchased interest rate swaps or hedges on these notes, thereby</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140"/>
              <w:spacing w:after="0"/>
              <w:rPr>
                <w:sz w:val="20"/>
                <w:szCs w:val="20"/>
                <w:color w:val="auto"/>
              </w:rPr>
            </w:pPr>
            <w:r>
              <w:rPr>
                <w:rFonts w:ascii="Courier New" w:cs="Courier New" w:eastAsia="Courier New" w:hAnsi="Courier New"/>
                <w:sz w:val="14"/>
                <w:szCs w:val="14"/>
                <w:color w:val="auto"/>
              </w:rPr>
              <w:t>decreasing the effective interest.</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688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Weighted average interest rate on revolving credit facilities for twelve</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3600" w:type="dxa"/>
            <w:vAlign w:val="bottom"/>
          </w:tcPr>
          <w:p>
            <w:pPr>
              <w:ind w:left="140"/>
              <w:spacing w:after="0"/>
              <w:rPr>
                <w:sz w:val="20"/>
                <w:szCs w:val="20"/>
                <w:color w:val="auto"/>
              </w:rPr>
            </w:pPr>
            <w:r>
              <w:rPr>
                <w:rFonts w:ascii="Courier New" w:cs="Courier New" w:eastAsia="Courier New" w:hAnsi="Courier New"/>
                <w:sz w:val="14"/>
                <w:szCs w:val="14"/>
                <w:color w:val="auto"/>
              </w:rPr>
              <w:t>months ended December 31, 1999.</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489"/>
        </w:trPr>
        <w:tc>
          <w:tcPr>
            <w:tcW w:w="300" w:type="dxa"/>
            <w:vAlign w:val="bottom"/>
          </w:tcPr>
          <w:p>
            <w:pPr>
              <w:spacing w:after="0"/>
              <w:rPr>
                <w:sz w:val="24"/>
                <w:szCs w:val="24"/>
                <w:color w:val="auto"/>
              </w:rPr>
            </w:pPr>
          </w:p>
        </w:tc>
        <w:tc>
          <w:tcPr>
            <w:tcW w:w="3600" w:type="dxa"/>
            <w:vAlign w:val="bottom"/>
          </w:tcPr>
          <w:p>
            <w:pPr>
              <w:ind w:left="2920"/>
              <w:spacing w:after="0"/>
              <w:rPr>
                <w:sz w:val="20"/>
                <w:szCs w:val="20"/>
                <w:color w:val="auto"/>
              </w:rPr>
            </w:pPr>
            <w:r>
              <w:rPr>
                <w:rFonts w:ascii="Courier New" w:cs="Courier New" w:eastAsia="Courier New" w:hAnsi="Courier New"/>
                <w:sz w:val="14"/>
                <w:szCs w:val="14"/>
                <w:color w:val="auto"/>
              </w:rPr>
              <w:t>E-2</w:t>
            </w:r>
          </w:p>
        </w:tc>
        <w:tc>
          <w:tcPr>
            <w:tcW w:w="1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0159"/>
          </w:cols>
          <w:pgMar w:left="300" w:top="60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Leased Analysis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660" w:type="dxa"/>
            <w:vAlign w:val="bottom"/>
          </w:tcPr>
          <w:p>
            <w:pPr>
              <w:jc w:val="center"/>
              <w:ind w:right="769"/>
              <w:spacing w:after="0"/>
              <w:rPr>
                <w:sz w:val="20"/>
                <w:szCs w:val="20"/>
                <w:color w:val="auto"/>
              </w:rPr>
            </w:pPr>
            <w:r>
              <w:rPr>
                <w:rFonts w:ascii="Courier New" w:cs="Courier New" w:eastAsia="Courier New" w:hAnsi="Courier New"/>
                <w:sz w:val="14"/>
                <w:szCs w:val="14"/>
                <w:color w:val="auto"/>
              </w:rPr>
              <w:t>Overall Operating Occupancy</w:t>
            </w: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3"/>
        </w:trPr>
        <w:tc>
          <w:tcPr>
            <w:tcW w:w="3660" w:type="dxa"/>
            <w:vAlign w:val="bottom"/>
          </w:tcPr>
          <w:p>
            <w:pPr>
              <w:jc w:val="center"/>
              <w:ind w:right="769"/>
              <w:spacing w:after="0"/>
              <w:rPr>
                <w:sz w:val="20"/>
                <w:szCs w:val="20"/>
                <w:color w:val="auto"/>
              </w:rPr>
            </w:pPr>
            <w:r>
              <w:rPr>
                <w:rFonts w:ascii="Courier New" w:cs="Courier New" w:eastAsia="Courier New" w:hAnsi="Courier New"/>
                <w:sz w:val="14"/>
                <w:szCs w:val="14"/>
                <w:color w:val="auto"/>
              </w:rPr>
              <w:t>(Quarter to Quarter Analysis)</w:t>
            </w:r>
          </w:p>
        </w:tc>
        <w:tc>
          <w:tcPr>
            <w:tcW w:w="3300" w:type="dxa"/>
            <w:vAlign w:val="bottom"/>
            <w:gridSpan w:val="3"/>
          </w:tcPr>
          <w:p>
            <w:pPr>
              <w:jc w:val="right"/>
              <w:ind w:right="869"/>
              <w:spacing w:after="0"/>
              <w:rPr>
                <w:sz w:val="20"/>
                <w:szCs w:val="20"/>
                <w:color w:val="auto"/>
              </w:rPr>
            </w:pPr>
            <w:r>
              <w:rPr>
                <w:rFonts w:ascii="Courier New" w:cs="Courier New" w:eastAsia="Courier New" w:hAnsi="Courier New"/>
                <w:sz w:val="14"/>
                <w:szCs w:val="14"/>
                <w:color w:val="auto"/>
              </w:rPr>
              <w:t>December 31, 1999</w:t>
            </w:r>
          </w:p>
        </w:tc>
        <w:tc>
          <w:tcPr>
            <w:tcW w:w="3220" w:type="dxa"/>
            <w:vAlign w:val="bottom"/>
            <w:gridSpan w:val="3"/>
          </w:tcPr>
          <w:p>
            <w:pPr>
              <w:jc w:val="right"/>
              <w:ind w:right="689"/>
              <w:spacing w:after="0"/>
              <w:rPr>
                <w:sz w:val="20"/>
                <w:szCs w:val="20"/>
                <w:color w:val="auto"/>
              </w:rPr>
            </w:pPr>
            <w:r>
              <w:rPr>
                <w:rFonts w:ascii="Courier New" w:cs="Courier New" w:eastAsia="Courier New" w:hAnsi="Courier New"/>
                <w:sz w:val="14"/>
                <w:szCs w:val="14"/>
                <w:color w:val="auto"/>
              </w:rPr>
              <w:t>At December 31, 1998</w:t>
            </w:r>
          </w:p>
        </w:tc>
      </w:tr>
      <w:tr>
        <w:trPr>
          <w:trHeight w:val="163"/>
        </w:trPr>
        <w:tc>
          <w:tcPr>
            <w:tcW w:w="366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w:t>
            </w:r>
          </w:p>
        </w:tc>
        <w:tc>
          <w:tcPr>
            <w:tcW w:w="1020" w:type="dxa"/>
            <w:vAlign w:val="bottom"/>
          </w:tcPr>
          <w:p>
            <w:pPr>
              <w:spacing w:after="0"/>
              <w:rPr>
                <w:sz w:val="14"/>
                <w:szCs w:val="14"/>
                <w:color w:val="auto"/>
              </w:rPr>
            </w:pPr>
          </w:p>
        </w:tc>
        <w:tc>
          <w:tcPr>
            <w:tcW w:w="3220" w:type="dxa"/>
            <w:vAlign w:val="bottom"/>
            <w:gridSpan w:val="3"/>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3660" w:type="dxa"/>
            <w:vAlign w:val="bottom"/>
          </w:tcPr>
          <w:p>
            <w:pPr>
              <w:ind w:left="1100"/>
              <w:spacing w:after="0"/>
              <w:rPr>
                <w:sz w:val="20"/>
                <w:szCs w:val="20"/>
                <w:color w:val="auto"/>
              </w:rPr>
            </w:pPr>
            <w:r>
              <w:rPr>
                <w:rFonts w:ascii="Courier New" w:cs="Courier New" w:eastAsia="Courier New" w:hAnsi="Courier New"/>
                <w:sz w:val="14"/>
                <w:szCs w:val="14"/>
                <w:color w:val="auto"/>
              </w:rPr>
              <w:t>Type</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Size</w:t>
            </w:r>
          </w:p>
        </w:tc>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Leased</w:t>
            </w:r>
          </w:p>
        </w:tc>
        <w:tc>
          <w:tcPr>
            <w:tcW w:w="102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Occupancy</w:t>
            </w: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Leased</w:t>
            </w: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7"/>
              </w:rPr>
              <w:t>Occupancy</w:t>
            </w: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center"/>
              <w:ind w:left="89"/>
              <w:spacing w:after="0"/>
              <w:rPr>
                <w:sz w:val="20"/>
                <w:szCs w:val="20"/>
                <w:color w:val="auto"/>
              </w:rPr>
            </w:pPr>
            <w:r>
              <w:rPr>
                <w:rFonts w:ascii="Courier New" w:cs="Courier New" w:eastAsia="Courier New" w:hAnsi="Courier New"/>
                <w:sz w:val="14"/>
                <w:szCs w:val="14"/>
                <w:color w:val="auto"/>
              </w:rPr>
              <w:t>---------</w:t>
            </w:r>
          </w:p>
        </w:tc>
      </w:tr>
      <w:tr>
        <w:trPr>
          <w:trHeight w:val="32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14,037,093</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13,494,066</w:t>
            </w:r>
          </w:p>
        </w:tc>
        <w:tc>
          <w:tcPr>
            <w:tcW w:w="1020" w:type="dxa"/>
            <w:vAlign w:val="bottom"/>
          </w:tcPr>
          <w:p>
            <w:pPr>
              <w:jc w:val="center"/>
              <w:ind w:right="169"/>
              <w:spacing w:after="0"/>
              <w:rPr>
                <w:sz w:val="20"/>
                <w:szCs w:val="20"/>
                <w:color w:val="auto"/>
              </w:rPr>
            </w:pPr>
            <w:r>
              <w:rPr>
                <w:rFonts w:ascii="Courier New" w:cs="Courier New" w:eastAsia="Courier New" w:hAnsi="Courier New"/>
                <w:sz w:val="14"/>
                <w:szCs w:val="14"/>
                <w:color w:val="auto"/>
              </w:rPr>
              <w:t>96%</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14,497,898</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13,803,336</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95%</w:t>
            </w: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282</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278</w:t>
            </w:r>
          </w:p>
        </w:tc>
        <w:tc>
          <w:tcPr>
            <w:tcW w:w="1020" w:type="dxa"/>
            <w:vAlign w:val="bottom"/>
          </w:tcPr>
          <w:p>
            <w:pPr>
              <w:jc w:val="center"/>
              <w:ind w:right="169"/>
              <w:spacing w:after="0"/>
              <w:rPr>
                <w:sz w:val="20"/>
                <w:szCs w:val="20"/>
                <w:color w:val="auto"/>
              </w:rPr>
            </w:pPr>
            <w:r>
              <w:rPr>
                <w:rFonts w:ascii="Courier New" w:cs="Courier New" w:eastAsia="Courier New" w:hAnsi="Courier New"/>
                <w:sz w:val="14"/>
                <w:szCs w:val="14"/>
                <w:color w:val="auto"/>
              </w:rPr>
              <w:t>98%</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281</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99%</w:t>
            </w:r>
          </w:p>
        </w:tc>
      </w:tr>
      <w:tr>
        <w:trPr>
          <w:trHeight w:val="489"/>
        </w:trPr>
        <w:tc>
          <w:tcPr>
            <w:tcW w:w="3660" w:type="dxa"/>
            <w:vAlign w:val="bottom"/>
          </w:tcPr>
          <w:p>
            <w:pPr>
              <w:jc w:val="center"/>
              <w:ind w:right="769"/>
              <w:spacing w:after="0"/>
              <w:rPr>
                <w:sz w:val="20"/>
                <w:szCs w:val="20"/>
                <w:color w:val="auto"/>
              </w:rPr>
            </w:pPr>
            <w:r>
              <w:rPr>
                <w:rFonts w:ascii="Courier New" w:cs="Courier New" w:eastAsia="Courier New" w:hAnsi="Courier New"/>
                <w:sz w:val="14"/>
                <w:szCs w:val="14"/>
                <w:color w:val="auto"/>
              </w:rPr>
              <w:t>Overall Operating Occupancy</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3"/>
        </w:trPr>
        <w:tc>
          <w:tcPr>
            <w:tcW w:w="3660" w:type="dxa"/>
            <w:vAlign w:val="bottom"/>
          </w:tcPr>
          <w:p>
            <w:pPr>
              <w:ind w:left="520"/>
              <w:spacing w:after="0"/>
              <w:rPr>
                <w:sz w:val="20"/>
                <w:szCs w:val="20"/>
                <w:color w:val="auto"/>
              </w:rPr>
            </w:pPr>
            <w:r>
              <w:rPr>
                <w:rFonts w:ascii="Courier New" w:cs="Courier New" w:eastAsia="Courier New" w:hAnsi="Courier New"/>
                <w:sz w:val="14"/>
                <w:szCs w:val="14"/>
                <w:color w:val="auto"/>
              </w:rPr>
              <w:t>(Rolling 12 Months)</w:t>
            </w:r>
          </w:p>
        </w:tc>
        <w:tc>
          <w:tcPr>
            <w:tcW w:w="3300" w:type="dxa"/>
            <w:vAlign w:val="bottom"/>
            <w:gridSpan w:val="3"/>
          </w:tcPr>
          <w:p>
            <w:pPr>
              <w:jc w:val="right"/>
              <w:ind w:right="869"/>
              <w:spacing w:after="0"/>
              <w:rPr>
                <w:sz w:val="20"/>
                <w:szCs w:val="20"/>
                <w:color w:val="auto"/>
              </w:rPr>
            </w:pPr>
            <w:r>
              <w:rPr>
                <w:rFonts w:ascii="Courier New" w:cs="Courier New" w:eastAsia="Courier New" w:hAnsi="Courier New"/>
                <w:sz w:val="14"/>
                <w:szCs w:val="14"/>
                <w:color w:val="auto"/>
              </w:rPr>
              <w:t>December 31, 1999</w:t>
            </w:r>
          </w:p>
        </w:tc>
        <w:tc>
          <w:tcPr>
            <w:tcW w:w="3220" w:type="dxa"/>
            <w:vAlign w:val="bottom"/>
            <w:gridSpan w:val="3"/>
          </w:tcPr>
          <w:p>
            <w:pPr>
              <w:jc w:val="right"/>
              <w:ind w:right="609"/>
              <w:spacing w:after="0"/>
              <w:rPr>
                <w:sz w:val="20"/>
                <w:szCs w:val="20"/>
                <w:color w:val="auto"/>
              </w:rPr>
            </w:pPr>
            <w:r>
              <w:rPr>
                <w:rFonts w:ascii="Courier New" w:cs="Courier New" w:eastAsia="Courier New" w:hAnsi="Courier New"/>
                <w:sz w:val="14"/>
                <w:szCs w:val="14"/>
                <w:color w:val="auto"/>
              </w:rPr>
              <w:t>September 30, 1999</w:t>
            </w:r>
          </w:p>
        </w:tc>
      </w:tr>
      <w:tr>
        <w:trPr>
          <w:trHeight w:val="163"/>
        </w:trPr>
        <w:tc>
          <w:tcPr>
            <w:tcW w:w="366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w:t>
            </w:r>
          </w:p>
        </w:tc>
        <w:tc>
          <w:tcPr>
            <w:tcW w:w="1020" w:type="dxa"/>
            <w:vAlign w:val="bottom"/>
          </w:tcPr>
          <w:p>
            <w:pPr>
              <w:spacing w:after="0"/>
              <w:rPr>
                <w:sz w:val="14"/>
                <w:szCs w:val="14"/>
                <w:color w:val="auto"/>
              </w:rPr>
            </w:pPr>
          </w:p>
        </w:tc>
        <w:tc>
          <w:tcPr>
            <w:tcW w:w="3220" w:type="dxa"/>
            <w:vAlign w:val="bottom"/>
            <w:gridSpan w:val="3"/>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3660" w:type="dxa"/>
            <w:vAlign w:val="bottom"/>
          </w:tcPr>
          <w:p>
            <w:pPr>
              <w:ind w:left="1100"/>
              <w:spacing w:after="0"/>
              <w:rPr>
                <w:sz w:val="20"/>
                <w:szCs w:val="20"/>
                <w:color w:val="auto"/>
              </w:rPr>
            </w:pPr>
            <w:r>
              <w:rPr>
                <w:rFonts w:ascii="Courier New" w:cs="Courier New" w:eastAsia="Courier New" w:hAnsi="Courier New"/>
                <w:sz w:val="14"/>
                <w:szCs w:val="14"/>
                <w:color w:val="auto"/>
              </w:rPr>
              <w:t>Type</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Size</w:t>
            </w:r>
          </w:p>
        </w:tc>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Leased</w:t>
            </w:r>
          </w:p>
        </w:tc>
        <w:tc>
          <w:tcPr>
            <w:tcW w:w="102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Occupancy</w:t>
            </w: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Leased</w:t>
            </w: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7"/>
              </w:rPr>
              <w:t>Occupancy</w:t>
            </w: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center"/>
              <w:ind w:left="89"/>
              <w:spacing w:after="0"/>
              <w:rPr>
                <w:sz w:val="20"/>
                <w:szCs w:val="20"/>
                <w:color w:val="auto"/>
              </w:rPr>
            </w:pPr>
            <w:r>
              <w:rPr>
                <w:rFonts w:ascii="Courier New" w:cs="Courier New" w:eastAsia="Courier New" w:hAnsi="Courier New"/>
                <w:sz w:val="14"/>
                <w:szCs w:val="14"/>
                <w:color w:val="auto"/>
              </w:rPr>
              <w:t>---------</w:t>
            </w:r>
          </w:p>
        </w:tc>
      </w:tr>
      <w:tr>
        <w:trPr>
          <w:trHeight w:val="32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14,037,093</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13,494,066</w:t>
            </w:r>
          </w:p>
        </w:tc>
        <w:tc>
          <w:tcPr>
            <w:tcW w:w="1020" w:type="dxa"/>
            <w:vAlign w:val="bottom"/>
          </w:tcPr>
          <w:p>
            <w:pPr>
              <w:jc w:val="center"/>
              <w:ind w:right="169"/>
              <w:spacing w:after="0"/>
              <w:rPr>
                <w:sz w:val="20"/>
                <w:szCs w:val="20"/>
                <w:color w:val="auto"/>
              </w:rPr>
            </w:pPr>
            <w:r>
              <w:rPr>
                <w:rFonts w:ascii="Courier New" w:cs="Courier New" w:eastAsia="Courier New" w:hAnsi="Courier New"/>
                <w:sz w:val="14"/>
                <w:szCs w:val="14"/>
                <w:color w:val="auto"/>
              </w:rPr>
              <w:t>96%</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14,348,626</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13,658,207</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rPr>
              <w:t>95%</w:t>
            </w: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282</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278</w:t>
            </w:r>
          </w:p>
        </w:tc>
        <w:tc>
          <w:tcPr>
            <w:tcW w:w="1020" w:type="dxa"/>
            <w:vAlign w:val="bottom"/>
          </w:tcPr>
          <w:p>
            <w:pPr>
              <w:jc w:val="center"/>
              <w:ind w:right="169"/>
              <w:spacing w:after="0"/>
              <w:rPr>
                <w:sz w:val="20"/>
                <w:szCs w:val="20"/>
                <w:color w:val="auto"/>
              </w:rPr>
            </w:pPr>
            <w:r>
              <w:rPr>
                <w:rFonts w:ascii="Courier New" w:cs="Courier New" w:eastAsia="Courier New" w:hAnsi="Courier New"/>
                <w:sz w:val="14"/>
                <w:szCs w:val="14"/>
                <w:color w:val="auto"/>
              </w:rPr>
              <w:t>98%</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282</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w:t>
            </w:r>
          </w:p>
        </w:tc>
      </w:tr>
      <w:tr>
        <w:trPr>
          <w:trHeight w:val="652"/>
        </w:trPr>
        <w:tc>
          <w:tcPr>
            <w:tcW w:w="3660" w:type="dxa"/>
            <w:vAlign w:val="bottom"/>
          </w:tcPr>
          <w:p>
            <w:pPr>
              <w:jc w:val="center"/>
              <w:ind w:right="769"/>
              <w:spacing w:after="0"/>
              <w:rPr>
                <w:sz w:val="20"/>
                <w:szCs w:val="20"/>
                <w:color w:val="auto"/>
              </w:rPr>
            </w:pPr>
            <w:r>
              <w:rPr>
                <w:rFonts w:ascii="Courier New" w:cs="Courier New" w:eastAsia="Courier New" w:hAnsi="Courier New"/>
                <w:sz w:val="14"/>
                <w:szCs w:val="14"/>
                <w:color w:val="auto"/>
              </w:rPr>
              <w:t>Overall Operating Occupancy</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3"/>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(Rolling 12 Months)</w:t>
            </w:r>
          </w:p>
        </w:tc>
        <w:tc>
          <w:tcPr>
            <w:tcW w:w="1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w w:val="98"/>
              </w:rPr>
              <w:t>June 30, 1999</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March 31, 1999</w:t>
            </w:r>
          </w:p>
        </w:tc>
        <w:tc>
          <w:tcPr>
            <w:tcW w:w="920" w:type="dxa"/>
            <w:vAlign w:val="bottom"/>
          </w:tcPr>
          <w:p>
            <w:pPr>
              <w:spacing w:after="0"/>
              <w:rPr>
                <w:sz w:val="14"/>
                <w:szCs w:val="14"/>
                <w:color w:val="auto"/>
              </w:rPr>
            </w:pPr>
          </w:p>
        </w:tc>
      </w:tr>
      <w:tr>
        <w:trPr>
          <w:trHeight w:val="163"/>
        </w:trPr>
        <w:tc>
          <w:tcPr>
            <w:tcW w:w="366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w:t>
            </w:r>
          </w:p>
        </w:tc>
        <w:tc>
          <w:tcPr>
            <w:tcW w:w="1020" w:type="dxa"/>
            <w:vAlign w:val="bottom"/>
          </w:tcPr>
          <w:p>
            <w:pPr>
              <w:spacing w:after="0"/>
              <w:rPr>
                <w:sz w:val="14"/>
                <w:szCs w:val="14"/>
                <w:color w:val="auto"/>
              </w:rPr>
            </w:pPr>
          </w:p>
        </w:tc>
        <w:tc>
          <w:tcPr>
            <w:tcW w:w="3220" w:type="dxa"/>
            <w:vAlign w:val="bottom"/>
            <w:gridSpan w:val="3"/>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3660" w:type="dxa"/>
            <w:vAlign w:val="bottom"/>
          </w:tcPr>
          <w:p>
            <w:pPr>
              <w:ind w:left="1100"/>
              <w:spacing w:after="0"/>
              <w:rPr>
                <w:sz w:val="20"/>
                <w:szCs w:val="20"/>
                <w:color w:val="auto"/>
              </w:rPr>
            </w:pPr>
            <w:r>
              <w:rPr>
                <w:rFonts w:ascii="Courier New" w:cs="Courier New" w:eastAsia="Courier New" w:hAnsi="Courier New"/>
                <w:sz w:val="14"/>
                <w:szCs w:val="14"/>
                <w:color w:val="auto"/>
              </w:rPr>
              <w:t>Type</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Size</w:t>
            </w:r>
          </w:p>
        </w:tc>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Leased</w:t>
            </w:r>
          </w:p>
        </w:tc>
        <w:tc>
          <w:tcPr>
            <w:tcW w:w="102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Occupancy</w:t>
            </w: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Leased</w:t>
            </w: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7"/>
              </w:rPr>
              <w:t>Occupancy</w:t>
            </w: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center"/>
              <w:ind w:left="89"/>
              <w:spacing w:after="0"/>
              <w:rPr>
                <w:sz w:val="20"/>
                <w:szCs w:val="20"/>
                <w:color w:val="auto"/>
              </w:rPr>
            </w:pPr>
            <w:r>
              <w:rPr>
                <w:rFonts w:ascii="Courier New" w:cs="Courier New" w:eastAsia="Courier New" w:hAnsi="Courier New"/>
                <w:sz w:val="14"/>
                <w:szCs w:val="14"/>
                <w:color w:val="auto"/>
              </w:rPr>
              <w:t>---------</w:t>
            </w:r>
          </w:p>
        </w:tc>
      </w:tr>
      <w:tr>
        <w:trPr>
          <w:trHeight w:val="32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14,541,750</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13,797,209</w:t>
            </w:r>
          </w:p>
        </w:tc>
        <w:tc>
          <w:tcPr>
            <w:tcW w:w="1020" w:type="dxa"/>
            <w:vAlign w:val="bottom"/>
          </w:tcPr>
          <w:p>
            <w:pPr>
              <w:jc w:val="center"/>
              <w:ind w:right="169"/>
              <w:spacing w:after="0"/>
              <w:rPr>
                <w:sz w:val="20"/>
                <w:szCs w:val="20"/>
                <w:color w:val="auto"/>
              </w:rPr>
            </w:pPr>
            <w:r>
              <w:rPr>
                <w:rFonts w:ascii="Courier New" w:cs="Courier New" w:eastAsia="Courier New" w:hAnsi="Courier New"/>
                <w:sz w:val="14"/>
                <w:szCs w:val="14"/>
                <w:color w:val="auto"/>
              </w:rPr>
              <w:t>95%</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14,563,620</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13,839,142</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95%</w:t>
            </w: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282</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280</w:t>
            </w:r>
          </w:p>
        </w:tc>
        <w:tc>
          <w:tcPr>
            <w:tcW w:w="1020" w:type="dxa"/>
            <w:vAlign w:val="bottom"/>
          </w:tcPr>
          <w:p>
            <w:pPr>
              <w:jc w:val="center"/>
              <w:ind w:right="169"/>
              <w:spacing w:after="0"/>
              <w:rPr>
                <w:sz w:val="20"/>
                <w:szCs w:val="20"/>
                <w:color w:val="auto"/>
              </w:rPr>
            </w:pPr>
            <w:r>
              <w:rPr>
                <w:rFonts w:ascii="Courier New" w:cs="Courier New" w:eastAsia="Courier New" w:hAnsi="Courier New"/>
                <w:sz w:val="14"/>
                <w:szCs w:val="14"/>
                <w:color w:val="auto"/>
              </w:rPr>
              <w:t>99%</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278</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99%</w:t>
            </w:r>
          </w:p>
        </w:tc>
      </w:tr>
      <w:tr>
        <w:trPr>
          <w:trHeight w:val="326"/>
        </w:trPr>
        <w:tc>
          <w:tcPr>
            <w:tcW w:w="696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9"/>
        </w:trPr>
        <w:tc>
          <w:tcPr>
            <w:tcW w:w="3660" w:type="dxa"/>
            <w:vAlign w:val="bottom"/>
          </w:tcPr>
          <w:p>
            <w:pPr>
              <w:jc w:val="center"/>
              <w:ind w:right="769"/>
              <w:spacing w:after="0"/>
              <w:rPr>
                <w:sz w:val="20"/>
                <w:szCs w:val="20"/>
                <w:color w:val="auto"/>
              </w:rPr>
            </w:pPr>
            <w:r>
              <w:rPr>
                <w:rFonts w:ascii="Courier New" w:cs="Courier New" w:eastAsia="Courier New" w:hAnsi="Courier New"/>
                <w:sz w:val="14"/>
                <w:szCs w:val="14"/>
                <w:color w:val="auto"/>
              </w:rPr>
              <w:t>Same Center Occupancy</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3"/>
        </w:trPr>
        <w:tc>
          <w:tcPr>
            <w:tcW w:w="3660" w:type="dxa"/>
            <w:vAlign w:val="bottom"/>
          </w:tcPr>
          <w:p>
            <w:pPr>
              <w:jc w:val="center"/>
              <w:ind w:right="609"/>
              <w:spacing w:after="0"/>
              <w:rPr>
                <w:sz w:val="20"/>
                <w:szCs w:val="20"/>
                <w:color w:val="auto"/>
              </w:rPr>
            </w:pPr>
            <w:r>
              <w:rPr>
                <w:rFonts w:ascii="Courier New" w:cs="Courier New" w:eastAsia="Courier New" w:hAnsi="Courier New"/>
                <w:sz w:val="14"/>
                <w:szCs w:val="14"/>
                <w:color w:val="auto"/>
              </w:rPr>
              <w:t>(Quarter to Quarter Comparison)</w:t>
            </w:r>
          </w:p>
        </w:tc>
        <w:tc>
          <w:tcPr>
            <w:tcW w:w="3300" w:type="dxa"/>
            <w:vAlign w:val="bottom"/>
            <w:gridSpan w:val="3"/>
          </w:tcPr>
          <w:p>
            <w:pPr>
              <w:jc w:val="right"/>
              <w:ind w:right="869"/>
              <w:spacing w:after="0"/>
              <w:rPr>
                <w:sz w:val="20"/>
                <w:szCs w:val="20"/>
                <w:color w:val="auto"/>
              </w:rPr>
            </w:pPr>
            <w:r>
              <w:rPr>
                <w:rFonts w:ascii="Courier New" w:cs="Courier New" w:eastAsia="Courier New" w:hAnsi="Courier New"/>
                <w:sz w:val="14"/>
                <w:szCs w:val="14"/>
                <w:color w:val="auto"/>
              </w:rPr>
              <w:t>December 31, 1999</w:t>
            </w:r>
          </w:p>
        </w:tc>
        <w:tc>
          <w:tcPr>
            <w:tcW w:w="3220" w:type="dxa"/>
            <w:vAlign w:val="bottom"/>
            <w:gridSpan w:val="3"/>
          </w:tcPr>
          <w:p>
            <w:pPr>
              <w:jc w:val="right"/>
              <w:ind w:right="769"/>
              <w:spacing w:after="0"/>
              <w:rPr>
                <w:sz w:val="20"/>
                <w:szCs w:val="20"/>
                <w:color w:val="auto"/>
              </w:rPr>
            </w:pPr>
            <w:r>
              <w:rPr>
                <w:rFonts w:ascii="Courier New" w:cs="Courier New" w:eastAsia="Courier New" w:hAnsi="Courier New"/>
                <w:sz w:val="14"/>
                <w:szCs w:val="14"/>
                <w:color w:val="auto"/>
              </w:rPr>
              <w:t>At December 31, 1998</w:t>
            </w:r>
          </w:p>
        </w:tc>
      </w:tr>
      <w:tr>
        <w:trPr>
          <w:trHeight w:val="163"/>
        </w:trPr>
        <w:tc>
          <w:tcPr>
            <w:tcW w:w="366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w:t>
            </w:r>
          </w:p>
        </w:tc>
        <w:tc>
          <w:tcPr>
            <w:tcW w:w="1020" w:type="dxa"/>
            <w:vAlign w:val="bottom"/>
          </w:tcPr>
          <w:p>
            <w:pPr>
              <w:spacing w:after="0"/>
              <w:rPr>
                <w:sz w:val="14"/>
                <w:szCs w:val="14"/>
                <w:color w:val="auto"/>
              </w:rPr>
            </w:pPr>
          </w:p>
        </w:tc>
        <w:tc>
          <w:tcPr>
            <w:tcW w:w="3220" w:type="dxa"/>
            <w:vAlign w:val="bottom"/>
            <w:gridSpan w:val="3"/>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3660" w:type="dxa"/>
            <w:vAlign w:val="bottom"/>
          </w:tcPr>
          <w:p>
            <w:pPr>
              <w:ind w:left="1100"/>
              <w:spacing w:after="0"/>
              <w:rPr>
                <w:sz w:val="20"/>
                <w:szCs w:val="20"/>
                <w:color w:val="auto"/>
              </w:rPr>
            </w:pPr>
            <w:r>
              <w:rPr>
                <w:rFonts w:ascii="Courier New" w:cs="Courier New" w:eastAsia="Courier New" w:hAnsi="Courier New"/>
                <w:sz w:val="14"/>
                <w:szCs w:val="14"/>
                <w:color w:val="auto"/>
              </w:rPr>
              <w:t>Type</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Size</w:t>
            </w:r>
          </w:p>
        </w:tc>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Leased</w:t>
            </w:r>
          </w:p>
        </w:tc>
        <w:tc>
          <w:tcPr>
            <w:tcW w:w="102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Occupancy</w:t>
            </w: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Leased</w:t>
            </w: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7"/>
              </w:rPr>
              <w:t>Occupancy</w:t>
            </w: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center"/>
              <w:ind w:left="89"/>
              <w:spacing w:after="0"/>
              <w:rPr>
                <w:sz w:val="20"/>
                <w:szCs w:val="20"/>
                <w:color w:val="auto"/>
              </w:rPr>
            </w:pPr>
            <w:r>
              <w:rPr>
                <w:rFonts w:ascii="Courier New" w:cs="Courier New" w:eastAsia="Courier New" w:hAnsi="Courier New"/>
                <w:sz w:val="14"/>
                <w:szCs w:val="14"/>
                <w:color w:val="auto"/>
              </w:rPr>
              <w:t>---------</w:t>
            </w:r>
          </w:p>
        </w:tc>
      </w:tr>
      <w:tr>
        <w:trPr>
          <w:trHeight w:val="32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13,865,499</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13,345,911</w:t>
            </w:r>
          </w:p>
        </w:tc>
        <w:tc>
          <w:tcPr>
            <w:tcW w:w="1020" w:type="dxa"/>
            <w:vAlign w:val="bottom"/>
          </w:tcPr>
          <w:p>
            <w:pPr>
              <w:jc w:val="center"/>
              <w:ind w:right="169"/>
              <w:spacing w:after="0"/>
              <w:rPr>
                <w:sz w:val="20"/>
                <w:szCs w:val="20"/>
                <w:color w:val="auto"/>
              </w:rPr>
            </w:pPr>
            <w:r>
              <w:rPr>
                <w:rFonts w:ascii="Courier New" w:cs="Courier New" w:eastAsia="Courier New" w:hAnsi="Courier New"/>
                <w:sz w:val="14"/>
                <w:szCs w:val="14"/>
                <w:color w:val="auto"/>
              </w:rPr>
              <w:t>96%</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13,102,582</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12,451,743</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95%</w:t>
            </w: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282</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278</w:t>
            </w:r>
          </w:p>
        </w:tc>
        <w:tc>
          <w:tcPr>
            <w:tcW w:w="1020" w:type="dxa"/>
            <w:vAlign w:val="bottom"/>
          </w:tcPr>
          <w:p>
            <w:pPr>
              <w:jc w:val="center"/>
              <w:ind w:right="169"/>
              <w:spacing w:after="0"/>
              <w:rPr>
                <w:sz w:val="20"/>
                <w:szCs w:val="20"/>
                <w:color w:val="auto"/>
              </w:rPr>
            </w:pPr>
            <w:r>
              <w:rPr>
                <w:rFonts w:ascii="Courier New" w:cs="Courier New" w:eastAsia="Courier New" w:hAnsi="Courier New"/>
                <w:sz w:val="14"/>
                <w:szCs w:val="14"/>
                <w:color w:val="auto"/>
              </w:rPr>
              <w:t>98%</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281</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99%</w:t>
            </w:r>
          </w:p>
        </w:tc>
      </w:tr>
      <w:tr>
        <w:trPr>
          <w:trHeight w:val="489"/>
        </w:trPr>
        <w:tc>
          <w:tcPr>
            <w:tcW w:w="3660" w:type="dxa"/>
            <w:vAlign w:val="bottom"/>
          </w:tcPr>
          <w:p>
            <w:pPr>
              <w:jc w:val="center"/>
              <w:ind w:right="609"/>
              <w:spacing w:after="0"/>
              <w:rPr>
                <w:sz w:val="20"/>
                <w:szCs w:val="20"/>
                <w:color w:val="auto"/>
              </w:rPr>
            </w:pPr>
            <w:r>
              <w:rPr>
                <w:rFonts w:ascii="Courier New" w:cs="Courier New" w:eastAsia="Courier New" w:hAnsi="Courier New"/>
                <w:sz w:val="14"/>
                <w:szCs w:val="14"/>
                <w:color w:val="auto"/>
              </w:rPr>
              <w:t>Same Center Occupancy</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3"/>
        </w:trPr>
        <w:tc>
          <w:tcPr>
            <w:tcW w:w="3660" w:type="dxa"/>
            <w:vAlign w:val="bottom"/>
          </w:tcPr>
          <w:p>
            <w:pPr>
              <w:jc w:val="center"/>
              <w:ind w:right="609"/>
              <w:spacing w:after="0"/>
              <w:rPr>
                <w:sz w:val="20"/>
                <w:szCs w:val="20"/>
                <w:color w:val="auto"/>
              </w:rPr>
            </w:pPr>
            <w:r>
              <w:rPr>
                <w:rFonts w:ascii="Courier New" w:cs="Courier New" w:eastAsia="Courier New" w:hAnsi="Courier New"/>
                <w:sz w:val="14"/>
                <w:szCs w:val="14"/>
                <w:color w:val="auto"/>
              </w:rPr>
              <w:t>(Rolling 12 Months)</w:t>
            </w: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 1999</w:t>
            </w:r>
          </w:p>
        </w:tc>
        <w:tc>
          <w:tcPr>
            <w:tcW w:w="1020" w:type="dxa"/>
            <w:vAlign w:val="bottom"/>
          </w:tcPr>
          <w:p>
            <w:pPr>
              <w:spacing w:after="0"/>
              <w:rPr>
                <w:sz w:val="14"/>
                <w:szCs w:val="14"/>
                <w:color w:val="auto"/>
              </w:rPr>
            </w:pPr>
          </w:p>
        </w:tc>
        <w:tc>
          <w:tcPr>
            <w:tcW w:w="3220" w:type="dxa"/>
            <w:vAlign w:val="bottom"/>
            <w:gridSpan w:val="3"/>
          </w:tcPr>
          <w:p>
            <w:pPr>
              <w:jc w:val="right"/>
              <w:ind w:right="609"/>
              <w:spacing w:after="0"/>
              <w:rPr>
                <w:sz w:val="20"/>
                <w:szCs w:val="20"/>
                <w:color w:val="auto"/>
              </w:rPr>
            </w:pPr>
            <w:r>
              <w:rPr>
                <w:rFonts w:ascii="Courier New" w:cs="Courier New" w:eastAsia="Courier New" w:hAnsi="Courier New"/>
                <w:sz w:val="14"/>
                <w:szCs w:val="14"/>
                <w:color w:val="auto"/>
              </w:rPr>
              <w:t>At September 30, 1999</w:t>
            </w:r>
          </w:p>
        </w:tc>
      </w:tr>
      <w:tr>
        <w:trPr>
          <w:trHeight w:val="163"/>
        </w:trPr>
        <w:tc>
          <w:tcPr>
            <w:tcW w:w="366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w:t>
            </w:r>
          </w:p>
        </w:tc>
        <w:tc>
          <w:tcPr>
            <w:tcW w:w="1020" w:type="dxa"/>
            <w:vAlign w:val="bottom"/>
          </w:tcPr>
          <w:p>
            <w:pPr>
              <w:spacing w:after="0"/>
              <w:rPr>
                <w:sz w:val="14"/>
                <w:szCs w:val="14"/>
                <w:color w:val="auto"/>
              </w:rPr>
            </w:pPr>
          </w:p>
        </w:tc>
        <w:tc>
          <w:tcPr>
            <w:tcW w:w="3220" w:type="dxa"/>
            <w:vAlign w:val="bottom"/>
            <w:gridSpan w:val="3"/>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3660" w:type="dxa"/>
            <w:vAlign w:val="bottom"/>
          </w:tcPr>
          <w:p>
            <w:pPr>
              <w:ind w:left="1100"/>
              <w:spacing w:after="0"/>
              <w:rPr>
                <w:sz w:val="20"/>
                <w:szCs w:val="20"/>
                <w:color w:val="auto"/>
              </w:rPr>
            </w:pPr>
            <w:r>
              <w:rPr>
                <w:rFonts w:ascii="Courier New" w:cs="Courier New" w:eastAsia="Courier New" w:hAnsi="Courier New"/>
                <w:sz w:val="14"/>
                <w:szCs w:val="14"/>
                <w:color w:val="auto"/>
              </w:rPr>
              <w:t>Type</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Size</w:t>
            </w:r>
          </w:p>
        </w:tc>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Leased</w:t>
            </w:r>
          </w:p>
        </w:tc>
        <w:tc>
          <w:tcPr>
            <w:tcW w:w="102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Occupancy</w:t>
            </w: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Leased</w:t>
            </w: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7"/>
              </w:rPr>
              <w:t>Occupancy</w:t>
            </w: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center"/>
              <w:ind w:left="89"/>
              <w:spacing w:after="0"/>
              <w:rPr>
                <w:sz w:val="20"/>
                <w:szCs w:val="20"/>
                <w:color w:val="auto"/>
              </w:rPr>
            </w:pPr>
            <w:r>
              <w:rPr>
                <w:rFonts w:ascii="Courier New" w:cs="Courier New" w:eastAsia="Courier New" w:hAnsi="Courier New"/>
                <w:sz w:val="14"/>
                <w:szCs w:val="14"/>
                <w:color w:val="auto"/>
              </w:rPr>
              <w:t>---------</w:t>
            </w:r>
          </w:p>
        </w:tc>
      </w:tr>
      <w:tr>
        <w:trPr>
          <w:trHeight w:val="32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13,865,499</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13,345,911</w:t>
            </w:r>
          </w:p>
        </w:tc>
        <w:tc>
          <w:tcPr>
            <w:tcW w:w="1020" w:type="dxa"/>
            <w:vAlign w:val="bottom"/>
          </w:tcPr>
          <w:p>
            <w:pPr>
              <w:jc w:val="center"/>
              <w:ind w:right="169"/>
              <w:spacing w:after="0"/>
              <w:rPr>
                <w:sz w:val="20"/>
                <w:szCs w:val="20"/>
                <w:color w:val="auto"/>
              </w:rPr>
            </w:pPr>
            <w:r>
              <w:rPr>
                <w:rFonts w:ascii="Courier New" w:cs="Courier New" w:eastAsia="Courier New" w:hAnsi="Courier New"/>
                <w:sz w:val="14"/>
                <w:szCs w:val="14"/>
                <w:color w:val="auto"/>
              </w:rPr>
              <w:t>96%</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14,304,720</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13,613,931</w:t>
            </w:r>
          </w:p>
        </w:tc>
        <w:tc>
          <w:tcPr>
            <w:tcW w:w="920" w:type="dxa"/>
            <w:vAlign w:val="bottom"/>
          </w:tcPr>
          <w:p>
            <w:pPr>
              <w:jc w:val="center"/>
              <w:ind w:left="89"/>
              <w:spacing w:after="0"/>
              <w:rPr>
                <w:sz w:val="20"/>
                <w:szCs w:val="20"/>
                <w:color w:val="auto"/>
              </w:rPr>
            </w:pPr>
            <w:r>
              <w:rPr>
                <w:rFonts w:ascii="Courier New" w:cs="Courier New" w:eastAsia="Courier New" w:hAnsi="Courier New"/>
                <w:sz w:val="14"/>
                <w:szCs w:val="14"/>
                <w:color w:val="auto"/>
                <w:w w:val="95"/>
              </w:rPr>
              <w:t>95%</w:t>
            </w: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282</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278</w:t>
            </w:r>
          </w:p>
        </w:tc>
        <w:tc>
          <w:tcPr>
            <w:tcW w:w="1020" w:type="dxa"/>
            <w:vAlign w:val="bottom"/>
          </w:tcPr>
          <w:p>
            <w:pPr>
              <w:jc w:val="center"/>
              <w:ind w:right="169"/>
              <w:spacing w:after="0"/>
              <w:rPr>
                <w:sz w:val="20"/>
                <w:szCs w:val="20"/>
                <w:color w:val="auto"/>
              </w:rPr>
            </w:pPr>
            <w:r>
              <w:rPr>
                <w:rFonts w:ascii="Courier New" w:cs="Courier New" w:eastAsia="Courier New" w:hAnsi="Courier New"/>
                <w:sz w:val="14"/>
                <w:szCs w:val="14"/>
                <w:color w:val="auto"/>
              </w:rPr>
              <w:t>98%</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282</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rPr>
              <w:t>100%</w:t>
            </w:r>
          </w:p>
        </w:tc>
      </w:tr>
      <w:tr>
        <w:trPr>
          <w:trHeight w:val="489"/>
        </w:trPr>
        <w:tc>
          <w:tcPr>
            <w:tcW w:w="3660" w:type="dxa"/>
            <w:vAlign w:val="bottom"/>
          </w:tcPr>
          <w:p>
            <w:pPr>
              <w:jc w:val="center"/>
              <w:ind w:right="609"/>
              <w:spacing w:after="0"/>
              <w:rPr>
                <w:sz w:val="20"/>
                <w:szCs w:val="20"/>
                <w:color w:val="auto"/>
              </w:rPr>
            </w:pPr>
            <w:r>
              <w:rPr>
                <w:rFonts w:ascii="Courier New" w:cs="Courier New" w:eastAsia="Courier New" w:hAnsi="Courier New"/>
                <w:sz w:val="14"/>
                <w:szCs w:val="14"/>
                <w:color w:val="auto"/>
              </w:rPr>
              <w:t>Same Center Occupancy</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3"/>
        </w:trPr>
        <w:tc>
          <w:tcPr>
            <w:tcW w:w="3660" w:type="dxa"/>
            <w:vAlign w:val="bottom"/>
          </w:tcPr>
          <w:p>
            <w:pPr>
              <w:jc w:val="center"/>
              <w:ind w:right="609"/>
              <w:spacing w:after="0"/>
              <w:rPr>
                <w:sz w:val="20"/>
                <w:szCs w:val="20"/>
                <w:color w:val="auto"/>
              </w:rPr>
            </w:pPr>
            <w:r>
              <w:rPr>
                <w:rFonts w:ascii="Courier New" w:cs="Courier New" w:eastAsia="Courier New" w:hAnsi="Courier New"/>
                <w:sz w:val="14"/>
                <w:szCs w:val="14"/>
                <w:color w:val="auto"/>
              </w:rPr>
              <w:t>(Rolling 12 Months)</w:t>
            </w: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At June 30, 1999</w:t>
            </w:r>
          </w:p>
        </w:tc>
        <w:tc>
          <w:tcPr>
            <w:tcW w:w="1020" w:type="dxa"/>
            <w:vAlign w:val="bottom"/>
          </w:tcPr>
          <w:p>
            <w:pPr>
              <w:spacing w:after="0"/>
              <w:rPr>
                <w:sz w:val="14"/>
                <w:szCs w:val="14"/>
                <w:color w:val="auto"/>
              </w:rPr>
            </w:pPr>
          </w:p>
        </w:tc>
        <w:tc>
          <w:tcPr>
            <w:tcW w:w="3220" w:type="dxa"/>
            <w:vAlign w:val="bottom"/>
            <w:gridSpan w:val="3"/>
          </w:tcPr>
          <w:p>
            <w:pPr>
              <w:jc w:val="right"/>
              <w:ind w:right="769"/>
              <w:spacing w:after="0"/>
              <w:rPr>
                <w:sz w:val="20"/>
                <w:szCs w:val="20"/>
                <w:color w:val="auto"/>
              </w:rPr>
            </w:pPr>
            <w:r>
              <w:rPr>
                <w:rFonts w:ascii="Courier New" w:cs="Courier New" w:eastAsia="Courier New" w:hAnsi="Courier New"/>
                <w:sz w:val="14"/>
                <w:szCs w:val="14"/>
                <w:color w:val="auto"/>
              </w:rPr>
              <w:t>At March 31, 1999</w:t>
            </w:r>
          </w:p>
        </w:tc>
      </w:tr>
      <w:tr>
        <w:trPr>
          <w:trHeight w:val="163"/>
        </w:trPr>
        <w:tc>
          <w:tcPr>
            <w:tcW w:w="366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w:t>
            </w:r>
          </w:p>
        </w:tc>
        <w:tc>
          <w:tcPr>
            <w:tcW w:w="1020" w:type="dxa"/>
            <w:vAlign w:val="bottom"/>
          </w:tcPr>
          <w:p>
            <w:pPr>
              <w:spacing w:after="0"/>
              <w:rPr>
                <w:sz w:val="14"/>
                <w:szCs w:val="14"/>
                <w:color w:val="auto"/>
              </w:rPr>
            </w:pPr>
          </w:p>
        </w:tc>
        <w:tc>
          <w:tcPr>
            <w:tcW w:w="3220" w:type="dxa"/>
            <w:vAlign w:val="bottom"/>
            <w:gridSpan w:val="3"/>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3660" w:type="dxa"/>
            <w:vAlign w:val="bottom"/>
          </w:tcPr>
          <w:p>
            <w:pPr>
              <w:ind w:left="1100"/>
              <w:spacing w:after="0"/>
              <w:rPr>
                <w:sz w:val="20"/>
                <w:szCs w:val="20"/>
                <w:color w:val="auto"/>
              </w:rPr>
            </w:pPr>
            <w:r>
              <w:rPr>
                <w:rFonts w:ascii="Courier New" w:cs="Courier New" w:eastAsia="Courier New" w:hAnsi="Courier New"/>
                <w:sz w:val="14"/>
                <w:szCs w:val="14"/>
                <w:color w:val="auto"/>
              </w:rPr>
              <w:t>Type</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Size</w:t>
            </w:r>
          </w:p>
        </w:tc>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Leased</w:t>
            </w:r>
          </w:p>
        </w:tc>
        <w:tc>
          <w:tcPr>
            <w:tcW w:w="102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Occupancy</w:t>
            </w: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Leased</w:t>
            </w: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7"/>
              </w:rPr>
              <w:t>Occupancy</w:t>
            </w: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center"/>
              <w:ind w:left="89"/>
              <w:spacing w:after="0"/>
              <w:rPr>
                <w:sz w:val="20"/>
                <w:szCs w:val="20"/>
                <w:color w:val="auto"/>
              </w:rPr>
            </w:pPr>
            <w:r>
              <w:rPr>
                <w:rFonts w:ascii="Courier New" w:cs="Courier New" w:eastAsia="Courier New" w:hAnsi="Courier New"/>
                <w:sz w:val="14"/>
                <w:szCs w:val="14"/>
                <w:color w:val="auto"/>
              </w:rPr>
              <w:t>---------</w:t>
            </w:r>
          </w:p>
        </w:tc>
      </w:tr>
      <w:tr>
        <w:trPr>
          <w:trHeight w:val="32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13,622,710</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12,891,283</w:t>
            </w: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95%</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13,091,729</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12,404,610</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rPr>
              <w:t>95%</w:t>
            </w: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282</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280</w:t>
            </w: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99%</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278</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rPr>
              <w:t>99%</w:t>
            </w:r>
          </w:p>
        </w:tc>
      </w:tr>
      <w:tr>
        <w:trPr>
          <w:trHeight w:val="489"/>
        </w:trPr>
        <w:tc>
          <w:tcPr>
            <w:tcW w:w="3660" w:type="dxa"/>
            <w:vAlign w:val="bottom"/>
          </w:tcPr>
          <w:p>
            <w:pPr>
              <w:ind w:left="3220"/>
              <w:spacing w:after="0"/>
              <w:rPr>
                <w:sz w:val="20"/>
                <w:szCs w:val="20"/>
                <w:color w:val="auto"/>
              </w:rPr>
            </w:pPr>
            <w:r>
              <w:rPr>
                <w:rFonts w:ascii="Courier New" w:cs="Courier New" w:eastAsia="Courier New" w:hAnsi="Courier New"/>
                <w:sz w:val="14"/>
                <w:szCs w:val="14"/>
                <w:color w:val="auto"/>
              </w:rPr>
              <w:t>E-3</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180"/>
          </w:cols>
          <w:pgMar w:left="300" w:top="609" w:right="141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40" w:type="dxa"/>
            <w:vAlign w:val="bottom"/>
          </w:tcPr>
          <w:p>
            <w:pPr>
              <w:spacing w:after="0"/>
              <w:rPr>
                <w:sz w:val="13"/>
                <w:szCs w:val="13"/>
                <w:color w:val="auto"/>
              </w:rPr>
            </w:pP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Total Square</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r>
      <w:tr>
        <w:trPr>
          <w:trHeight w:val="163"/>
        </w:trPr>
        <w:tc>
          <w:tcPr>
            <w:tcW w:w="2640" w:type="dxa"/>
            <w:vAlign w:val="bottom"/>
          </w:tcPr>
          <w:p>
            <w:pPr>
              <w:ind w:left="1020"/>
              <w:spacing w:after="0"/>
              <w:rPr>
                <w:sz w:val="20"/>
                <w:szCs w:val="20"/>
                <w:color w:val="auto"/>
              </w:rPr>
            </w:pPr>
            <w:r>
              <w:rPr>
                <w:rFonts w:ascii="Courier New" w:cs="Courier New" w:eastAsia="Courier New" w:hAnsi="Courier New"/>
                <w:sz w:val="14"/>
                <w:szCs w:val="14"/>
                <w:color w:val="auto"/>
              </w:rPr>
              <w:t>Region</w:t>
            </w:r>
          </w:p>
        </w:tc>
        <w:tc>
          <w:tcPr>
            <w:tcW w:w="1360" w:type="dxa"/>
            <w:vAlign w:val="bottom"/>
          </w:tcPr>
          <w:p>
            <w:pPr>
              <w:jc w:val="center"/>
              <w:ind w:right="189"/>
              <w:spacing w:after="0"/>
              <w:rPr>
                <w:sz w:val="20"/>
                <w:szCs w:val="20"/>
                <w:color w:val="auto"/>
              </w:rPr>
            </w:pPr>
            <w:r>
              <w:rPr>
                <w:rFonts w:ascii="Courier New" w:cs="Courier New" w:eastAsia="Courier New" w:hAnsi="Courier New"/>
                <w:sz w:val="14"/>
                <w:szCs w:val="14"/>
                <w:color w:val="auto"/>
                <w:w w:val="98"/>
              </w:rPr>
              <w:t>Footage</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12/31/99</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360" w:type="dxa"/>
            <w:vAlign w:val="bottom"/>
          </w:tcPr>
          <w:p>
            <w:pPr>
              <w:jc w:val="center"/>
              <w:ind w:right="209"/>
              <w:spacing w:after="0"/>
              <w:rPr>
                <w:sz w:val="20"/>
                <w:szCs w:val="20"/>
                <w:color w:val="auto"/>
              </w:rPr>
            </w:pPr>
            <w:r>
              <w:rPr>
                <w:rFonts w:ascii="Courier New" w:cs="Courier New" w:eastAsia="Courier New" w:hAnsi="Courier New"/>
                <w:sz w:val="14"/>
                <w:szCs w:val="14"/>
                <w:color w:val="auto"/>
              </w:rPr>
              <w:t>7,035,881</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96%</w:t>
            </w:r>
          </w:p>
        </w:tc>
      </w:tr>
      <w:tr>
        <w:trPr>
          <w:trHeight w:val="326"/>
        </w:trPr>
        <w:tc>
          <w:tcPr>
            <w:tcW w:w="264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360" w:type="dxa"/>
            <w:vAlign w:val="bottom"/>
          </w:tcPr>
          <w:p>
            <w:pPr>
              <w:jc w:val="center"/>
              <w:ind w:right="209"/>
              <w:spacing w:after="0"/>
              <w:rPr>
                <w:sz w:val="20"/>
                <w:szCs w:val="20"/>
                <w:color w:val="auto"/>
              </w:rPr>
            </w:pPr>
            <w:r>
              <w:rPr>
                <w:rFonts w:ascii="Courier New" w:cs="Courier New" w:eastAsia="Courier New" w:hAnsi="Courier New"/>
                <w:sz w:val="14"/>
                <w:szCs w:val="14"/>
                <w:color w:val="auto"/>
              </w:rPr>
              <w:t>5,891,256</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96%</w:t>
            </w:r>
          </w:p>
        </w:tc>
      </w:tr>
      <w:tr>
        <w:trPr>
          <w:trHeight w:val="326"/>
        </w:trPr>
        <w:tc>
          <w:tcPr>
            <w:tcW w:w="264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1360" w:type="dxa"/>
            <w:vAlign w:val="bottom"/>
          </w:tcPr>
          <w:p>
            <w:pPr>
              <w:jc w:val="center"/>
              <w:ind w:right="209"/>
              <w:spacing w:after="0"/>
              <w:rPr>
                <w:sz w:val="20"/>
                <w:szCs w:val="20"/>
                <w:color w:val="auto"/>
              </w:rPr>
            </w:pPr>
            <w:r>
              <w:rPr>
                <w:rFonts w:ascii="Courier New" w:cs="Courier New" w:eastAsia="Courier New" w:hAnsi="Courier New"/>
                <w:sz w:val="14"/>
                <w:szCs w:val="14"/>
                <w:color w:val="auto"/>
              </w:rPr>
              <w:t>1,109,956</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96%</w:t>
            </w:r>
          </w:p>
        </w:tc>
      </w:tr>
    </w:tbl>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40" w:type="dxa"/>
            <w:vAlign w:val="bottom"/>
          </w:tcPr>
          <w:p>
            <w:pPr>
              <w:spacing w:after="0"/>
              <w:rPr>
                <w:sz w:val="13"/>
                <w:szCs w:val="13"/>
                <w:color w:val="auto"/>
              </w:rPr>
            </w:pP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Total Square</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r>
      <w:tr>
        <w:trPr>
          <w:trHeight w:val="163"/>
        </w:trPr>
        <w:tc>
          <w:tcPr>
            <w:tcW w:w="2640" w:type="dxa"/>
            <w:vAlign w:val="bottom"/>
          </w:tcPr>
          <w:p>
            <w:pPr>
              <w:ind w:left="1020"/>
              <w:spacing w:after="0"/>
              <w:rPr>
                <w:sz w:val="20"/>
                <w:szCs w:val="20"/>
                <w:color w:val="auto"/>
              </w:rPr>
            </w:pPr>
            <w:r>
              <w:rPr>
                <w:rFonts w:ascii="Courier New" w:cs="Courier New" w:eastAsia="Courier New" w:hAnsi="Courier New"/>
                <w:sz w:val="14"/>
                <w:szCs w:val="14"/>
                <w:color w:val="auto"/>
              </w:rPr>
              <w:t>Region</w:t>
            </w:r>
          </w:p>
        </w:tc>
        <w:tc>
          <w:tcPr>
            <w:tcW w:w="13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Footage</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12/31/99</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r>
      <w:tr>
        <w:trPr>
          <w:trHeight w:val="32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3"/>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4,292,217</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rPr>
              <w:t>99%</w:t>
            </w:r>
          </w:p>
        </w:tc>
      </w:tr>
      <w:tr>
        <w:trPr>
          <w:trHeight w:val="163"/>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2,743,664</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rPr>
              <w:t>92%</w:t>
            </w:r>
          </w:p>
        </w:tc>
      </w:tr>
      <w:tr>
        <w:trPr>
          <w:trHeight w:val="326"/>
        </w:trPr>
        <w:tc>
          <w:tcPr>
            <w:tcW w:w="264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3"/>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2,715,338</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rPr>
              <w:t>99%</w:t>
            </w:r>
          </w:p>
        </w:tc>
      </w:tr>
      <w:tr>
        <w:trPr>
          <w:trHeight w:val="163"/>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3,175,918</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rPr>
              <w:t>93%</w:t>
            </w:r>
          </w:p>
        </w:tc>
      </w:tr>
      <w:tr>
        <w:trPr>
          <w:trHeight w:val="326"/>
        </w:trPr>
        <w:tc>
          <w:tcPr>
            <w:tcW w:w="2640" w:type="dxa"/>
            <w:vAlign w:val="bottom"/>
          </w:tcPr>
          <w:p>
            <w:pPr>
              <w:spacing w:after="0"/>
              <w:rPr>
                <w:sz w:val="20"/>
                <w:szCs w:val="20"/>
                <w:color w:val="auto"/>
              </w:rPr>
            </w:pPr>
            <w:r>
              <w:rPr>
                <w:rFonts w:ascii="Courier New" w:cs="Courier New" w:eastAsia="Courier New" w:hAnsi="Courier New"/>
                <w:sz w:val="14"/>
                <w:szCs w:val="14"/>
                <w:color w:val="auto"/>
              </w:rPr>
              <w:t>West</w:t>
            </w: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3"/>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252,415</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rPr>
              <w:t>100%</w:t>
            </w:r>
          </w:p>
        </w:tc>
      </w:tr>
      <w:tr>
        <w:trPr>
          <w:trHeight w:val="163"/>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857,541</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rPr>
              <w:t>95%</w:t>
            </w:r>
          </w:p>
        </w:tc>
      </w:tr>
      <w:tr>
        <w:trPr>
          <w:trHeight w:val="489"/>
        </w:trPr>
        <w:tc>
          <w:tcPr>
            <w:tcW w:w="2640" w:type="dxa"/>
            <w:vAlign w:val="bottom"/>
          </w:tcPr>
          <w:p>
            <w:pPr>
              <w:spacing w:after="0"/>
              <w:rPr>
                <w:sz w:val="24"/>
                <w:szCs w:val="24"/>
                <w:color w:val="auto"/>
              </w:rPr>
            </w:pPr>
          </w:p>
        </w:tc>
        <w:tc>
          <w:tcPr>
            <w:tcW w:w="13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E-4</w:t>
            </w:r>
          </w:p>
        </w:tc>
        <w:tc>
          <w:tcPr>
            <w:tcW w:w="1020" w:type="dxa"/>
            <w:vAlign w:val="bottom"/>
          </w:tcPr>
          <w:p>
            <w:pPr>
              <w:spacing w:after="0"/>
              <w:rPr>
                <w:sz w:val="24"/>
                <w:szCs w:val="24"/>
                <w:color w:val="auto"/>
              </w:rPr>
            </w:pPr>
          </w:p>
        </w:tc>
      </w:tr>
    </w:tbl>
    <w:p>
      <w:pPr>
        <w:sectPr>
          <w:pgSz w:w="11900" w:h="16838" w:orient="portrait"/>
          <w:cols w:equalWidth="0" w:num="1">
            <w:col w:w="10159"/>
          </w:cols>
          <w:pgMar w:left="300" w:top="60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Leasing Activity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540" w:type="dxa"/>
            <w:vAlign w:val="bottom"/>
          </w:tcPr>
          <w:p>
            <w:pPr>
              <w:spacing w:after="0"/>
              <w:rPr>
                <w:sz w:val="20"/>
                <w:szCs w:val="20"/>
                <w:color w:val="auto"/>
              </w:rPr>
            </w:pPr>
            <w:r>
              <w:rPr>
                <w:rFonts w:ascii="Courier New" w:cs="Courier New" w:eastAsia="Courier New" w:hAnsi="Courier New"/>
                <w:sz w:val="14"/>
                <w:szCs w:val="14"/>
                <w:color w:val="auto"/>
              </w:rPr>
              <w:t>Comparable</w:t>
            </w: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8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Percentage</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Estimated</w:t>
            </w:r>
          </w:p>
        </w:tc>
      </w:tr>
      <w:tr>
        <w:trPr>
          <w:trHeight w:val="163"/>
        </w:trPr>
        <w:tc>
          <w:tcPr>
            <w:tcW w:w="1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Weighted</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Average Prior</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w w:val="99"/>
              </w:rPr>
              <w:t>Average Current</w:t>
            </w:r>
          </w:p>
        </w:tc>
        <w:tc>
          <w:tcPr>
            <w:tcW w:w="1620" w:type="dxa"/>
            <w:vAlign w:val="bottom"/>
          </w:tcPr>
          <w:p>
            <w:pPr>
              <w:spacing w:after="0"/>
              <w:rPr>
                <w:sz w:val="14"/>
                <w:szCs w:val="14"/>
                <w:color w:val="auto"/>
              </w:rPr>
            </w:pPr>
          </w:p>
        </w:tc>
        <w:tc>
          <w:tcPr>
            <w:tcW w:w="1180" w:type="dxa"/>
            <w:vAlign w:val="bottom"/>
          </w:tcPr>
          <w:p>
            <w:pPr>
              <w:jc w:val="center"/>
              <w:ind w:right="89"/>
              <w:spacing w:after="0"/>
              <w:rPr>
                <w:sz w:val="20"/>
                <w:szCs w:val="20"/>
                <w:color w:val="auto"/>
              </w:rPr>
            </w:pPr>
            <w:r>
              <w:rPr>
                <w:rFonts w:ascii="Courier New" w:cs="Courier New" w:eastAsia="Courier New" w:hAnsi="Courier New"/>
                <w:sz w:val="14"/>
                <w:szCs w:val="14"/>
                <w:color w:val="auto"/>
                <w:w w:val="98"/>
              </w:rPr>
              <w:t>Increase</w:t>
            </w:r>
          </w:p>
        </w:tc>
        <w:tc>
          <w:tcPr>
            <w:tcW w:w="1100" w:type="dxa"/>
            <w:vAlign w:val="bottom"/>
          </w:tcPr>
          <w:p>
            <w:pPr>
              <w:ind w:left="340"/>
              <w:spacing w:after="0"/>
              <w:rPr>
                <w:sz w:val="20"/>
                <w:szCs w:val="20"/>
                <w:color w:val="auto"/>
              </w:rPr>
            </w:pPr>
            <w:r>
              <w:rPr>
                <w:rFonts w:ascii="Courier New" w:cs="Courier New" w:eastAsia="Courier New" w:hAnsi="Courier New"/>
                <w:sz w:val="14"/>
                <w:szCs w:val="14"/>
                <w:color w:val="auto"/>
              </w:rPr>
              <w:t>Tenant</w:t>
            </w:r>
          </w:p>
        </w:tc>
      </w:tr>
      <w:tr>
        <w:trPr>
          <w:trHeight w:val="163"/>
        </w:trPr>
        <w:tc>
          <w:tcPr>
            <w:tcW w:w="1540" w:type="dxa"/>
            <w:vAlign w:val="bottom"/>
          </w:tcPr>
          <w:p>
            <w:pPr>
              <w:spacing w:after="0"/>
              <w:rPr>
                <w:sz w:val="14"/>
                <w:szCs w:val="14"/>
                <w:color w:val="auto"/>
              </w:rPr>
            </w:pP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Number of</w:t>
            </w:r>
          </w:p>
        </w:tc>
        <w:tc>
          <w:tcPr>
            <w:tcW w:w="880" w:type="dxa"/>
            <w:vAlign w:val="bottom"/>
          </w:tcPr>
          <w:p>
            <w:pPr>
              <w:jc w:val="center"/>
              <w:ind w:left="149"/>
              <w:spacing w:after="0"/>
              <w:rPr>
                <w:sz w:val="20"/>
                <w:szCs w:val="20"/>
                <w:color w:val="auto"/>
              </w:rPr>
            </w:pPr>
            <w:r>
              <w:rPr>
                <w:rFonts w:ascii="Courier New" w:cs="Courier New" w:eastAsia="Courier New" w:hAnsi="Courier New"/>
                <w:sz w:val="14"/>
                <w:szCs w:val="14"/>
                <w:color w:val="auto"/>
                <w:w w:val="99"/>
              </w:rPr>
              <w:t>Square</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Average Lease</w:t>
            </w:r>
          </w:p>
        </w:tc>
        <w:tc>
          <w:tcPr>
            <w:tcW w:w="1360" w:type="dxa"/>
            <w:vAlign w:val="bottom"/>
          </w:tcPr>
          <w:p>
            <w:pPr>
              <w:ind w:left="380"/>
              <w:spacing w:after="0"/>
              <w:rPr>
                <w:sz w:val="20"/>
                <w:szCs w:val="20"/>
                <w:color w:val="auto"/>
              </w:rPr>
            </w:pPr>
            <w:r>
              <w:rPr>
                <w:rFonts w:ascii="Courier New" w:cs="Courier New" w:eastAsia="Courier New" w:hAnsi="Courier New"/>
                <w:sz w:val="14"/>
                <w:szCs w:val="14"/>
                <w:color w:val="auto"/>
              </w:rPr>
              <w:t>Rent Per</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Rent Per</w:t>
            </w:r>
          </w:p>
        </w:tc>
        <w:tc>
          <w:tcPr>
            <w:tcW w:w="16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Annualized</w:t>
            </w:r>
          </w:p>
        </w:tc>
        <w:tc>
          <w:tcPr>
            <w:tcW w:w="1180" w:type="dxa"/>
            <w:vAlign w:val="bottom"/>
          </w:tcPr>
          <w:p>
            <w:pPr>
              <w:ind w:left="340"/>
              <w:spacing w:after="0"/>
              <w:rPr>
                <w:sz w:val="20"/>
                <w:szCs w:val="20"/>
                <w:color w:val="auto"/>
              </w:rPr>
            </w:pPr>
            <w:r>
              <w:rPr>
                <w:rFonts w:ascii="Courier New" w:cs="Courier New" w:eastAsia="Courier New" w:hAnsi="Courier New"/>
                <w:sz w:val="14"/>
                <w:szCs w:val="14"/>
                <w:color w:val="auto"/>
              </w:rPr>
              <w:t>over</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Improvement</w:t>
            </w:r>
          </w:p>
        </w:tc>
      </w:tr>
      <w:tr>
        <w:trPr>
          <w:trHeight w:val="163"/>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Rolling 12 Months Leases Signed</w:t>
            </w:r>
          </w:p>
        </w:tc>
        <w:tc>
          <w:tcPr>
            <w:tcW w:w="88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Feet</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Term (Years)</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w w:val="99"/>
              </w:rPr>
              <w:t>Square Foot</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Square Foot</w:t>
            </w:r>
          </w:p>
        </w:tc>
        <w:tc>
          <w:tcPr>
            <w:tcW w:w="1620" w:type="dxa"/>
            <w:vAlign w:val="bottom"/>
          </w:tcPr>
          <w:p>
            <w:pPr>
              <w:ind w:left="180"/>
              <w:spacing w:after="0"/>
              <w:rPr>
                <w:sz w:val="20"/>
                <w:szCs w:val="20"/>
                <w:color w:val="auto"/>
              </w:rPr>
            </w:pPr>
            <w:r>
              <w:rPr>
                <w:rFonts w:ascii="Courier New" w:cs="Courier New" w:eastAsia="Courier New" w:hAnsi="Courier New"/>
                <w:sz w:val="14"/>
                <w:szCs w:val="14"/>
                <w:color w:val="auto"/>
              </w:rPr>
              <w:t>Increase in Rent</w:t>
            </w:r>
          </w:p>
        </w:tc>
        <w:tc>
          <w:tcPr>
            <w:tcW w:w="118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Prior Rent</w:t>
            </w:r>
          </w:p>
        </w:tc>
        <w:tc>
          <w:tcPr>
            <w:tcW w:w="1100" w:type="dxa"/>
            <w:vAlign w:val="bottom"/>
          </w:tcPr>
          <w:p>
            <w:pPr>
              <w:ind w:left="340"/>
              <w:spacing w:after="0"/>
              <w:rPr>
                <w:sz w:val="20"/>
                <w:szCs w:val="20"/>
                <w:color w:val="auto"/>
              </w:rPr>
            </w:pPr>
            <w:r>
              <w:rPr>
                <w:rFonts w:ascii="Courier New" w:cs="Courier New" w:eastAsia="Courier New" w:hAnsi="Courier New"/>
                <w:sz w:val="14"/>
                <w:szCs w:val="14"/>
                <w:color w:val="auto"/>
              </w:rPr>
              <w:t>Costs</w:t>
            </w:r>
          </w:p>
        </w:tc>
      </w:tr>
      <w:tr>
        <w:trPr>
          <w:trHeight w:val="163"/>
        </w:trPr>
        <w:tc>
          <w:tcPr>
            <w:tcW w:w="10260" w:type="dxa"/>
            <w:vAlign w:val="bottom"/>
            <w:gridSpan w:val="8"/>
          </w:tcPr>
          <w:p>
            <w:pPr>
              <w:spacing w:after="0"/>
              <w:rPr>
                <w:sz w:val="20"/>
                <w:szCs w:val="20"/>
                <w:color w:val="auto"/>
              </w:rPr>
            </w:pPr>
            <w:r>
              <w:rPr>
                <w:rFonts w:ascii="Courier New" w:cs="Courier New" w:eastAsia="Courier New" w:hAnsi="Courier New"/>
                <w:sz w:val="14"/>
                <w:szCs w:val="14"/>
                <w:color w:val="auto"/>
              </w:rPr>
              <w:t>- ----------------- ------------- --------- -------------- -------------- ----------------- ----------------- -----------</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1540" w:type="dxa"/>
            <w:vAlign w:val="bottom"/>
          </w:tcPr>
          <w:p>
            <w:pPr>
              <w:spacing w:after="0"/>
              <w:rPr>
                <w:sz w:val="20"/>
                <w:szCs w:val="20"/>
                <w:color w:val="auto"/>
              </w:rPr>
            </w:pPr>
            <w:r>
              <w:rPr>
                <w:rFonts w:ascii="Courier New" w:cs="Courier New" w:eastAsia="Courier New" w:hAnsi="Courier New"/>
                <w:sz w:val="14"/>
                <w:szCs w:val="14"/>
                <w:color w:val="auto"/>
              </w:rPr>
              <w:t>4th Quarter 1999</w:t>
            </w:r>
          </w:p>
        </w:tc>
        <w:tc>
          <w:tcPr>
            <w:tcW w:w="11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79</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270,278</w:t>
            </w:r>
          </w:p>
        </w:tc>
        <w:tc>
          <w:tcPr>
            <w:tcW w:w="12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8.7</w:t>
            </w:r>
          </w:p>
        </w:tc>
        <w:tc>
          <w:tcPr>
            <w:tcW w:w="1360" w:type="dxa"/>
            <w:vAlign w:val="bottom"/>
          </w:tcPr>
          <w:p>
            <w:pPr>
              <w:ind w:left="380"/>
              <w:spacing w:after="0"/>
              <w:rPr>
                <w:sz w:val="20"/>
                <w:szCs w:val="20"/>
                <w:color w:val="auto"/>
              </w:rPr>
            </w:pPr>
            <w:r>
              <w:rPr>
                <w:rFonts w:ascii="Courier New" w:cs="Courier New" w:eastAsia="Courier New" w:hAnsi="Courier New"/>
                <w:sz w:val="14"/>
                <w:szCs w:val="14"/>
                <w:color w:val="auto"/>
              </w:rPr>
              <w:t>$20.14</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w w:val="99"/>
              </w:rPr>
              <w:t>$24.32</w:t>
            </w:r>
          </w:p>
        </w:tc>
        <w:tc>
          <w:tcPr>
            <w:tcW w:w="16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$1,129,625</w:t>
            </w:r>
          </w:p>
        </w:tc>
        <w:tc>
          <w:tcPr>
            <w:tcW w:w="1180" w:type="dxa"/>
            <w:vAlign w:val="bottom"/>
          </w:tcPr>
          <w:p>
            <w:pPr>
              <w:ind w:left="340"/>
              <w:spacing w:after="0"/>
              <w:rPr>
                <w:sz w:val="20"/>
                <w:szCs w:val="20"/>
                <w:color w:val="auto"/>
              </w:rPr>
            </w:pPr>
            <w:r>
              <w:rPr>
                <w:rFonts w:ascii="Courier New" w:cs="Courier New" w:eastAsia="Courier New" w:hAnsi="Courier New"/>
                <w:sz w:val="14"/>
                <w:szCs w:val="14"/>
                <w:color w:val="auto"/>
              </w:rPr>
              <w:t>21%</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$2,710,000</w:t>
            </w: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3rd Quarter 1999</w:t>
            </w:r>
          </w:p>
        </w:tc>
        <w:tc>
          <w:tcPr>
            <w:tcW w:w="11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87</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324,332</w:t>
            </w:r>
          </w:p>
        </w:tc>
        <w:tc>
          <w:tcPr>
            <w:tcW w:w="12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7.3</w:t>
            </w:r>
          </w:p>
        </w:tc>
        <w:tc>
          <w:tcPr>
            <w:tcW w:w="1360" w:type="dxa"/>
            <w:vAlign w:val="bottom"/>
          </w:tcPr>
          <w:p>
            <w:pPr>
              <w:ind w:left="380"/>
              <w:spacing w:after="0"/>
              <w:rPr>
                <w:sz w:val="20"/>
                <w:szCs w:val="20"/>
                <w:color w:val="auto"/>
              </w:rPr>
            </w:pPr>
            <w:r>
              <w:rPr>
                <w:rFonts w:ascii="Courier New" w:cs="Courier New" w:eastAsia="Courier New" w:hAnsi="Courier New"/>
                <w:sz w:val="14"/>
                <w:szCs w:val="14"/>
                <w:color w:val="auto"/>
              </w:rPr>
              <w:t>$16.02</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w w:val="99"/>
              </w:rPr>
              <w:t>$20.34</w:t>
            </w:r>
          </w:p>
        </w:tc>
        <w:tc>
          <w:tcPr>
            <w:tcW w:w="16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$1,401,643</w:t>
            </w:r>
          </w:p>
        </w:tc>
        <w:tc>
          <w:tcPr>
            <w:tcW w:w="1180" w:type="dxa"/>
            <w:vAlign w:val="bottom"/>
          </w:tcPr>
          <w:p>
            <w:pPr>
              <w:ind w:left="340"/>
              <w:spacing w:after="0"/>
              <w:rPr>
                <w:sz w:val="20"/>
                <w:szCs w:val="20"/>
                <w:color w:val="auto"/>
              </w:rPr>
            </w:pPr>
            <w:r>
              <w:rPr>
                <w:rFonts w:ascii="Courier New" w:cs="Courier New" w:eastAsia="Courier New" w:hAnsi="Courier New"/>
                <w:sz w:val="14"/>
                <w:szCs w:val="14"/>
                <w:color w:val="auto"/>
              </w:rPr>
              <w:t>27%</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$3,799,000</w:t>
            </w: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2nd Quarter 1999</w:t>
            </w:r>
          </w:p>
        </w:tc>
        <w:tc>
          <w:tcPr>
            <w:tcW w:w="11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74</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237,065</w:t>
            </w:r>
          </w:p>
        </w:tc>
        <w:tc>
          <w:tcPr>
            <w:tcW w:w="12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5.9</w:t>
            </w:r>
          </w:p>
        </w:tc>
        <w:tc>
          <w:tcPr>
            <w:tcW w:w="1360" w:type="dxa"/>
            <w:vAlign w:val="bottom"/>
          </w:tcPr>
          <w:p>
            <w:pPr>
              <w:ind w:left="380"/>
              <w:spacing w:after="0"/>
              <w:rPr>
                <w:sz w:val="20"/>
                <w:szCs w:val="20"/>
                <w:color w:val="auto"/>
              </w:rPr>
            </w:pPr>
            <w:r>
              <w:rPr>
                <w:rFonts w:ascii="Courier New" w:cs="Courier New" w:eastAsia="Courier New" w:hAnsi="Courier New"/>
                <w:sz w:val="14"/>
                <w:szCs w:val="14"/>
                <w:color w:val="auto"/>
              </w:rPr>
              <w:t>$18.03</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w w:val="99"/>
              </w:rPr>
              <w:t>$21.70</w:t>
            </w:r>
          </w:p>
        </w:tc>
        <w:tc>
          <w:tcPr>
            <w:tcW w:w="16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$871,258</w:t>
            </w:r>
          </w:p>
        </w:tc>
        <w:tc>
          <w:tcPr>
            <w:tcW w:w="1180" w:type="dxa"/>
            <w:vAlign w:val="bottom"/>
          </w:tcPr>
          <w:p>
            <w:pPr>
              <w:ind w:left="340"/>
              <w:spacing w:after="0"/>
              <w:rPr>
                <w:sz w:val="20"/>
                <w:szCs w:val="20"/>
                <w:color w:val="auto"/>
              </w:rPr>
            </w:pPr>
            <w:r>
              <w:rPr>
                <w:rFonts w:ascii="Courier New" w:cs="Courier New" w:eastAsia="Courier New" w:hAnsi="Courier New"/>
                <w:sz w:val="14"/>
                <w:szCs w:val="14"/>
                <w:color w:val="auto"/>
              </w:rPr>
              <w:t>20%</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$1,799,000</w:t>
            </w: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1st Quarter 1999</w:t>
            </w:r>
          </w:p>
        </w:tc>
        <w:tc>
          <w:tcPr>
            <w:tcW w:w="11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56</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199,197</w:t>
            </w:r>
          </w:p>
        </w:tc>
        <w:tc>
          <w:tcPr>
            <w:tcW w:w="12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6.0</w:t>
            </w:r>
          </w:p>
        </w:tc>
        <w:tc>
          <w:tcPr>
            <w:tcW w:w="1360" w:type="dxa"/>
            <w:vAlign w:val="bottom"/>
          </w:tcPr>
          <w:p>
            <w:pPr>
              <w:ind w:left="380"/>
              <w:spacing w:after="0"/>
              <w:rPr>
                <w:sz w:val="20"/>
                <w:szCs w:val="20"/>
                <w:color w:val="auto"/>
              </w:rPr>
            </w:pPr>
            <w:r>
              <w:rPr>
                <w:rFonts w:ascii="Courier New" w:cs="Courier New" w:eastAsia="Courier New" w:hAnsi="Courier New"/>
                <w:sz w:val="14"/>
                <w:szCs w:val="14"/>
                <w:color w:val="auto"/>
              </w:rPr>
              <w:t>$16.88</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w w:val="99"/>
              </w:rPr>
              <w:t>$20.27</w:t>
            </w:r>
          </w:p>
        </w:tc>
        <w:tc>
          <w:tcPr>
            <w:tcW w:w="16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$675,482</w:t>
            </w:r>
          </w:p>
        </w:tc>
        <w:tc>
          <w:tcPr>
            <w:tcW w:w="1180" w:type="dxa"/>
            <w:vAlign w:val="bottom"/>
          </w:tcPr>
          <w:p>
            <w:pPr>
              <w:ind w:left="340"/>
              <w:spacing w:after="0"/>
              <w:rPr>
                <w:sz w:val="20"/>
                <w:szCs w:val="20"/>
                <w:color w:val="auto"/>
              </w:rPr>
            </w:pPr>
            <w:r>
              <w:rPr>
                <w:rFonts w:ascii="Courier New" w:cs="Courier New" w:eastAsia="Courier New" w:hAnsi="Courier New"/>
                <w:sz w:val="14"/>
                <w:szCs w:val="14"/>
                <w:color w:val="auto"/>
              </w:rPr>
              <w:t>20%</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$935,000</w:t>
            </w:r>
          </w:p>
        </w:tc>
      </w:tr>
      <w:tr>
        <w:trPr>
          <w:trHeight w:val="163"/>
        </w:trPr>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Total</w:t>
            </w:r>
          </w:p>
        </w:tc>
        <w:tc>
          <w:tcPr>
            <w:tcW w:w="11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296</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1,030,872</w:t>
            </w:r>
          </w:p>
        </w:tc>
        <w:tc>
          <w:tcPr>
            <w:tcW w:w="12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7.3</w:t>
            </w:r>
          </w:p>
        </w:tc>
        <w:tc>
          <w:tcPr>
            <w:tcW w:w="1360" w:type="dxa"/>
            <w:vAlign w:val="bottom"/>
          </w:tcPr>
          <w:p>
            <w:pPr>
              <w:ind w:left="380"/>
              <w:spacing w:after="0"/>
              <w:rPr>
                <w:sz w:val="20"/>
                <w:szCs w:val="20"/>
                <w:color w:val="auto"/>
              </w:rPr>
            </w:pPr>
            <w:r>
              <w:rPr>
                <w:rFonts w:ascii="Courier New" w:cs="Courier New" w:eastAsia="Courier New" w:hAnsi="Courier New"/>
                <w:sz w:val="14"/>
                <w:szCs w:val="14"/>
                <w:color w:val="auto"/>
              </w:rPr>
              <w:t>$17.73</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w w:val="99"/>
              </w:rPr>
              <w:t>$21.68</w:t>
            </w:r>
          </w:p>
        </w:tc>
        <w:tc>
          <w:tcPr>
            <w:tcW w:w="16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$4,078,008</w:t>
            </w:r>
          </w:p>
        </w:tc>
        <w:tc>
          <w:tcPr>
            <w:tcW w:w="1180" w:type="dxa"/>
            <w:vAlign w:val="bottom"/>
          </w:tcPr>
          <w:p>
            <w:pPr>
              <w:ind w:left="340"/>
              <w:spacing w:after="0"/>
              <w:rPr>
                <w:sz w:val="20"/>
                <w:szCs w:val="20"/>
                <w:color w:val="auto"/>
              </w:rPr>
            </w:pPr>
            <w:r>
              <w:rPr>
                <w:rFonts w:ascii="Courier New" w:cs="Courier New" w:eastAsia="Courier New" w:hAnsi="Courier New"/>
                <w:sz w:val="14"/>
                <w:szCs w:val="14"/>
                <w:color w:val="auto"/>
              </w:rPr>
              <w:t>22%</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$9,243,000</w:t>
            </w:r>
          </w:p>
        </w:tc>
      </w:tr>
      <w:tr>
        <w:trPr>
          <w:trHeight w:val="326"/>
        </w:trPr>
        <w:tc>
          <w:tcPr>
            <w:tcW w:w="1540" w:type="dxa"/>
            <w:vAlign w:val="bottom"/>
          </w:tcPr>
          <w:p>
            <w:pPr>
              <w:spacing w:after="0"/>
              <w:rPr>
                <w:sz w:val="20"/>
                <w:szCs w:val="20"/>
                <w:color w:val="auto"/>
              </w:rPr>
            </w:pPr>
            <w:r>
              <w:rPr>
                <w:rFonts w:ascii="Courier New" w:cs="Courier New" w:eastAsia="Courier New" w:hAnsi="Courier New"/>
                <w:sz w:val="14"/>
                <w:szCs w:val="14"/>
                <w:color w:val="auto"/>
              </w:rPr>
              <w:t>Non-Comparable</w:t>
            </w: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Weighted</w:t>
            </w: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20" w:type="dxa"/>
            <w:vAlign w:val="bottom"/>
          </w:tcPr>
          <w:p>
            <w:pPr>
              <w:jc w:val="center"/>
              <w:ind w:right="589"/>
              <w:spacing w:after="0"/>
              <w:rPr>
                <w:sz w:val="20"/>
                <w:szCs w:val="20"/>
                <w:color w:val="auto"/>
              </w:rPr>
            </w:pPr>
            <w:r>
              <w:rPr>
                <w:rFonts w:ascii="Courier New" w:cs="Courier New" w:eastAsia="Courier New" w:hAnsi="Courier New"/>
                <w:sz w:val="14"/>
                <w:szCs w:val="14"/>
                <w:color w:val="auto"/>
              </w:rPr>
              <w:t>Estimated</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3"/>
        </w:trPr>
        <w:tc>
          <w:tcPr>
            <w:tcW w:w="1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c>
          <w:tcPr>
            <w:tcW w:w="13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Annualized</w:t>
            </w:r>
          </w:p>
        </w:tc>
        <w:tc>
          <w:tcPr>
            <w:tcW w:w="1620" w:type="dxa"/>
            <w:vAlign w:val="bottom"/>
          </w:tcPr>
          <w:p>
            <w:pPr>
              <w:ind w:left="180"/>
              <w:spacing w:after="0"/>
              <w:rPr>
                <w:sz w:val="20"/>
                <w:szCs w:val="20"/>
                <w:color w:val="auto"/>
              </w:rPr>
            </w:pPr>
            <w:r>
              <w:rPr>
                <w:rFonts w:ascii="Courier New" w:cs="Courier New" w:eastAsia="Courier New" w:hAnsi="Courier New"/>
                <w:sz w:val="14"/>
                <w:szCs w:val="14"/>
                <w:color w:val="auto"/>
              </w:rPr>
              <w:t>Tenant</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1540" w:type="dxa"/>
            <w:vAlign w:val="bottom"/>
          </w:tcPr>
          <w:p>
            <w:pPr>
              <w:spacing w:after="0"/>
              <w:rPr>
                <w:sz w:val="14"/>
                <w:szCs w:val="14"/>
                <w:color w:val="auto"/>
              </w:rPr>
            </w:pP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Number of</w:t>
            </w:r>
          </w:p>
        </w:tc>
        <w:tc>
          <w:tcPr>
            <w:tcW w:w="880" w:type="dxa"/>
            <w:vAlign w:val="bottom"/>
          </w:tcPr>
          <w:p>
            <w:pPr>
              <w:jc w:val="center"/>
              <w:ind w:left="149"/>
              <w:spacing w:after="0"/>
              <w:rPr>
                <w:sz w:val="20"/>
                <w:szCs w:val="20"/>
                <w:color w:val="auto"/>
              </w:rPr>
            </w:pPr>
            <w:r>
              <w:rPr>
                <w:rFonts w:ascii="Courier New" w:cs="Courier New" w:eastAsia="Courier New" w:hAnsi="Courier New"/>
                <w:sz w:val="14"/>
                <w:szCs w:val="14"/>
                <w:color w:val="auto"/>
                <w:w w:val="99"/>
              </w:rPr>
              <w:t>Square</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w:t>
            </w:r>
          </w:p>
        </w:tc>
        <w:tc>
          <w:tcPr>
            <w:tcW w:w="1360" w:type="dxa"/>
            <w:vAlign w:val="bottom"/>
          </w:tcPr>
          <w:p>
            <w:pPr>
              <w:ind w:left="220"/>
              <w:spacing w:after="0"/>
              <w:rPr>
                <w:sz w:val="20"/>
                <w:szCs w:val="20"/>
                <w:color w:val="auto"/>
              </w:rPr>
            </w:pPr>
            <w:r>
              <w:rPr>
                <w:rFonts w:ascii="Courier New" w:cs="Courier New" w:eastAsia="Courier New" w:hAnsi="Courier New"/>
                <w:sz w:val="14"/>
                <w:szCs w:val="14"/>
                <w:color w:val="auto"/>
              </w:rPr>
              <w:t>Average Rent</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Current</w:t>
            </w:r>
          </w:p>
        </w:tc>
        <w:tc>
          <w:tcPr>
            <w:tcW w:w="1620" w:type="dxa"/>
            <w:vAlign w:val="bottom"/>
          </w:tcPr>
          <w:p>
            <w:pPr>
              <w:jc w:val="center"/>
              <w:ind w:right="609"/>
              <w:spacing w:after="0"/>
              <w:rPr>
                <w:sz w:val="20"/>
                <w:szCs w:val="20"/>
                <w:color w:val="auto"/>
              </w:rPr>
            </w:pPr>
            <w:r>
              <w:rPr>
                <w:rFonts w:ascii="Courier New" w:cs="Courier New" w:eastAsia="Courier New" w:hAnsi="Courier New"/>
                <w:sz w:val="14"/>
                <w:szCs w:val="14"/>
                <w:color w:val="auto"/>
              </w:rPr>
              <w:t>Improvement</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Rolling 12 Months Leases Signed</w:t>
            </w:r>
          </w:p>
        </w:tc>
        <w:tc>
          <w:tcPr>
            <w:tcW w:w="88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Feet</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Term (Years)</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Per Square Foot</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Rent</w:t>
            </w:r>
          </w:p>
        </w:tc>
        <w:tc>
          <w:tcPr>
            <w:tcW w:w="1620" w:type="dxa"/>
            <w:vAlign w:val="bottom"/>
          </w:tcPr>
          <w:p>
            <w:pPr>
              <w:jc w:val="center"/>
              <w:ind w:right="609"/>
              <w:spacing w:after="0"/>
              <w:rPr>
                <w:sz w:val="20"/>
                <w:szCs w:val="20"/>
                <w:color w:val="auto"/>
              </w:rPr>
            </w:pPr>
            <w:r>
              <w:rPr>
                <w:rFonts w:ascii="Courier New" w:cs="Courier New" w:eastAsia="Courier New" w:hAnsi="Courier New"/>
                <w:sz w:val="14"/>
                <w:szCs w:val="14"/>
                <w:color w:val="auto"/>
                <w:w w:val="99"/>
              </w:rPr>
              <w:t>Costs</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080" w:type="dxa"/>
            <w:vAlign w:val="bottom"/>
            <w:gridSpan w:val="7"/>
          </w:tcPr>
          <w:p>
            <w:pPr>
              <w:spacing w:after="0"/>
              <w:rPr>
                <w:sz w:val="20"/>
                <w:szCs w:val="20"/>
                <w:color w:val="auto"/>
              </w:rPr>
            </w:pPr>
            <w:r>
              <w:rPr>
                <w:rFonts w:ascii="Courier New" w:cs="Courier New" w:eastAsia="Courier New" w:hAnsi="Courier New"/>
                <w:sz w:val="14"/>
                <w:szCs w:val="14"/>
                <w:color w:val="auto"/>
              </w:rPr>
              <w:t>- ----------------- ------------- --------- ------------- ----------------- ------------- ------------</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26"/>
        </w:trPr>
        <w:tc>
          <w:tcPr>
            <w:tcW w:w="1540" w:type="dxa"/>
            <w:vAlign w:val="bottom"/>
          </w:tcPr>
          <w:p>
            <w:pPr>
              <w:spacing w:after="0"/>
              <w:rPr>
                <w:sz w:val="20"/>
                <w:szCs w:val="20"/>
                <w:color w:val="auto"/>
              </w:rPr>
            </w:pPr>
            <w:r>
              <w:rPr>
                <w:rFonts w:ascii="Courier New" w:cs="Courier New" w:eastAsia="Courier New" w:hAnsi="Courier New"/>
                <w:sz w:val="14"/>
                <w:szCs w:val="14"/>
                <w:color w:val="auto"/>
              </w:rPr>
              <w:t>4th Quarter 1999</w:t>
            </w:r>
          </w:p>
        </w:tc>
        <w:tc>
          <w:tcPr>
            <w:tcW w:w="11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9</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39,545</w:t>
            </w:r>
          </w:p>
        </w:tc>
        <w:tc>
          <w:tcPr>
            <w:tcW w:w="12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8.7</w:t>
            </w:r>
          </w:p>
        </w:tc>
        <w:tc>
          <w:tcPr>
            <w:tcW w:w="1360" w:type="dxa"/>
            <w:vAlign w:val="bottom"/>
          </w:tcPr>
          <w:p>
            <w:pPr>
              <w:ind w:left="380"/>
              <w:spacing w:after="0"/>
              <w:rPr>
                <w:sz w:val="20"/>
                <w:szCs w:val="20"/>
                <w:color w:val="auto"/>
              </w:rPr>
            </w:pPr>
            <w:r>
              <w:rPr>
                <w:rFonts w:ascii="Courier New" w:cs="Courier New" w:eastAsia="Courier New" w:hAnsi="Courier New"/>
                <w:sz w:val="14"/>
                <w:szCs w:val="14"/>
                <w:color w:val="auto"/>
              </w:rPr>
              <w:t>$18.13</w:t>
            </w:r>
          </w:p>
        </w:tc>
        <w:tc>
          <w:tcPr>
            <w:tcW w:w="13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$717,011</w:t>
            </w:r>
          </w:p>
        </w:tc>
        <w:tc>
          <w:tcPr>
            <w:tcW w:w="16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$389,000</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3rd Quarter 1999</w:t>
            </w:r>
          </w:p>
        </w:tc>
        <w:tc>
          <w:tcPr>
            <w:tcW w:w="11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12</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105,948</w:t>
            </w:r>
          </w:p>
        </w:tc>
        <w:tc>
          <w:tcPr>
            <w:tcW w:w="12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10.2</w:t>
            </w:r>
          </w:p>
        </w:tc>
        <w:tc>
          <w:tcPr>
            <w:tcW w:w="1360" w:type="dxa"/>
            <w:vAlign w:val="bottom"/>
          </w:tcPr>
          <w:p>
            <w:pPr>
              <w:ind w:left="380"/>
              <w:spacing w:after="0"/>
              <w:rPr>
                <w:sz w:val="20"/>
                <w:szCs w:val="20"/>
                <w:color w:val="auto"/>
              </w:rPr>
            </w:pPr>
            <w:r>
              <w:rPr>
                <w:rFonts w:ascii="Courier New" w:cs="Courier New" w:eastAsia="Courier New" w:hAnsi="Courier New"/>
                <w:sz w:val="14"/>
                <w:szCs w:val="14"/>
                <w:color w:val="auto"/>
              </w:rPr>
              <w:t>$20.32</w:t>
            </w:r>
          </w:p>
        </w:tc>
        <w:tc>
          <w:tcPr>
            <w:tcW w:w="13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$2,153,331</w:t>
            </w:r>
          </w:p>
        </w:tc>
        <w:tc>
          <w:tcPr>
            <w:tcW w:w="16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$521,000</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2nd Quarter 1999</w:t>
            </w:r>
          </w:p>
        </w:tc>
        <w:tc>
          <w:tcPr>
            <w:tcW w:w="11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7</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11,592</w:t>
            </w:r>
          </w:p>
        </w:tc>
        <w:tc>
          <w:tcPr>
            <w:tcW w:w="12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7.9</w:t>
            </w:r>
          </w:p>
        </w:tc>
        <w:tc>
          <w:tcPr>
            <w:tcW w:w="1360" w:type="dxa"/>
            <w:vAlign w:val="bottom"/>
          </w:tcPr>
          <w:p>
            <w:pPr>
              <w:ind w:left="380"/>
              <w:spacing w:after="0"/>
              <w:rPr>
                <w:sz w:val="20"/>
                <w:szCs w:val="20"/>
                <w:color w:val="auto"/>
              </w:rPr>
            </w:pPr>
            <w:r>
              <w:rPr>
                <w:rFonts w:ascii="Courier New" w:cs="Courier New" w:eastAsia="Courier New" w:hAnsi="Courier New"/>
                <w:sz w:val="14"/>
                <w:szCs w:val="14"/>
                <w:color w:val="auto"/>
              </w:rPr>
              <w:t>$43.30</w:t>
            </w:r>
          </w:p>
        </w:tc>
        <w:tc>
          <w:tcPr>
            <w:tcW w:w="13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$501,908</w:t>
            </w:r>
          </w:p>
        </w:tc>
        <w:tc>
          <w:tcPr>
            <w:tcW w:w="16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$91,000</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1st Quarter 1999</w:t>
            </w:r>
          </w:p>
        </w:tc>
        <w:tc>
          <w:tcPr>
            <w:tcW w:w="11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13</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120,121</w:t>
            </w:r>
          </w:p>
        </w:tc>
        <w:tc>
          <w:tcPr>
            <w:tcW w:w="12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14.7</w:t>
            </w:r>
          </w:p>
        </w:tc>
        <w:tc>
          <w:tcPr>
            <w:tcW w:w="1360" w:type="dxa"/>
            <w:vAlign w:val="bottom"/>
          </w:tcPr>
          <w:p>
            <w:pPr>
              <w:ind w:left="380"/>
              <w:spacing w:after="0"/>
              <w:rPr>
                <w:sz w:val="20"/>
                <w:szCs w:val="20"/>
                <w:color w:val="auto"/>
              </w:rPr>
            </w:pPr>
            <w:r>
              <w:rPr>
                <w:rFonts w:ascii="Courier New" w:cs="Courier New" w:eastAsia="Courier New" w:hAnsi="Courier New"/>
                <w:sz w:val="14"/>
                <w:szCs w:val="14"/>
                <w:color w:val="auto"/>
              </w:rPr>
              <w:t>$20.91</w:t>
            </w:r>
          </w:p>
        </w:tc>
        <w:tc>
          <w:tcPr>
            <w:tcW w:w="13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$2,511,594</w:t>
            </w:r>
          </w:p>
        </w:tc>
        <w:tc>
          <w:tcPr>
            <w:tcW w:w="16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$494,000</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Total</w:t>
            </w:r>
          </w:p>
        </w:tc>
        <w:tc>
          <w:tcPr>
            <w:tcW w:w="11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41</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277,206</w:t>
            </w:r>
          </w:p>
        </w:tc>
        <w:tc>
          <w:tcPr>
            <w:tcW w:w="12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12.0</w:t>
            </w:r>
          </w:p>
        </w:tc>
        <w:tc>
          <w:tcPr>
            <w:tcW w:w="1360" w:type="dxa"/>
            <w:vAlign w:val="bottom"/>
          </w:tcPr>
          <w:p>
            <w:pPr>
              <w:ind w:left="380"/>
              <w:spacing w:after="0"/>
              <w:rPr>
                <w:sz w:val="20"/>
                <w:szCs w:val="20"/>
                <w:color w:val="auto"/>
              </w:rPr>
            </w:pPr>
            <w:r>
              <w:rPr>
                <w:rFonts w:ascii="Courier New" w:cs="Courier New" w:eastAsia="Courier New" w:hAnsi="Courier New"/>
                <w:sz w:val="14"/>
                <w:szCs w:val="14"/>
                <w:color w:val="auto"/>
              </w:rPr>
              <w:t>$21.23</w:t>
            </w:r>
          </w:p>
        </w:tc>
        <w:tc>
          <w:tcPr>
            <w:tcW w:w="13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$5,883,844</w:t>
            </w:r>
          </w:p>
        </w:tc>
        <w:tc>
          <w:tcPr>
            <w:tcW w:w="16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$1,495,000</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489"/>
        </w:trPr>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E-5</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360"/>
          </w:cols>
          <w:pgMar w:left="300" w:top="609" w:right="23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 Expiring</w:t>
      </w:r>
    </w:p>
    <w:p>
      <w:pPr>
        <w:spacing w:after="0" w:line="200" w:lineRule="exact"/>
        <w:rPr>
          <w:sz w:val="20"/>
          <w:szCs w:val="20"/>
          <w:color w:val="auto"/>
        </w:rPr>
      </w:pPr>
    </w:p>
    <w:p>
      <w:pPr>
        <w:spacing w:after="0" w:line="294" w:lineRule="exact"/>
        <w:rPr>
          <w:sz w:val="20"/>
          <w:szCs w:val="20"/>
          <w:color w:val="auto"/>
        </w:rPr>
      </w:pPr>
    </w:p>
    <w:tbl>
      <w:tblPr>
        <w:tblLayout w:type="fixed"/>
        <w:tblInd w:w="340" w:type="dxa"/>
        <w:tblCellMar>
          <w:top w:w="0" w:type="dxa"/>
          <w:left w:w="0" w:type="dxa"/>
          <w:bottom w:w="0" w:type="dxa"/>
          <w:right w:w="0" w:type="dxa"/>
        </w:tblCellMar>
      </w:tblPr>
      <w:tr>
        <w:trPr>
          <w:trHeight w:val="160"/>
        </w:trPr>
        <w:tc>
          <w:tcPr>
            <w:tcW w:w="720" w:type="dxa"/>
            <w:vAlign w:val="bottom"/>
          </w:tcPr>
          <w:p>
            <w:pPr>
              <w:spacing w:after="0"/>
              <w:rPr>
                <w:sz w:val="13"/>
                <w:szCs w:val="13"/>
                <w:color w:val="auto"/>
              </w:rPr>
            </w:pPr>
          </w:p>
        </w:tc>
        <w:tc>
          <w:tcPr>
            <w:tcW w:w="1740" w:type="dxa"/>
            <w:vAlign w:val="bottom"/>
          </w:tcPr>
          <w:p>
            <w:pPr>
              <w:ind w:left="640"/>
              <w:spacing w:after="0"/>
              <w:rPr>
                <w:sz w:val="20"/>
                <w:szCs w:val="20"/>
                <w:color w:val="auto"/>
              </w:rPr>
            </w:pPr>
            <w:r>
              <w:rPr>
                <w:rFonts w:ascii="Courier New" w:cs="Courier New" w:eastAsia="Courier New" w:hAnsi="Courier New"/>
                <w:sz w:val="14"/>
                <w:szCs w:val="14"/>
                <w:color w:val="auto"/>
              </w:rPr>
              <w:t>Total</w:t>
            </w:r>
          </w:p>
        </w:tc>
        <w:tc>
          <w:tcPr>
            <w:tcW w:w="1700" w:type="dxa"/>
            <w:vAlign w:val="bottom"/>
          </w:tcPr>
          <w:p>
            <w:pPr>
              <w:ind w:left="520"/>
              <w:spacing w:after="0"/>
              <w:rPr>
                <w:sz w:val="20"/>
                <w:szCs w:val="20"/>
                <w:color w:val="auto"/>
              </w:rPr>
            </w:pPr>
            <w:r>
              <w:rPr>
                <w:rFonts w:ascii="Courier New" w:cs="Courier New" w:eastAsia="Courier New" w:hAnsi="Courier New"/>
                <w:sz w:val="14"/>
                <w:szCs w:val="14"/>
                <w:color w:val="auto"/>
              </w:rPr>
              <w:t>Percent</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Average</w:t>
            </w:r>
          </w:p>
        </w:tc>
      </w:tr>
      <w:tr>
        <w:trPr>
          <w:trHeight w:val="163"/>
        </w:trPr>
        <w:tc>
          <w:tcPr>
            <w:tcW w:w="720" w:type="dxa"/>
            <w:vAlign w:val="bottom"/>
          </w:tcPr>
          <w:p>
            <w:pPr>
              <w:spacing w:after="0"/>
              <w:rPr>
                <w:sz w:val="14"/>
                <w:szCs w:val="14"/>
                <w:color w:val="auto"/>
              </w:rPr>
            </w:pPr>
          </w:p>
        </w:tc>
        <w:tc>
          <w:tcPr>
            <w:tcW w:w="1740" w:type="dxa"/>
            <w:vAlign w:val="bottom"/>
          </w:tcPr>
          <w:p>
            <w:pPr>
              <w:ind w:left="380"/>
              <w:spacing w:after="0"/>
              <w:rPr>
                <w:sz w:val="20"/>
                <w:szCs w:val="20"/>
                <w:color w:val="auto"/>
              </w:rPr>
            </w:pPr>
            <w:r>
              <w:rPr>
                <w:rFonts w:ascii="Courier New" w:cs="Courier New" w:eastAsia="Courier New" w:hAnsi="Courier New"/>
                <w:sz w:val="14"/>
                <w:szCs w:val="14"/>
                <w:color w:val="auto"/>
              </w:rPr>
              <w:t>Square Feet</w:t>
            </w:r>
          </w:p>
        </w:tc>
        <w:tc>
          <w:tcPr>
            <w:tcW w:w="1700" w:type="dxa"/>
            <w:vAlign w:val="bottom"/>
          </w:tcPr>
          <w:p>
            <w:pPr>
              <w:ind w:left="520"/>
              <w:spacing w:after="0"/>
              <w:rPr>
                <w:sz w:val="20"/>
                <w:szCs w:val="20"/>
                <w:color w:val="auto"/>
              </w:rPr>
            </w:pPr>
            <w:r>
              <w:rPr>
                <w:rFonts w:ascii="Courier New" w:cs="Courier New" w:eastAsia="Courier New" w:hAnsi="Courier New"/>
                <w:sz w:val="14"/>
                <w:szCs w:val="14"/>
                <w:color w:val="auto"/>
              </w:rPr>
              <w:t>of Total</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Rent Per</w:t>
            </w:r>
          </w:p>
        </w:tc>
      </w:tr>
      <w:tr>
        <w:trPr>
          <w:trHeight w:val="163"/>
        </w:trPr>
        <w:tc>
          <w:tcPr>
            <w:tcW w:w="7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Expiring(1)</w:t>
            </w:r>
          </w:p>
        </w:tc>
        <w:tc>
          <w:tcPr>
            <w:tcW w:w="1700" w:type="dxa"/>
            <w:vAlign w:val="bottom"/>
          </w:tcPr>
          <w:p>
            <w:pPr>
              <w:jc w:val="center"/>
              <w:spacing w:after="0"/>
              <w:rPr>
                <w:sz w:val="20"/>
                <w:szCs w:val="20"/>
                <w:color w:val="auto"/>
              </w:rPr>
            </w:pPr>
            <w:r>
              <w:rPr>
                <w:rFonts w:ascii="Courier New" w:cs="Courier New" w:eastAsia="Courier New" w:hAnsi="Courier New"/>
                <w:sz w:val="14"/>
                <w:szCs w:val="14"/>
                <w:color w:val="auto"/>
              </w:rPr>
              <w:t>Portfolio(2)</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Square Foot</w:t>
            </w:r>
          </w:p>
        </w:tc>
      </w:tr>
      <w:tr>
        <w:trPr>
          <w:trHeight w:val="163"/>
        </w:trPr>
        <w:tc>
          <w:tcPr>
            <w:tcW w:w="720" w:type="dxa"/>
            <w:vAlign w:val="bottom"/>
          </w:tcPr>
          <w:p>
            <w:pPr>
              <w:spacing w:after="0"/>
              <w:rPr>
                <w:sz w:val="14"/>
                <w:szCs w:val="14"/>
                <w:color w:val="auto"/>
              </w:rPr>
            </w:pPr>
          </w:p>
        </w:tc>
        <w:tc>
          <w:tcPr>
            <w:tcW w:w="17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72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5"/>
              </w:rPr>
              <w:t>2000</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381,275</w:t>
            </w:r>
          </w:p>
        </w:tc>
        <w:tc>
          <w:tcPr>
            <w:tcW w:w="1700" w:type="dxa"/>
            <w:vAlign w:val="bottom"/>
          </w:tcPr>
          <w:p>
            <w:pPr>
              <w:jc w:val="center"/>
              <w:spacing w:after="0"/>
              <w:rPr>
                <w:sz w:val="20"/>
                <w:szCs w:val="20"/>
                <w:color w:val="auto"/>
              </w:rPr>
            </w:pPr>
            <w:r>
              <w:rPr>
                <w:rFonts w:ascii="Courier New" w:cs="Courier New" w:eastAsia="Courier New" w:hAnsi="Courier New"/>
                <w:sz w:val="14"/>
                <w:szCs w:val="14"/>
                <w:color w:val="auto"/>
              </w:rPr>
              <w:t>2%</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$17.94</w:t>
            </w:r>
          </w:p>
        </w:tc>
      </w:tr>
      <w:tr>
        <w:trPr>
          <w:trHeight w:val="163"/>
        </w:trPr>
        <w:tc>
          <w:tcPr>
            <w:tcW w:w="72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5"/>
              </w:rPr>
              <w:t>2001</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407,981</w:t>
            </w:r>
          </w:p>
        </w:tc>
        <w:tc>
          <w:tcPr>
            <w:tcW w:w="1700" w:type="dxa"/>
            <w:vAlign w:val="bottom"/>
          </w:tcPr>
          <w:p>
            <w:pPr>
              <w:jc w:val="center"/>
              <w:spacing w:after="0"/>
              <w:rPr>
                <w:sz w:val="20"/>
                <w:szCs w:val="20"/>
                <w:color w:val="auto"/>
              </w:rPr>
            </w:pPr>
            <w:r>
              <w:rPr>
                <w:rFonts w:ascii="Courier New" w:cs="Courier New" w:eastAsia="Courier New" w:hAnsi="Courier New"/>
                <w:sz w:val="14"/>
                <w:szCs w:val="14"/>
                <w:color w:val="auto"/>
              </w:rPr>
              <w:t>3%</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$19.63</w:t>
            </w:r>
          </w:p>
        </w:tc>
      </w:tr>
      <w:tr>
        <w:trPr>
          <w:trHeight w:val="163"/>
        </w:trPr>
        <w:tc>
          <w:tcPr>
            <w:tcW w:w="72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5"/>
              </w:rPr>
              <w:t>2002</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408,209</w:t>
            </w:r>
          </w:p>
        </w:tc>
        <w:tc>
          <w:tcPr>
            <w:tcW w:w="1700" w:type="dxa"/>
            <w:vAlign w:val="bottom"/>
          </w:tcPr>
          <w:p>
            <w:pPr>
              <w:jc w:val="center"/>
              <w:spacing w:after="0"/>
              <w:rPr>
                <w:sz w:val="20"/>
                <w:szCs w:val="20"/>
                <w:color w:val="auto"/>
              </w:rPr>
            </w:pPr>
            <w:r>
              <w:rPr>
                <w:rFonts w:ascii="Courier New" w:cs="Courier New" w:eastAsia="Courier New" w:hAnsi="Courier New"/>
                <w:sz w:val="14"/>
                <w:szCs w:val="14"/>
                <w:color w:val="auto"/>
              </w:rPr>
              <w:t>3%</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$19.88</w:t>
            </w:r>
          </w:p>
        </w:tc>
      </w:tr>
      <w:tr>
        <w:trPr>
          <w:trHeight w:val="163"/>
        </w:trPr>
        <w:tc>
          <w:tcPr>
            <w:tcW w:w="72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5"/>
              </w:rPr>
              <w:t>2003</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366,152</w:t>
            </w:r>
          </w:p>
        </w:tc>
        <w:tc>
          <w:tcPr>
            <w:tcW w:w="1700" w:type="dxa"/>
            <w:vAlign w:val="bottom"/>
          </w:tcPr>
          <w:p>
            <w:pPr>
              <w:jc w:val="center"/>
              <w:spacing w:after="0"/>
              <w:rPr>
                <w:sz w:val="20"/>
                <w:szCs w:val="20"/>
                <w:color w:val="auto"/>
              </w:rPr>
            </w:pPr>
            <w:r>
              <w:rPr>
                <w:rFonts w:ascii="Courier New" w:cs="Courier New" w:eastAsia="Courier New" w:hAnsi="Courier New"/>
                <w:sz w:val="14"/>
                <w:szCs w:val="14"/>
                <w:color w:val="auto"/>
              </w:rPr>
              <w:t>2%</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$21.44</w:t>
            </w:r>
          </w:p>
        </w:tc>
      </w:tr>
      <w:tr>
        <w:trPr>
          <w:trHeight w:val="163"/>
        </w:trPr>
        <w:tc>
          <w:tcPr>
            <w:tcW w:w="72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5"/>
              </w:rPr>
              <w:t>2004</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426,871</w:t>
            </w:r>
          </w:p>
        </w:tc>
        <w:tc>
          <w:tcPr>
            <w:tcW w:w="1700" w:type="dxa"/>
            <w:vAlign w:val="bottom"/>
          </w:tcPr>
          <w:p>
            <w:pPr>
              <w:jc w:val="center"/>
              <w:spacing w:after="0"/>
              <w:rPr>
                <w:sz w:val="20"/>
                <w:szCs w:val="20"/>
                <w:color w:val="auto"/>
              </w:rPr>
            </w:pPr>
            <w:r>
              <w:rPr>
                <w:rFonts w:ascii="Courier New" w:cs="Courier New" w:eastAsia="Courier New" w:hAnsi="Courier New"/>
                <w:sz w:val="14"/>
                <w:szCs w:val="14"/>
                <w:color w:val="auto"/>
              </w:rPr>
              <w:t>3%</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$23.02</w:t>
            </w:r>
          </w:p>
        </w:tc>
      </w:tr>
    </w:tbl>
    <w:p>
      <w:pPr>
        <w:spacing w:after="0" w:line="330" w:lineRule="exact"/>
        <w:rPr>
          <w:sz w:val="20"/>
          <w:szCs w:val="20"/>
          <w:color w:val="auto"/>
        </w:rPr>
      </w:pPr>
    </w:p>
    <w:p>
      <w:pPr>
        <w:ind w:left="340" w:hanging="333"/>
        <w:spacing w:after="0"/>
        <w:tabs>
          <w:tab w:leader="none" w:pos="3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lease expirations with options</w:t>
      </w:r>
    </w:p>
    <w:p>
      <w:pPr>
        <w:spacing w:after="0" w:line="4" w:lineRule="exact"/>
        <w:rPr>
          <w:rFonts w:ascii="Courier New" w:cs="Courier New" w:eastAsia="Courier New" w:hAnsi="Courier New"/>
          <w:sz w:val="14"/>
          <w:szCs w:val="14"/>
          <w:color w:val="auto"/>
        </w:rPr>
      </w:pPr>
    </w:p>
    <w:p>
      <w:pPr>
        <w:ind w:left="340" w:hanging="333"/>
        <w:spacing w:after="0"/>
        <w:tabs>
          <w:tab w:leader="none" w:pos="3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portfolio square footage December 31, 1999:  15,319,535</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E-6</w:t>
      </w:r>
    </w:p>
    <w:p>
      <w:pPr>
        <w:sectPr>
          <w:pgSz w:w="11900" w:h="16838" w:orient="portrait"/>
          <w:cols w:equalWidth="0" w:num="1">
            <w:col w:w="10159"/>
          </w:cols>
          <w:pgMar w:left="300" w:top="609"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 Expiring - Anchors and Small Shops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740" w:type="dxa"/>
            <w:vAlign w:val="bottom"/>
          </w:tcPr>
          <w:p>
            <w:pPr>
              <w:spacing w:after="0"/>
              <w:rPr>
                <w:sz w:val="13"/>
                <w:szCs w:val="13"/>
                <w:color w:val="auto"/>
              </w:rPr>
            </w:pPr>
          </w:p>
        </w:tc>
        <w:tc>
          <w:tcPr>
            <w:tcW w:w="2460" w:type="dxa"/>
            <w:vAlign w:val="bottom"/>
          </w:tcPr>
          <w:p>
            <w:pPr>
              <w:jc w:val="right"/>
              <w:ind w:right="809"/>
              <w:spacing w:after="0"/>
              <w:rPr>
                <w:sz w:val="20"/>
                <w:szCs w:val="20"/>
                <w:color w:val="auto"/>
              </w:rPr>
            </w:pPr>
            <w:r>
              <w:rPr>
                <w:rFonts w:ascii="Courier New" w:cs="Courier New" w:eastAsia="Courier New" w:hAnsi="Courier New"/>
                <w:sz w:val="14"/>
                <w:szCs w:val="14"/>
                <w:color w:val="auto"/>
              </w:rPr>
              <w:t>Total</w:t>
            </w:r>
          </w:p>
        </w:tc>
        <w:tc>
          <w:tcPr>
            <w:tcW w:w="1920" w:type="dxa"/>
            <w:vAlign w:val="bottom"/>
          </w:tcPr>
          <w:p>
            <w:pPr>
              <w:ind w:left="640"/>
              <w:spacing w:after="0"/>
              <w:rPr>
                <w:sz w:val="20"/>
                <w:szCs w:val="20"/>
                <w:color w:val="auto"/>
              </w:rPr>
            </w:pPr>
            <w:r>
              <w:rPr>
                <w:rFonts w:ascii="Courier New" w:cs="Courier New" w:eastAsia="Courier New" w:hAnsi="Courier New"/>
                <w:sz w:val="14"/>
                <w:szCs w:val="14"/>
                <w:color w:val="auto"/>
              </w:rPr>
              <w:t>Percent</w:t>
            </w:r>
          </w:p>
        </w:tc>
      </w:tr>
      <w:tr>
        <w:trPr>
          <w:trHeight w:val="163"/>
        </w:trPr>
        <w:tc>
          <w:tcPr>
            <w:tcW w:w="1740" w:type="dxa"/>
            <w:vAlign w:val="bottom"/>
          </w:tcPr>
          <w:p>
            <w:pPr>
              <w:spacing w:after="0"/>
              <w:rPr>
                <w:sz w:val="14"/>
                <w:szCs w:val="14"/>
                <w:color w:val="auto"/>
              </w:rPr>
            </w:pPr>
          </w:p>
        </w:tc>
        <w:tc>
          <w:tcPr>
            <w:tcW w:w="24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Square Feet</w:t>
            </w:r>
          </w:p>
        </w:tc>
        <w:tc>
          <w:tcPr>
            <w:tcW w:w="1920" w:type="dxa"/>
            <w:vAlign w:val="bottom"/>
          </w:tcPr>
          <w:p>
            <w:pPr>
              <w:ind w:left="640"/>
              <w:spacing w:after="0"/>
              <w:rPr>
                <w:sz w:val="20"/>
                <w:szCs w:val="20"/>
                <w:color w:val="auto"/>
              </w:rPr>
            </w:pPr>
            <w:r>
              <w:rPr>
                <w:rFonts w:ascii="Courier New" w:cs="Courier New" w:eastAsia="Courier New" w:hAnsi="Courier New"/>
                <w:sz w:val="14"/>
                <w:szCs w:val="14"/>
                <w:color w:val="auto"/>
              </w:rPr>
              <w:t>of Total</w:t>
            </w:r>
          </w:p>
        </w:tc>
      </w:tr>
      <w:tr>
        <w:trPr>
          <w:trHeight w:val="163"/>
        </w:trPr>
        <w:tc>
          <w:tcPr>
            <w:tcW w:w="1740" w:type="dxa"/>
            <w:vAlign w:val="bottom"/>
          </w:tcPr>
          <w:p>
            <w:pPr>
              <w:spacing w:after="0"/>
              <w:rPr>
                <w:sz w:val="14"/>
                <w:szCs w:val="14"/>
                <w:color w:val="auto"/>
              </w:rPr>
            </w:pPr>
          </w:p>
        </w:tc>
        <w:tc>
          <w:tcPr>
            <w:tcW w:w="24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Expiring(1)</w:t>
            </w:r>
          </w:p>
        </w:tc>
        <w:tc>
          <w:tcPr>
            <w:tcW w:w="19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Portfolio(2)</w:t>
            </w:r>
          </w:p>
        </w:tc>
      </w:tr>
      <w:tr>
        <w:trPr>
          <w:trHeight w:val="163"/>
        </w:trPr>
        <w:tc>
          <w:tcPr>
            <w:tcW w:w="1740" w:type="dxa"/>
            <w:vAlign w:val="bottom"/>
          </w:tcPr>
          <w:p>
            <w:pPr>
              <w:spacing w:after="0"/>
              <w:rPr>
                <w:sz w:val="14"/>
                <w:szCs w:val="14"/>
                <w:color w:val="auto"/>
              </w:rPr>
            </w:pPr>
          </w:p>
        </w:tc>
        <w:tc>
          <w:tcPr>
            <w:tcW w:w="24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17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4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3"/>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46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41,663</w:t>
            </w:r>
          </w:p>
        </w:tc>
        <w:tc>
          <w:tcPr>
            <w:tcW w:w="19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less than 1%</w:t>
            </w:r>
          </w:p>
        </w:tc>
      </w:tr>
      <w:tr>
        <w:trPr>
          <w:trHeight w:val="163"/>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Small Shop</w:t>
            </w:r>
          </w:p>
        </w:tc>
        <w:tc>
          <w:tcPr>
            <w:tcW w:w="246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339,612</w:t>
            </w:r>
          </w:p>
        </w:tc>
        <w:tc>
          <w:tcPr>
            <w:tcW w:w="19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w:t>
            </w:r>
          </w:p>
        </w:tc>
      </w:tr>
      <w:tr>
        <w:trPr>
          <w:trHeight w:val="326"/>
        </w:trPr>
        <w:tc>
          <w:tcPr>
            <w:tcW w:w="17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4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3"/>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46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21,671</w:t>
            </w:r>
          </w:p>
        </w:tc>
        <w:tc>
          <w:tcPr>
            <w:tcW w:w="19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less than 1%</w:t>
            </w:r>
          </w:p>
        </w:tc>
      </w:tr>
      <w:tr>
        <w:trPr>
          <w:trHeight w:val="163"/>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Small Shop</w:t>
            </w:r>
          </w:p>
        </w:tc>
        <w:tc>
          <w:tcPr>
            <w:tcW w:w="246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386,310</w:t>
            </w:r>
          </w:p>
        </w:tc>
        <w:tc>
          <w:tcPr>
            <w:tcW w:w="19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w:t>
            </w:r>
          </w:p>
        </w:tc>
      </w:tr>
      <w:tr>
        <w:trPr>
          <w:trHeight w:val="326"/>
        </w:trPr>
        <w:tc>
          <w:tcPr>
            <w:tcW w:w="174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4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3"/>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46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66,670</w:t>
            </w:r>
          </w:p>
        </w:tc>
        <w:tc>
          <w:tcPr>
            <w:tcW w:w="19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less than 1%</w:t>
            </w:r>
          </w:p>
        </w:tc>
      </w:tr>
      <w:tr>
        <w:trPr>
          <w:trHeight w:val="163"/>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Small Shop</w:t>
            </w:r>
          </w:p>
        </w:tc>
        <w:tc>
          <w:tcPr>
            <w:tcW w:w="246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341,539</w:t>
            </w:r>
          </w:p>
        </w:tc>
        <w:tc>
          <w:tcPr>
            <w:tcW w:w="19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w:t>
            </w:r>
          </w:p>
        </w:tc>
      </w:tr>
      <w:tr>
        <w:trPr>
          <w:trHeight w:val="326"/>
        </w:trPr>
        <w:tc>
          <w:tcPr>
            <w:tcW w:w="174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4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3"/>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46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19,600</w:t>
            </w:r>
          </w:p>
        </w:tc>
        <w:tc>
          <w:tcPr>
            <w:tcW w:w="19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less than 1%</w:t>
            </w:r>
          </w:p>
        </w:tc>
      </w:tr>
      <w:tr>
        <w:trPr>
          <w:trHeight w:val="163"/>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Small Shop</w:t>
            </w:r>
          </w:p>
        </w:tc>
        <w:tc>
          <w:tcPr>
            <w:tcW w:w="246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346,552</w:t>
            </w:r>
          </w:p>
        </w:tc>
        <w:tc>
          <w:tcPr>
            <w:tcW w:w="19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w:t>
            </w:r>
          </w:p>
        </w:tc>
      </w:tr>
      <w:tr>
        <w:trPr>
          <w:trHeight w:val="326"/>
        </w:trPr>
        <w:tc>
          <w:tcPr>
            <w:tcW w:w="174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24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3"/>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46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41,800</w:t>
            </w:r>
          </w:p>
        </w:tc>
        <w:tc>
          <w:tcPr>
            <w:tcW w:w="19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less than 1%</w:t>
            </w:r>
          </w:p>
        </w:tc>
      </w:tr>
      <w:tr>
        <w:trPr>
          <w:trHeight w:val="163"/>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Small Shop</w:t>
            </w:r>
          </w:p>
        </w:tc>
        <w:tc>
          <w:tcPr>
            <w:tcW w:w="246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385,071</w:t>
            </w:r>
          </w:p>
        </w:tc>
        <w:tc>
          <w:tcPr>
            <w:tcW w:w="19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w:t>
            </w:r>
          </w:p>
        </w:tc>
      </w:tr>
    </w:tbl>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w:t>
            </w:r>
          </w:p>
        </w:tc>
        <w:tc>
          <w:tcPr>
            <w:tcW w:w="3700" w:type="dxa"/>
            <w:vAlign w:val="bottom"/>
          </w:tcPr>
          <w:p>
            <w:pPr>
              <w:ind w:left="40"/>
              <w:spacing w:after="0"/>
              <w:rPr>
                <w:sz w:val="20"/>
                <w:szCs w:val="20"/>
                <w:color w:val="auto"/>
              </w:rPr>
            </w:pPr>
            <w:r>
              <w:rPr>
                <w:rFonts w:ascii="Courier New" w:cs="Courier New" w:eastAsia="Courier New" w:hAnsi="Courier New"/>
                <w:sz w:val="14"/>
                <w:szCs w:val="14"/>
                <w:color w:val="auto"/>
              </w:rPr>
              <w:t>Excludes lease expirations with options</w:t>
            </w:r>
          </w:p>
        </w:tc>
        <w:tc>
          <w:tcPr>
            <w:tcW w:w="1180" w:type="dxa"/>
            <w:vAlign w:val="bottom"/>
          </w:tcPr>
          <w:p>
            <w:pPr>
              <w:spacing w:after="0"/>
              <w:rPr>
                <w:sz w:val="13"/>
                <w:szCs w:val="13"/>
                <w:color w:val="auto"/>
              </w:rPr>
            </w:pPr>
          </w:p>
        </w:tc>
      </w:tr>
      <w:tr>
        <w:trPr>
          <w:trHeight w:val="163"/>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w:t>
            </w:r>
          </w:p>
        </w:tc>
        <w:tc>
          <w:tcPr>
            <w:tcW w:w="3700" w:type="dxa"/>
            <w:vAlign w:val="bottom"/>
          </w:tcPr>
          <w:p>
            <w:pPr>
              <w:ind w:left="40"/>
              <w:spacing w:after="0"/>
              <w:rPr>
                <w:sz w:val="20"/>
                <w:szCs w:val="20"/>
                <w:color w:val="auto"/>
              </w:rPr>
            </w:pPr>
            <w:r>
              <w:rPr>
                <w:rFonts w:ascii="Courier New" w:cs="Courier New" w:eastAsia="Courier New" w:hAnsi="Courier New"/>
                <w:sz w:val="14"/>
                <w:szCs w:val="14"/>
                <w:color w:val="auto"/>
              </w:rPr>
              <w:t>Total square footage December 31, 1999:</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15,319,535</w:t>
            </w:r>
          </w:p>
        </w:tc>
      </w:tr>
      <w:tr>
        <w:trPr>
          <w:trHeight w:val="489"/>
        </w:trPr>
        <w:tc>
          <w:tcPr>
            <w:tcW w:w="300" w:type="dxa"/>
            <w:vAlign w:val="bottom"/>
          </w:tcPr>
          <w:p>
            <w:pPr>
              <w:spacing w:after="0"/>
              <w:rPr>
                <w:sz w:val="24"/>
                <w:szCs w:val="24"/>
                <w:color w:val="auto"/>
              </w:rPr>
            </w:pPr>
          </w:p>
        </w:tc>
        <w:tc>
          <w:tcPr>
            <w:tcW w:w="3700" w:type="dxa"/>
            <w:vAlign w:val="bottom"/>
          </w:tcPr>
          <w:p>
            <w:pPr>
              <w:ind w:left="2920"/>
              <w:spacing w:after="0"/>
              <w:rPr>
                <w:sz w:val="20"/>
                <w:szCs w:val="20"/>
                <w:color w:val="auto"/>
              </w:rPr>
            </w:pPr>
            <w:r>
              <w:rPr>
                <w:rFonts w:ascii="Courier New" w:cs="Courier New" w:eastAsia="Courier New" w:hAnsi="Courier New"/>
                <w:sz w:val="14"/>
                <w:szCs w:val="14"/>
                <w:color w:val="auto"/>
              </w:rPr>
              <w:t>E-7</w:t>
            </w:r>
          </w:p>
        </w:tc>
        <w:tc>
          <w:tcPr>
            <w:tcW w:w="1180" w:type="dxa"/>
            <w:vAlign w:val="bottom"/>
          </w:tcPr>
          <w:p>
            <w:pPr>
              <w:spacing w:after="0"/>
              <w:rPr>
                <w:sz w:val="24"/>
                <w:szCs w:val="24"/>
                <w:color w:val="auto"/>
              </w:rPr>
            </w:pPr>
          </w:p>
        </w:tc>
      </w:tr>
    </w:tbl>
    <w:p>
      <w:pPr>
        <w:sectPr>
          <w:pgSz w:w="11900" w:h="16838" w:orient="portrait"/>
          <w:cols w:equalWidth="0" w:num="1">
            <w:col w:w="10159"/>
          </w:cols>
          <w:pgMar w:left="300" w:top="609"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Major Tenants by Revenue Contribution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20" w:type="dxa"/>
            <w:vAlign w:val="bottom"/>
          </w:tcPr>
          <w:p>
            <w:pPr>
              <w:spacing w:after="0"/>
              <w:rPr>
                <w:sz w:val="13"/>
                <w:szCs w:val="13"/>
                <w:color w:val="auto"/>
              </w:rPr>
            </w:pPr>
          </w:p>
        </w:tc>
        <w:tc>
          <w:tcPr>
            <w:tcW w:w="1480" w:type="dxa"/>
            <w:vAlign w:val="bottom"/>
          </w:tcPr>
          <w:p>
            <w:pPr>
              <w:ind w:left="680"/>
              <w:spacing w:after="0"/>
              <w:rPr>
                <w:sz w:val="20"/>
                <w:szCs w:val="20"/>
                <w:color w:val="auto"/>
              </w:rPr>
            </w:pPr>
            <w:r>
              <w:rPr>
                <w:rFonts w:ascii="Courier New" w:cs="Courier New" w:eastAsia="Courier New" w:hAnsi="Courier New"/>
                <w:sz w:val="14"/>
                <w:szCs w:val="14"/>
                <w:color w:val="auto"/>
              </w:rPr>
              <w:t>Square</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Percent of</w:t>
            </w:r>
          </w:p>
        </w:tc>
      </w:tr>
      <w:tr>
        <w:trPr>
          <w:trHeight w:val="163"/>
        </w:trPr>
        <w:tc>
          <w:tcPr>
            <w:tcW w:w="2720" w:type="dxa"/>
            <w:vAlign w:val="bottom"/>
          </w:tcPr>
          <w:p>
            <w:pPr>
              <w:ind w:left="1280"/>
              <w:spacing w:after="0"/>
              <w:rPr>
                <w:sz w:val="20"/>
                <w:szCs w:val="20"/>
                <w:color w:val="auto"/>
              </w:rPr>
            </w:pPr>
            <w:r>
              <w:rPr>
                <w:rFonts w:ascii="Courier New" w:cs="Courier New" w:eastAsia="Courier New" w:hAnsi="Courier New"/>
                <w:sz w:val="14"/>
                <w:szCs w:val="14"/>
                <w:color w:val="auto"/>
              </w:rPr>
              <w:t>Tenant</w:t>
            </w:r>
          </w:p>
        </w:tc>
        <w:tc>
          <w:tcPr>
            <w:tcW w:w="1480" w:type="dxa"/>
            <w:vAlign w:val="bottom"/>
          </w:tcPr>
          <w:p>
            <w:pPr>
              <w:ind w:left="680"/>
              <w:spacing w:after="0"/>
              <w:rPr>
                <w:sz w:val="20"/>
                <w:szCs w:val="20"/>
                <w:color w:val="auto"/>
              </w:rPr>
            </w:pPr>
            <w:r>
              <w:rPr>
                <w:rFonts w:ascii="Courier New" w:cs="Courier New" w:eastAsia="Courier New" w:hAnsi="Courier New"/>
                <w:sz w:val="14"/>
                <w:szCs w:val="14"/>
                <w:color w:val="auto"/>
              </w:rPr>
              <w:t>Footage</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Revenue(1)</w:t>
            </w:r>
          </w:p>
        </w:tc>
      </w:tr>
      <w:tr>
        <w:trPr>
          <w:trHeight w:val="163"/>
        </w:trPr>
        <w:tc>
          <w:tcPr>
            <w:tcW w:w="2720" w:type="dxa"/>
            <w:vAlign w:val="bottom"/>
          </w:tcPr>
          <w:p>
            <w:pPr>
              <w:ind w:left="1280"/>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89"/>
        </w:trPr>
        <w:tc>
          <w:tcPr>
            <w:tcW w:w="2720" w:type="dxa"/>
            <w:vAlign w:val="bottom"/>
          </w:tcPr>
          <w:p>
            <w:pPr>
              <w:spacing w:after="0"/>
              <w:rPr>
                <w:sz w:val="20"/>
                <w:szCs w:val="20"/>
                <w:color w:val="auto"/>
              </w:rPr>
            </w:pPr>
            <w:r>
              <w:rPr>
                <w:rFonts w:ascii="Courier New" w:cs="Courier New" w:eastAsia="Courier New" w:hAnsi="Courier New"/>
                <w:sz w:val="14"/>
                <w:szCs w:val="14"/>
                <w:color w:val="auto"/>
              </w:rPr>
              <w:t>Bed, Bath &amp; Beyond, Inc.</w:t>
            </w:r>
          </w:p>
        </w:tc>
        <w:tc>
          <w:tcPr>
            <w:tcW w:w="14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323,090</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1.98%</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CVS Corporation</w:t>
            </w:r>
          </w:p>
        </w:tc>
        <w:tc>
          <w:tcPr>
            <w:tcW w:w="14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198,947</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1.88%</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Ahold USA, Inc.</w:t>
            </w:r>
          </w:p>
        </w:tc>
        <w:tc>
          <w:tcPr>
            <w:tcW w:w="14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363,941</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1.83%</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Barnes &amp; Noble, Inc.</w:t>
            </w:r>
          </w:p>
        </w:tc>
        <w:tc>
          <w:tcPr>
            <w:tcW w:w="14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164,189</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1.59%</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The TJX Companies</w:t>
            </w:r>
          </w:p>
        </w:tc>
        <w:tc>
          <w:tcPr>
            <w:tcW w:w="14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286,200</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1.57%</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Toys R Us, Inc.</w:t>
            </w:r>
          </w:p>
        </w:tc>
        <w:tc>
          <w:tcPr>
            <w:tcW w:w="14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325,582</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1.39%</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The Gap. Inc.</w:t>
            </w:r>
          </w:p>
        </w:tc>
        <w:tc>
          <w:tcPr>
            <w:tcW w:w="14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97,080</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1.32%</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Kmart Corporation</w:t>
            </w:r>
          </w:p>
        </w:tc>
        <w:tc>
          <w:tcPr>
            <w:tcW w:w="14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508,580</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1.14%</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Wakefern Food Corp.</w:t>
            </w:r>
          </w:p>
        </w:tc>
        <w:tc>
          <w:tcPr>
            <w:tcW w:w="14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215,121</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1.11%</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Dress Barn</w:t>
            </w:r>
          </w:p>
        </w:tc>
        <w:tc>
          <w:tcPr>
            <w:tcW w:w="14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130,939</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1.03%</w:t>
            </w:r>
          </w:p>
        </w:tc>
      </w:tr>
    </w:tbl>
    <w:p>
      <w:pPr>
        <w:spacing w:after="0" w:line="200" w:lineRule="exact"/>
        <w:rPr>
          <w:sz w:val="20"/>
          <w:szCs w:val="20"/>
          <w:color w:val="auto"/>
        </w:rPr>
      </w:pPr>
    </w:p>
    <w:p>
      <w:pPr>
        <w:spacing w:after="0" w:line="293" w:lineRule="exact"/>
        <w:rPr>
          <w:sz w:val="20"/>
          <w:szCs w:val="20"/>
          <w:color w:val="auto"/>
        </w:rPr>
      </w:pPr>
    </w:p>
    <w:p>
      <w:pPr>
        <w:ind w:left="3220" w:right="4719" w:hanging="3213"/>
        <w:spacing w:after="0" w:line="495" w:lineRule="auto"/>
        <w:tabs>
          <w:tab w:leader="none" w:pos="337"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Balances consist of 1999 minimum and percentage rent charges E-8</w:t>
      </w:r>
    </w:p>
    <w:p>
      <w:pPr>
        <w:sectPr>
          <w:pgSz w:w="11900" w:h="16838" w:orient="portrait"/>
          <w:cols w:equalWidth="0" w:num="1">
            <w:col w:w="10159"/>
          </w:cols>
          <w:pgMar w:left="300" w:top="60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00" w:type="dxa"/>
            <w:vAlign w:val="bottom"/>
          </w:tcPr>
          <w:p>
            <w:pPr>
              <w:spacing w:after="0"/>
              <w:rPr>
                <w:sz w:val="20"/>
                <w:szCs w:val="20"/>
                <w:color w:val="auto"/>
              </w:rPr>
            </w:pPr>
            <w:r>
              <w:rPr>
                <w:rFonts w:ascii="Courier New" w:cs="Courier New" w:eastAsia="Courier New" w:hAnsi="Courier New"/>
                <w:sz w:val="14"/>
                <w:szCs w:val="14"/>
                <w:color w:val="auto"/>
              </w:rPr>
              <w:t>Street Retail Operating</w:t>
            </w:r>
          </w:p>
        </w:tc>
        <w:tc>
          <w:tcPr>
            <w:tcW w:w="1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3"/>
        </w:trPr>
        <w:tc>
          <w:tcPr>
            <w:tcW w:w="2900" w:type="dxa"/>
            <w:vAlign w:val="bottom"/>
          </w:tcPr>
          <w:p>
            <w:pPr>
              <w:spacing w:after="0"/>
              <w:rPr>
                <w:sz w:val="20"/>
                <w:szCs w:val="20"/>
                <w:color w:val="auto"/>
              </w:rPr>
            </w:pPr>
            <w:r>
              <w:rPr>
                <w:rFonts w:ascii="Courier New" w:cs="Courier New" w:eastAsia="Courier New" w:hAnsi="Courier New"/>
                <w:sz w:val="14"/>
                <w:szCs w:val="14"/>
                <w:color w:val="auto"/>
              </w:rPr>
              <w:t>&amp; Development Overview</w:t>
            </w:r>
          </w:p>
        </w:tc>
        <w:tc>
          <w:tcPr>
            <w:tcW w:w="1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3"/>
        </w:trPr>
        <w:tc>
          <w:tcPr>
            <w:tcW w:w="290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1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3"/>
        </w:trPr>
        <w:tc>
          <w:tcPr>
            <w:tcW w:w="2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December 31,</w:t>
            </w: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3"/>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 thousands except sf data)</w:t>
            </w:r>
          </w:p>
        </w:tc>
        <w:tc>
          <w:tcPr>
            <w:tcW w:w="16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1995</w:t>
            </w:r>
          </w:p>
        </w:tc>
        <w:tc>
          <w:tcPr>
            <w:tcW w:w="14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1996</w:t>
            </w:r>
          </w:p>
        </w:tc>
        <w:tc>
          <w:tcPr>
            <w:tcW w:w="16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1997</w:t>
            </w: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1998</w:t>
            </w: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1999</w:t>
            </w:r>
          </w:p>
        </w:tc>
      </w:tr>
      <w:tr>
        <w:trPr>
          <w:trHeight w:val="163"/>
        </w:trPr>
        <w:tc>
          <w:tcPr>
            <w:tcW w:w="2900" w:type="dxa"/>
            <w:vAlign w:val="bottom"/>
          </w:tcPr>
          <w:p>
            <w:pPr>
              <w:spacing w:after="0"/>
              <w:rPr>
                <w:sz w:val="14"/>
                <w:szCs w:val="14"/>
                <w:color w:val="auto"/>
              </w:rPr>
            </w:pPr>
          </w:p>
        </w:tc>
        <w:tc>
          <w:tcPr>
            <w:tcW w:w="73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Real Estate Assets(1)</w:t>
            </w:r>
          </w:p>
        </w:tc>
        <w:tc>
          <w:tcPr>
            <w:tcW w:w="1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$107,910</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$164,931</w:t>
            </w:r>
          </w:p>
        </w:tc>
        <w:tc>
          <w:tcPr>
            <w:tcW w:w="16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$288,020</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$365,874</w:t>
            </w:r>
          </w:p>
        </w:tc>
        <w:tc>
          <w:tcPr>
            <w:tcW w:w="13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$449,182</w:t>
            </w:r>
          </w:p>
        </w:tc>
      </w:tr>
      <w:tr>
        <w:trPr>
          <w:trHeight w:val="326"/>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$9,310</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$20,555</w:t>
            </w:r>
          </w:p>
        </w:tc>
        <w:tc>
          <w:tcPr>
            <w:tcW w:w="16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$31,998</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$42,643</w:t>
            </w:r>
          </w:p>
        </w:tc>
        <w:tc>
          <w:tcPr>
            <w:tcW w:w="13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$50,288</w:t>
            </w:r>
          </w:p>
        </w:tc>
      </w:tr>
      <w:tr>
        <w:trPr>
          <w:trHeight w:val="326"/>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Operating Income</w:t>
            </w:r>
          </w:p>
        </w:tc>
        <w:tc>
          <w:tcPr>
            <w:tcW w:w="1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$3,994</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$12,538</w:t>
            </w:r>
          </w:p>
        </w:tc>
        <w:tc>
          <w:tcPr>
            <w:tcW w:w="16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$20,345</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$28,660</w:t>
            </w:r>
          </w:p>
        </w:tc>
        <w:tc>
          <w:tcPr>
            <w:tcW w:w="13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$34,774</w:t>
            </w:r>
          </w:p>
        </w:tc>
      </w:tr>
      <w:tr>
        <w:trPr>
          <w:trHeight w:val="326"/>
        </w:trPr>
        <w:tc>
          <w:tcPr>
            <w:tcW w:w="2900" w:type="dxa"/>
            <w:vAlign w:val="bottom"/>
          </w:tcPr>
          <w:p>
            <w:pPr>
              <w:spacing w:after="0"/>
              <w:rPr>
                <w:sz w:val="20"/>
                <w:szCs w:val="20"/>
                <w:color w:val="auto"/>
              </w:rPr>
            </w:pPr>
            <w:r>
              <w:rPr>
                <w:rFonts w:ascii="Courier New" w:cs="Courier New" w:eastAsia="Courier New" w:hAnsi="Courier New"/>
                <w:sz w:val="14"/>
                <w:szCs w:val="14"/>
                <w:color w:val="auto"/>
              </w:rPr>
              <w:t>Square Feet(2)</w:t>
            </w:r>
          </w:p>
        </w:tc>
        <w:tc>
          <w:tcPr>
            <w:tcW w:w="1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532,944</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1,122,737</w:t>
            </w:r>
          </w:p>
        </w:tc>
        <w:tc>
          <w:tcPr>
            <w:tcW w:w="16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1,502,807</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1,601,849</w:t>
            </w:r>
          </w:p>
        </w:tc>
        <w:tc>
          <w:tcPr>
            <w:tcW w:w="13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1,691,593</w:t>
            </w:r>
          </w:p>
        </w:tc>
      </w:tr>
    </w:tbl>
    <w:p>
      <w:pPr>
        <w:spacing w:after="0" w:line="330" w:lineRule="exact"/>
        <w:rPr>
          <w:sz w:val="20"/>
          <w:szCs w:val="20"/>
          <w:color w:val="auto"/>
        </w:rPr>
      </w:pPr>
    </w:p>
    <w:p>
      <w:pPr>
        <w:ind w:left="440" w:right="3640" w:hanging="433"/>
        <w:spacing w:after="0" w:line="246"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1999, includes $111 million related to new development in process. The balance is comprised of both stabilized assets and assets which are in various stages of redevelopment.</w:t>
      </w:r>
    </w:p>
    <w:p>
      <w:pPr>
        <w:spacing w:after="0" w:line="1" w:lineRule="exact"/>
        <w:rPr>
          <w:rFonts w:ascii="Courier New" w:cs="Courier New" w:eastAsia="Courier New" w:hAnsi="Courier New"/>
          <w:sz w:val="14"/>
          <w:szCs w:val="14"/>
          <w:color w:val="auto"/>
        </w:rPr>
      </w:pPr>
    </w:p>
    <w:p>
      <w:pPr>
        <w:ind w:left="440" w:hanging="433"/>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new development square footage</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88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Square Feet</w:t>
            </w:r>
          </w:p>
        </w:tc>
        <w:tc>
          <w:tcPr>
            <w:tcW w:w="2720" w:type="dxa"/>
            <w:vAlign w:val="bottom"/>
          </w:tcPr>
          <w:p>
            <w:pPr>
              <w:ind w:left="460"/>
              <w:spacing w:after="0"/>
              <w:rPr>
                <w:sz w:val="20"/>
                <w:szCs w:val="20"/>
                <w:color w:val="auto"/>
              </w:rPr>
            </w:pPr>
            <w:r>
              <w:rPr>
                <w:rFonts w:ascii="Courier New" w:cs="Courier New" w:eastAsia="Courier New" w:hAnsi="Courier New"/>
                <w:sz w:val="14"/>
                <w:szCs w:val="14"/>
                <w:color w:val="auto"/>
              </w:rPr>
              <w:t>MID-ATLANTIC</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Square Feet</w:t>
            </w:r>
          </w:p>
        </w:tc>
      </w:tr>
      <w:tr>
        <w:trPr>
          <w:trHeight w:val="326"/>
        </w:trPr>
        <w:tc>
          <w:tcPr>
            <w:tcW w:w="1880" w:type="dxa"/>
            <w:vAlign w:val="bottom"/>
          </w:tcPr>
          <w:p>
            <w:pPr>
              <w:spacing w:after="0"/>
              <w:rPr>
                <w:sz w:val="20"/>
                <w:szCs w:val="20"/>
                <w:color w:val="auto"/>
              </w:rPr>
            </w:pPr>
            <w:r>
              <w:rPr>
                <w:rFonts w:ascii="Courier New" w:cs="Courier New" w:eastAsia="Courier New" w:hAnsi="Courier New"/>
                <w:sz w:val="14"/>
                <w:szCs w:val="14"/>
                <w:color w:val="auto"/>
              </w:rPr>
              <w:t>Connecticut</w:t>
            </w:r>
          </w:p>
        </w:tc>
        <w:tc>
          <w:tcPr>
            <w:tcW w:w="1220" w:type="dxa"/>
            <w:vAlign w:val="bottom"/>
          </w:tcPr>
          <w:p>
            <w:pPr>
              <w:spacing w:after="0"/>
              <w:rPr>
                <w:sz w:val="24"/>
                <w:szCs w:val="24"/>
                <w:color w:val="auto"/>
              </w:rPr>
            </w:pPr>
          </w:p>
        </w:tc>
        <w:tc>
          <w:tcPr>
            <w:tcW w:w="2720" w:type="dxa"/>
            <w:vAlign w:val="bottom"/>
          </w:tcPr>
          <w:p>
            <w:pPr>
              <w:ind w:left="460"/>
              <w:spacing w:after="0"/>
              <w:rPr>
                <w:sz w:val="20"/>
                <w:szCs w:val="20"/>
                <w:color w:val="auto"/>
              </w:rPr>
            </w:pPr>
            <w:r>
              <w:rPr>
                <w:rFonts w:ascii="Courier New" w:cs="Courier New" w:eastAsia="Courier New" w:hAnsi="Courier New"/>
                <w:sz w:val="14"/>
                <w:szCs w:val="14"/>
                <w:color w:val="auto"/>
              </w:rPr>
              <w:t>Virginia</w:t>
            </w:r>
          </w:p>
        </w:tc>
        <w:tc>
          <w:tcPr>
            <w:tcW w:w="980" w:type="dxa"/>
            <w:vAlign w:val="bottom"/>
          </w:tcPr>
          <w:p>
            <w:pPr>
              <w:spacing w:after="0"/>
              <w:rPr>
                <w:sz w:val="24"/>
                <w:szCs w:val="24"/>
                <w:color w:val="auto"/>
              </w:rPr>
            </w:pPr>
          </w:p>
        </w:tc>
      </w:tr>
      <w:tr>
        <w:trPr>
          <w:trHeight w:val="163"/>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Greenwich Avenue/4</w:t>
            </w:r>
          </w:p>
        </w:tc>
        <w:tc>
          <w:tcPr>
            <w:tcW w:w="12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80,791</w:t>
            </w:r>
          </w:p>
        </w:tc>
        <w:tc>
          <w:tcPr>
            <w:tcW w:w="2720" w:type="dxa"/>
            <w:vAlign w:val="bottom"/>
          </w:tcPr>
          <w:p>
            <w:pPr>
              <w:ind w:left="640"/>
              <w:spacing w:after="0"/>
              <w:rPr>
                <w:sz w:val="20"/>
                <w:szCs w:val="20"/>
                <w:color w:val="auto"/>
              </w:rPr>
            </w:pPr>
            <w:r>
              <w:rPr>
                <w:rFonts w:ascii="Courier New" w:cs="Courier New" w:eastAsia="Courier New" w:hAnsi="Courier New"/>
                <w:sz w:val="14"/>
                <w:szCs w:val="14"/>
                <w:color w:val="auto"/>
              </w:rPr>
              <w:t>Pentagon Row</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N/A(2)</w:t>
            </w:r>
          </w:p>
        </w:tc>
      </w:tr>
      <w:tr>
        <w:trPr>
          <w:trHeight w:val="163"/>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West Hartford/7</w:t>
            </w:r>
          </w:p>
        </w:tc>
        <w:tc>
          <w:tcPr>
            <w:tcW w:w="12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125,347</w:t>
            </w:r>
          </w:p>
        </w:tc>
        <w:tc>
          <w:tcPr>
            <w:tcW w:w="2720" w:type="dxa"/>
            <w:vAlign w:val="bottom"/>
          </w:tcPr>
          <w:p>
            <w:pPr>
              <w:ind w:left="640"/>
              <w:spacing w:after="0"/>
              <w:rPr>
                <w:sz w:val="20"/>
                <w:szCs w:val="20"/>
                <w:color w:val="auto"/>
              </w:rPr>
            </w:pPr>
            <w:r>
              <w:rPr>
                <w:rFonts w:ascii="Courier New" w:cs="Courier New" w:eastAsia="Courier New" w:hAnsi="Courier New"/>
                <w:sz w:val="14"/>
                <w:szCs w:val="14"/>
                <w:color w:val="auto"/>
              </w:rPr>
              <w:t>Village at Shirlington</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212,141</w:t>
            </w:r>
          </w:p>
        </w:tc>
      </w:tr>
      <w:tr>
        <w:trPr>
          <w:trHeight w:val="163"/>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Westport/2</w:t>
            </w:r>
          </w:p>
        </w:tc>
        <w:tc>
          <w:tcPr>
            <w:tcW w:w="12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26,408</w:t>
            </w:r>
          </w:p>
        </w:tc>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ind w:left="460"/>
              <w:spacing w:after="0"/>
              <w:rPr>
                <w:sz w:val="20"/>
                <w:szCs w:val="20"/>
                <w:color w:val="auto"/>
              </w:rPr>
            </w:pPr>
            <w:r>
              <w:rPr>
                <w:rFonts w:ascii="Courier New" w:cs="Courier New" w:eastAsia="Courier New" w:hAnsi="Courier New"/>
                <w:sz w:val="14"/>
                <w:szCs w:val="14"/>
                <w:color w:val="auto"/>
              </w:rPr>
              <w:t>WESTERN</w:t>
            </w:r>
          </w:p>
        </w:tc>
        <w:tc>
          <w:tcPr>
            <w:tcW w:w="980" w:type="dxa"/>
            <w:vAlign w:val="bottom"/>
          </w:tcPr>
          <w:p>
            <w:pPr>
              <w:spacing w:after="0"/>
              <w:rPr>
                <w:sz w:val="14"/>
                <w:szCs w:val="14"/>
                <w:color w:val="auto"/>
              </w:rPr>
            </w:pPr>
          </w:p>
        </w:tc>
      </w:tr>
      <w:tr>
        <w:trPr>
          <w:trHeight w:val="163"/>
        </w:trPr>
        <w:tc>
          <w:tcPr>
            <w:tcW w:w="188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1220" w:type="dxa"/>
            <w:vAlign w:val="bottom"/>
          </w:tcPr>
          <w:p>
            <w:pPr>
              <w:spacing w:after="0"/>
              <w:rPr>
                <w:sz w:val="14"/>
                <w:szCs w:val="14"/>
                <w:color w:val="auto"/>
              </w:rPr>
            </w:pPr>
          </w:p>
        </w:tc>
        <w:tc>
          <w:tcPr>
            <w:tcW w:w="2720" w:type="dxa"/>
            <w:vAlign w:val="bottom"/>
          </w:tcPr>
          <w:p>
            <w:pPr>
              <w:ind w:left="460"/>
              <w:spacing w:after="0"/>
              <w:rPr>
                <w:sz w:val="20"/>
                <w:szCs w:val="20"/>
                <w:color w:val="auto"/>
              </w:rPr>
            </w:pPr>
            <w:r>
              <w:rPr>
                <w:rFonts w:ascii="Courier New" w:cs="Courier New" w:eastAsia="Courier New" w:hAnsi="Courier New"/>
                <w:sz w:val="14"/>
                <w:szCs w:val="14"/>
                <w:color w:val="auto"/>
              </w:rPr>
              <w:t>Arizona</w:t>
            </w:r>
          </w:p>
        </w:tc>
        <w:tc>
          <w:tcPr>
            <w:tcW w:w="980" w:type="dxa"/>
            <w:vAlign w:val="bottom"/>
          </w:tcPr>
          <w:p>
            <w:pPr>
              <w:spacing w:after="0"/>
              <w:rPr>
                <w:sz w:val="14"/>
                <w:szCs w:val="14"/>
                <w:color w:val="auto"/>
              </w:rPr>
            </w:pPr>
          </w:p>
        </w:tc>
      </w:tr>
      <w:tr>
        <w:trPr>
          <w:trHeight w:val="163"/>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Coolidge Corner/1</w:t>
            </w:r>
          </w:p>
        </w:tc>
        <w:tc>
          <w:tcPr>
            <w:tcW w:w="12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13,101</w:t>
            </w:r>
          </w:p>
        </w:tc>
        <w:tc>
          <w:tcPr>
            <w:tcW w:w="2720" w:type="dxa"/>
            <w:vAlign w:val="bottom"/>
          </w:tcPr>
          <w:p>
            <w:pPr>
              <w:ind w:left="640"/>
              <w:spacing w:after="0"/>
              <w:rPr>
                <w:sz w:val="20"/>
                <w:szCs w:val="20"/>
                <w:color w:val="auto"/>
              </w:rPr>
            </w:pPr>
            <w:r>
              <w:rPr>
                <w:rFonts w:ascii="Courier New" w:cs="Courier New" w:eastAsia="Courier New" w:hAnsi="Courier New"/>
                <w:sz w:val="14"/>
                <w:szCs w:val="14"/>
                <w:color w:val="auto"/>
              </w:rPr>
              <w:t>Mill Avenue/2</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39,532</w:t>
            </w:r>
          </w:p>
        </w:tc>
      </w:tr>
      <w:tr>
        <w:trPr>
          <w:trHeight w:val="326"/>
        </w:trPr>
        <w:tc>
          <w:tcPr>
            <w:tcW w:w="1880" w:type="dxa"/>
            <w:vAlign w:val="bottom"/>
          </w:tcPr>
          <w:p>
            <w:pPr>
              <w:spacing w:after="0"/>
              <w:rPr>
                <w:sz w:val="20"/>
                <w:szCs w:val="20"/>
                <w:color w:val="auto"/>
              </w:rPr>
            </w:pPr>
            <w:r>
              <w:rPr>
                <w:rFonts w:ascii="Courier New" w:cs="Courier New" w:eastAsia="Courier New" w:hAnsi="Courier New"/>
                <w:sz w:val="14"/>
                <w:szCs w:val="14"/>
                <w:color w:val="auto"/>
              </w:rPr>
              <w:t>New Jersey</w:t>
            </w:r>
          </w:p>
        </w:tc>
        <w:tc>
          <w:tcPr>
            <w:tcW w:w="1220" w:type="dxa"/>
            <w:vAlign w:val="bottom"/>
          </w:tcPr>
          <w:p>
            <w:pPr>
              <w:spacing w:after="0"/>
              <w:rPr>
                <w:sz w:val="24"/>
                <w:szCs w:val="24"/>
                <w:color w:val="auto"/>
              </w:rPr>
            </w:pPr>
          </w:p>
        </w:tc>
        <w:tc>
          <w:tcPr>
            <w:tcW w:w="2720" w:type="dxa"/>
            <w:vAlign w:val="bottom"/>
          </w:tcPr>
          <w:p>
            <w:pPr>
              <w:ind w:left="460"/>
              <w:spacing w:after="0"/>
              <w:rPr>
                <w:sz w:val="20"/>
                <w:szCs w:val="20"/>
                <w:color w:val="auto"/>
              </w:rPr>
            </w:pPr>
            <w:r>
              <w:rPr>
                <w:rFonts w:ascii="Courier New" w:cs="Courier New" w:eastAsia="Courier New" w:hAnsi="Courier New"/>
                <w:sz w:val="14"/>
                <w:szCs w:val="14"/>
                <w:color w:val="auto"/>
              </w:rPr>
              <w:t>California</w:t>
            </w:r>
          </w:p>
        </w:tc>
        <w:tc>
          <w:tcPr>
            <w:tcW w:w="980" w:type="dxa"/>
            <w:vAlign w:val="bottom"/>
          </w:tcPr>
          <w:p>
            <w:pPr>
              <w:spacing w:after="0"/>
              <w:rPr>
                <w:sz w:val="24"/>
                <w:szCs w:val="24"/>
                <w:color w:val="auto"/>
              </w:rPr>
            </w:pPr>
          </w:p>
        </w:tc>
      </w:tr>
      <w:tr>
        <w:trPr>
          <w:trHeight w:val="163"/>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Central Avenue/1</w:t>
            </w:r>
          </w:p>
        </w:tc>
        <w:tc>
          <w:tcPr>
            <w:tcW w:w="12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11,208</w:t>
            </w:r>
          </w:p>
        </w:tc>
        <w:tc>
          <w:tcPr>
            <w:tcW w:w="2720" w:type="dxa"/>
            <w:vAlign w:val="bottom"/>
          </w:tcPr>
          <w:p>
            <w:pPr>
              <w:ind w:left="640"/>
              <w:spacing w:after="0"/>
              <w:rPr>
                <w:sz w:val="20"/>
                <w:szCs w:val="20"/>
                <w:color w:val="auto"/>
              </w:rPr>
            </w:pPr>
            <w:r>
              <w:rPr>
                <w:rFonts w:ascii="Courier New" w:cs="Courier New" w:eastAsia="Courier New" w:hAnsi="Courier New"/>
                <w:sz w:val="14"/>
                <w:szCs w:val="14"/>
                <w:color w:val="auto"/>
              </w:rPr>
              <w:t>Colorado Boulevard/2</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67,382</w:t>
            </w:r>
          </w:p>
        </w:tc>
      </w:tr>
      <w:tr>
        <w:trPr>
          <w:trHeight w:val="163"/>
        </w:trPr>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ind w:left="640"/>
              <w:spacing w:after="0"/>
              <w:rPr>
                <w:sz w:val="20"/>
                <w:szCs w:val="20"/>
                <w:color w:val="auto"/>
              </w:rPr>
            </w:pPr>
            <w:r>
              <w:rPr>
                <w:rFonts w:ascii="Courier New" w:cs="Courier New" w:eastAsia="Courier New" w:hAnsi="Courier New"/>
                <w:sz w:val="14"/>
                <w:szCs w:val="14"/>
                <w:color w:val="auto"/>
              </w:rPr>
              <w:t>Fifth Avenue/5</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66,962</w:t>
            </w:r>
          </w:p>
        </w:tc>
      </w:tr>
      <w:tr>
        <w:trPr>
          <w:trHeight w:val="163"/>
        </w:trPr>
        <w:tc>
          <w:tcPr>
            <w:tcW w:w="188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1220" w:type="dxa"/>
            <w:vAlign w:val="bottom"/>
          </w:tcPr>
          <w:p>
            <w:pPr>
              <w:spacing w:after="0"/>
              <w:rPr>
                <w:sz w:val="14"/>
                <w:szCs w:val="14"/>
                <w:color w:val="auto"/>
              </w:rPr>
            </w:pPr>
          </w:p>
        </w:tc>
        <w:tc>
          <w:tcPr>
            <w:tcW w:w="2720" w:type="dxa"/>
            <w:vAlign w:val="bottom"/>
          </w:tcPr>
          <w:p>
            <w:pPr>
              <w:ind w:left="640"/>
              <w:spacing w:after="0"/>
              <w:rPr>
                <w:sz w:val="20"/>
                <w:szCs w:val="20"/>
                <w:color w:val="auto"/>
              </w:rPr>
            </w:pPr>
            <w:r>
              <w:rPr>
                <w:rFonts w:ascii="Courier New" w:cs="Courier New" w:eastAsia="Courier New" w:hAnsi="Courier New"/>
                <w:sz w:val="14"/>
                <w:szCs w:val="14"/>
                <w:color w:val="auto"/>
              </w:rPr>
              <w:t>Hermosa Beach/1</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5,930</w:t>
            </w:r>
          </w:p>
        </w:tc>
      </w:tr>
      <w:tr>
        <w:trPr>
          <w:trHeight w:val="163"/>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Forest Hills/4</w:t>
            </w:r>
          </w:p>
        </w:tc>
        <w:tc>
          <w:tcPr>
            <w:tcW w:w="12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91,593</w:t>
            </w:r>
          </w:p>
        </w:tc>
        <w:tc>
          <w:tcPr>
            <w:tcW w:w="2720" w:type="dxa"/>
            <w:vAlign w:val="bottom"/>
          </w:tcPr>
          <w:p>
            <w:pPr>
              <w:ind w:left="640"/>
              <w:spacing w:after="0"/>
              <w:rPr>
                <w:sz w:val="20"/>
                <w:szCs w:val="20"/>
                <w:color w:val="auto"/>
              </w:rPr>
            </w:pPr>
            <w:r>
              <w:rPr>
                <w:rFonts w:ascii="Courier New" w:cs="Courier New" w:eastAsia="Courier New" w:hAnsi="Courier New"/>
                <w:sz w:val="14"/>
                <w:szCs w:val="14"/>
                <w:color w:val="auto"/>
              </w:rPr>
              <w:t>Post Street/1</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98,670</w:t>
            </w:r>
          </w:p>
        </w:tc>
      </w:tr>
      <w:tr>
        <w:trPr>
          <w:trHeight w:val="163"/>
        </w:trPr>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ind w:left="640"/>
              <w:spacing w:after="0"/>
              <w:rPr>
                <w:sz w:val="20"/>
                <w:szCs w:val="20"/>
                <w:color w:val="auto"/>
              </w:rPr>
            </w:pPr>
            <w:r>
              <w:rPr>
                <w:rFonts w:ascii="Courier New" w:cs="Courier New" w:eastAsia="Courier New" w:hAnsi="Courier New"/>
                <w:sz w:val="14"/>
                <w:szCs w:val="14"/>
                <w:color w:val="auto"/>
              </w:rPr>
              <w:t>Old Town Center</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101,000</w:t>
            </w:r>
          </w:p>
        </w:tc>
      </w:tr>
      <w:tr>
        <w:trPr>
          <w:trHeight w:val="163"/>
        </w:trPr>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ind w:left="640"/>
              <w:spacing w:after="0"/>
              <w:rPr>
                <w:sz w:val="20"/>
                <w:szCs w:val="20"/>
                <w:color w:val="auto"/>
              </w:rPr>
            </w:pPr>
            <w:r>
              <w:rPr>
                <w:rFonts w:ascii="Courier New" w:cs="Courier New" w:eastAsia="Courier New" w:hAnsi="Courier New"/>
                <w:sz w:val="14"/>
                <w:szCs w:val="14"/>
                <w:color w:val="auto"/>
              </w:rPr>
              <w:t>Santana Row</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N/A(2)</w:t>
            </w:r>
          </w:p>
        </w:tc>
      </w:tr>
      <w:tr>
        <w:trPr>
          <w:trHeight w:val="163"/>
        </w:trPr>
        <w:tc>
          <w:tcPr>
            <w:tcW w:w="188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220" w:type="dxa"/>
            <w:vAlign w:val="bottom"/>
          </w:tcPr>
          <w:p>
            <w:pPr>
              <w:spacing w:after="0"/>
              <w:rPr>
                <w:sz w:val="14"/>
                <w:szCs w:val="14"/>
                <w:color w:val="auto"/>
              </w:rPr>
            </w:pPr>
          </w:p>
        </w:tc>
        <w:tc>
          <w:tcPr>
            <w:tcW w:w="2720" w:type="dxa"/>
            <w:vAlign w:val="bottom"/>
          </w:tcPr>
          <w:p>
            <w:pPr>
              <w:ind w:left="640"/>
              <w:spacing w:after="0"/>
              <w:rPr>
                <w:sz w:val="20"/>
                <w:szCs w:val="20"/>
                <w:color w:val="auto"/>
              </w:rPr>
            </w:pPr>
            <w:r>
              <w:rPr>
                <w:rFonts w:ascii="Courier New" w:cs="Courier New" w:eastAsia="Courier New" w:hAnsi="Courier New"/>
                <w:sz w:val="14"/>
                <w:szCs w:val="14"/>
                <w:color w:val="auto"/>
              </w:rPr>
              <w:t>Third Street Promenade/8</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152,597</w:t>
            </w:r>
          </w:p>
        </w:tc>
      </w:tr>
      <w:tr>
        <w:trPr>
          <w:trHeight w:val="163"/>
        </w:trPr>
        <w:tc>
          <w:tcPr>
            <w:tcW w:w="1880" w:type="dxa"/>
            <w:vAlign w:val="bottom"/>
          </w:tcPr>
          <w:p>
            <w:pPr>
              <w:spacing w:after="0"/>
              <w:rPr>
                <w:sz w:val="20"/>
                <w:szCs w:val="20"/>
                <w:color w:val="auto"/>
              </w:rPr>
            </w:pPr>
            <w:r>
              <w:rPr>
                <w:rFonts w:ascii="Courier New" w:cs="Courier New" w:eastAsia="Courier New" w:hAnsi="Courier New"/>
                <w:sz w:val="14"/>
                <w:szCs w:val="14"/>
                <w:color w:val="auto"/>
              </w:rPr>
              <w:t>District of Columbia</w:t>
            </w:r>
          </w:p>
        </w:tc>
        <w:tc>
          <w:tcPr>
            <w:tcW w:w="1220" w:type="dxa"/>
            <w:vAlign w:val="bottom"/>
          </w:tcPr>
          <w:p>
            <w:pPr>
              <w:spacing w:after="0"/>
              <w:rPr>
                <w:sz w:val="14"/>
                <w:szCs w:val="14"/>
                <w:color w:val="auto"/>
              </w:rPr>
            </w:pPr>
          </w:p>
        </w:tc>
        <w:tc>
          <w:tcPr>
            <w:tcW w:w="2720" w:type="dxa"/>
            <w:vAlign w:val="bottom"/>
          </w:tcPr>
          <w:p>
            <w:pPr>
              <w:ind w:left="640"/>
              <w:spacing w:after="0"/>
              <w:rPr>
                <w:sz w:val="20"/>
                <w:szCs w:val="20"/>
                <w:color w:val="auto"/>
              </w:rPr>
            </w:pPr>
            <w:r>
              <w:rPr>
                <w:rFonts w:ascii="Courier New" w:cs="Courier New" w:eastAsia="Courier New" w:hAnsi="Courier New"/>
                <w:sz w:val="14"/>
                <w:szCs w:val="14"/>
                <w:color w:val="auto"/>
              </w:rPr>
              <w:t>Hollywood Blvd./3</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198,464</w:t>
            </w:r>
          </w:p>
        </w:tc>
      </w:tr>
      <w:tr>
        <w:trPr>
          <w:trHeight w:val="163"/>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Sam's Park N Shop</w:t>
            </w:r>
          </w:p>
        </w:tc>
        <w:tc>
          <w:tcPr>
            <w:tcW w:w="12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49,706</w:t>
            </w:r>
          </w:p>
        </w:tc>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ind w:left="460"/>
              <w:spacing w:after="0"/>
              <w:rPr>
                <w:sz w:val="20"/>
                <w:szCs w:val="20"/>
                <w:color w:val="auto"/>
              </w:rPr>
            </w:pPr>
            <w:r>
              <w:rPr>
                <w:rFonts w:ascii="Courier New" w:cs="Courier New" w:eastAsia="Courier New" w:hAnsi="Courier New"/>
                <w:sz w:val="14"/>
                <w:szCs w:val="14"/>
                <w:color w:val="auto"/>
              </w:rPr>
              <w:t>Illinois</w:t>
            </w:r>
          </w:p>
        </w:tc>
        <w:tc>
          <w:tcPr>
            <w:tcW w:w="980" w:type="dxa"/>
            <w:vAlign w:val="bottom"/>
          </w:tcPr>
          <w:p>
            <w:pPr>
              <w:spacing w:after="0"/>
              <w:rPr>
                <w:sz w:val="14"/>
                <w:szCs w:val="14"/>
                <w:color w:val="auto"/>
              </w:rPr>
            </w:pPr>
          </w:p>
        </w:tc>
      </w:tr>
      <w:tr>
        <w:trPr>
          <w:trHeight w:val="163"/>
        </w:trPr>
        <w:tc>
          <w:tcPr>
            <w:tcW w:w="1880" w:type="dxa"/>
            <w:vAlign w:val="bottom"/>
          </w:tcPr>
          <w:p>
            <w:pPr>
              <w:spacing w:after="0"/>
              <w:rPr>
                <w:sz w:val="20"/>
                <w:szCs w:val="20"/>
                <w:color w:val="auto"/>
              </w:rPr>
            </w:pPr>
            <w:r>
              <w:rPr>
                <w:rFonts w:ascii="Courier New" w:cs="Courier New" w:eastAsia="Courier New" w:hAnsi="Courier New"/>
                <w:sz w:val="14"/>
                <w:szCs w:val="14"/>
                <w:color w:val="auto"/>
              </w:rPr>
              <w:t>Florida</w:t>
            </w:r>
          </w:p>
        </w:tc>
        <w:tc>
          <w:tcPr>
            <w:tcW w:w="1220" w:type="dxa"/>
            <w:vAlign w:val="bottom"/>
          </w:tcPr>
          <w:p>
            <w:pPr>
              <w:spacing w:after="0"/>
              <w:rPr>
                <w:sz w:val="14"/>
                <w:szCs w:val="14"/>
                <w:color w:val="auto"/>
              </w:rPr>
            </w:pPr>
          </w:p>
        </w:tc>
        <w:tc>
          <w:tcPr>
            <w:tcW w:w="2720" w:type="dxa"/>
            <w:vAlign w:val="bottom"/>
          </w:tcPr>
          <w:p>
            <w:pPr>
              <w:ind w:left="640"/>
              <w:spacing w:after="0"/>
              <w:rPr>
                <w:sz w:val="20"/>
                <w:szCs w:val="20"/>
                <w:color w:val="auto"/>
              </w:rPr>
            </w:pPr>
            <w:r>
              <w:rPr>
                <w:rFonts w:ascii="Courier New" w:cs="Courier New" w:eastAsia="Courier New" w:hAnsi="Courier New"/>
                <w:sz w:val="14"/>
                <w:szCs w:val="14"/>
                <w:color w:val="auto"/>
              </w:rPr>
              <w:t>Evanston/2</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18,813</w:t>
            </w:r>
          </w:p>
        </w:tc>
      </w:tr>
      <w:tr>
        <w:trPr>
          <w:trHeight w:val="163"/>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Winter Park/2</w:t>
            </w:r>
          </w:p>
        </w:tc>
        <w:tc>
          <w:tcPr>
            <w:tcW w:w="12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28,446</w:t>
            </w:r>
          </w:p>
        </w:tc>
        <w:tc>
          <w:tcPr>
            <w:tcW w:w="2720" w:type="dxa"/>
            <w:vAlign w:val="bottom"/>
          </w:tcPr>
          <w:p>
            <w:pPr>
              <w:ind w:left="640"/>
              <w:spacing w:after="0"/>
              <w:rPr>
                <w:sz w:val="20"/>
                <w:szCs w:val="20"/>
                <w:color w:val="auto"/>
              </w:rPr>
            </w:pPr>
            <w:r>
              <w:rPr>
                <w:rFonts w:ascii="Courier New" w:cs="Courier New" w:eastAsia="Courier New" w:hAnsi="Courier New"/>
                <w:sz w:val="14"/>
                <w:szCs w:val="14"/>
                <w:color w:val="auto"/>
              </w:rPr>
              <w:t>Oak Street/1</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5,000</w:t>
            </w:r>
          </w:p>
        </w:tc>
      </w:tr>
      <w:tr>
        <w:trPr>
          <w:trHeight w:val="326"/>
        </w:trPr>
        <w:tc>
          <w:tcPr>
            <w:tcW w:w="1880" w:type="dxa"/>
            <w:vAlign w:val="bottom"/>
          </w:tcPr>
          <w:p>
            <w:pPr>
              <w:spacing w:after="0"/>
              <w:rPr>
                <w:sz w:val="20"/>
                <w:szCs w:val="20"/>
                <w:color w:val="auto"/>
              </w:rPr>
            </w:pPr>
            <w:r>
              <w:rPr>
                <w:rFonts w:ascii="Courier New" w:cs="Courier New" w:eastAsia="Courier New" w:hAnsi="Courier New"/>
                <w:sz w:val="14"/>
                <w:szCs w:val="14"/>
                <w:color w:val="auto"/>
              </w:rPr>
              <w:t>Maryland</w:t>
            </w:r>
          </w:p>
        </w:tc>
        <w:tc>
          <w:tcPr>
            <w:tcW w:w="1220" w:type="dxa"/>
            <w:vAlign w:val="bottom"/>
          </w:tcPr>
          <w:p>
            <w:pPr>
              <w:spacing w:after="0"/>
              <w:rPr>
                <w:sz w:val="24"/>
                <w:szCs w:val="24"/>
                <w:color w:val="auto"/>
              </w:rPr>
            </w:pPr>
          </w:p>
        </w:tc>
        <w:tc>
          <w:tcPr>
            <w:tcW w:w="2720" w:type="dxa"/>
            <w:vAlign w:val="bottom"/>
          </w:tcPr>
          <w:p>
            <w:pPr>
              <w:ind w:left="460"/>
              <w:spacing w:after="0"/>
              <w:rPr>
                <w:sz w:val="20"/>
                <w:szCs w:val="20"/>
                <w:color w:val="auto"/>
              </w:rPr>
            </w:pPr>
            <w:r>
              <w:rPr>
                <w:rFonts w:ascii="Courier New" w:cs="Courier New" w:eastAsia="Courier New" w:hAnsi="Courier New"/>
                <w:sz w:val="14"/>
                <w:szCs w:val="14"/>
                <w:color w:val="auto"/>
              </w:rPr>
              <w:t>Texas</w:t>
            </w:r>
          </w:p>
        </w:tc>
        <w:tc>
          <w:tcPr>
            <w:tcW w:w="980" w:type="dxa"/>
            <w:vAlign w:val="bottom"/>
          </w:tcPr>
          <w:p>
            <w:pPr>
              <w:spacing w:after="0"/>
              <w:rPr>
                <w:sz w:val="24"/>
                <w:szCs w:val="24"/>
                <w:color w:val="auto"/>
              </w:rPr>
            </w:pPr>
          </w:p>
        </w:tc>
      </w:tr>
      <w:tr>
        <w:trPr>
          <w:trHeight w:val="163"/>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Bethesda Row</w:t>
            </w: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298,502(2)</w:t>
            </w:r>
          </w:p>
        </w:tc>
        <w:tc>
          <w:tcPr>
            <w:tcW w:w="2720" w:type="dxa"/>
            <w:vAlign w:val="bottom"/>
          </w:tcPr>
          <w:p>
            <w:pPr>
              <w:ind w:left="640"/>
              <w:spacing w:after="0"/>
              <w:rPr>
                <w:sz w:val="20"/>
                <w:szCs w:val="20"/>
                <w:color w:val="auto"/>
              </w:rPr>
            </w:pPr>
            <w:r>
              <w:rPr>
                <w:rFonts w:ascii="Courier New" w:cs="Courier New" w:eastAsia="Courier New" w:hAnsi="Courier New"/>
                <w:sz w:val="14"/>
                <w:szCs w:val="14"/>
                <w:color w:val="auto"/>
              </w:rPr>
              <w:t>Houston Street/10</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N/A(2)</w:t>
            </w:r>
          </w:p>
        </w:tc>
      </w:tr>
      <w:tr>
        <w:trPr>
          <w:trHeight w:val="489"/>
        </w:trPr>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20" w:type="dxa"/>
            <w:vAlign w:val="bottom"/>
          </w:tcPr>
          <w:p>
            <w:pPr>
              <w:ind w:left="120"/>
              <w:spacing w:after="0"/>
              <w:rPr>
                <w:sz w:val="20"/>
                <w:szCs w:val="20"/>
                <w:color w:val="auto"/>
              </w:rPr>
            </w:pPr>
            <w:r>
              <w:rPr>
                <w:rFonts w:ascii="Courier New" w:cs="Courier New" w:eastAsia="Courier New" w:hAnsi="Courier New"/>
                <w:sz w:val="14"/>
                <w:szCs w:val="14"/>
                <w:color w:val="auto"/>
              </w:rPr>
              <w:t>E-9</w:t>
            </w:r>
          </w:p>
        </w:tc>
        <w:tc>
          <w:tcPr>
            <w:tcW w:w="980" w:type="dxa"/>
            <w:vAlign w:val="bottom"/>
          </w:tcPr>
          <w:p>
            <w:pPr>
              <w:spacing w:after="0"/>
              <w:rPr>
                <w:sz w:val="24"/>
                <w:szCs w:val="24"/>
                <w:color w:val="auto"/>
              </w:rPr>
            </w:pPr>
          </w:p>
        </w:tc>
      </w:tr>
    </w:tbl>
    <w:p>
      <w:pPr>
        <w:sectPr>
          <w:pgSz w:w="11900" w:h="16838" w:orient="portrait"/>
          <w:cols w:equalWidth="0" w:num="1">
            <w:col w:w="10260"/>
          </w:cols>
          <w:pgMar w:left="300" w:top="609" w:right="1339" w:bottom="1440" w:gutter="0" w:footer="0" w:header="0"/>
        </w:sectPr>
      </w:pPr>
    </w:p>
    <w:bookmarkStart w:id="12" w:name="page13"/>
    <w:bookmarkEnd w:id="12"/>
    <w:p>
      <w:pPr>
        <w:spacing w:after="0"/>
        <w:tabs>
          <w:tab w:leader="none" w:pos="760" w:val="left"/>
        </w:tabs>
        <w:rPr>
          <w:sz w:val="20"/>
          <w:szCs w:val="20"/>
          <w:color w:val="auto"/>
        </w:rPr>
      </w:pPr>
      <w:r>
        <w:rPr>
          <w:rFonts w:ascii="Courier New" w:cs="Courier New" w:eastAsia="Courier New" w:hAnsi="Courier New"/>
          <w:sz w:val="14"/>
          <w:szCs w:val="14"/>
          <w:color w:val="auto"/>
        </w:rPr>
        <w:t>FEDERAL</w:t>
        <w:tab/>
        <w:t>REALTY INVESTMENT TRUST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Pipeline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160"/>
        </w:trPr>
        <w:tc>
          <w:tcPr>
            <w:tcW w:w="13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20" w:type="dxa"/>
            <w:vAlign w:val="bottom"/>
          </w:tcPr>
          <w:p>
            <w:pPr>
              <w:ind w:left="520"/>
              <w:spacing w:after="0"/>
              <w:rPr>
                <w:sz w:val="20"/>
                <w:szCs w:val="20"/>
                <w:color w:val="auto"/>
              </w:rPr>
            </w:pPr>
            <w:r>
              <w:rPr>
                <w:rFonts w:ascii="Courier New" w:cs="Courier New" w:eastAsia="Courier New" w:hAnsi="Courier New"/>
                <w:sz w:val="14"/>
                <w:szCs w:val="14"/>
                <w:color w:val="auto"/>
              </w:rPr>
              <w:t>Cost</w:t>
            </w:r>
          </w:p>
        </w:tc>
        <w:tc>
          <w:tcPr>
            <w:tcW w:w="2240" w:type="dxa"/>
            <w:vAlign w:val="bottom"/>
            <w:gridSpan w:val="2"/>
          </w:tcPr>
          <w:p>
            <w:pPr>
              <w:jc w:val="center"/>
              <w:ind w:left="489"/>
              <w:spacing w:after="0"/>
              <w:rPr>
                <w:sz w:val="20"/>
                <w:szCs w:val="20"/>
                <w:color w:val="auto"/>
              </w:rPr>
            </w:pPr>
            <w:r>
              <w:rPr>
                <w:rFonts w:ascii="Courier New" w:cs="Courier New" w:eastAsia="Courier New" w:hAnsi="Courier New"/>
                <w:sz w:val="14"/>
                <w:szCs w:val="14"/>
                <w:color w:val="auto"/>
                <w:w w:val="99"/>
              </w:rPr>
              <w:t>Estimate To Complete</w:t>
            </w:r>
          </w:p>
        </w:tc>
        <w:tc>
          <w:tcPr>
            <w:tcW w:w="340" w:type="dxa"/>
            <w:vAlign w:val="bottom"/>
          </w:tcPr>
          <w:p>
            <w:pPr>
              <w:spacing w:after="0"/>
              <w:rPr>
                <w:sz w:val="13"/>
                <w:szCs w:val="13"/>
                <w:color w:val="auto"/>
              </w:rPr>
            </w:pPr>
          </w:p>
        </w:tc>
      </w:tr>
      <w:tr>
        <w:trPr>
          <w:trHeight w:val="163"/>
        </w:trPr>
        <w:tc>
          <w:tcPr>
            <w:tcW w:w="1360" w:type="dxa"/>
            <w:vAlign w:val="bottom"/>
          </w:tcPr>
          <w:p>
            <w:pPr>
              <w:spacing w:after="0"/>
              <w:rPr>
                <w:sz w:val="20"/>
                <w:szCs w:val="20"/>
                <w:color w:val="auto"/>
              </w:rPr>
            </w:pPr>
            <w:r>
              <w:rPr>
                <w:rFonts w:ascii="Courier New" w:cs="Courier New" w:eastAsia="Courier New" w:hAnsi="Courier New"/>
                <w:sz w:val="14"/>
                <w:szCs w:val="14"/>
                <w:color w:val="auto"/>
              </w:rPr>
              <w:t>Project</w:t>
            </w:r>
          </w:p>
        </w:tc>
        <w:tc>
          <w:tcPr>
            <w:tcW w:w="2360" w:type="dxa"/>
            <w:vAlign w:val="bottom"/>
          </w:tcPr>
          <w:p>
            <w:pPr>
              <w:ind w:left="760"/>
              <w:spacing w:after="0"/>
              <w:rPr>
                <w:sz w:val="20"/>
                <w:szCs w:val="20"/>
                <w:color w:val="auto"/>
              </w:rPr>
            </w:pPr>
            <w:r>
              <w:rPr>
                <w:rFonts w:ascii="Courier New" w:cs="Courier New" w:eastAsia="Courier New" w:hAnsi="Courier New"/>
                <w:sz w:val="14"/>
                <w:szCs w:val="14"/>
                <w:color w:val="auto"/>
              </w:rPr>
              <w:t>Specifications</w:t>
            </w:r>
          </w:p>
        </w:tc>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To Date</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2000</w:t>
            </w:r>
          </w:p>
        </w:tc>
        <w:tc>
          <w:tcPr>
            <w:tcW w:w="1300" w:type="dxa"/>
            <w:vAlign w:val="bottom"/>
          </w:tcPr>
          <w:p>
            <w:pPr>
              <w:jc w:val="right"/>
              <w:ind w:right="589"/>
              <w:spacing w:after="0"/>
              <w:rPr>
                <w:sz w:val="20"/>
                <w:szCs w:val="20"/>
                <w:color w:val="auto"/>
              </w:rPr>
            </w:pPr>
            <w:r>
              <w:rPr>
                <w:rFonts w:ascii="Courier New" w:cs="Courier New" w:eastAsia="Courier New" w:hAnsi="Courier New"/>
                <w:sz w:val="14"/>
                <w:szCs w:val="14"/>
                <w:color w:val="auto"/>
              </w:rPr>
              <w:t>2001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2002</w:t>
            </w:r>
          </w:p>
        </w:tc>
      </w:tr>
    </w:tbl>
    <w:p>
      <w:pPr>
        <w:spacing w:after="0" w:line="3" w:lineRule="exact"/>
        <w:rPr>
          <w:sz w:val="20"/>
          <w:szCs w:val="20"/>
          <w:color w:val="auto"/>
        </w:rPr>
      </w:pPr>
    </w:p>
    <w:p>
      <w:pPr>
        <w:ind w:left="180" w:hanging="173"/>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6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in millions)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COMPLETED DEVELOPMENTS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580" w:type="dxa"/>
            <w:vAlign w:val="bottom"/>
          </w:tcPr>
          <w:p>
            <w:pPr>
              <w:spacing w:after="0"/>
              <w:rPr>
                <w:sz w:val="20"/>
                <w:szCs w:val="20"/>
                <w:color w:val="auto"/>
              </w:rPr>
            </w:pPr>
            <w:r>
              <w:rPr>
                <w:rFonts w:ascii="Courier New" w:cs="Courier New" w:eastAsia="Courier New" w:hAnsi="Courier New"/>
                <w:sz w:val="14"/>
                <w:szCs w:val="14"/>
                <w:color w:val="auto"/>
              </w:rPr>
              <w:t>Bethesda Row - Elm</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15,000</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100" w:type="dxa"/>
            <w:vAlign w:val="bottom"/>
          </w:tcPr>
          <w:p>
            <w:pPr>
              <w:ind w:left="40"/>
              <w:spacing w:after="0"/>
              <w:rPr>
                <w:sz w:val="20"/>
                <w:szCs w:val="20"/>
                <w:color w:val="auto"/>
              </w:rPr>
            </w:pPr>
            <w:r>
              <w:rPr>
                <w:rFonts w:ascii="Courier New" w:cs="Courier New" w:eastAsia="Courier New" w:hAnsi="Courier New"/>
                <w:sz w:val="14"/>
                <w:szCs w:val="14"/>
                <w:color w:val="auto"/>
              </w:rPr>
              <w:t>retail</w:t>
            </w:r>
          </w:p>
        </w:tc>
        <w:tc>
          <w:tcPr>
            <w:tcW w:w="12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$7</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3"/>
        </w:trPr>
        <w:tc>
          <w:tcPr>
            <w:tcW w:w="1580" w:type="dxa"/>
            <w:vAlign w:val="bottom"/>
          </w:tcPr>
          <w:p>
            <w:pPr>
              <w:spacing w:after="0"/>
              <w:rPr>
                <w:sz w:val="20"/>
                <w:szCs w:val="20"/>
                <w:color w:val="auto"/>
              </w:rPr>
            </w:pPr>
            <w:r>
              <w:rPr>
                <w:rFonts w:ascii="Courier New" w:cs="Courier New" w:eastAsia="Courier New" w:hAnsi="Courier New"/>
                <w:sz w:val="14"/>
                <w:szCs w:val="14"/>
                <w:color w:val="auto"/>
              </w:rPr>
              <w:t>Bethesda, Maryland</w:t>
            </w:r>
          </w:p>
        </w:tc>
        <w:tc>
          <w:tcPr>
            <w:tcW w:w="8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30,000</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100" w:type="dxa"/>
            <w:vAlign w:val="bottom"/>
          </w:tcPr>
          <w:p>
            <w:pPr>
              <w:ind w:left="40"/>
              <w:spacing w:after="0"/>
              <w:rPr>
                <w:sz w:val="20"/>
                <w:szCs w:val="20"/>
                <w:color w:val="auto"/>
              </w:rPr>
            </w:pPr>
            <w:r>
              <w:rPr>
                <w:rFonts w:ascii="Courier New" w:cs="Courier New" w:eastAsia="Courier New" w:hAnsi="Courier New"/>
                <w:sz w:val="14"/>
                <w:szCs w:val="14"/>
                <w:color w:val="auto"/>
              </w:rPr>
              <w:t>office</w:t>
            </w: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166" w:lineRule="exact"/>
        <w:rPr>
          <w:sz w:val="20"/>
          <w:szCs w:val="20"/>
          <w:color w:val="auto"/>
        </w:rPr>
      </w:pPr>
    </w:p>
    <w:p>
      <w:pPr>
        <w:ind w:left="180" w:hanging="173"/>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 IN PROGRESS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500" w:type="dxa"/>
            <w:vAlign w:val="bottom"/>
          </w:tcPr>
          <w:p>
            <w:pPr>
              <w:spacing w:after="0"/>
              <w:rPr>
                <w:sz w:val="20"/>
                <w:szCs w:val="20"/>
                <w:color w:val="auto"/>
              </w:rPr>
            </w:pPr>
            <w:r>
              <w:rPr>
                <w:rFonts w:ascii="Courier New" w:cs="Courier New" w:eastAsia="Courier New" w:hAnsi="Courier New"/>
                <w:sz w:val="14"/>
                <w:szCs w:val="14"/>
                <w:color w:val="auto"/>
              </w:rPr>
              <w:t>Bethesda Row - Woodmont East</w:t>
            </w: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60,000</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100" w:type="dxa"/>
            <w:vAlign w:val="bottom"/>
          </w:tcPr>
          <w:p>
            <w:pPr>
              <w:ind w:left="40"/>
              <w:spacing w:after="0"/>
              <w:rPr>
                <w:sz w:val="20"/>
                <w:szCs w:val="20"/>
                <w:color w:val="auto"/>
              </w:rPr>
            </w:pPr>
            <w:r>
              <w:rPr>
                <w:rFonts w:ascii="Courier New" w:cs="Courier New" w:eastAsia="Courier New" w:hAnsi="Courier New"/>
                <w:sz w:val="14"/>
                <w:szCs w:val="14"/>
                <w:color w:val="auto"/>
              </w:rPr>
              <w:t>retail</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w:t>
            </w:r>
          </w:p>
        </w:tc>
        <w:tc>
          <w:tcPr>
            <w:tcW w:w="760" w:type="dxa"/>
            <w:vAlign w:val="bottom"/>
          </w:tcPr>
          <w:p>
            <w:pPr>
              <w:spacing w:after="0"/>
              <w:rPr>
                <w:sz w:val="13"/>
                <w:szCs w:val="13"/>
                <w:color w:val="auto"/>
              </w:rPr>
            </w:pPr>
          </w:p>
        </w:tc>
      </w:tr>
      <w:tr>
        <w:trPr>
          <w:trHeight w:val="163"/>
        </w:trPr>
        <w:tc>
          <w:tcPr>
            <w:tcW w:w="2500" w:type="dxa"/>
            <w:vAlign w:val="bottom"/>
          </w:tcPr>
          <w:p>
            <w:pPr>
              <w:spacing w:after="0"/>
              <w:rPr>
                <w:sz w:val="20"/>
                <w:szCs w:val="20"/>
                <w:color w:val="auto"/>
              </w:rPr>
            </w:pPr>
            <w:r>
              <w:rPr>
                <w:rFonts w:ascii="Courier New" w:cs="Courier New" w:eastAsia="Courier New" w:hAnsi="Courier New"/>
                <w:sz w:val="14"/>
                <w:szCs w:val="14"/>
                <w:color w:val="auto"/>
              </w:rPr>
              <w:t>Bethesda, Maryland</w:t>
            </w: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80,000</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100" w:type="dxa"/>
            <w:vAlign w:val="bottom"/>
          </w:tcPr>
          <w:p>
            <w:pPr>
              <w:ind w:left="40"/>
              <w:spacing w:after="0"/>
              <w:rPr>
                <w:sz w:val="20"/>
                <w:szCs w:val="20"/>
                <w:color w:val="auto"/>
              </w:rPr>
            </w:pPr>
            <w:r>
              <w:rPr>
                <w:rFonts w:ascii="Courier New" w:cs="Courier New" w:eastAsia="Courier New" w:hAnsi="Courier New"/>
                <w:sz w:val="14"/>
                <w:szCs w:val="14"/>
                <w:color w:val="auto"/>
              </w:rPr>
              <w:t>office</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26"/>
        </w:trPr>
        <w:tc>
          <w:tcPr>
            <w:tcW w:w="2500" w:type="dxa"/>
            <w:vAlign w:val="bottom"/>
          </w:tcPr>
          <w:p>
            <w:pPr>
              <w:spacing w:after="0"/>
              <w:rPr>
                <w:sz w:val="20"/>
                <w:szCs w:val="20"/>
                <w:color w:val="auto"/>
              </w:rPr>
            </w:pPr>
            <w:r>
              <w:rPr>
                <w:rFonts w:ascii="Courier New" w:cs="Courier New" w:eastAsia="Courier New" w:hAnsi="Courier New"/>
                <w:sz w:val="14"/>
                <w:szCs w:val="14"/>
                <w:color w:val="auto"/>
              </w:rPr>
              <w:t>Pentagon Row</w:t>
            </w:r>
          </w:p>
        </w:tc>
        <w:tc>
          <w:tcPr>
            <w:tcW w:w="204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300,000 sf retail(1)</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$49</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w:t>
            </w:r>
          </w:p>
        </w:tc>
        <w:tc>
          <w:tcPr>
            <w:tcW w:w="760" w:type="dxa"/>
            <w:vAlign w:val="bottom"/>
          </w:tcPr>
          <w:p>
            <w:pPr>
              <w:spacing w:after="0"/>
              <w:rPr>
                <w:sz w:val="24"/>
                <w:szCs w:val="24"/>
                <w:color w:val="auto"/>
              </w:rPr>
            </w:pPr>
          </w:p>
        </w:tc>
      </w:tr>
      <w:tr>
        <w:trPr>
          <w:trHeight w:val="163"/>
        </w:trPr>
        <w:tc>
          <w:tcPr>
            <w:tcW w:w="2500" w:type="dxa"/>
            <w:vAlign w:val="bottom"/>
          </w:tcPr>
          <w:p>
            <w:pPr>
              <w:spacing w:after="0"/>
              <w:rPr>
                <w:sz w:val="20"/>
                <w:szCs w:val="20"/>
                <w:color w:val="auto"/>
              </w:rPr>
            </w:pPr>
            <w:r>
              <w:rPr>
                <w:rFonts w:ascii="Courier New" w:cs="Courier New" w:eastAsia="Courier New" w:hAnsi="Courier New"/>
                <w:sz w:val="14"/>
                <w:szCs w:val="14"/>
                <w:color w:val="auto"/>
              </w:rPr>
              <w:t>Arlington, Virginia</w:t>
            </w:r>
          </w:p>
        </w:tc>
        <w:tc>
          <w:tcPr>
            <w:tcW w:w="204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500 apartment units</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$66</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166" w:lineRule="exact"/>
        <w:rPr>
          <w:sz w:val="20"/>
          <w:szCs w:val="20"/>
          <w:color w:val="auto"/>
        </w:rPr>
      </w:pPr>
    </w:p>
    <w:p>
      <w:pPr>
        <w:ind w:left="180" w:hanging="173"/>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 DEVELOP</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40" w:type="dxa"/>
            <w:vAlign w:val="bottom"/>
          </w:tcPr>
          <w:p>
            <w:pPr>
              <w:spacing w:after="0"/>
              <w:rPr>
                <w:sz w:val="20"/>
                <w:szCs w:val="20"/>
                <w:color w:val="auto"/>
              </w:rPr>
            </w:pPr>
            <w:r>
              <w:rPr>
                <w:rFonts w:ascii="Courier New" w:cs="Courier New" w:eastAsia="Courier New" w:hAnsi="Courier New"/>
                <w:sz w:val="14"/>
                <w:szCs w:val="14"/>
                <w:color w:val="auto"/>
              </w:rPr>
              <w:t>Houston Street</w:t>
            </w:r>
          </w:p>
        </w:tc>
        <w:tc>
          <w:tcPr>
            <w:tcW w:w="9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165,000</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sf retail</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$21(3)</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San Antonio, Texas</w:t>
            </w:r>
          </w:p>
        </w:tc>
        <w:tc>
          <w:tcPr>
            <w:tcW w:w="11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80,000 sf</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office</w:t>
            </w:r>
          </w:p>
        </w:tc>
        <w:tc>
          <w:tcPr>
            <w:tcW w:w="900" w:type="dxa"/>
            <w:vAlign w:val="bottom"/>
          </w:tcPr>
          <w:p>
            <w:pPr>
              <w:spacing w:after="0"/>
              <w:rPr>
                <w:sz w:val="14"/>
                <w:szCs w:val="14"/>
                <w:color w:val="auto"/>
              </w:rPr>
            </w:pPr>
          </w:p>
        </w:tc>
      </w:tr>
      <w:tr>
        <w:trPr>
          <w:trHeight w:val="163"/>
        </w:trPr>
        <w:tc>
          <w:tcPr>
            <w:tcW w:w="234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500</w:t>
            </w:r>
          </w:p>
        </w:tc>
        <w:tc>
          <w:tcPr>
            <w:tcW w:w="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hotel</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rooms (2)</w:t>
            </w:r>
          </w:p>
        </w:tc>
        <w:tc>
          <w:tcPr>
            <w:tcW w:w="900" w:type="dxa"/>
            <w:vAlign w:val="bottom"/>
          </w:tcPr>
          <w:p>
            <w:pPr>
              <w:spacing w:after="0"/>
              <w:rPr>
                <w:sz w:val="14"/>
                <w:szCs w:val="14"/>
                <w:color w:val="auto"/>
              </w:rPr>
            </w:pPr>
          </w:p>
        </w:tc>
      </w:tr>
      <w:tr>
        <w:trPr>
          <w:trHeight w:val="326"/>
        </w:trPr>
        <w:tc>
          <w:tcPr>
            <w:tcW w:w="2340" w:type="dxa"/>
            <w:vAlign w:val="bottom"/>
          </w:tcPr>
          <w:p>
            <w:pPr>
              <w:spacing w:after="0"/>
              <w:rPr>
                <w:sz w:val="20"/>
                <w:szCs w:val="20"/>
                <w:color w:val="auto"/>
              </w:rPr>
            </w:pPr>
            <w:r>
              <w:rPr>
                <w:rFonts w:ascii="Courier New" w:cs="Courier New" w:eastAsia="Courier New" w:hAnsi="Courier New"/>
                <w:sz w:val="14"/>
                <w:szCs w:val="14"/>
                <w:color w:val="auto"/>
              </w:rPr>
              <w:t>Santana Row</w:t>
            </w:r>
          </w:p>
        </w:tc>
        <w:tc>
          <w:tcPr>
            <w:tcW w:w="9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680,000</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sf retail</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$60(3)</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San Jose, California</w:t>
            </w:r>
          </w:p>
        </w:tc>
        <w:tc>
          <w:tcPr>
            <w:tcW w:w="228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1,200 residential units</w:t>
            </w:r>
          </w:p>
        </w:tc>
        <w:tc>
          <w:tcPr>
            <w:tcW w:w="900" w:type="dxa"/>
            <w:vAlign w:val="bottom"/>
          </w:tcPr>
          <w:p>
            <w:pPr>
              <w:spacing w:after="0"/>
              <w:rPr>
                <w:sz w:val="14"/>
                <w:szCs w:val="14"/>
                <w:color w:val="auto"/>
              </w:rPr>
            </w:pPr>
          </w:p>
        </w:tc>
      </w:tr>
      <w:tr>
        <w:trPr>
          <w:trHeight w:val="163"/>
        </w:trPr>
        <w:tc>
          <w:tcPr>
            <w:tcW w:w="234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200</w:t>
            </w:r>
          </w:p>
        </w:tc>
        <w:tc>
          <w:tcPr>
            <w:tcW w:w="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hotel</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rooms (2)</w:t>
            </w:r>
          </w:p>
        </w:tc>
        <w:tc>
          <w:tcPr>
            <w:tcW w:w="900" w:type="dxa"/>
            <w:vAlign w:val="bottom"/>
          </w:tcPr>
          <w:p>
            <w:pPr>
              <w:spacing w:after="0"/>
              <w:rPr>
                <w:sz w:val="14"/>
                <w:szCs w:val="14"/>
                <w:color w:val="auto"/>
              </w:rPr>
            </w:pPr>
          </w:p>
        </w:tc>
      </w:tr>
      <w:tr>
        <w:trPr>
          <w:trHeight w:val="32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The Shops at Tanasbourne</w:t>
            </w:r>
          </w:p>
        </w:tc>
        <w:tc>
          <w:tcPr>
            <w:tcW w:w="9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300,000</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sf retail</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Portland, Oregon</w:t>
            </w:r>
          </w:p>
        </w:tc>
        <w:tc>
          <w:tcPr>
            <w:tcW w:w="11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12,000 sf</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office</w:t>
            </w:r>
          </w:p>
        </w:tc>
        <w:tc>
          <w:tcPr>
            <w:tcW w:w="900" w:type="dxa"/>
            <w:vAlign w:val="bottom"/>
          </w:tcPr>
          <w:p>
            <w:pPr>
              <w:spacing w:after="0"/>
              <w:rPr>
                <w:sz w:val="14"/>
                <w:szCs w:val="14"/>
                <w:color w:val="auto"/>
              </w:rPr>
            </w:pPr>
          </w:p>
        </w:tc>
      </w:tr>
      <w:tr>
        <w:trPr>
          <w:trHeight w:val="326"/>
        </w:trPr>
        <w:tc>
          <w:tcPr>
            <w:tcW w:w="2340" w:type="dxa"/>
            <w:vAlign w:val="bottom"/>
          </w:tcPr>
          <w:p>
            <w:pPr>
              <w:spacing w:after="0"/>
              <w:rPr>
                <w:sz w:val="20"/>
                <w:szCs w:val="20"/>
                <w:color w:val="auto"/>
              </w:rPr>
            </w:pPr>
            <w:r>
              <w:rPr>
                <w:rFonts w:ascii="Courier New" w:cs="Courier New" w:eastAsia="Courier New" w:hAnsi="Courier New"/>
                <w:sz w:val="14"/>
                <w:szCs w:val="14"/>
                <w:color w:val="auto"/>
              </w:rPr>
              <w:t>Lindbergh Center</w:t>
            </w:r>
          </w:p>
        </w:tc>
        <w:tc>
          <w:tcPr>
            <w:tcW w:w="9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300,000</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sf retail(1)</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Atlanta, Georgia</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320</w:t>
            </w:r>
          </w:p>
        </w:tc>
        <w:tc>
          <w:tcPr>
            <w:tcW w:w="1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apartments</w:t>
            </w:r>
          </w:p>
        </w:tc>
        <w:tc>
          <w:tcPr>
            <w:tcW w:w="900" w:type="dxa"/>
            <w:vAlign w:val="bottom"/>
          </w:tcPr>
          <w:p>
            <w:pPr>
              <w:spacing w:after="0"/>
              <w:rPr>
                <w:sz w:val="14"/>
                <w:szCs w:val="14"/>
                <w:color w:val="auto"/>
              </w:rPr>
            </w:pPr>
          </w:p>
        </w:tc>
      </w:tr>
      <w:tr>
        <w:trPr>
          <w:trHeight w:val="163"/>
        </w:trPr>
        <w:tc>
          <w:tcPr>
            <w:tcW w:w="234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120</w:t>
            </w:r>
          </w:p>
        </w:tc>
        <w:tc>
          <w:tcPr>
            <w:tcW w:w="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hotel</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rooms</w:t>
            </w:r>
          </w:p>
        </w:tc>
        <w:tc>
          <w:tcPr>
            <w:tcW w:w="900" w:type="dxa"/>
            <w:vAlign w:val="bottom"/>
          </w:tcPr>
          <w:p>
            <w:pPr>
              <w:spacing w:after="0"/>
              <w:rPr>
                <w:sz w:val="14"/>
                <w:szCs w:val="14"/>
                <w:color w:val="auto"/>
              </w:rPr>
            </w:pPr>
          </w:p>
        </w:tc>
      </w:tr>
      <w:tr>
        <w:trPr>
          <w:trHeight w:val="163"/>
        </w:trPr>
        <w:tc>
          <w:tcPr>
            <w:tcW w:w="234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290</w:t>
            </w:r>
          </w:p>
        </w:tc>
        <w:tc>
          <w:tcPr>
            <w:tcW w:w="1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condominiums</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234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1.3</w:t>
            </w:r>
          </w:p>
        </w:tc>
        <w:tc>
          <w:tcPr>
            <w:tcW w:w="1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million sf office</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$84</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20" w:type="dxa"/>
            <w:vAlign w:val="bottom"/>
          </w:tcPr>
          <w:p>
            <w:pPr>
              <w:ind w:left="940"/>
              <w:spacing w:after="0"/>
              <w:rPr>
                <w:sz w:val="20"/>
                <w:szCs w:val="20"/>
                <w:color w:val="auto"/>
              </w:rPr>
            </w:pPr>
            <w:r>
              <w:rPr>
                <w:rFonts w:ascii="Courier New" w:cs="Courier New" w:eastAsia="Courier New" w:hAnsi="Courier New"/>
                <w:sz w:val="14"/>
                <w:szCs w:val="14"/>
                <w:color w:val="auto"/>
              </w:rPr>
              <w:t>Total</w:t>
            </w:r>
          </w:p>
        </w:tc>
        <w:tc>
          <w:tcPr>
            <w:tcW w:w="1360" w:type="dxa"/>
            <w:vAlign w:val="bottom"/>
          </w:tcPr>
          <w:p>
            <w:pPr>
              <w:spacing w:after="0"/>
              <w:rPr>
                <w:sz w:val="13"/>
                <w:szCs w:val="13"/>
                <w:color w:val="auto"/>
              </w:rPr>
            </w:pP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$111</w:t>
            </w:r>
          </w:p>
        </w:tc>
        <w:tc>
          <w:tcPr>
            <w:tcW w:w="1780" w:type="dxa"/>
            <w:vAlign w:val="bottom"/>
          </w:tcPr>
          <w:p>
            <w:pPr>
              <w:spacing w:after="0"/>
              <w:rPr>
                <w:sz w:val="13"/>
                <w:szCs w:val="13"/>
                <w:color w:val="auto"/>
              </w:rPr>
            </w:pPr>
          </w:p>
        </w:tc>
      </w:tr>
      <w:tr>
        <w:trPr>
          <w:trHeight w:val="163"/>
        </w:trPr>
        <w:tc>
          <w:tcPr>
            <w:tcW w:w="2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spacing w:after="0"/>
              <w:rPr>
                <w:sz w:val="14"/>
                <w:szCs w:val="14"/>
                <w:color w:val="auto"/>
              </w:rPr>
            </w:pPr>
          </w:p>
        </w:tc>
      </w:tr>
      <w:tr>
        <w:trPr>
          <w:trHeight w:val="815"/>
        </w:trPr>
        <w:tc>
          <w:tcPr>
            <w:tcW w:w="2720" w:type="dxa"/>
            <w:vAlign w:val="bottom"/>
          </w:tcPr>
          <w:p>
            <w:pPr>
              <w:spacing w:after="0"/>
              <w:rPr>
                <w:sz w:val="24"/>
                <w:szCs w:val="24"/>
                <w:color w:val="auto"/>
              </w:rPr>
            </w:pP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Total</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Expected</w:t>
            </w:r>
          </w:p>
        </w:tc>
        <w:tc>
          <w:tcPr>
            <w:tcW w:w="1780" w:type="dxa"/>
            <w:vAlign w:val="bottom"/>
          </w:tcPr>
          <w:p>
            <w:pPr>
              <w:spacing w:after="0"/>
              <w:rPr>
                <w:sz w:val="24"/>
                <w:szCs w:val="24"/>
                <w:color w:val="auto"/>
              </w:rPr>
            </w:pPr>
          </w:p>
        </w:tc>
      </w:tr>
      <w:tr>
        <w:trPr>
          <w:trHeight w:val="163"/>
        </w:trPr>
        <w:tc>
          <w:tcPr>
            <w:tcW w:w="2720" w:type="dxa"/>
            <w:vAlign w:val="bottom"/>
          </w:tcPr>
          <w:p>
            <w:pPr>
              <w:spacing w:after="0"/>
              <w:rPr>
                <w:sz w:val="14"/>
                <w:szCs w:val="14"/>
                <w:color w:val="auto"/>
              </w:rPr>
            </w:pPr>
          </w:p>
        </w:tc>
        <w:tc>
          <w:tcPr>
            <w:tcW w:w="1360" w:type="dxa"/>
            <w:vAlign w:val="bottom"/>
          </w:tcPr>
          <w:p>
            <w:pPr>
              <w:ind w:left="340"/>
              <w:spacing w:after="0"/>
              <w:rPr>
                <w:sz w:val="20"/>
                <w:szCs w:val="20"/>
                <w:color w:val="auto"/>
              </w:rPr>
            </w:pPr>
            <w:r>
              <w:rPr>
                <w:rFonts w:ascii="Courier New" w:cs="Courier New" w:eastAsia="Courier New" w:hAnsi="Courier New"/>
                <w:sz w:val="14"/>
                <w:szCs w:val="14"/>
                <w:color w:val="auto"/>
              </w:rPr>
              <w:t>Completed</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Stabilized</w:t>
            </w: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Principal</w:t>
            </w:r>
          </w:p>
        </w:tc>
      </w:tr>
      <w:tr>
        <w:trPr>
          <w:trHeight w:val="163"/>
        </w:trPr>
        <w:tc>
          <w:tcPr>
            <w:tcW w:w="2720" w:type="dxa"/>
            <w:vAlign w:val="bottom"/>
          </w:tcPr>
          <w:p>
            <w:pPr>
              <w:spacing w:after="0"/>
              <w:rPr>
                <w:sz w:val="14"/>
                <w:szCs w:val="14"/>
                <w:color w:val="auto"/>
              </w:rPr>
            </w:pP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Cost</w:t>
            </w: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Return</w:t>
            </w:r>
          </w:p>
        </w:tc>
        <w:tc>
          <w:tcPr>
            <w:tcW w:w="1780" w:type="dxa"/>
            <w:vAlign w:val="bottom"/>
          </w:tcPr>
          <w:p>
            <w:pPr>
              <w:ind w:left="240"/>
              <w:spacing w:after="0"/>
              <w:rPr>
                <w:sz w:val="20"/>
                <w:szCs w:val="20"/>
                <w:color w:val="auto"/>
              </w:rPr>
            </w:pPr>
            <w:r>
              <w:rPr>
                <w:rFonts w:ascii="Courier New" w:cs="Courier New" w:eastAsia="Courier New" w:hAnsi="Courier New"/>
                <w:sz w:val="14"/>
                <w:szCs w:val="14"/>
                <w:color w:val="auto"/>
              </w:rPr>
              <w:t>Tenants</w:t>
            </w:r>
          </w:p>
        </w:tc>
      </w:tr>
      <w:tr>
        <w:trPr>
          <w:trHeight w:val="163"/>
        </w:trPr>
        <w:tc>
          <w:tcPr>
            <w:tcW w:w="2720" w:type="dxa"/>
            <w:vAlign w:val="bottom"/>
          </w:tcPr>
          <w:p>
            <w:pPr>
              <w:spacing w:after="0"/>
              <w:rPr>
                <w:sz w:val="14"/>
                <w:szCs w:val="14"/>
                <w:color w:val="auto"/>
              </w:rPr>
            </w:pPr>
          </w:p>
        </w:tc>
        <w:tc>
          <w:tcPr>
            <w:tcW w:w="13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489"/>
        </w:trPr>
        <w:tc>
          <w:tcPr>
            <w:tcW w:w="2720" w:type="dxa"/>
            <w:vAlign w:val="bottom"/>
          </w:tcPr>
          <w:p>
            <w:pPr>
              <w:spacing w:after="0"/>
              <w:rPr>
                <w:sz w:val="20"/>
                <w:szCs w:val="20"/>
                <w:color w:val="auto"/>
              </w:rPr>
            </w:pPr>
            <w:r>
              <w:rPr>
                <w:rFonts w:ascii="Courier New" w:cs="Courier New" w:eastAsia="Courier New" w:hAnsi="Courier New"/>
                <w:sz w:val="14"/>
                <w:szCs w:val="14"/>
                <w:color w:val="auto"/>
              </w:rPr>
              <w:t>COMPLETED DEVELOPMENTS</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26"/>
        </w:trPr>
        <w:tc>
          <w:tcPr>
            <w:tcW w:w="2720" w:type="dxa"/>
            <w:vAlign w:val="bottom"/>
          </w:tcPr>
          <w:p>
            <w:pPr>
              <w:spacing w:after="0"/>
              <w:rPr>
                <w:sz w:val="20"/>
                <w:szCs w:val="20"/>
                <w:color w:val="auto"/>
              </w:rPr>
            </w:pPr>
            <w:r>
              <w:rPr>
                <w:rFonts w:ascii="Courier New" w:cs="Courier New" w:eastAsia="Courier New" w:hAnsi="Courier New"/>
                <w:sz w:val="14"/>
                <w:szCs w:val="14"/>
                <w:color w:val="auto"/>
              </w:rPr>
              <w:t>Bethesda Row - Elm Street</w:t>
            </w: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w:t>
            </w: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w:t>
            </w:r>
          </w:p>
        </w:tc>
        <w:tc>
          <w:tcPr>
            <w:tcW w:w="1780" w:type="dxa"/>
            <w:vAlign w:val="bottom"/>
          </w:tcPr>
          <w:p>
            <w:pPr>
              <w:ind w:left="240"/>
              <w:spacing w:after="0"/>
              <w:rPr>
                <w:sz w:val="20"/>
                <w:szCs w:val="20"/>
                <w:color w:val="auto"/>
              </w:rPr>
            </w:pPr>
            <w:r>
              <w:rPr>
                <w:rFonts w:ascii="Courier New" w:cs="Courier New" w:eastAsia="Courier New" w:hAnsi="Courier New"/>
                <w:sz w:val="14"/>
                <w:szCs w:val="14"/>
                <w:color w:val="auto"/>
              </w:rPr>
              <w:t>Cafe Deluxe</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Bethesda, Maryland</w:t>
            </w: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80" w:type="dxa"/>
            <w:vAlign w:val="bottom"/>
          </w:tcPr>
          <w:p>
            <w:pPr>
              <w:ind w:left="240"/>
              <w:spacing w:after="0"/>
              <w:rPr>
                <w:sz w:val="20"/>
                <w:szCs w:val="20"/>
                <w:color w:val="auto"/>
              </w:rPr>
            </w:pPr>
            <w:r>
              <w:rPr>
                <w:rFonts w:ascii="Courier New" w:cs="Courier New" w:eastAsia="Courier New" w:hAnsi="Courier New"/>
                <w:sz w:val="14"/>
                <w:szCs w:val="14"/>
                <w:color w:val="auto"/>
              </w:rPr>
              <w:t>Vitamin Superstore</w:t>
            </w:r>
          </w:p>
        </w:tc>
      </w:tr>
      <w:tr>
        <w:trPr>
          <w:trHeight w:val="163"/>
        </w:trPr>
        <w:tc>
          <w:tcPr>
            <w:tcW w:w="2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80" w:type="dxa"/>
            <w:vAlign w:val="bottom"/>
          </w:tcPr>
          <w:p>
            <w:pPr>
              <w:ind w:left="240"/>
              <w:spacing w:after="0"/>
              <w:rPr>
                <w:sz w:val="20"/>
                <w:szCs w:val="20"/>
                <w:color w:val="auto"/>
              </w:rPr>
            </w:pPr>
            <w:r>
              <w:rPr>
                <w:rFonts w:ascii="Courier New" w:cs="Courier New" w:eastAsia="Courier New" w:hAnsi="Courier New"/>
                <w:sz w:val="14"/>
                <w:szCs w:val="14"/>
                <w:color w:val="auto"/>
              </w:rPr>
              <w:t>Three Dog Bakery</w:t>
            </w:r>
          </w:p>
        </w:tc>
      </w:tr>
      <w:tr>
        <w:trPr>
          <w:trHeight w:val="163"/>
        </w:trPr>
        <w:tc>
          <w:tcPr>
            <w:tcW w:w="2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80" w:type="dxa"/>
            <w:vAlign w:val="bottom"/>
          </w:tcPr>
          <w:p>
            <w:pPr>
              <w:ind w:left="240"/>
              <w:spacing w:after="0"/>
              <w:rPr>
                <w:sz w:val="20"/>
                <w:szCs w:val="20"/>
                <w:color w:val="auto"/>
              </w:rPr>
            </w:pPr>
            <w:r>
              <w:rPr>
                <w:rFonts w:ascii="Courier New" w:cs="Courier New" w:eastAsia="Courier New" w:hAnsi="Courier New"/>
                <w:sz w:val="14"/>
                <w:szCs w:val="14"/>
                <w:color w:val="auto"/>
              </w:rPr>
              <w:t>Prudential</w:t>
            </w:r>
          </w:p>
        </w:tc>
      </w:tr>
      <w:tr>
        <w:trPr>
          <w:trHeight w:val="163"/>
        </w:trPr>
        <w:tc>
          <w:tcPr>
            <w:tcW w:w="2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80" w:type="dxa"/>
            <w:vAlign w:val="bottom"/>
          </w:tcPr>
          <w:p>
            <w:pPr>
              <w:ind w:left="240"/>
              <w:spacing w:after="0"/>
              <w:rPr>
                <w:sz w:val="20"/>
                <w:szCs w:val="20"/>
                <w:color w:val="auto"/>
              </w:rPr>
            </w:pPr>
            <w:r>
              <w:rPr>
                <w:rFonts w:ascii="Courier New" w:cs="Courier New" w:eastAsia="Courier New" w:hAnsi="Courier New"/>
                <w:sz w:val="14"/>
                <w:szCs w:val="14"/>
                <w:color w:val="auto"/>
              </w:rPr>
              <w:t>Long and Foster</w:t>
            </w:r>
          </w:p>
        </w:tc>
      </w:tr>
      <w:tr>
        <w:trPr>
          <w:trHeight w:val="326"/>
        </w:trPr>
        <w:tc>
          <w:tcPr>
            <w:tcW w:w="272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26"/>
        </w:trPr>
        <w:tc>
          <w:tcPr>
            <w:tcW w:w="2720" w:type="dxa"/>
            <w:vAlign w:val="bottom"/>
          </w:tcPr>
          <w:p>
            <w:pPr>
              <w:spacing w:after="0"/>
              <w:rPr>
                <w:sz w:val="20"/>
                <w:szCs w:val="20"/>
                <w:color w:val="auto"/>
              </w:rPr>
            </w:pPr>
            <w:r>
              <w:rPr>
                <w:rFonts w:ascii="Courier New" w:cs="Courier New" w:eastAsia="Courier New" w:hAnsi="Courier New"/>
                <w:sz w:val="14"/>
                <w:szCs w:val="14"/>
                <w:color w:val="auto"/>
              </w:rPr>
              <w:t>Bethesda Row - Woodmont East</w:t>
            </w: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$31</w:t>
            </w: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w:t>
            </w:r>
          </w:p>
        </w:tc>
        <w:tc>
          <w:tcPr>
            <w:tcW w:w="1780" w:type="dxa"/>
            <w:vAlign w:val="bottom"/>
          </w:tcPr>
          <w:p>
            <w:pPr>
              <w:ind w:left="240"/>
              <w:spacing w:after="0"/>
              <w:rPr>
                <w:sz w:val="20"/>
                <w:szCs w:val="20"/>
                <w:color w:val="auto"/>
              </w:rPr>
            </w:pPr>
            <w:r>
              <w:rPr>
                <w:rFonts w:ascii="Courier New" w:cs="Courier New" w:eastAsia="Courier New" w:hAnsi="Courier New"/>
                <w:sz w:val="14"/>
                <w:szCs w:val="14"/>
                <w:color w:val="auto"/>
              </w:rPr>
              <w:t>Landmark Theatres</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Bethesda, Maryland</w:t>
            </w: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26"/>
        </w:trPr>
        <w:tc>
          <w:tcPr>
            <w:tcW w:w="2720" w:type="dxa"/>
            <w:vAlign w:val="bottom"/>
          </w:tcPr>
          <w:p>
            <w:pPr>
              <w:spacing w:after="0"/>
              <w:rPr>
                <w:sz w:val="20"/>
                <w:szCs w:val="20"/>
                <w:color w:val="auto"/>
              </w:rPr>
            </w:pPr>
            <w:r>
              <w:rPr>
                <w:rFonts w:ascii="Courier New" w:cs="Courier New" w:eastAsia="Courier New" w:hAnsi="Courier New"/>
                <w:sz w:val="14"/>
                <w:szCs w:val="14"/>
                <w:color w:val="auto"/>
              </w:rPr>
              <w:t>Pentagon Row</w:t>
            </w: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$67</w:t>
            </w: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w:t>
            </w:r>
          </w:p>
        </w:tc>
        <w:tc>
          <w:tcPr>
            <w:tcW w:w="1780" w:type="dxa"/>
            <w:vAlign w:val="bottom"/>
          </w:tcPr>
          <w:p>
            <w:pPr>
              <w:ind w:left="240"/>
              <w:spacing w:after="0"/>
              <w:rPr>
                <w:sz w:val="20"/>
                <w:szCs w:val="20"/>
                <w:color w:val="auto"/>
              </w:rPr>
            </w:pPr>
            <w:r>
              <w:rPr>
                <w:rFonts w:ascii="Courier New" w:cs="Courier New" w:eastAsia="Courier New" w:hAnsi="Courier New"/>
                <w:sz w:val="14"/>
                <w:szCs w:val="14"/>
                <w:color w:val="auto"/>
              </w:rPr>
              <w:t>Harris Teeter</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Arlington, Virginia</w:t>
            </w: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4"/>
                <w:szCs w:val="14"/>
                <w:color w:val="auto"/>
              </w:rPr>
            </w:pPr>
          </w:p>
        </w:tc>
        <w:tc>
          <w:tcPr>
            <w:tcW w:w="1780" w:type="dxa"/>
            <w:vAlign w:val="bottom"/>
          </w:tcPr>
          <w:p>
            <w:pPr>
              <w:ind w:left="240"/>
              <w:spacing w:after="0"/>
              <w:rPr>
                <w:sz w:val="20"/>
                <w:szCs w:val="20"/>
                <w:color w:val="auto"/>
              </w:rPr>
            </w:pPr>
            <w:r>
              <w:rPr>
                <w:rFonts w:ascii="Courier New" w:cs="Courier New" w:eastAsia="Courier New" w:hAnsi="Courier New"/>
                <w:sz w:val="14"/>
                <w:szCs w:val="14"/>
                <w:color w:val="auto"/>
              </w:rPr>
              <w:t>Bed, Bath &amp; Beyond</w:t>
            </w:r>
          </w:p>
        </w:tc>
      </w:tr>
      <w:tr>
        <w:trPr>
          <w:trHeight w:val="163"/>
        </w:trPr>
        <w:tc>
          <w:tcPr>
            <w:tcW w:w="2720" w:type="dxa"/>
            <w:vAlign w:val="bottom"/>
          </w:tcPr>
          <w:p>
            <w:pPr>
              <w:spacing w:after="0"/>
              <w:rPr>
                <w:sz w:val="14"/>
                <w:szCs w:val="14"/>
                <w:color w:val="auto"/>
              </w:rPr>
            </w:pP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$98</w:t>
            </w:r>
          </w:p>
        </w:tc>
        <w:tc>
          <w:tcPr>
            <w:tcW w:w="1360" w:type="dxa"/>
            <w:vAlign w:val="bottom"/>
          </w:tcPr>
          <w:p>
            <w:pPr>
              <w:spacing w:after="0"/>
              <w:rPr>
                <w:sz w:val="14"/>
                <w:szCs w:val="14"/>
                <w:color w:val="auto"/>
              </w:rPr>
            </w:pPr>
          </w:p>
        </w:tc>
        <w:tc>
          <w:tcPr>
            <w:tcW w:w="1780" w:type="dxa"/>
            <w:vAlign w:val="bottom"/>
          </w:tcPr>
          <w:p>
            <w:pPr>
              <w:ind w:left="240"/>
              <w:spacing w:after="0"/>
              <w:rPr>
                <w:sz w:val="20"/>
                <w:szCs w:val="20"/>
                <w:color w:val="auto"/>
              </w:rPr>
            </w:pPr>
            <w:r>
              <w:rPr>
                <w:rFonts w:ascii="Courier New" w:cs="Courier New" w:eastAsia="Courier New" w:hAnsi="Courier New"/>
                <w:sz w:val="14"/>
                <w:szCs w:val="14"/>
                <w:color w:val="auto"/>
              </w:rPr>
              <w:t>Bally's Fitness</w:t>
            </w:r>
          </w:p>
        </w:tc>
      </w:tr>
    </w:tbl>
    <w:p>
      <w:pPr>
        <w:spacing w:after="0" w:line="3" w:lineRule="exact"/>
        <w:rPr>
          <w:sz w:val="20"/>
          <w:szCs w:val="20"/>
          <w:color w:val="auto"/>
        </w:rPr>
      </w:pPr>
    </w:p>
    <w:p>
      <w:pPr>
        <w:ind w:left="5680"/>
        <w:spacing w:after="0"/>
        <w:rPr>
          <w:sz w:val="20"/>
          <w:szCs w:val="20"/>
          <w:color w:val="auto"/>
        </w:rPr>
      </w:pPr>
      <w:r>
        <w:rPr>
          <w:rFonts w:ascii="Courier New" w:cs="Courier New" w:eastAsia="Courier New" w:hAnsi="Courier New"/>
          <w:sz w:val="14"/>
          <w:szCs w:val="14"/>
          <w:color w:val="auto"/>
        </w:rPr>
        <w:t>Hudson Trail Outfitters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DEVELOP</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Houston Street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Antonio, Texas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Santana Row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Jose, California</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Shops at Tanasbourne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Portland, Oregon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Lindbergh Center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Atlanta, Georgia</w:t>
      </w:r>
    </w:p>
    <w:p>
      <w:pPr>
        <w:spacing w:after="0" w:line="168"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Total</w:t>
      </w:r>
    </w:p>
    <w:p>
      <w:pPr>
        <w:sectPr>
          <w:pgSz w:w="11900" w:h="16838" w:orient="portrait"/>
          <w:cols w:equalWidth="0" w:num="1">
            <w:col w:w="10159"/>
          </w:cols>
          <w:pgMar w:left="300" w:top="609" w:right="1440" w:bottom="0" w:gutter="0" w:footer="0" w:header="0"/>
        </w:sectPr>
      </w:pPr>
    </w:p>
    <w:bookmarkStart w:id="13" w:name="page14"/>
    <w:bookmarkEnd w:id="13"/>
    <w:p>
      <w:pPr>
        <w:ind w:left="333" w:hanging="333"/>
        <w:spacing w:after="0"/>
        <w:tabs>
          <w:tab w:leader="none" w:pos="333"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will develop only the retail component of this project.</w:t>
      </w:r>
    </w:p>
    <w:p>
      <w:pPr>
        <w:spacing w:after="0" w:line="4" w:lineRule="exact"/>
        <w:rPr>
          <w:rFonts w:ascii="Courier New" w:cs="Courier New" w:eastAsia="Courier New" w:hAnsi="Courier New"/>
          <w:sz w:val="14"/>
          <w:szCs w:val="14"/>
          <w:color w:val="auto"/>
        </w:rPr>
      </w:pPr>
    </w:p>
    <w:p>
      <w:pPr>
        <w:ind w:left="333" w:hanging="333"/>
        <w:spacing w:after="0"/>
        <w:tabs>
          <w:tab w:leader="none" w:pos="333"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will not develop the hotel component of this project.</w:t>
      </w:r>
    </w:p>
    <w:p>
      <w:pPr>
        <w:spacing w:after="0" w:line="4" w:lineRule="exact"/>
        <w:rPr>
          <w:rFonts w:ascii="Courier New" w:cs="Courier New" w:eastAsia="Courier New" w:hAnsi="Courier New"/>
          <w:sz w:val="14"/>
          <w:szCs w:val="14"/>
          <w:color w:val="auto"/>
        </w:rPr>
      </w:pPr>
    </w:p>
    <w:p>
      <w:pPr>
        <w:ind w:left="333" w:hanging="333"/>
        <w:spacing w:after="0"/>
        <w:tabs>
          <w:tab w:leader="none" w:pos="333"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owns in fee the underlying real estate.</w:t>
      </w:r>
    </w:p>
    <w:p>
      <w:pPr>
        <w:spacing w:after="0" w:line="168" w:lineRule="exact"/>
        <w:rPr>
          <w:sz w:val="20"/>
          <w:szCs w:val="20"/>
          <w:color w:val="auto"/>
        </w:rPr>
      </w:pPr>
    </w:p>
    <w:p>
      <w:pPr>
        <w:ind w:left="3133"/>
        <w:spacing w:after="0"/>
        <w:rPr>
          <w:sz w:val="20"/>
          <w:szCs w:val="20"/>
          <w:color w:val="auto"/>
        </w:rPr>
      </w:pPr>
      <w:r>
        <w:rPr>
          <w:rFonts w:ascii="Courier New" w:cs="Courier New" w:eastAsia="Courier New" w:hAnsi="Courier New"/>
          <w:sz w:val="14"/>
          <w:szCs w:val="14"/>
          <w:color w:val="auto"/>
        </w:rPr>
        <w:t>E-10</w:t>
      </w:r>
    </w:p>
    <w:p>
      <w:pPr>
        <w:sectPr>
          <w:pgSz w:w="11900" w:h="16838" w:orient="portrait"/>
          <w:cols w:equalWidth="0" w:num="1">
            <w:col w:w="10152"/>
          </w:cols>
          <w:pgMar w:left="307" w:top="631" w:right="1440" w:bottom="1440" w:gutter="0" w:footer="0" w:header="0"/>
        </w:sectPr>
      </w:pPr>
    </w:p>
    <w:bookmarkStart w:id="14" w:name="page15"/>
    <w:bookmarkEnd w:id="14"/>
    <w:p>
      <w:pPr>
        <w:ind w:left="3900"/>
        <w:spacing w:after="0"/>
        <w:rPr>
          <w:sz w:val="20"/>
          <w:szCs w:val="20"/>
          <w:color w:val="auto"/>
        </w:rPr>
      </w:pPr>
      <w:r>
        <w:rPr>
          <w:rFonts w:ascii="Courier New" w:cs="Courier New" w:eastAsia="Courier New" w:hAnsi="Courier New"/>
          <w:sz w:val="14"/>
          <w:szCs w:val="14"/>
          <w:color w:val="auto"/>
        </w:rPr>
        <w:t>Kathy Klein</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Vice President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Corporate Communications</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301/998-8211</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YEAR-END 1999 OPERATING RESULTS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14, 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Rockville, Maryland</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Federal Realty Investment Trust (NYSE:FRT) reported today that funds from operations for the year ended December 31, 1999 increased 12% to $96.8 million from $86.5 million in 1998. On a per share basis, funds from operations rose 10% to $2.38 per share in 1999 from $2.16 in 1998.</w:t>
      </w:r>
    </w:p>
    <w:p>
      <w:pPr>
        <w:spacing w:after="0" w:line="162"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A comparison of property operations for the year ended 1999 versus 1998 shows the following:</w:t>
      </w:r>
    </w:p>
    <w:p>
      <w:pPr>
        <w:spacing w:after="0" w:line="161" w:lineRule="exact"/>
        <w:rPr>
          <w:sz w:val="20"/>
          <w:szCs w:val="20"/>
          <w:color w:val="auto"/>
        </w:rPr>
      </w:pPr>
    </w:p>
    <w:p>
      <w:pPr>
        <w:ind w:left="860" w:right="3359" w:hanging="429"/>
        <w:spacing w:after="0" w:line="247" w:lineRule="auto"/>
        <w:tabs>
          <w:tab w:leader="none" w:pos="8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Rental income increased 11% to $245.8 million in 1999 from $222.2 million in 1998. When adjusted to exclude properties acquired and sold during 1998 and 1999, rental income increased 6% to $228.4 million in 1999 from $214.8 million in 1998.</w:t>
      </w:r>
    </w:p>
    <w:p>
      <w:pPr>
        <w:spacing w:after="0" w:line="162" w:lineRule="exact"/>
        <w:rPr>
          <w:sz w:val="20"/>
          <w:szCs w:val="20"/>
          <w:color w:val="auto"/>
        </w:rPr>
      </w:pPr>
    </w:p>
    <w:p>
      <w:pPr>
        <w:ind w:left="860" w:right="3539" w:hanging="429"/>
        <w:spacing w:after="0" w:line="247" w:lineRule="auto"/>
        <w:tabs>
          <w:tab w:leader="none" w:pos="8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operating income increased 12% to $186.0 million in 1999 from $165.7 million in 1998. On a same center basis, net operating income increased 6% to $171.1 million in 1999 from $160.6 million in 1998.</w:t>
      </w:r>
    </w:p>
    <w:p>
      <w:pPr>
        <w:spacing w:after="0" w:line="163" w:lineRule="exact"/>
        <w:rPr>
          <w:sz w:val="20"/>
          <w:szCs w:val="20"/>
          <w:color w:val="auto"/>
        </w:rPr>
      </w:pPr>
    </w:p>
    <w:p>
      <w:pPr>
        <w:ind w:left="860" w:right="3359" w:hanging="429"/>
        <w:spacing w:after="0" w:line="246" w:lineRule="auto"/>
        <w:tabs>
          <w:tab w:leader="none" w:pos="8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1999, the Trust signed leases for a total 1.3 million square feet of retail space. On a same space basis, the Trust re-leased 1.0 million square feet of retail space at an average increase in rent per square foot of 22%. The weighted average rent on these same space leases was $21.68 per square foot compared to the previous average rent of $17.73 per square foot. During 1998, the Trust leased a total of 1.4 million square feet of retail space. On a same space basis, 1.1 million square feet of retail space was re-leased at an average increase in rent per square foot of 17%. The weighted average rent on these same space leases was $17.62 per square foot compared to the previous average rent per square foot of $15.12.</w:t>
      </w:r>
    </w:p>
    <w:p>
      <w:pPr>
        <w:spacing w:after="0" w:line="169" w:lineRule="exact"/>
        <w:rPr>
          <w:sz w:val="20"/>
          <w:szCs w:val="20"/>
          <w:color w:val="auto"/>
        </w:rPr>
      </w:pPr>
    </w:p>
    <w:p>
      <w:pPr>
        <w:ind w:left="860" w:right="3459" w:hanging="429"/>
        <w:spacing w:after="0" w:line="247" w:lineRule="auto"/>
        <w:tabs>
          <w:tab w:leader="none" w:pos="8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Trust's overall occupancy was 96.1% at December 31, 1999 compared to 95.2% at year end 1998. Same property occupancy stood at 96.3% at December 31, 1999 compared to 96.0% a year ago.</w:t>
      </w:r>
    </w:p>
    <w:p>
      <w:pPr>
        <w:spacing w:after="0" w:line="16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E-11</w:t>
      </w:r>
    </w:p>
    <w:p>
      <w:pPr>
        <w:sectPr>
          <w:pgSz w:w="11900" w:h="16838" w:orient="portrait"/>
          <w:cols w:equalWidth="0" w:num="1">
            <w:col w:w="10159"/>
          </w:cols>
          <w:pgMar w:left="300" w:top="609" w:right="1440" w:bottom="1440" w:gutter="0" w:footer="0" w:header="0"/>
        </w:sectPr>
      </w:pPr>
    </w:p>
    <w:bookmarkStart w:id="15" w:name="page16"/>
    <w:bookmarkEnd w:id="15"/>
    <w:p>
      <w:pPr>
        <w:ind w:right="3359" w:firstLine="424"/>
        <w:spacing w:after="0" w:line="247" w:lineRule="auto"/>
        <w:rPr>
          <w:sz w:val="20"/>
          <w:szCs w:val="20"/>
          <w:color w:val="auto"/>
        </w:rPr>
      </w:pPr>
      <w:r>
        <w:rPr>
          <w:rFonts w:ascii="Courier New" w:cs="Courier New" w:eastAsia="Courier New" w:hAnsi="Courier New"/>
          <w:sz w:val="14"/>
          <w:szCs w:val="14"/>
          <w:color w:val="auto"/>
        </w:rPr>
        <w:t>Funds from operations also improved for the fourth quarter of 1999 increasing 7% to $24.5 million from $22.9 million in the fourth quarter of 1998. On a per share basis, funds from operations advanced 5% to $.60 per share in the fourth quarter of 1999 compared to $.57 per share in the same period of 1998.</w:t>
      </w:r>
    </w:p>
    <w:p>
      <w:pPr>
        <w:spacing w:after="0" w:line="162"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Commenting on the results, Steven Guttman, President and Chief Executive Officer stated, "1999 was a year of strong operational performance and execution. Over the past twelve months we have significantly accelerated FFO growth, improved operating margins in our core portfolio and reduced the costs of administering the Trust. We are extremely pleased with the progress we made in achieving our 1999 operating goals."</w:t>
      </w:r>
    </w:p>
    <w:p>
      <w:pPr>
        <w:spacing w:after="0" w:line="162"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Federal Realty is an equity real estate investment trust specializing in the ownership, management and redevelopment of prime retail properties. The Trust's real estate portfolio contains 123 retail properties, consisting of neighborhood and community shopping centers and main street retail properties, located in strategic metropolitan markets across the United States. These markets include Boston, New York, Philadelphia, Washington D.C., Chicago, San Antonio, Portland, San Francisco, Los Angeles, San Jose and San Diego.</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Federal Realty has paid quarterly dividends to its shareholders continuously since its founding in 1962 and has increased its dividend rate for 32 consecutive years. Shares of the Trust are traded on the New York Stock Exchange under the symbol:FRT.</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E-12</w:t>
      </w:r>
    </w:p>
    <w:p>
      <w:pPr>
        <w:sectPr>
          <w:pgSz w:w="11900" w:h="16838" w:orient="portrait"/>
          <w:cols w:equalWidth="0" w:num="1">
            <w:col w:w="10159"/>
          </w:cols>
          <w:pgMar w:left="300" w:top="609" w:right="1440" w:bottom="1440" w:gutter="0" w:footer="0" w:header="0"/>
        </w:sectPr>
      </w:pPr>
    </w:p>
    <w:bookmarkStart w:id="16" w:name="page17"/>
    <w:bookmarkEnd w:id="16"/>
    <w:p>
      <w:pPr>
        <w:ind w:left="2460"/>
        <w:spacing w:after="0"/>
        <w:rPr>
          <w:sz w:val="20"/>
          <w:szCs w:val="20"/>
          <w:color w:val="auto"/>
        </w:rPr>
      </w:pPr>
      <w:r>
        <w:rPr>
          <w:rFonts w:ascii="Courier New" w:cs="Courier New" w:eastAsia="Courier New" w:hAnsi="Courier New"/>
          <w:sz w:val="14"/>
          <w:szCs w:val="14"/>
          <w:color w:val="auto"/>
        </w:rPr>
        <w:t>Financial Highlights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160" w:type="dxa"/>
            <w:vAlign w:val="bottom"/>
          </w:tcPr>
          <w:p>
            <w:pPr>
              <w:ind w:left="1780"/>
              <w:spacing w:after="0"/>
              <w:rPr>
                <w:sz w:val="20"/>
                <w:szCs w:val="20"/>
                <w:color w:val="auto"/>
              </w:rPr>
            </w:pPr>
            <w:r>
              <w:rPr>
                <w:rFonts w:ascii="Courier New" w:cs="Courier New" w:eastAsia="Courier New" w:hAnsi="Courier New"/>
                <w:sz w:val="14"/>
                <w:szCs w:val="14"/>
                <w:color w:val="auto"/>
              </w:rPr>
              <w:t>(in thousands, except per share data)</w:t>
            </w: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815"/>
        </w:trPr>
        <w:tc>
          <w:tcPr>
            <w:tcW w:w="6160" w:type="dxa"/>
            <w:vAlign w:val="bottom"/>
          </w:tcPr>
          <w:p>
            <w:pPr>
              <w:spacing w:after="0"/>
              <w:rPr>
                <w:sz w:val="24"/>
                <w:szCs w:val="24"/>
                <w:color w:val="auto"/>
              </w:rPr>
            </w:pPr>
          </w:p>
        </w:tc>
        <w:tc>
          <w:tcPr>
            <w:tcW w:w="18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Three Months Ended</w:t>
            </w:r>
          </w:p>
        </w:tc>
        <w:tc>
          <w:tcPr>
            <w:tcW w:w="2200" w:type="dxa"/>
            <w:vAlign w:val="bottom"/>
            <w:gridSpan w:val="2"/>
          </w:tcPr>
          <w:p>
            <w:pPr>
              <w:ind w:left="840"/>
              <w:spacing w:after="0"/>
              <w:rPr>
                <w:sz w:val="20"/>
                <w:szCs w:val="20"/>
                <w:color w:val="auto"/>
              </w:rPr>
            </w:pPr>
            <w:r>
              <w:rPr>
                <w:rFonts w:ascii="Courier New" w:cs="Courier New" w:eastAsia="Courier New" w:hAnsi="Courier New"/>
                <w:sz w:val="14"/>
                <w:szCs w:val="14"/>
                <w:color w:val="auto"/>
              </w:rPr>
              <w:t>Year Ended</w:t>
            </w:r>
          </w:p>
        </w:tc>
      </w:tr>
      <w:tr>
        <w:trPr>
          <w:trHeight w:val="163"/>
        </w:trPr>
        <w:tc>
          <w:tcPr>
            <w:tcW w:w="6160" w:type="dxa"/>
            <w:vAlign w:val="bottom"/>
          </w:tcPr>
          <w:p>
            <w:pPr>
              <w:spacing w:after="0"/>
              <w:rPr>
                <w:sz w:val="14"/>
                <w:szCs w:val="14"/>
                <w:color w:val="auto"/>
              </w:rPr>
            </w:pPr>
          </w:p>
        </w:tc>
        <w:tc>
          <w:tcPr>
            <w:tcW w:w="18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December 31,</w:t>
            </w:r>
          </w:p>
        </w:tc>
        <w:tc>
          <w:tcPr>
            <w:tcW w:w="2200" w:type="dxa"/>
            <w:vAlign w:val="bottom"/>
            <w:gridSpan w:val="2"/>
          </w:tcPr>
          <w:p>
            <w:pPr>
              <w:ind w:left="840"/>
              <w:spacing w:after="0"/>
              <w:rPr>
                <w:sz w:val="20"/>
                <w:szCs w:val="20"/>
                <w:color w:val="auto"/>
              </w:rPr>
            </w:pPr>
            <w:r>
              <w:rPr>
                <w:rFonts w:ascii="Courier New" w:cs="Courier New" w:eastAsia="Courier New" w:hAnsi="Courier New"/>
                <w:sz w:val="14"/>
                <w:szCs w:val="14"/>
                <w:color w:val="auto"/>
              </w:rPr>
              <w:t>December 31,</w:t>
            </w:r>
          </w:p>
        </w:tc>
      </w:tr>
      <w:tr>
        <w:trPr>
          <w:trHeight w:val="163"/>
        </w:trPr>
        <w:tc>
          <w:tcPr>
            <w:tcW w:w="616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880" w:type="dxa"/>
            <w:vAlign w:val="bottom"/>
          </w:tcPr>
          <w:p>
            <w:pPr>
              <w:ind w:left="200"/>
              <w:spacing w:after="0"/>
              <w:rPr>
                <w:sz w:val="20"/>
                <w:szCs w:val="20"/>
                <w:color w:val="auto"/>
              </w:rPr>
            </w:pPr>
            <w:r>
              <w:rPr>
                <w:rFonts w:ascii="Courier New" w:cs="Courier New" w:eastAsia="Courier New" w:hAnsi="Courier New"/>
                <w:sz w:val="14"/>
                <w:szCs w:val="14"/>
                <w:color w:val="auto"/>
              </w:rPr>
              <w:t>1999</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1998</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1999</w:t>
            </w: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6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6160" w:type="dxa"/>
            <w:vAlign w:val="bottom"/>
          </w:tcPr>
          <w:p>
            <w:pPr>
              <w:ind w:left="180"/>
              <w:spacing w:after="0"/>
              <w:rPr>
                <w:sz w:val="20"/>
                <w:szCs w:val="20"/>
                <w:color w:val="auto"/>
              </w:rPr>
            </w:pPr>
            <w:r>
              <w:rPr>
                <w:rFonts w:ascii="Courier New" w:cs="Courier New" w:eastAsia="Courier New" w:hAnsi="Courier New"/>
                <w:sz w:val="14"/>
                <w:szCs w:val="14"/>
                <w:color w:val="auto"/>
              </w:rPr>
              <w:t>Revenues</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26"/>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Rental income</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$64,755</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$60,145</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$245,833</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$222,186</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Interest and other income</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1,870</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2,017</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7,649</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5,945</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Other property income</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3,055</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2,734</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11,231</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10,347</w:t>
            </w:r>
          </w:p>
        </w:tc>
      </w:tr>
      <w:tr>
        <w:trPr>
          <w:trHeight w:val="163"/>
        </w:trPr>
        <w:tc>
          <w:tcPr>
            <w:tcW w:w="6160" w:type="dxa"/>
            <w:vAlign w:val="bottom"/>
          </w:tcPr>
          <w:p>
            <w:pPr>
              <w:spacing w:after="0"/>
              <w:rPr>
                <w:sz w:val="14"/>
                <w:szCs w:val="14"/>
                <w:color w:val="auto"/>
              </w:rPr>
            </w:pP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6160" w:type="dxa"/>
            <w:vAlign w:val="bottom"/>
          </w:tcPr>
          <w:p>
            <w:pPr>
              <w:spacing w:after="0"/>
              <w:rPr>
                <w:sz w:val="14"/>
                <w:szCs w:val="14"/>
                <w:color w:val="auto"/>
              </w:rPr>
            </w:pP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69,680</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64,896</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264,713</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238,478</w:t>
            </w:r>
          </w:p>
        </w:tc>
      </w:tr>
      <w:tr>
        <w:trPr>
          <w:trHeight w:val="163"/>
        </w:trPr>
        <w:tc>
          <w:tcPr>
            <w:tcW w:w="6160" w:type="dxa"/>
            <w:vAlign w:val="bottom"/>
          </w:tcPr>
          <w:p>
            <w:pPr>
              <w:ind w:left="180"/>
              <w:spacing w:after="0"/>
              <w:rPr>
                <w:sz w:val="20"/>
                <w:szCs w:val="20"/>
                <w:color w:val="auto"/>
              </w:rPr>
            </w:pPr>
            <w:r>
              <w:rPr>
                <w:rFonts w:ascii="Courier New" w:cs="Courier New" w:eastAsia="Courier New" w:hAnsi="Courier New"/>
                <w:sz w:val="14"/>
                <w:szCs w:val="14"/>
                <w:color w:val="auto"/>
              </w:rPr>
              <w:t>Expenses</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Rental</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14,623</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14,216</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53,677</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49,490</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Real estate taxes</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6,677</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5,996</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25,021</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23,271</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Interest</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15,985</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15,389</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61,492</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55,125</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Administrative</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4,232</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3,060</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15,120</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16,461</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12,698</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12,663</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50,011</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46,047</w:t>
            </w:r>
          </w:p>
        </w:tc>
      </w:tr>
      <w:tr>
        <w:trPr>
          <w:trHeight w:val="163"/>
        </w:trPr>
        <w:tc>
          <w:tcPr>
            <w:tcW w:w="6160" w:type="dxa"/>
            <w:vAlign w:val="bottom"/>
          </w:tcPr>
          <w:p>
            <w:pPr>
              <w:spacing w:after="0"/>
              <w:rPr>
                <w:sz w:val="14"/>
                <w:szCs w:val="14"/>
                <w:color w:val="auto"/>
              </w:rPr>
            </w:pP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6160" w:type="dxa"/>
            <w:vAlign w:val="bottom"/>
          </w:tcPr>
          <w:p>
            <w:pPr>
              <w:spacing w:after="0"/>
              <w:rPr>
                <w:sz w:val="14"/>
                <w:szCs w:val="14"/>
                <w:color w:val="auto"/>
              </w:rPr>
            </w:pP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54,215</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51,324</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205,321</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190,394</w:t>
            </w:r>
          </w:p>
        </w:tc>
      </w:tr>
      <w:tr>
        <w:trPr>
          <w:trHeight w:val="163"/>
        </w:trPr>
        <w:tc>
          <w:tcPr>
            <w:tcW w:w="6160" w:type="dxa"/>
            <w:vAlign w:val="bottom"/>
          </w:tcPr>
          <w:p>
            <w:pPr>
              <w:spacing w:after="0"/>
              <w:rPr>
                <w:sz w:val="14"/>
                <w:szCs w:val="14"/>
                <w:color w:val="auto"/>
              </w:rPr>
            </w:pP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326"/>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Operating income before investors' share of operations</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15,465</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13,572</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59,392</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48,084</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Investor's share of operations</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(1,577)</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(789)</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(3,899)</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(3,124)</w:t>
            </w:r>
          </w:p>
        </w:tc>
      </w:tr>
      <w:tr>
        <w:trPr>
          <w:trHeight w:val="163"/>
        </w:trPr>
        <w:tc>
          <w:tcPr>
            <w:tcW w:w="6160" w:type="dxa"/>
            <w:vAlign w:val="bottom"/>
          </w:tcPr>
          <w:p>
            <w:pPr>
              <w:spacing w:after="0"/>
              <w:rPr>
                <w:sz w:val="14"/>
                <w:szCs w:val="14"/>
                <w:color w:val="auto"/>
              </w:rPr>
            </w:pP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Income before loss on real estate</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13,888</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12,783</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55,493</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44,960</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Loss on real estate</w:t>
            </w:r>
          </w:p>
        </w:tc>
        <w:tc>
          <w:tcPr>
            <w:tcW w:w="8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(7,050)</w:t>
            </w: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r>
      <w:tr>
        <w:trPr>
          <w:trHeight w:val="163"/>
        </w:trPr>
        <w:tc>
          <w:tcPr>
            <w:tcW w:w="6160" w:type="dxa"/>
            <w:vAlign w:val="bottom"/>
          </w:tcPr>
          <w:p>
            <w:pPr>
              <w:spacing w:after="0"/>
              <w:rPr>
                <w:sz w:val="14"/>
                <w:szCs w:val="14"/>
                <w:color w:val="auto"/>
              </w:rPr>
            </w:pP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$13,888</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$12,783</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$48,443</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$44,960</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Dividends on preferred stock</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(1,987)</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(1,987)</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(7,950)</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(7,950)</w:t>
            </w:r>
          </w:p>
        </w:tc>
      </w:tr>
      <w:tr>
        <w:trPr>
          <w:trHeight w:val="163"/>
        </w:trPr>
        <w:tc>
          <w:tcPr>
            <w:tcW w:w="6160" w:type="dxa"/>
            <w:vAlign w:val="bottom"/>
          </w:tcPr>
          <w:p>
            <w:pPr>
              <w:spacing w:after="0"/>
              <w:rPr>
                <w:sz w:val="14"/>
                <w:szCs w:val="14"/>
                <w:color w:val="auto"/>
              </w:rPr>
            </w:pP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$11,901</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$10,796</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$40,493</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$37,010</w:t>
            </w:r>
          </w:p>
        </w:tc>
      </w:tr>
      <w:tr>
        <w:trPr>
          <w:trHeight w:val="163"/>
        </w:trPr>
        <w:tc>
          <w:tcPr>
            <w:tcW w:w="6160" w:type="dxa"/>
            <w:vAlign w:val="bottom"/>
          </w:tcPr>
          <w:p>
            <w:pPr>
              <w:spacing w:after="0"/>
              <w:rPr>
                <w:sz w:val="14"/>
                <w:szCs w:val="14"/>
                <w:color w:val="auto"/>
              </w:rPr>
            </w:pP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Earnings per common share, basic</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$0.30</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$0.27</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$1.02</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$0.94</w:t>
            </w:r>
          </w:p>
        </w:tc>
      </w:tr>
      <w:tr>
        <w:trPr>
          <w:trHeight w:val="163"/>
        </w:trPr>
        <w:tc>
          <w:tcPr>
            <w:tcW w:w="6160" w:type="dxa"/>
            <w:vAlign w:val="bottom"/>
          </w:tcPr>
          <w:p>
            <w:pPr>
              <w:spacing w:after="0"/>
              <w:rPr>
                <w:sz w:val="14"/>
                <w:szCs w:val="14"/>
                <w:color w:val="auto"/>
              </w:rPr>
            </w:pP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Earnings per common share, diluted</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$0.30</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$0.26</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$1.02</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$0.94</w:t>
            </w:r>
          </w:p>
        </w:tc>
      </w:tr>
      <w:tr>
        <w:trPr>
          <w:trHeight w:val="163"/>
        </w:trPr>
        <w:tc>
          <w:tcPr>
            <w:tcW w:w="6160" w:type="dxa"/>
            <w:vAlign w:val="bottom"/>
          </w:tcPr>
          <w:p>
            <w:pPr>
              <w:spacing w:after="0"/>
              <w:rPr>
                <w:sz w:val="14"/>
                <w:szCs w:val="14"/>
                <w:color w:val="auto"/>
              </w:rPr>
            </w:pP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common shares outstanding, basic</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39,694</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39,348</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39,574</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39,174</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common shares outstanding, diluted</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40,662</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40,456</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40,638</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40,080</w:t>
            </w:r>
          </w:p>
        </w:tc>
      </w:tr>
      <w:tr>
        <w:trPr>
          <w:trHeight w:val="326"/>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Funds from Operations</w:t>
            </w: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3"/>
        </w:trPr>
        <w:tc>
          <w:tcPr>
            <w:tcW w:w="6160" w:type="dxa"/>
            <w:vAlign w:val="bottom"/>
          </w:tcPr>
          <w:p>
            <w:pPr>
              <w:ind w:left="136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$11,901</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$10,796</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$40,493</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$37,010</w:t>
            </w:r>
          </w:p>
        </w:tc>
      </w:tr>
      <w:tr>
        <w:trPr>
          <w:trHeight w:val="163"/>
        </w:trPr>
        <w:tc>
          <w:tcPr>
            <w:tcW w:w="6160" w:type="dxa"/>
            <w:vAlign w:val="bottom"/>
          </w:tcPr>
          <w:p>
            <w:pPr>
              <w:ind w:left="1360"/>
              <w:spacing w:after="0"/>
              <w:rPr>
                <w:sz w:val="20"/>
                <w:szCs w:val="20"/>
                <w:color w:val="auto"/>
              </w:rPr>
            </w:pPr>
            <w:r>
              <w:rPr>
                <w:rFonts w:ascii="Courier New" w:cs="Courier New" w:eastAsia="Courier New" w:hAnsi="Courier New"/>
                <w:sz w:val="14"/>
                <w:szCs w:val="14"/>
                <w:color w:val="auto"/>
              </w:rPr>
              <w:t>Add: loss on sale of real estate</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7,050</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6160" w:type="dxa"/>
            <w:vAlign w:val="bottom"/>
          </w:tcPr>
          <w:p>
            <w:pPr>
              <w:ind w:left="1360"/>
              <w:spacing w:after="0"/>
              <w:rPr>
                <w:sz w:val="20"/>
                <w:szCs w:val="20"/>
                <w:color w:val="auto"/>
              </w:rPr>
            </w:pPr>
            <w:r>
              <w:rPr>
                <w:rFonts w:ascii="Courier New" w:cs="Courier New" w:eastAsia="Courier New" w:hAnsi="Courier New"/>
                <w:sz w:val="14"/>
                <w:szCs w:val="14"/>
                <w:color w:val="auto"/>
              </w:rPr>
              <w:t>Add: nonrecurring charge</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4,665</w:t>
            </w:r>
          </w:p>
        </w:tc>
      </w:tr>
      <w:tr>
        <w:trPr>
          <w:trHeight w:val="163"/>
        </w:trPr>
        <w:tc>
          <w:tcPr>
            <w:tcW w:w="6160" w:type="dxa"/>
            <w:vAlign w:val="bottom"/>
          </w:tcPr>
          <w:p>
            <w:pPr>
              <w:ind w:left="1360"/>
              <w:spacing w:after="0"/>
              <w:rPr>
                <w:sz w:val="20"/>
                <w:szCs w:val="20"/>
                <w:color w:val="auto"/>
              </w:rPr>
            </w:pPr>
            <w:r>
              <w:rPr>
                <w:rFonts w:ascii="Courier New" w:cs="Courier New" w:eastAsia="Courier New" w:hAnsi="Courier New"/>
                <w:sz w:val="14"/>
                <w:szCs w:val="14"/>
                <w:color w:val="auto"/>
              </w:rPr>
              <w:t>Add: depreciation and amortization of real estate assets</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11,539</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11,563</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45,388</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41,792</w:t>
            </w:r>
          </w:p>
        </w:tc>
      </w:tr>
      <w:tr>
        <w:trPr>
          <w:trHeight w:val="163"/>
        </w:trPr>
        <w:tc>
          <w:tcPr>
            <w:tcW w:w="6160" w:type="dxa"/>
            <w:vAlign w:val="bottom"/>
          </w:tcPr>
          <w:p>
            <w:pPr>
              <w:ind w:left="1360"/>
              <w:spacing w:after="0"/>
              <w:rPr>
                <w:sz w:val="20"/>
                <w:szCs w:val="20"/>
                <w:color w:val="auto"/>
              </w:rPr>
            </w:pPr>
            <w:r>
              <w:rPr>
                <w:rFonts w:ascii="Courier New" w:cs="Courier New" w:eastAsia="Courier New" w:hAnsi="Courier New"/>
                <w:sz w:val="14"/>
                <w:szCs w:val="14"/>
                <w:color w:val="auto"/>
              </w:rPr>
              <w:t>Add: amortization of initial direct costs of leases</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798</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664</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3,033</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2,491</w:t>
            </w:r>
          </w:p>
        </w:tc>
      </w:tr>
      <w:tr>
        <w:trPr>
          <w:trHeight w:val="163"/>
        </w:trPr>
        <w:tc>
          <w:tcPr>
            <w:tcW w:w="6160" w:type="dxa"/>
            <w:vAlign w:val="bottom"/>
          </w:tcPr>
          <w:p>
            <w:pPr>
              <w:ind w:left="1360"/>
              <w:spacing w:after="0"/>
              <w:rPr>
                <w:sz w:val="20"/>
                <w:szCs w:val="20"/>
                <w:color w:val="auto"/>
              </w:rPr>
            </w:pPr>
            <w:r>
              <w:rPr>
                <w:rFonts w:ascii="Courier New" w:cs="Courier New" w:eastAsia="Courier New" w:hAnsi="Courier New"/>
                <w:sz w:val="14"/>
                <w:szCs w:val="14"/>
                <w:color w:val="auto"/>
              </w:rPr>
              <w:t>Add: income attributable to operating partnership units</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279</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(104)</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831</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578</w:t>
            </w:r>
          </w:p>
        </w:tc>
      </w:tr>
      <w:tr>
        <w:trPr>
          <w:trHeight w:val="163"/>
        </w:trPr>
        <w:tc>
          <w:tcPr>
            <w:tcW w:w="6160" w:type="dxa"/>
            <w:vAlign w:val="bottom"/>
          </w:tcPr>
          <w:p>
            <w:pPr>
              <w:spacing w:after="0"/>
              <w:rPr>
                <w:sz w:val="14"/>
                <w:szCs w:val="14"/>
                <w:color w:val="auto"/>
              </w:rPr>
            </w:pP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Funds from operations</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$24,517</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$22,919</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$96,795</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$86,536</w:t>
            </w:r>
          </w:p>
        </w:tc>
      </w:tr>
      <w:tr>
        <w:trPr>
          <w:trHeight w:val="163"/>
        </w:trPr>
        <w:tc>
          <w:tcPr>
            <w:tcW w:w="6160" w:type="dxa"/>
            <w:vAlign w:val="bottom"/>
          </w:tcPr>
          <w:p>
            <w:pPr>
              <w:spacing w:after="0"/>
              <w:rPr>
                <w:sz w:val="14"/>
                <w:szCs w:val="14"/>
                <w:color w:val="auto"/>
              </w:rPr>
            </w:pP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Funds from operations per share, diluted</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$0.60</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$0.57</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$2.38</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$2.16</w:t>
            </w:r>
          </w:p>
        </w:tc>
      </w:tr>
      <w:tr>
        <w:trPr>
          <w:trHeight w:val="163"/>
        </w:trPr>
        <w:tc>
          <w:tcPr>
            <w:tcW w:w="6160" w:type="dxa"/>
            <w:vAlign w:val="bottom"/>
          </w:tcPr>
          <w:p>
            <w:pPr>
              <w:spacing w:after="0"/>
              <w:rPr>
                <w:sz w:val="14"/>
                <w:szCs w:val="14"/>
                <w:color w:val="auto"/>
              </w:rPr>
            </w:pP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489"/>
        </w:trPr>
        <w:tc>
          <w:tcPr>
            <w:tcW w:w="6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Decemeber 31,</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w w:val="98"/>
              </w:rPr>
              <w:t>Decemeber 31,</w:t>
            </w:r>
          </w:p>
        </w:tc>
      </w:tr>
      <w:tr>
        <w:trPr>
          <w:trHeight w:val="163"/>
        </w:trPr>
        <w:tc>
          <w:tcPr>
            <w:tcW w:w="61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1999</w:t>
            </w: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6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326"/>
        </w:trPr>
        <w:tc>
          <w:tcPr>
            <w:tcW w:w="6160" w:type="dxa"/>
            <w:vAlign w:val="bottom"/>
          </w:tcPr>
          <w:p>
            <w:pPr>
              <w:ind w:left="180"/>
              <w:spacing w:after="0"/>
              <w:rPr>
                <w:sz w:val="20"/>
                <w:szCs w:val="20"/>
                <w:color w:val="auto"/>
              </w:rPr>
            </w:pPr>
            <w:r>
              <w:rPr>
                <w:rFonts w:ascii="Courier New" w:cs="Courier New" w:eastAsia="Courier New" w:hAnsi="Courier New"/>
                <w:sz w:val="14"/>
                <w:szCs w:val="14"/>
                <w:color w:val="auto"/>
              </w:rPr>
              <w:t>Assets</w:t>
            </w: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Real estate, at cost</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$1,721,459</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$1,642,136</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(317,921)</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(286,053)</w:t>
            </w:r>
          </w:p>
        </w:tc>
      </w:tr>
      <w:tr>
        <w:trPr>
          <w:trHeight w:val="163"/>
        </w:trPr>
        <w:tc>
          <w:tcPr>
            <w:tcW w:w="6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w:t>
            </w:r>
          </w:p>
        </w:tc>
      </w:tr>
      <w:tr>
        <w:trPr>
          <w:trHeight w:val="163"/>
        </w:trPr>
        <w:tc>
          <w:tcPr>
            <w:tcW w:w="6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1,403,538</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1,356,083</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Mortgage notes receivable</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53,495</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51,154</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Cash and investments</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11,738</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17,230</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Receivables</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23,130</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17,873</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Other assests</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42,147</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41,977</w:t>
            </w:r>
          </w:p>
        </w:tc>
      </w:tr>
      <w:tr>
        <w:trPr>
          <w:trHeight w:val="163"/>
        </w:trPr>
        <w:tc>
          <w:tcPr>
            <w:tcW w:w="6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w:t>
            </w:r>
          </w:p>
        </w:tc>
      </w:tr>
      <w:tr>
        <w:trPr>
          <w:trHeight w:val="163"/>
        </w:trPr>
        <w:tc>
          <w:tcPr>
            <w:tcW w:w="616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$1,534,048</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$1,484,317</w:t>
            </w:r>
          </w:p>
        </w:tc>
      </w:tr>
      <w:tr>
        <w:trPr>
          <w:trHeight w:val="163"/>
        </w:trPr>
        <w:tc>
          <w:tcPr>
            <w:tcW w:w="6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w:t>
            </w:r>
          </w:p>
        </w:tc>
      </w:tr>
      <w:tr>
        <w:trPr>
          <w:trHeight w:val="163"/>
        </w:trPr>
        <w:tc>
          <w:tcPr>
            <w:tcW w:w="6160" w:type="dxa"/>
            <w:vAlign w:val="bottom"/>
          </w:tcPr>
          <w:p>
            <w:pPr>
              <w:ind w:left="180"/>
              <w:spacing w:after="0"/>
              <w:rPr>
                <w:sz w:val="20"/>
                <w:szCs w:val="20"/>
                <w:color w:val="auto"/>
              </w:rPr>
            </w:pPr>
            <w:r>
              <w:rPr>
                <w:rFonts w:ascii="Courier New" w:cs="Courier New" w:eastAsia="Courier New" w:hAnsi="Courier New"/>
                <w:sz w:val="14"/>
                <w:szCs w:val="14"/>
                <w:color w:val="auto"/>
              </w:rPr>
              <w:t>Liabilities and Shareholders' Equity</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Obligations under capital leases &amp; mortgages payable</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$ 172,573</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$ 173,480</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Notes payable</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162,768</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263,159</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Senior Notes</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510,000</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335,000</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5 1/4% Convertible subordinated debentures</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75,289</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75,289</w:t>
            </w:r>
          </w:p>
        </w:tc>
      </w:tr>
      <w:tr>
        <w:trPr>
          <w:trHeight w:val="163"/>
        </w:trPr>
        <w:tc>
          <w:tcPr>
            <w:tcW w:w="6160" w:type="dxa"/>
            <w:vAlign w:val="bottom"/>
          </w:tcPr>
          <w:p>
            <w:pPr>
              <w:ind w:left="440"/>
              <w:spacing w:after="0"/>
              <w:rPr>
                <w:sz w:val="20"/>
                <w:szCs w:val="20"/>
                <w:color w:val="auto"/>
              </w:rPr>
            </w:pPr>
            <w:r>
              <w:rPr>
                <w:rFonts w:ascii="Courier New" w:cs="Courier New" w:eastAsia="Courier New" w:hAnsi="Courier New"/>
                <w:sz w:val="14"/>
                <w:szCs w:val="14"/>
                <w:color w:val="auto"/>
              </w:rPr>
              <w:t>Other liabilities</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111,591</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107,442</w:t>
            </w:r>
          </w:p>
        </w:tc>
      </w:tr>
      <w:tr>
        <w:trPr>
          <w:trHeight w:val="163"/>
        </w:trPr>
        <w:tc>
          <w:tcPr>
            <w:tcW w:w="6160" w:type="dxa"/>
            <w:vAlign w:val="bottom"/>
          </w:tcPr>
          <w:p>
            <w:pPr>
              <w:ind w:left="180"/>
              <w:spacing w:after="0"/>
              <w:rPr>
                <w:sz w:val="20"/>
                <w:szCs w:val="20"/>
                <w:color w:val="auto"/>
              </w:rPr>
            </w:pPr>
            <w:r>
              <w:rPr>
                <w:rFonts w:ascii="Courier New" w:cs="Courier New" w:eastAsia="Courier New" w:hAnsi="Courier New"/>
                <w:sz w:val="14"/>
                <w:szCs w:val="14"/>
                <w:color w:val="auto"/>
              </w:rPr>
              <w:t>Shareholders' Equity</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501,827</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529,947</w:t>
            </w:r>
          </w:p>
        </w:tc>
      </w:tr>
      <w:tr>
        <w:trPr>
          <w:trHeight w:val="163"/>
        </w:trPr>
        <w:tc>
          <w:tcPr>
            <w:tcW w:w="6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w:t>
            </w:r>
          </w:p>
        </w:tc>
      </w:tr>
      <w:tr>
        <w:trPr>
          <w:trHeight w:val="163"/>
        </w:trPr>
        <w:tc>
          <w:tcPr>
            <w:tcW w:w="616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$1,534,048</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$1,484,317</w:t>
            </w:r>
          </w:p>
        </w:tc>
      </w:tr>
      <w:tr>
        <w:trPr>
          <w:trHeight w:val="163"/>
        </w:trPr>
        <w:tc>
          <w:tcPr>
            <w:tcW w:w="6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w:t>
            </w:r>
          </w:p>
        </w:tc>
      </w:tr>
      <w:tr>
        <w:trPr>
          <w:trHeight w:val="489"/>
        </w:trPr>
        <w:tc>
          <w:tcPr>
            <w:tcW w:w="6160" w:type="dxa"/>
            <w:vAlign w:val="bottom"/>
          </w:tcPr>
          <w:p>
            <w:pPr>
              <w:ind w:left="3140"/>
              <w:spacing w:after="0"/>
              <w:rPr>
                <w:sz w:val="20"/>
                <w:szCs w:val="20"/>
                <w:color w:val="auto"/>
              </w:rPr>
            </w:pPr>
            <w:r>
              <w:rPr>
                <w:rFonts w:ascii="Courier New" w:cs="Courier New" w:eastAsia="Courier New" w:hAnsi="Courier New"/>
                <w:sz w:val="14"/>
                <w:szCs w:val="14"/>
                <w:color w:val="auto"/>
              </w:rPr>
              <w:t>E-13</w:t>
            </w: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180"/>
          </w:cols>
          <w:pgMar w:left="300" w:top="609" w:right="1419" w:bottom="1154" w:gutter="0" w:footer="0" w:header="0"/>
        </w:sectPr>
      </w:pPr>
    </w:p>
    <w:bookmarkStart w:id="17" w:name="page18"/>
    <w:bookmarkEnd w:id="17"/>
    <w:p>
      <w:pPr>
        <w:jc w:val="center"/>
        <w:ind w:right="3459"/>
        <w:spacing w:after="0"/>
        <w:rPr>
          <w:sz w:val="20"/>
          <w:szCs w:val="20"/>
          <w:color w:val="auto"/>
        </w:rPr>
      </w:pPr>
      <w:r>
        <w:rPr>
          <w:rFonts w:ascii="Courier New" w:cs="Courier New" w:eastAsia="Courier New" w:hAnsi="Courier New"/>
          <w:sz w:val="14"/>
          <w:szCs w:val="14"/>
          <w:color w:val="auto"/>
        </w:rPr>
        <w:t>Glossary of Terms</w:t>
      </w:r>
    </w:p>
    <w:p>
      <w:pPr>
        <w:spacing w:after="0" w:line="168"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1"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1"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1"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3" w:lineRule="exact"/>
        <w:rPr>
          <w:sz w:val="20"/>
          <w:szCs w:val="20"/>
          <w:color w:val="auto"/>
        </w:rPr>
      </w:pPr>
    </w:p>
    <w:p>
      <w:pPr>
        <w:ind w:right="3699"/>
        <w:spacing w:after="0" w:line="248"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61" w:lineRule="exact"/>
        <w:rPr>
          <w:sz w:val="20"/>
          <w:szCs w:val="20"/>
          <w:color w:val="auto"/>
        </w:rPr>
      </w:pPr>
    </w:p>
    <w:p>
      <w:pPr>
        <w:ind w:right="3699"/>
        <w:spacing w:after="0" w:line="248" w:lineRule="auto"/>
        <w:rPr>
          <w:sz w:val="20"/>
          <w:szCs w:val="20"/>
          <w:color w:val="auto"/>
        </w:rPr>
      </w:pPr>
      <w:r>
        <w:rPr>
          <w:rFonts w:ascii="Courier New" w:cs="Courier New" w:eastAsia="Courier New" w:hAnsi="Courier New"/>
          <w:sz w:val="14"/>
          <w:szCs w:val="14"/>
          <w:color w:val="auto"/>
        </w:rPr>
        <w:t>Net Operating Income: Gross revenues, including interest income, less rental expenses and real estate taxes.</w:t>
      </w:r>
    </w:p>
    <w:p>
      <w:pPr>
        <w:spacing w:after="0" w:line="161"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3"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Overall occupancy: Occupancy for the entire portfolio--includes all operating properties owned in reporting period.</w:t>
      </w:r>
    </w:p>
    <w:p>
      <w:pPr>
        <w:spacing w:after="0" w:line="161"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Same center occupancy: Occupancy for only those properties owned and operating in the periods being compared. Excludes centers purchased or sold as well as properties under redevelopment and development.</w:t>
      </w:r>
    </w:p>
    <w:p>
      <w:pPr>
        <w:spacing w:after="0" w:line="163"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E-14</w:t>
      </w:r>
    </w:p>
    <w:sectPr>
      <w:pgSz w:w="11900" w:h="16838" w:orient="portrait"/>
      <w:cols w:equalWidth="0" w:num="1">
        <w:col w:w="10159"/>
      </w:cols>
      <w:pgMar w:left="300" w:top="6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Letter"/>
      <w:start w:val="3"/>
    </w:lvl>
  </w:abstractNum>
  <w:abstractNum w:abstractNumId="1">
    <w:nsid w:val="79E2A9E3"/>
    <w:multiLevelType w:val="hybridMultilevel"/>
    <w:lvl w:ilvl="0">
      <w:lvlJc w:val="left"/>
      <w:lvlText w:val="%1."/>
      <w:numFmt w:val="decimal"/>
      <w:start w:val="4"/>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2020-10-06T00:57:50Z</dcterms:created>
  <dcterms:modified xsi:type="dcterms:W3CDTF">2020-10-06T00:57:50Z</dcterms:modified>
</cp:coreProperties>
</file>