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March 31, 2019</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rFonts w:ascii="MS PGothic" w:cs="MS PGothic" w:eastAsia="MS PGothic" w:hAnsi="MS PGothic"/>
          <w:sz w:val="18"/>
          <w:szCs w:val="18"/>
          <w:color w:val="auto"/>
        </w:rPr>
      </w:pPr>
    </w:p>
    <w:p>
      <w:pPr>
        <w:ind w:left="900" w:right="260" w:hanging="440"/>
        <w:spacing w:after="0" w:line="308" w:lineRule="auto"/>
        <w:tabs>
          <w:tab w:leader="none" w:pos="9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22"/>
          <w:szCs w:val="22"/>
          <w:color w:val="auto"/>
        </w:rPr>
        <w:t>On May 2, 2019, Federal Realty Investment Trust issued supplemental data pertaining to its operations, as well as a press release, to report its financial results for the quarter ended March 31, 2019.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March 31, 2019 (including press release dated May 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1120"/>
        <w:spacing w:after="0"/>
        <w:tabs>
          <w:tab w:leader="none" w:pos="1780" w:val="left"/>
          <w:tab w:leader="none" w:pos="4960" w:val="left"/>
        </w:tabs>
        <w:rPr>
          <w:sz w:val="20"/>
          <w:szCs w:val="20"/>
          <w:color w:val="auto"/>
        </w:rPr>
      </w:pPr>
      <w:r>
        <w:rPr>
          <w:rFonts w:ascii="Arial" w:cs="Arial" w:eastAsia="Arial" w:hAnsi="Arial"/>
          <w:sz w:val="22"/>
          <w:szCs w:val="22"/>
          <w:color w:val="auto"/>
        </w:rPr>
        <w:t>Date:</w:t>
        <w:tab/>
        <w:t>May 2, 2019</w:t>
      </w:r>
      <w:r>
        <w:rPr>
          <w:sz w:val="20"/>
          <w:szCs w:val="20"/>
          <w:color w:val="auto"/>
        </w:rPr>
        <w:tab/>
      </w:r>
      <w:r>
        <w:rPr>
          <w:rFonts w:ascii="Arial" w:cs="Arial" w:eastAsia="Arial" w:hAnsi="Arial"/>
          <w:sz w:val="19"/>
          <w:szCs w:val="19"/>
          <w:u w:val="single" w:color="auto"/>
          <w:color w:val="auto"/>
        </w:rPr>
        <w:t>/s/ Daniel Guglielmone</w:t>
      </w:r>
    </w:p>
    <w:p>
      <w:pPr>
        <w:spacing w:after="0" w:line="36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Daniel Guglielmone</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rFonts w:ascii="Arial" w:cs="Arial" w:eastAsia="Arial" w:hAnsi="Arial"/>
          <w:sz w:val="22"/>
          <w:szCs w:val="22"/>
          <w:color w:val="0000FF"/>
        </w:rPr>
      </w:pPr>
      <w:hyperlink w:anchor="page4">
        <w:r>
          <w:rPr>
            <w:rFonts w:ascii="Arial" w:cs="Arial" w:eastAsia="Arial" w:hAnsi="Arial"/>
            <w:sz w:val="22"/>
            <w:szCs w:val="22"/>
            <w:u w:val="single" w:color="auto"/>
            <w:color w:val="0000FF"/>
          </w:rPr>
          <w:t>99.1</w:t>
        </w:r>
      </w:hyperlink>
      <w:r>
        <w:rPr>
          <w:rFonts w:ascii="Arial" w:cs="Arial" w:eastAsia="Arial" w:hAnsi="Arial"/>
          <w:sz w:val="22"/>
          <w:szCs w:val="22"/>
          <w:color w:val="0000FF"/>
        </w:rPr>
        <w:tab/>
      </w:r>
      <w:r>
        <w:rPr>
          <w:rFonts w:ascii="Arial" w:cs="Arial" w:eastAsia="Arial" w:hAnsi="Arial"/>
          <w:sz w:val="19"/>
          <w:szCs w:val="19"/>
          <w:color w:val="0000FF"/>
        </w:rPr>
        <w:t>Supplemental Information at March 31, 2019</w:t>
      </w:r>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2019</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First Quarter 2019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Consolidated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Consolidated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Other Supplemental Information</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Comparable Property Information</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12</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276"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8720" w:type="dxa"/>
            <w:vAlign w:val="bottom"/>
          </w:tcPr>
          <w:p>
            <w:pPr>
              <w:ind w:left="1100"/>
              <w:spacing w:after="0"/>
              <w:rPr>
                <w:sz w:val="20"/>
                <w:szCs w:val="20"/>
                <w:color w:val="auto"/>
              </w:rPr>
            </w:pPr>
            <w:r>
              <w:rPr>
                <w:rFonts w:ascii="Arial" w:cs="Arial" w:eastAsia="Arial" w:hAnsi="Arial"/>
                <w:sz w:val="18"/>
                <w:szCs w:val="18"/>
                <w:color w:val="auto"/>
              </w:rPr>
              <w:t>Summary of Outstanding Debt and Finance Lease Liabilities</w:t>
            </w:r>
          </w:p>
        </w:tc>
        <w:tc>
          <w:tcPr>
            <w:tcW w:w="200" w:type="dxa"/>
            <w:vAlign w:val="bottom"/>
            <w:gridSpan w:val="2"/>
          </w:tcPr>
          <w:p>
            <w:pPr>
              <w:jc w:val="right"/>
              <w:ind w:right="20"/>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15</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Summary of Redevelopment Opportunities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16</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Assembly Row, Pike &amp; Rose, and Santana Row</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17</w:t>
              </w:r>
            </w:hyperlink>
          </w:p>
        </w:tc>
      </w:tr>
      <w:tr>
        <w:trPr>
          <w:trHeight w:val="32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Future Redevelopment Opportunities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18</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19</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23</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24</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25</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26</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Reconciliation of FFO Guidance</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27</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28</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460"/>
          </w:cols>
          <w:pgMar w:left="1220" w:top="742" w:right="1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2019,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13, 2019.</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6134735</wp:posOffset>
            </wp:positionH>
            <wp:positionV relativeFrom="page">
              <wp:posOffset>88900</wp:posOffset>
            </wp:positionV>
            <wp:extent cx="1269365"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77190"/>
                    </a:xfrm>
                    <a:prstGeom prst="rect">
                      <a:avLst/>
                    </a:prstGeom>
                    <a:noFill/>
                  </pic:spPr>
                </pic:pic>
              </a:graphicData>
            </a:graphic>
          </wp:anchor>
        </w:drawing>
        <w:drawing>
          <wp:anchor simplePos="0" relativeHeight="251657728" behindDoc="1" locked="0" layoutInCell="0" allowOverlap="1">
            <wp:simplePos x="0" y="0"/>
            <wp:positionH relativeFrom="page">
              <wp:posOffset>2687320</wp:posOffset>
            </wp:positionH>
            <wp:positionV relativeFrom="page">
              <wp:posOffset>620395</wp:posOffset>
            </wp:positionV>
            <wp:extent cx="2195195" cy="591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95195" cy="5918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NEWS RELEASE</w:t>
            </w:r>
          </w:p>
        </w:tc>
        <w:tc>
          <w:tcPr>
            <w:tcW w:w="5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www.federalrealty.com</w:t>
            </w:r>
          </w:p>
        </w:tc>
      </w:tr>
      <w:tr>
        <w:trPr>
          <w:trHeight w:val="419"/>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FOR IMMEDIATE RELEASE</w:t>
            </w:r>
          </w:p>
        </w:tc>
        <w:tc>
          <w:tcPr>
            <w:tcW w:w="5680" w:type="dxa"/>
            <w:vAlign w:val="bottom"/>
          </w:tcPr>
          <w:p>
            <w:pPr>
              <w:spacing w:after="0"/>
              <w:rPr>
                <w:sz w:val="24"/>
                <w:szCs w:val="24"/>
                <w:color w:val="auto"/>
              </w:rPr>
            </w:pPr>
          </w:p>
        </w:tc>
      </w:tr>
      <w:tr>
        <w:trPr>
          <w:trHeight w:val="486"/>
        </w:trPr>
        <w:tc>
          <w:tcPr>
            <w:tcW w:w="5080" w:type="dxa"/>
            <w:vAlign w:val="bottom"/>
          </w:tcPr>
          <w:p>
            <w:pPr>
              <w:ind w:left="40"/>
              <w:spacing w:after="0"/>
              <w:rPr>
                <w:sz w:val="20"/>
                <w:szCs w:val="20"/>
                <w:color w:val="auto"/>
              </w:rPr>
            </w:pPr>
            <w:r>
              <w:rPr>
                <w:rFonts w:ascii="Arial" w:cs="Arial" w:eastAsia="Arial" w:hAnsi="Arial"/>
                <w:sz w:val="18"/>
                <w:szCs w:val="18"/>
                <w:i w:val="1"/>
                <w:iCs w:val="1"/>
                <w:color w:val="auto"/>
              </w:rPr>
              <w:t>Investor Inquiries:</w:t>
            </w:r>
          </w:p>
        </w:tc>
        <w:tc>
          <w:tcPr>
            <w:tcW w:w="5680" w:type="dxa"/>
            <w:vAlign w:val="bottom"/>
          </w:tcPr>
          <w:p>
            <w:pPr>
              <w:jc w:val="right"/>
              <w:spacing w:after="0"/>
              <w:rPr>
                <w:sz w:val="20"/>
                <w:szCs w:val="20"/>
                <w:color w:val="auto"/>
              </w:rPr>
            </w:pPr>
            <w:r>
              <w:rPr>
                <w:rFonts w:ascii="Arial" w:cs="Arial" w:eastAsia="Arial" w:hAnsi="Arial"/>
                <w:sz w:val="18"/>
                <w:szCs w:val="18"/>
                <w:i w:val="1"/>
                <w:iCs w:val="1"/>
                <w:color w:val="auto"/>
              </w:rPr>
              <w:t>Media Inquiries:</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Leah Andress Brady</w:t>
            </w:r>
          </w:p>
        </w:tc>
        <w:tc>
          <w:tcPr>
            <w:tcW w:w="5680" w:type="dxa"/>
            <w:vAlign w:val="bottom"/>
          </w:tcPr>
          <w:p>
            <w:pPr>
              <w:jc w:val="right"/>
              <w:spacing w:after="0"/>
              <w:rPr>
                <w:sz w:val="20"/>
                <w:szCs w:val="20"/>
                <w:color w:val="auto"/>
              </w:rPr>
            </w:pPr>
            <w:r>
              <w:rPr>
                <w:rFonts w:ascii="Arial" w:cs="Arial" w:eastAsia="Arial" w:hAnsi="Arial"/>
                <w:sz w:val="18"/>
                <w:szCs w:val="18"/>
                <w:color w:val="auto"/>
              </w:rPr>
              <w:t>Brenda Pomar</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Investor Relations Manager</w:t>
            </w:r>
          </w:p>
        </w:tc>
        <w:tc>
          <w:tcPr>
            <w:tcW w:w="5680" w:type="dxa"/>
            <w:vAlign w:val="bottom"/>
          </w:tcPr>
          <w:p>
            <w:pPr>
              <w:jc w:val="right"/>
              <w:spacing w:after="0"/>
              <w:rPr>
                <w:sz w:val="20"/>
                <w:szCs w:val="20"/>
                <w:color w:val="auto"/>
              </w:rPr>
            </w:pPr>
            <w:r>
              <w:rPr>
                <w:rFonts w:ascii="Arial" w:cs="Arial" w:eastAsia="Arial" w:hAnsi="Arial"/>
                <w:sz w:val="18"/>
                <w:szCs w:val="18"/>
                <w:color w:val="auto"/>
              </w:rPr>
              <w:t>Corporate Communications Manager</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301.998.8265</w:t>
            </w:r>
          </w:p>
        </w:tc>
        <w:tc>
          <w:tcPr>
            <w:tcW w:w="5680" w:type="dxa"/>
            <w:vAlign w:val="bottom"/>
          </w:tcPr>
          <w:p>
            <w:pPr>
              <w:jc w:val="right"/>
              <w:spacing w:after="0"/>
              <w:rPr>
                <w:sz w:val="20"/>
                <w:szCs w:val="20"/>
                <w:color w:val="auto"/>
              </w:rPr>
            </w:pPr>
            <w:r>
              <w:rPr>
                <w:rFonts w:ascii="Arial" w:cs="Arial" w:eastAsia="Arial" w:hAnsi="Arial"/>
                <w:sz w:val="18"/>
                <w:szCs w:val="18"/>
                <w:color w:val="auto"/>
              </w:rPr>
              <w:t>301.998.8316</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i w:val="1"/>
                <w:iCs w:val="1"/>
                <w:color w:val="auto"/>
              </w:rPr>
              <w:t>lbrady@federalrealty.com</w:t>
            </w:r>
          </w:p>
        </w:tc>
        <w:tc>
          <w:tcPr>
            <w:tcW w:w="5680" w:type="dxa"/>
            <w:vAlign w:val="bottom"/>
          </w:tcPr>
          <w:p>
            <w:pPr>
              <w:jc w:val="right"/>
              <w:spacing w:after="0"/>
              <w:rPr>
                <w:sz w:val="20"/>
                <w:szCs w:val="20"/>
                <w:color w:val="auto"/>
              </w:rPr>
            </w:pPr>
            <w:r>
              <w:rPr>
                <w:rFonts w:ascii="Arial" w:cs="Arial" w:eastAsia="Arial" w:hAnsi="Arial"/>
                <w:sz w:val="18"/>
                <w:szCs w:val="18"/>
                <w:i w:val="1"/>
                <w:iCs w:val="1"/>
                <w:color w:val="auto"/>
              </w:rPr>
              <w:t>bpomar@federalrealty.com</w:t>
            </w:r>
          </w:p>
        </w:tc>
      </w:tr>
    </w:tbl>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 Announces First Quarter 2019 Operating Results</w:t>
      </w:r>
    </w:p>
    <w:p>
      <w:pPr>
        <w:spacing w:after="0" w:line="301"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 xml:space="preserve">ROCKVILLE, Md. (May 2, 2019) - </w:t>
      </w:r>
      <w:r>
        <w:rPr>
          <w:rFonts w:ascii="Arial" w:cs="Arial" w:eastAsia="Arial" w:hAnsi="Arial"/>
          <w:sz w:val="18"/>
          <w:szCs w:val="18"/>
          <w:u w:val="single" w:color="auto"/>
          <w:color w:val="auto"/>
        </w:rPr>
        <w:t>Federal Realty Investment Trust</w:t>
      </w:r>
      <w:r>
        <w:rPr>
          <w:rFonts w:ascii="Arial" w:cs="Arial" w:eastAsia="Arial" w:hAnsi="Arial"/>
          <w:sz w:val="18"/>
          <w:szCs w:val="18"/>
          <w:color w:val="auto"/>
        </w:rPr>
        <w:t xml:space="preserve"> (NYSE:FRT) today reported operating results for its first quarter ended March 31, 2019. For the three months ended March 31, 2019 and 2018, net income available for common shareholders was $0.78 per diluted share and $0.81 per diluted share,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Highlights of the quarter include:</w:t>
      </w:r>
    </w:p>
    <w:p>
      <w:pPr>
        <w:spacing w:after="0" w:line="239" w:lineRule="exact"/>
        <w:rPr>
          <w:sz w:val="20"/>
          <w:szCs w:val="20"/>
          <w:color w:val="auto"/>
        </w:rPr>
      </w:pPr>
    </w:p>
    <w:p>
      <w:pPr>
        <w:ind w:left="660" w:right="20" w:hanging="328"/>
        <w:spacing w:after="0" w:line="3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funds from operations available for common shareholders (FFO) per diluted share of $1.56 for the quarter compared to $1.52 in first quarter 2018.</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comparable property operating income (POI) growth of 3.5% for the first quarter.</w:t>
      </w:r>
    </w:p>
    <w:p>
      <w:pPr>
        <w:spacing w:after="0" w:line="103" w:lineRule="exact"/>
        <w:rPr>
          <w:rFonts w:ascii="Arial" w:cs="Arial" w:eastAsia="Arial" w:hAnsi="Arial"/>
          <w:sz w:val="18"/>
          <w:szCs w:val="18"/>
          <w:color w:val="auto"/>
        </w:rPr>
      </w:pPr>
    </w:p>
    <w:p>
      <w:pPr>
        <w:ind w:left="660" w:hanging="328"/>
        <w:spacing w:after="0" w:line="3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leases for 247,331 sf of comparable space in the first quarter at an average rent of $45.07 psf and achieved cash basis rollover growth on those comparable spaces of 10%.</w:t>
      </w:r>
    </w:p>
    <w:p>
      <w:pPr>
        <w:spacing w:after="0" w:line="14" w:lineRule="exact"/>
        <w:rPr>
          <w:rFonts w:ascii="Arial" w:cs="Arial" w:eastAsia="Arial" w:hAnsi="Arial"/>
          <w:sz w:val="18"/>
          <w:szCs w:val="18"/>
          <w:color w:val="auto"/>
        </w:rPr>
      </w:pPr>
    </w:p>
    <w:p>
      <w:pPr>
        <w:ind w:left="660" w:right="20" w:hanging="328"/>
        <w:spacing w:after="0" w:line="3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the launch of Phase I at Santana West, a 360,000 square foot office building across Winchester Boulevard from Santana Row.</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Maintained our 2019 FFO per diluted share guidance range to $6.30 - $6.46.</w:t>
      </w:r>
    </w:p>
    <w:p>
      <w:pPr>
        <w:spacing w:after="0" w:line="200" w:lineRule="exact"/>
        <w:rPr>
          <w:sz w:val="20"/>
          <w:szCs w:val="20"/>
          <w:color w:val="auto"/>
        </w:rPr>
      </w:pPr>
    </w:p>
    <w:p>
      <w:pPr>
        <w:spacing w:after="0" w:line="21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“We’re pleased with our first quarter results,” said Donald C. Wood, President and Chief Executive Officer. “We continue to execute on our multifaceted business plan with the goal of driving long term real estate value. Our best-in-class located properties are our greatest assets as we navigate the changing retail environment.”</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20"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Net income available for common shareholders was $58.1 million and earnings per diluted share was $0.78 for first quarter 2019 versus $59.2 million and $0.81, respectively, for first quarter 2018.</w:t>
      </w:r>
    </w:p>
    <w:p>
      <w:pPr>
        <w:spacing w:after="0" w:line="116" w:lineRule="exact"/>
        <w:rPr>
          <w:sz w:val="20"/>
          <w:szCs w:val="20"/>
          <w:color w:val="auto"/>
        </w:rPr>
      </w:pPr>
    </w:p>
    <w:p>
      <w:pPr>
        <w:ind w:right="200"/>
        <w:spacing w:after="0" w:line="371" w:lineRule="auto"/>
        <w:rPr>
          <w:sz w:val="20"/>
          <w:szCs w:val="20"/>
          <w:color w:val="auto"/>
        </w:rPr>
      </w:pPr>
      <w:r>
        <w:rPr>
          <w:rFonts w:ascii="Arial" w:cs="Arial" w:eastAsia="Arial" w:hAnsi="Arial"/>
          <w:sz w:val="18"/>
          <w:szCs w:val="18"/>
          <w:color w:val="auto"/>
        </w:rPr>
        <w:t>In the first quarter 2019, Federal Realty generated FFO of $116.9 million, or $1.56 per diluted share. This compares to FFO of $112.4 million, or $1.52 per diluted share, in first quarter 2018.</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440" w:right="239" w:bottom="1440" w:gutter="0" w:footer="0" w:header="0"/>
          <w:type w:val="continuous"/>
        </w:sectPr>
      </w:pPr>
    </w:p>
    <w:bookmarkStart w:id="6" w:name="page7"/>
    <w:bookmarkEnd w:id="6"/>
    <w:p>
      <w:pPr>
        <w:jc w:val="both"/>
        <w:ind w:right="20"/>
        <w:spacing w:after="0" w:line="3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6134735</wp:posOffset>
            </wp:positionH>
            <wp:positionV relativeFrom="page">
              <wp:posOffset>88900</wp:posOffset>
            </wp:positionV>
            <wp:extent cx="1269365"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77190"/>
                    </a:xfrm>
                    <a:prstGeom prst="rect">
                      <a:avLst/>
                    </a:prstGeom>
                    <a:noFill/>
                  </pic:spPr>
                </pic:pic>
              </a:graphicData>
            </a:graphic>
          </wp:anchor>
        </w:drawing>
        <w:t>FFO is a non-GAAP supplemental earnings measure which the Trust considers meaningful in measuring its operating performance. A reconciliation of FFO to net income is attached to this press release.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Results</w:t>
      </w:r>
    </w:p>
    <w:p>
      <w:pPr>
        <w:spacing w:after="0" w:line="261"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The overall portfolio was 94.0% leased as of March 31, 2019, and the comparable portfolio was 94.6% leased. In first quarter 2019, comparable property POI increased 3.5%. Comparable property POI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w:t>
      </w:r>
    </w:p>
    <w:p>
      <w:pPr>
        <w:spacing w:after="0" w:line="122" w:lineRule="exact"/>
        <w:rPr>
          <w:sz w:val="20"/>
          <w:szCs w:val="20"/>
          <w:color w:val="auto"/>
        </w:rPr>
      </w:pPr>
    </w:p>
    <w:p>
      <w:pPr>
        <w:ind w:right="500"/>
        <w:spacing w:after="0" w:line="364" w:lineRule="auto"/>
        <w:rPr>
          <w:sz w:val="20"/>
          <w:szCs w:val="20"/>
          <w:color w:val="auto"/>
        </w:rPr>
      </w:pPr>
      <w:r>
        <w:rPr>
          <w:rFonts w:ascii="Arial" w:cs="Arial" w:eastAsia="Arial" w:hAnsi="Arial"/>
          <w:sz w:val="18"/>
          <w:szCs w:val="18"/>
          <w:color w:val="auto"/>
        </w:rPr>
        <w:t>During the first quarter 2019, Federal Realty signed 79 leases for 305,724 square feet of retail space. On a comparable space basis (i.e., spaces for which there was a former tenant), Federal Realty leased 247,331 square feet at an average rent of $45.07 per square foot compared to the average contractual rent of $41.03 per square foot for the last year of the prior leases, representing a cash basis rollover growth on those comparable spaces of 10%.</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Regular Quarterly Dividends</w:t>
      </w:r>
    </w:p>
    <w:p>
      <w:pPr>
        <w:spacing w:after="0" w:line="261" w:lineRule="exact"/>
        <w:rPr>
          <w:sz w:val="20"/>
          <w:szCs w:val="20"/>
          <w:color w:val="auto"/>
        </w:rPr>
      </w:pPr>
    </w:p>
    <w:p>
      <w:pPr>
        <w:jc w:val="both"/>
        <w:ind w:right="20"/>
        <w:spacing w:after="0" w:line="365" w:lineRule="auto"/>
        <w:rPr>
          <w:sz w:val="20"/>
          <w:szCs w:val="20"/>
          <w:color w:val="auto"/>
        </w:rPr>
      </w:pPr>
      <w:r>
        <w:rPr>
          <w:rFonts w:ascii="Arial" w:cs="Arial" w:eastAsia="Arial" w:hAnsi="Arial"/>
          <w:sz w:val="18"/>
          <w:szCs w:val="18"/>
          <w:color w:val="auto"/>
        </w:rPr>
        <w:t>Federal Realty also announced today that its Board of Trustees declared a regular quarterly cash dividend of $1.02 per common share, resulting in an indicated annual rate of $4.08 per common share. The regular common dividend will be payable on July 15, 2019 to common shareholders of record as of June 21,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Federal Realty’s Board of Trustees also declared a quarterly cash dividend on its Class C depositary shares, each representing 1/1000 of a</w:t>
      </w:r>
    </w:p>
    <w:p>
      <w:pPr>
        <w:spacing w:after="0" w:line="104"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5.000% Series C Cumulative Preferred Share of Beneficial Interest, of $0.3125 per depositary share. All dividends on the depositary shares will be payable on payable on July 15, 2019 to common shareholders of record as of June 21, 2019.</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Other Quarterly Activities and Recent Developments</w:t>
      </w:r>
    </w:p>
    <w:p>
      <w:pPr>
        <w:spacing w:after="0" w:line="261" w:lineRule="exact"/>
        <w:rPr>
          <w:sz w:val="20"/>
          <w:szCs w:val="20"/>
          <w:color w:val="auto"/>
        </w:rPr>
      </w:pPr>
    </w:p>
    <w:p>
      <w:pPr>
        <w:spacing w:after="0" w:line="371" w:lineRule="auto"/>
        <w:rPr>
          <w:sz w:val="20"/>
          <w:szCs w:val="20"/>
          <w:color w:val="auto"/>
        </w:rPr>
      </w:pPr>
      <w:r>
        <w:rPr>
          <w:rFonts w:ascii="Arial" w:cs="Arial" w:eastAsia="Arial" w:hAnsi="Arial"/>
          <w:sz w:val="18"/>
          <w:szCs w:val="18"/>
          <w:color w:val="auto"/>
        </w:rPr>
        <w:t>May 1, 2019 - Federal Realty announced the launch of Phase I at Santana West, a 360,000 square foot office building across Winchester Boulevard from Santana Row. The estimated total investment in Phase I is expected to be approximately $250 - $270 million.</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Guidance</w:t>
      </w:r>
    </w:p>
    <w:p>
      <w:pPr>
        <w:spacing w:after="0" w:line="261" w:lineRule="exact"/>
        <w:rPr>
          <w:sz w:val="20"/>
          <w:szCs w:val="20"/>
          <w:color w:val="auto"/>
        </w:rPr>
      </w:pPr>
    </w:p>
    <w:p>
      <w:pPr>
        <w:ind w:right="20"/>
        <w:spacing w:after="0" w:line="371" w:lineRule="auto"/>
        <w:rPr>
          <w:sz w:val="20"/>
          <w:szCs w:val="20"/>
          <w:color w:val="auto"/>
        </w:rPr>
      </w:pPr>
      <w:r>
        <w:rPr>
          <w:rFonts w:ascii="Arial" w:cs="Arial" w:eastAsia="Arial" w:hAnsi="Arial"/>
          <w:sz w:val="18"/>
          <w:szCs w:val="18"/>
          <w:color w:val="auto"/>
        </w:rPr>
        <w:t>Federal Realty maintained its 2019 guidance for FFO per diluted share of $6.30 to $6.46 and maintained 2019 earnings per diluted share guidance of $3.14 to $3.30.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3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6134735</wp:posOffset>
            </wp:positionH>
            <wp:positionV relativeFrom="page">
              <wp:posOffset>88900</wp:posOffset>
            </wp:positionV>
            <wp:extent cx="1269365"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77190"/>
                    </a:xfrm>
                    <a:prstGeom prst="rect">
                      <a:avLst/>
                    </a:prstGeom>
                    <a:noFill/>
                  </pic:spPr>
                </pic:pic>
              </a:graphicData>
            </a:graphic>
          </wp:anchor>
        </w:drawing>
        <w:t>Conference Call Information</w:t>
      </w:r>
    </w:p>
    <w:p>
      <w:pPr>
        <w:spacing w:after="0" w:line="261"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first quarter 2019 earnings conference call, which is scheduled for Friday, May 3, 2019 at 10:00AM ET. To participate, please call 877.445.3230 five to ten minutes prior to the call start time and use the passcode 6892556 (required). A replay of the webcast will be available on Federal Realty’s website at www.federalrealty.com. A telephonic replay of the conference call will also be available through May 10, 2019 by dialing 855.859.2056; Passcode: 6892556.</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Federal Realty</w:t>
      </w:r>
    </w:p>
    <w:p>
      <w:pPr>
        <w:spacing w:after="0" w:line="261"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 based properties located primarily in major coastal markets from Washington, D.C. to Boston as well as San Francisco and Los Angeles. Founded in 1962, Federal Realty’s mission is to deliver long term, sustainable growth through investing in densely populated, affluent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105 properties include approximately 3,000 tenants, in 24 million square feet, and over 2,600 residential units.</w:t>
      </w:r>
    </w:p>
    <w:p>
      <w:pPr>
        <w:spacing w:after="0" w:line="124" w:lineRule="exact"/>
        <w:rPr>
          <w:sz w:val="20"/>
          <w:szCs w:val="20"/>
          <w:color w:val="auto"/>
        </w:rPr>
      </w:pPr>
    </w:p>
    <w:p>
      <w:pPr>
        <w:ind w:right="280"/>
        <w:spacing w:after="0" w:line="365" w:lineRule="auto"/>
        <w:rPr>
          <w:sz w:val="20"/>
          <w:szCs w:val="20"/>
          <w:color w:val="auto"/>
        </w:rPr>
      </w:pPr>
      <w:r>
        <w:rPr>
          <w:rFonts w:ascii="Arial" w:cs="Arial" w:eastAsia="Arial" w:hAnsi="Arial"/>
          <w:sz w:val="18"/>
          <w:szCs w:val="18"/>
          <w:color w:val="auto"/>
        </w:rPr>
        <w:t>Federal Realty has increased its quarterly dividends to its shareholders for 51 consecutive years, the longest record in the REIT industry. Federal Realty is an S&amp;P 500 index member and its shares are traded on the NYSE under the symbol FRT. For additional information about Federal Realty and its properties, visit www.FederalRealty.com.</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Language</w:t>
      </w:r>
    </w:p>
    <w:p>
      <w:pPr>
        <w:spacing w:after="0" w:line="198"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2019, and include the following:</w:t>
      </w:r>
    </w:p>
    <w:p>
      <w:pPr>
        <w:spacing w:after="0" w:line="16" w:lineRule="exact"/>
        <w:rPr>
          <w:sz w:val="20"/>
          <w:szCs w:val="20"/>
          <w:color w:val="auto"/>
        </w:rPr>
      </w:pPr>
    </w:p>
    <w:p>
      <w:pPr>
        <w:ind w:left="6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30"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 projects that we do pursue may cost more, take more time to complete, or fail to perform as expected;</w:t>
      </w:r>
    </w:p>
    <w:p>
      <w:pPr>
        <w:spacing w:after="0" w:line="30" w:lineRule="exact"/>
        <w:rPr>
          <w:rFonts w:ascii="Arial" w:cs="Arial" w:eastAsia="Arial" w:hAnsi="Arial"/>
          <w:sz w:val="18"/>
          <w:szCs w:val="18"/>
          <w:color w:val="auto"/>
        </w:rPr>
      </w:pPr>
    </w:p>
    <w:p>
      <w:pPr>
        <w:jc w:val="both"/>
        <w:ind w:left="660" w:hanging="328"/>
        <w:spacing w:after="0" w:line="28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we are investing a significant amount in ground-up development projects that may not perform as planned, may be dependent on third parties to deliver critical aspects of certain projects, requires spending a substantial amount upfront in infrastructure, and assumes receipt of public funding which has been committed but not entirely funded;</w:t>
      </w:r>
    </w:p>
    <w:p>
      <w:pPr>
        <w:spacing w:after="0" w:line="31" w:lineRule="exact"/>
        <w:rPr>
          <w:rFonts w:ascii="Arial" w:cs="Arial" w:eastAsia="Arial" w:hAnsi="Arial"/>
          <w:sz w:val="18"/>
          <w:szCs w:val="18"/>
          <w:color w:val="auto"/>
        </w:rPr>
      </w:pPr>
    </w:p>
    <w:p>
      <w:pPr>
        <w:jc w:val="both"/>
        <w:ind w:left="660" w:hanging="328"/>
        <w:spacing w:after="0" w:line="29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12"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30" w:lineRule="exact"/>
        <w:rPr>
          <w:rFonts w:ascii="Arial" w:cs="Arial" w:eastAsia="Arial" w:hAnsi="Arial"/>
          <w:sz w:val="18"/>
          <w:szCs w:val="18"/>
          <w:color w:val="auto"/>
        </w:rPr>
      </w:pPr>
    </w:p>
    <w:p>
      <w:pPr>
        <w:jc w:val="both"/>
        <w:ind w:left="660" w:right="20" w:hanging="328"/>
        <w:spacing w:after="0" w:line="28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1" w:lineRule="exact"/>
        <w:rPr>
          <w:rFonts w:ascii="Arial" w:cs="Arial" w:eastAsia="Arial" w:hAnsi="Arial"/>
          <w:sz w:val="18"/>
          <w:szCs w:val="18"/>
          <w:color w:val="auto"/>
        </w:rPr>
      </w:pPr>
    </w:p>
    <w:p>
      <w:pPr>
        <w:jc w:val="both"/>
        <w:ind w:left="660" w:right="20" w:hanging="328"/>
        <w:spacing w:after="0" w:line="29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008" w:right="239" w:bottom="1440" w:gutter="0" w:footer="0" w:header="0"/>
        </w:sectPr>
      </w:pPr>
    </w:p>
    <w:bookmarkStart w:id="8" w:name="page9"/>
    <w:bookmarkEnd w:id="8"/>
    <w:p>
      <w:pPr>
        <w:jc w:val="both"/>
        <w:spacing w:after="0" w:line="260"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6134735</wp:posOffset>
            </wp:positionH>
            <wp:positionV relativeFrom="page">
              <wp:posOffset>88900</wp:posOffset>
            </wp:positionV>
            <wp:extent cx="1269365"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77190"/>
                    </a:xfrm>
                    <a:prstGeom prst="rect">
                      <a:avLst/>
                    </a:prstGeom>
                    <a:noFill/>
                  </pic:spPr>
                </pic:pic>
              </a:graphicData>
            </a:graphic>
          </wp:anchor>
        </w:drawing>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13, 2019.</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968" w:right="23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Income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March 31, 2019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4"/>
          </w:tcPr>
          <w:p>
            <w:pPr>
              <w:jc w:val="center"/>
              <w:ind w:right="51"/>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276"/>
        </w:trPr>
        <w:tc>
          <w:tcPr>
            <w:tcW w:w="52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633"/>
              <w:spacing w:after="0"/>
              <w:rPr>
                <w:sz w:val="20"/>
                <w:szCs w:val="20"/>
                <w:color w:val="auto"/>
              </w:rPr>
            </w:pPr>
            <w:r>
              <w:rPr>
                <w:rFonts w:ascii="Arial" w:cs="Arial" w:eastAsia="Arial" w:hAnsi="Arial"/>
                <w:sz w:val="14"/>
                <w:szCs w:val="14"/>
                <w:b w:val="1"/>
                <w:bCs w:val="1"/>
                <w:color w:val="auto"/>
                <w:w w:val="99"/>
              </w:rPr>
              <w:t>March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4"/>
        </w:trPr>
        <w:tc>
          <w:tcPr>
            <w:tcW w:w="52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60" w:type="dxa"/>
            <w:vAlign w:val="bottom"/>
            <w:gridSpan w:val="4"/>
          </w:tcPr>
          <w:p>
            <w:pPr>
              <w:jc w:val="center"/>
              <w:ind w:right="31"/>
              <w:spacing w:after="0"/>
              <w:rPr>
                <w:sz w:val="20"/>
                <w:szCs w:val="20"/>
                <w:color w:val="auto"/>
              </w:rPr>
            </w:pPr>
            <w:r>
              <w:rPr>
                <w:rFonts w:ascii="Arial" w:cs="Arial" w:eastAsia="Arial" w:hAnsi="Arial"/>
                <w:sz w:val="14"/>
                <w:szCs w:val="14"/>
                <w:b w:val="1"/>
                <w:bCs w:val="1"/>
                <w:color w:val="auto"/>
                <w:w w:val="91"/>
              </w:rPr>
              <w:t>(in thousands, except per share data)</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3"/>
          </w:tcPr>
          <w:p>
            <w:pPr>
              <w:jc w:val="center"/>
              <w:ind w:left="633"/>
              <w:spacing w:after="0"/>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260" w:type="dxa"/>
            <w:vAlign w:val="bottom"/>
          </w:tcPr>
          <w:p>
            <w:pPr>
              <w:ind w:left="20"/>
              <w:spacing w:after="0"/>
              <w:rPr>
                <w:sz w:val="20"/>
                <w:szCs w:val="20"/>
                <w:color w:val="auto"/>
              </w:rPr>
            </w:pPr>
            <w:r>
              <w:rPr>
                <w:rFonts w:ascii="Arial" w:cs="Arial" w:eastAsia="Arial" w:hAnsi="Arial"/>
                <w:sz w:val="18"/>
                <w:szCs w:val="18"/>
                <w:color w:val="auto"/>
              </w:rPr>
              <w:t>REVENUE</w:t>
            </w:r>
          </w:p>
        </w:tc>
        <w:tc>
          <w:tcPr>
            <w:tcW w:w="3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Rental income</w:t>
            </w:r>
          </w:p>
        </w:tc>
        <w:tc>
          <w:tcPr>
            <w:tcW w:w="3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231,492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224,648</w:t>
            </w:r>
          </w:p>
        </w:tc>
        <w:tc>
          <w:tcPr>
            <w:tcW w:w="0" w:type="dxa"/>
            <w:vAlign w:val="bottom"/>
          </w:tcPr>
          <w:p>
            <w:pPr>
              <w:spacing w:after="0"/>
              <w:rPr>
                <w:sz w:val="1"/>
                <w:szCs w:val="1"/>
                <w:color w:val="auto"/>
              </w:rPr>
            </w:pPr>
          </w:p>
        </w:tc>
      </w:tr>
      <w:tr>
        <w:trPr>
          <w:trHeight w:val="243"/>
        </w:trPr>
        <w:tc>
          <w:tcPr>
            <w:tcW w:w="5260" w:type="dxa"/>
            <w:vAlign w:val="bottom"/>
          </w:tcPr>
          <w:p>
            <w:pPr>
              <w:ind w:left="260"/>
              <w:spacing w:after="0"/>
              <w:rPr>
                <w:sz w:val="20"/>
                <w:szCs w:val="20"/>
                <w:color w:val="auto"/>
              </w:rPr>
            </w:pPr>
            <w:r>
              <w:rPr>
                <w:rFonts w:ascii="Arial" w:cs="Arial" w:eastAsia="Arial" w:hAnsi="Arial"/>
                <w:sz w:val="18"/>
                <w:szCs w:val="18"/>
                <w:color w:val="auto"/>
              </w:rPr>
              <w:t>Mortgage interest income</w:t>
            </w:r>
          </w:p>
        </w:tc>
        <w:tc>
          <w:tcPr>
            <w:tcW w:w="3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revenue</w:t>
            </w:r>
          </w:p>
        </w:tc>
        <w:tc>
          <w:tcPr>
            <w:tcW w:w="3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232,227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225,405</w:t>
            </w:r>
          </w:p>
        </w:tc>
        <w:tc>
          <w:tcPr>
            <w:tcW w:w="0" w:type="dxa"/>
            <w:vAlign w:val="bottom"/>
          </w:tcPr>
          <w:p>
            <w:pPr>
              <w:spacing w:after="0"/>
              <w:rPr>
                <w:sz w:val="1"/>
                <w:szCs w:val="1"/>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EXPENSES</w:t>
            </w:r>
          </w:p>
        </w:tc>
        <w:tc>
          <w:tcPr>
            <w:tcW w:w="34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Rental expenses</w:t>
            </w:r>
          </w:p>
        </w:tc>
        <w:tc>
          <w:tcPr>
            <w:tcW w:w="3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44,260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44,773</w:t>
            </w:r>
          </w:p>
        </w:tc>
        <w:tc>
          <w:tcPr>
            <w:tcW w:w="0" w:type="dxa"/>
            <w:vAlign w:val="bottom"/>
          </w:tcPr>
          <w:p>
            <w:pPr>
              <w:spacing w:after="0"/>
              <w:rPr>
                <w:sz w:val="1"/>
                <w:szCs w:val="1"/>
                <w:color w:val="auto"/>
              </w:rPr>
            </w:pPr>
          </w:p>
        </w:tc>
      </w:tr>
      <w:tr>
        <w:trPr>
          <w:trHeight w:val="243"/>
        </w:trPr>
        <w:tc>
          <w:tcPr>
            <w:tcW w:w="5260" w:type="dxa"/>
            <w:vAlign w:val="bottom"/>
          </w:tcPr>
          <w:p>
            <w:pPr>
              <w:ind w:left="260"/>
              <w:spacing w:after="0"/>
              <w:rPr>
                <w:sz w:val="20"/>
                <w:szCs w:val="20"/>
                <w:color w:val="auto"/>
              </w:rPr>
            </w:pPr>
            <w:r>
              <w:rPr>
                <w:rFonts w:ascii="Arial" w:cs="Arial" w:eastAsia="Arial" w:hAnsi="Arial"/>
                <w:sz w:val="18"/>
                <w:szCs w:val="18"/>
                <w:color w:val="auto"/>
              </w:rPr>
              <w:t>Real estate taxes</w:t>
            </w:r>
          </w:p>
        </w:tc>
        <w:tc>
          <w:tcPr>
            <w:tcW w:w="3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27,687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28,448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3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7,929</w:t>
            </w:r>
          </w:p>
        </w:tc>
        <w:tc>
          <w:tcPr>
            <w:tcW w:w="0" w:type="dxa"/>
            <w:vAlign w:val="bottom"/>
          </w:tcPr>
          <w:p>
            <w:pPr>
              <w:spacing w:after="0"/>
              <w:rPr>
                <w:sz w:val="1"/>
                <w:szCs w:val="1"/>
                <w:color w:val="auto"/>
              </w:rPr>
            </w:pPr>
          </w:p>
        </w:tc>
      </w:tr>
      <w:tr>
        <w:trPr>
          <w:trHeight w:val="243"/>
        </w:trPr>
        <w:tc>
          <w:tcPr>
            <w:tcW w:w="52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59,622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58,110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3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141,134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139,260</w:t>
            </w:r>
          </w:p>
        </w:tc>
        <w:tc>
          <w:tcPr>
            <w:tcW w:w="0" w:type="dxa"/>
            <w:vAlign w:val="bottom"/>
          </w:tcPr>
          <w:p>
            <w:pPr>
              <w:spacing w:after="0"/>
              <w:rPr>
                <w:sz w:val="1"/>
                <w:szCs w:val="1"/>
                <w:color w:val="auto"/>
              </w:rPr>
            </w:pPr>
          </w:p>
        </w:tc>
      </w:tr>
      <w:tr>
        <w:trPr>
          <w:trHeight w:val="264"/>
        </w:trPr>
        <w:tc>
          <w:tcPr>
            <w:tcW w:w="52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Gain on sale of real estate, net of tax</w:t>
            </w:r>
          </w:p>
        </w:tc>
        <w:tc>
          <w:tcPr>
            <w:tcW w:w="34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64"/>
        </w:trPr>
        <w:tc>
          <w:tcPr>
            <w:tcW w:w="52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91,093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89,461</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INCOME/(EXPENSE)</w:t>
            </w:r>
          </w:p>
        </w:tc>
        <w:tc>
          <w:tcPr>
            <w:tcW w:w="3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60"/>
              <w:spacing w:after="0"/>
              <w:rPr>
                <w:sz w:val="20"/>
                <w:szCs w:val="20"/>
                <w:color w:val="auto"/>
              </w:rPr>
            </w:pPr>
            <w:r>
              <w:rPr>
                <w:rFonts w:ascii="Arial" w:cs="Arial" w:eastAsia="Arial" w:hAnsi="Arial"/>
                <w:sz w:val="18"/>
                <w:szCs w:val="18"/>
                <w:color w:val="auto"/>
              </w:rPr>
              <w:t>Other interest income</w:t>
            </w:r>
          </w:p>
        </w:tc>
        <w:tc>
          <w:tcPr>
            <w:tcW w:w="3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expense</w:t>
            </w:r>
          </w:p>
        </w:tc>
        <w:tc>
          <w:tcPr>
            <w:tcW w:w="3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(26,184)</w:t>
            </w:r>
          </w:p>
        </w:tc>
        <w:tc>
          <w:tcPr>
            <w:tcW w:w="0" w:type="dxa"/>
            <w:vAlign w:val="bottom"/>
          </w:tcPr>
          <w:p>
            <w:pPr>
              <w:spacing w:after="0"/>
              <w:rPr>
                <w:sz w:val="1"/>
                <w:szCs w:val="1"/>
                <w:color w:val="auto"/>
              </w:rPr>
            </w:pPr>
          </w:p>
        </w:tc>
      </w:tr>
      <w:tr>
        <w:trPr>
          <w:trHeight w:val="243"/>
        </w:trPr>
        <w:tc>
          <w:tcPr>
            <w:tcW w:w="5260" w:type="dxa"/>
            <w:vAlign w:val="bottom"/>
          </w:tcPr>
          <w:p>
            <w:pPr>
              <w:ind w:left="260"/>
              <w:spacing w:after="0"/>
              <w:rPr>
                <w:sz w:val="20"/>
                <w:szCs w:val="20"/>
                <w:color w:val="auto"/>
              </w:rPr>
            </w:pPr>
            <w:r>
              <w:rPr>
                <w:rFonts w:ascii="Arial" w:cs="Arial" w:eastAsia="Arial" w:hAnsi="Arial"/>
                <w:sz w:val="18"/>
                <w:szCs w:val="18"/>
                <w:color w:val="auto"/>
              </w:rPr>
              <w:t>Loss from partnerships</w:t>
            </w:r>
          </w:p>
        </w:tc>
        <w:tc>
          <w:tcPr>
            <w:tcW w:w="3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61,803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62,931</w:t>
            </w:r>
          </w:p>
        </w:tc>
        <w:tc>
          <w:tcPr>
            <w:tcW w:w="0" w:type="dxa"/>
            <w:vAlign w:val="bottom"/>
          </w:tcPr>
          <w:p>
            <w:pPr>
              <w:spacing w:after="0"/>
              <w:rPr>
                <w:sz w:val="1"/>
                <w:szCs w:val="1"/>
                <w:color w:val="auto"/>
              </w:rPr>
            </w:pPr>
          </w:p>
        </w:tc>
      </w:tr>
      <w:tr>
        <w:trPr>
          <w:trHeight w:val="243"/>
        </w:trPr>
        <w:tc>
          <w:tcPr>
            <w:tcW w:w="5260" w:type="dxa"/>
            <w:vAlign w:val="bottom"/>
          </w:tcPr>
          <w:p>
            <w:pPr>
              <w:ind w:left="300"/>
              <w:spacing w:after="0"/>
              <w:rPr>
                <w:sz w:val="20"/>
                <w:szCs w:val="20"/>
                <w:color w:val="auto"/>
              </w:rPr>
            </w:pPr>
            <w:r>
              <w:rPr>
                <w:rFonts w:ascii="Arial" w:cs="Arial" w:eastAsia="Arial" w:hAnsi="Arial"/>
                <w:sz w:val="18"/>
                <w:szCs w:val="18"/>
                <w:color w:val="auto"/>
              </w:rPr>
              <w:t>Net income attributable to noncontrolling interests</w:t>
            </w:r>
          </w:p>
        </w:tc>
        <w:tc>
          <w:tcPr>
            <w:tcW w:w="3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TRUST</w:t>
            </w:r>
          </w:p>
        </w:tc>
        <w:tc>
          <w:tcPr>
            <w:tcW w:w="3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60,144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61,247</w:t>
            </w:r>
          </w:p>
        </w:tc>
        <w:tc>
          <w:tcPr>
            <w:tcW w:w="0" w:type="dxa"/>
            <w:vAlign w:val="bottom"/>
          </w:tcPr>
          <w:p>
            <w:pPr>
              <w:spacing w:after="0"/>
              <w:rPr>
                <w:sz w:val="1"/>
                <w:szCs w:val="1"/>
                <w:color w:val="auto"/>
              </w:rPr>
            </w:pPr>
          </w:p>
        </w:tc>
      </w:tr>
      <w:tr>
        <w:trPr>
          <w:trHeight w:val="243"/>
        </w:trPr>
        <w:tc>
          <w:tcPr>
            <w:tcW w:w="5260" w:type="dxa"/>
            <w:vAlign w:val="bottom"/>
          </w:tcPr>
          <w:p>
            <w:pPr>
              <w:ind w:left="260"/>
              <w:spacing w:after="0"/>
              <w:rPr>
                <w:sz w:val="20"/>
                <w:szCs w:val="20"/>
                <w:color w:val="auto"/>
              </w:rPr>
            </w:pPr>
            <w:r>
              <w:rPr>
                <w:rFonts w:ascii="Arial" w:cs="Arial" w:eastAsia="Arial" w:hAnsi="Arial"/>
                <w:sz w:val="18"/>
                <w:szCs w:val="18"/>
                <w:color w:val="auto"/>
              </w:rPr>
              <w:t>Dividends on preferred shares</w:t>
            </w:r>
          </w:p>
        </w:tc>
        <w:tc>
          <w:tcPr>
            <w:tcW w:w="3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AVAILABLE FOR COMMON SHAREHOLDERS</w:t>
            </w:r>
          </w:p>
        </w:tc>
        <w:tc>
          <w:tcPr>
            <w:tcW w:w="3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58,134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59,237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COMMON SHARE, BASIC:</w:t>
            </w:r>
          </w:p>
        </w:tc>
        <w:tc>
          <w:tcPr>
            <w:tcW w:w="3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60" w:type="dxa"/>
            <w:vAlign w:val="bottom"/>
            <w:vMerge w:val="continue"/>
          </w:tcPr>
          <w:p>
            <w:pPr>
              <w:spacing w:after="0"/>
              <w:rPr>
                <w:sz w:val="20"/>
                <w:szCs w:val="20"/>
                <w:color w:val="auto"/>
              </w:rPr>
            </w:pPr>
          </w:p>
        </w:tc>
        <w:tc>
          <w:tcPr>
            <w:tcW w:w="3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 available for common shareholders</w:t>
            </w:r>
          </w:p>
        </w:tc>
        <w:tc>
          <w:tcPr>
            <w:tcW w:w="3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0.78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Weighted average number of common shares</w:t>
            </w:r>
          </w:p>
        </w:tc>
        <w:tc>
          <w:tcPr>
            <w:tcW w:w="34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74,200</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72,905</w:t>
            </w: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 DILUTED:</w:t>
            </w:r>
          </w:p>
        </w:tc>
        <w:tc>
          <w:tcPr>
            <w:tcW w:w="34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260" w:type="dxa"/>
            <w:vAlign w:val="bottom"/>
          </w:tcPr>
          <w:p>
            <w:pPr>
              <w:ind w:left="260"/>
              <w:spacing w:after="0"/>
              <w:rPr>
                <w:sz w:val="20"/>
                <w:szCs w:val="20"/>
                <w:color w:val="auto"/>
              </w:rPr>
            </w:pPr>
            <w:r>
              <w:rPr>
                <w:rFonts w:ascii="Arial" w:cs="Arial" w:eastAsia="Arial" w:hAnsi="Arial"/>
                <w:sz w:val="18"/>
                <w:szCs w:val="18"/>
                <w:color w:val="auto"/>
              </w:rPr>
              <w:t>Net income available for common shareholders</w:t>
            </w:r>
          </w:p>
        </w:tc>
        <w:tc>
          <w:tcPr>
            <w:tcW w:w="3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51"/>
        </w:trPr>
        <w:tc>
          <w:tcPr>
            <w:tcW w:w="52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Weighted average number of common shares</w:t>
            </w:r>
          </w:p>
        </w:tc>
        <w:tc>
          <w:tcPr>
            <w:tcW w:w="34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74,200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72,968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480" w:type="dxa"/>
            <w:vAlign w:val="bottom"/>
            <w:vMerge w:val="restart"/>
          </w:tcPr>
          <w:p>
            <w:pPr>
              <w:jc w:val="right"/>
              <w:ind w:right="2930"/>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6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742" w:right="25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76"/>
        </w:trPr>
        <w:tc>
          <w:tcPr>
            <w:tcW w:w="88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2620" w:type="dxa"/>
            <w:vAlign w:val="bottom"/>
            <w:gridSpan w:val="5"/>
          </w:tcPr>
          <w:p>
            <w:pPr>
              <w:jc w:val="right"/>
              <w:spacing w:after="0" w:line="153" w:lineRule="exact"/>
              <w:rPr>
                <w:sz w:val="20"/>
                <w:szCs w:val="20"/>
                <w:color w:val="auto"/>
              </w:rPr>
            </w:pPr>
            <w:r>
              <w:rPr>
                <w:rFonts w:ascii="Arial" w:cs="Arial" w:eastAsia="Arial" w:hAnsi="Arial"/>
                <w:sz w:val="14"/>
                <w:szCs w:val="14"/>
                <w:b w:val="1"/>
                <w:bCs w:val="1"/>
                <w:color w:val="auto"/>
                <w:w w:val="91"/>
              </w:rPr>
              <w:t>(in thousands, except share and per share</w:t>
            </w:r>
          </w:p>
        </w:tc>
        <w:tc>
          <w:tcPr>
            <w:tcW w:w="0" w:type="dxa"/>
            <w:vAlign w:val="bottom"/>
          </w:tcPr>
          <w:p>
            <w:pPr>
              <w:spacing w:after="0"/>
              <w:rPr>
                <w:sz w:val="1"/>
                <w:szCs w:val="1"/>
                <w:color w:val="auto"/>
              </w:rPr>
            </w:pPr>
          </w:p>
        </w:tc>
      </w:tr>
      <w:tr>
        <w:trPr>
          <w:trHeight w:val="186"/>
        </w:trPr>
        <w:tc>
          <w:tcPr>
            <w:tcW w:w="8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data)</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800" w:type="dxa"/>
            <w:vAlign w:val="bottom"/>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w w:val="98"/>
              </w:rPr>
              <w:t>Operating (including $1,699,440 and $1,701,804 of consolidated variable interest entities, respectively)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7,293,205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7,307,622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Construction-in-progress (including $62,037 and $51,313 of consolidated variable interest entities,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540,192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495,274</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Assets held for sale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10,771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16,576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7,844,168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7,819,472</w:t>
            </w:r>
          </w:p>
        </w:tc>
        <w:tc>
          <w:tcPr>
            <w:tcW w:w="0" w:type="dxa"/>
            <w:vAlign w:val="bottom"/>
          </w:tcPr>
          <w:p>
            <w:pPr>
              <w:spacing w:after="0"/>
              <w:rPr>
                <w:sz w:val="1"/>
                <w:szCs w:val="1"/>
                <w:color w:val="auto"/>
              </w:rPr>
            </w:pPr>
          </w:p>
        </w:tc>
      </w:tr>
      <w:tr>
        <w:trPr>
          <w:trHeight w:val="229"/>
        </w:trPr>
        <w:tc>
          <w:tcPr>
            <w:tcW w:w="8800" w:type="dxa"/>
            <w:vAlign w:val="bottom"/>
          </w:tcPr>
          <w:p>
            <w:pPr>
              <w:ind w:left="720"/>
              <w:spacing w:after="0"/>
              <w:rPr>
                <w:sz w:val="20"/>
                <w:szCs w:val="20"/>
                <w:color w:val="auto"/>
              </w:rPr>
            </w:pPr>
            <w:r>
              <w:rPr>
                <w:rFonts w:ascii="Arial" w:cs="Arial" w:eastAsia="Arial" w:hAnsi="Arial"/>
                <w:sz w:val="18"/>
                <w:szCs w:val="18"/>
                <w:color w:val="auto"/>
                <w:w w:val="93"/>
              </w:rPr>
              <w:t>Less accumulated depreciation and amortization (including $301,029 and $292,374 of consolidated variable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auto"/>
              </w:rPr>
              <w:t>interest entities, respectively)</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(2,105,159)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(2,059,143)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5,739,009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5,760,329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43,003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64,087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137,779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142,237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Mortgage notes receivable, net</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30,429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30,429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26,859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Operating lease right of use assets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95,402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Finance lease right of use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53,365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221,849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265,703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6,351,366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6,289,644</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00" w:type="dxa"/>
            <w:vAlign w:val="bottom"/>
          </w:tcPr>
          <w:p>
            <w:pPr>
              <w:ind w:left="720"/>
              <w:spacing w:after="0"/>
              <w:rPr>
                <w:sz w:val="20"/>
                <w:szCs w:val="20"/>
                <w:color w:val="auto"/>
              </w:rPr>
            </w:pPr>
            <w:r>
              <w:rPr>
                <w:rFonts w:ascii="Arial" w:cs="Arial" w:eastAsia="Arial" w:hAnsi="Arial"/>
                <w:sz w:val="18"/>
                <w:szCs w:val="18"/>
                <w:color w:val="auto"/>
              </w:rPr>
              <w:t>Mortgages payable, net (including $441,107 and $444,388 of consolidated variable interest entities,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auto"/>
              </w:rPr>
              <w:t>respectively)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452,466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474,379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71,519</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Notes payable, net</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299,106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279,027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Senior notes and debentures,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2,404,987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2,404,279</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156,029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177,922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78,547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78,207</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Security deposits payable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19,381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17,875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Operating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75,057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Finance lease liabilities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72,071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157,451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182,898</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3,715,095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3,686,106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134,708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136,208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Preferred shares, authorized 15,000,000 shares, $.01 par:</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0"/>
              </w:rPr>
              <w:t>5.0% Series C Cumulative Redeemable Preferred Shares, (stated at liquidation preference $25,000 per share),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6,000 shares issued and 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9"/>
        </w:trPr>
        <w:tc>
          <w:tcPr>
            <w:tcW w:w="8800" w:type="dxa"/>
            <w:vAlign w:val="bottom"/>
          </w:tcPr>
          <w:p>
            <w:pPr>
              <w:ind w:left="820"/>
              <w:spacing w:after="0"/>
              <w:rPr>
                <w:sz w:val="20"/>
                <w:szCs w:val="20"/>
                <w:color w:val="auto"/>
              </w:rPr>
            </w:pPr>
            <w:r>
              <w:rPr>
                <w:rFonts w:ascii="Arial" w:cs="Arial" w:eastAsia="Arial" w:hAnsi="Arial"/>
                <w:sz w:val="18"/>
                <w:szCs w:val="18"/>
                <w:color w:val="auto"/>
                <w:w w:val="93"/>
              </w:rPr>
              <w:t>5.417% Series 1 Cumulative Convertible Preferred Shares, (stated at liquidation preference $25 per share),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820"/>
              <w:spacing w:after="0"/>
              <w:rPr>
                <w:sz w:val="20"/>
                <w:szCs w:val="20"/>
                <w:color w:val="auto"/>
              </w:rPr>
            </w:pPr>
            <w:r>
              <w:rPr>
                <w:rFonts w:ascii="Arial" w:cs="Arial" w:eastAsia="Arial" w:hAnsi="Arial"/>
                <w:sz w:val="18"/>
                <w:szCs w:val="18"/>
                <w:color w:val="auto"/>
              </w:rPr>
              <w:t>399,896 shares issued and outstanding</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9,997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shd w:val="clear" w:color="auto" w:fill="CCEEFF"/>
              </w:rPr>
              <w:t>Common shares of beneficial interest, $.01 par, 100,000,000 shares authorized, 74,836,984 and 74,249,633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shares issued and outstanding,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3,071,981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3,004,442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(843,947)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(818,877)</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2,388,158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2,345,891</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113,405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121,439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2,501,563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2,467,330</w:t>
            </w: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6,351,366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6,289,644</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44"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42" w:right="239" w:bottom="44"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Other Supplemental Information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2019</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713"/>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50"/>
        </w:trPr>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6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w w:val="91"/>
              </w:rPr>
              <w:t>(in thousands, except per share data)</w:t>
            </w: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526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90"/>
              </w:rPr>
              <w:t>Funds from Operations available for common shareholders (FFO) (1) (2)</w:t>
            </w:r>
          </w:p>
        </w:tc>
        <w:tc>
          <w:tcPr>
            <w:tcW w:w="3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400" w:type="dxa"/>
            <w:vAlign w:val="bottom"/>
            <w:gridSpan w:val="6"/>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61,803</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62,931</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(1,684)</w:t>
            </w:r>
          </w:p>
        </w:tc>
      </w:tr>
      <w:tr>
        <w:trPr>
          <w:trHeight w:val="243"/>
        </w:trPr>
        <w:tc>
          <w:tcPr>
            <w:tcW w:w="8400" w:type="dxa"/>
            <w:vAlign w:val="bottom"/>
            <w:gridSpan w:val="6"/>
          </w:tcPr>
          <w:p>
            <w:pPr>
              <w:ind w:left="20"/>
              <w:spacing w:after="0"/>
              <w:rPr>
                <w:sz w:val="20"/>
                <w:szCs w:val="20"/>
                <w:color w:val="auto"/>
              </w:rPr>
            </w:pPr>
            <w:r>
              <w:rPr>
                <w:rFonts w:ascii="Arial" w:cs="Arial" w:eastAsia="Arial" w:hAnsi="Arial"/>
                <w:sz w:val="18"/>
                <w:szCs w:val="18"/>
                <w:color w:val="auto"/>
              </w:rPr>
              <w:t>Gain on sale of real estate, net</w:t>
            </w:r>
          </w:p>
        </w:tc>
        <w:tc>
          <w:tcPr>
            <w:tcW w:w="24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(3,316)</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Depreciation and amortization of real estate assets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53,489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51,351</w:t>
            </w:r>
          </w:p>
        </w:tc>
      </w:tr>
      <w:tr>
        <w:trPr>
          <w:trHeight w:val="243"/>
        </w:trPr>
        <w:tc>
          <w:tcPr>
            <w:tcW w:w="8400" w:type="dxa"/>
            <w:vAlign w:val="bottom"/>
            <w:gridSpan w:val="6"/>
          </w:tcPr>
          <w:p>
            <w:pPr>
              <w:ind w:left="20"/>
              <w:spacing w:after="0"/>
              <w:rPr>
                <w:sz w:val="20"/>
                <w:szCs w:val="20"/>
                <w:color w:val="auto"/>
              </w:rPr>
            </w:pPr>
            <w:r>
              <w:rPr>
                <w:rFonts w:ascii="Arial" w:cs="Arial" w:eastAsia="Arial" w:hAnsi="Arial"/>
                <w:sz w:val="18"/>
                <w:szCs w:val="18"/>
                <w:color w:val="auto"/>
              </w:rPr>
              <w:t>Amortization of initial direct costs of leases</w:t>
            </w:r>
          </w:p>
        </w:tc>
        <w:tc>
          <w:tcPr>
            <w:tcW w:w="24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4,750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4,600</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8"/>
                <w:szCs w:val="18"/>
                <w:color w:val="auto"/>
              </w:rPr>
              <w:t>Funds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118,383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113,882</w:t>
            </w:r>
          </w:p>
        </w:tc>
      </w:tr>
      <w:tr>
        <w:trPr>
          <w:trHeight w:val="243"/>
        </w:trPr>
        <w:tc>
          <w:tcPr>
            <w:tcW w:w="8400" w:type="dxa"/>
            <w:vAlign w:val="bottom"/>
            <w:gridSpan w:val="6"/>
          </w:tcPr>
          <w:p>
            <w:pPr>
              <w:ind w:left="20"/>
              <w:spacing w:after="0"/>
              <w:rPr>
                <w:sz w:val="20"/>
                <w:szCs w:val="20"/>
                <w:color w:val="auto"/>
              </w:rPr>
            </w:pPr>
            <w:r>
              <w:rPr>
                <w:rFonts w:ascii="Arial" w:cs="Arial" w:eastAsia="Arial" w:hAnsi="Arial"/>
                <w:sz w:val="18"/>
                <w:szCs w:val="18"/>
                <w:color w:val="auto"/>
              </w:rPr>
              <w:t>Dividends on preferred shares</w:t>
            </w:r>
          </w:p>
        </w:tc>
        <w:tc>
          <w:tcPr>
            <w:tcW w:w="24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(1,875)</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Income attributable to operating partnership units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775</w:t>
            </w:r>
          </w:p>
        </w:tc>
      </w:tr>
      <w:tr>
        <w:trPr>
          <w:trHeight w:val="243"/>
        </w:trPr>
        <w:tc>
          <w:tcPr>
            <w:tcW w:w="8400" w:type="dxa"/>
            <w:vAlign w:val="bottom"/>
            <w:gridSpan w:val="6"/>
          </w:tcPr>
          <w:p>
            <w:pPr>
              <w:ind w:left="20"/>
              <w:spacing w:after="0"/>
              <w:rPr>
                <w:sz w:val="20"/>
                <w:szCs w:val="20"/>
                <w:color w:val="auto"/>
              </w:rPr>
            </w:pPr>
            <w:r>
              <w:rPr>
                <w:rFonts w:ascii="Arial" w:cs="Arial" w:eastAsia="Arial" w:hAnsi="Arial"/>
                <w:sz w:val="18"/>
                <w:szCs w:val="18"/>
                <w:color w:val="auto"/>
              </w:rPr>
              <w:t>Income attributable to unvested shares</w:t>
            </w:r>
          </w:p>
        </w:tc>
        <w:tc>
          <w:tcPr>
            <w:tcW w:w="24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(388)</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38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8"/>
                <w:szCs w:val="18"/>
                <w:color w:val="auto"/>
              </w:rPr>
              <w:t>FFO</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116,893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112,394</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1"/>
        </w:trPr>
        <w:tc>
          <w:tcPr>
            <w:tcW w:w="8400" w:type="dxa"/>
            <w:vAlign w:val="bottom"/>
            <w:tcBorders>
              <w:bottom w:val="single" w:sz="8" w:color="CCEEFF"/>
            </w:tcBorders>
            <w:gridSpan w:val="6"/>
          </w:tcPr>
          <w:p>
            <w:pPr>
              <w:ind w:left="20"/>
              <w:spacing w:after="0"/>
              <w:rPr>
                <w:sz w:val="20"/>
                <w:szCs w:val="20"/>
                <w:color w:val="auto"/>
              </w:rPr>
            </w:pPr>
            <w:r>
              <w:rPr>
                <w:rFonts w:ascii="Arial" w:cs="Arial" w:eastAsia="Arial" w:hAnsi="Arial"/>
                <w:sz w:val="18"/>
                <w:szCs w:val="18"/>
                <w:color w:val="auto"/>
              </w:rPr>
              <w:t>Weighted average number of common shares, diluted</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75,010</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73,838</w:t>
            </w:r>
          </w:p>
        </w:tc>
      </w:tr>
      <w:tr>
        <w:trPr>
          <w:trHeight w:val="251"/>
        </w:trPr>
        <w:tc>
          <w:tcPr>
            <w:tcW w:w="84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FFO per diluted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1.52</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0"/>
              </w:rPr>
              <w:t>Summary of Capital Expenditures</w:t>
            </w:r>
          </w:p>
        </w:tc>
        <w:tc>
          <w:tcPr>
            <w:tcW w:w="5920" w:type="dxa"/>
            <w:vAlign w:val="bottom"/>
            <w:tcBorders>
              <w:bottom w:val="single" w:sz="8" w:color="CCEEFF"/>
            </w:tcBorders>
            <w:gridSpan w:val="3"/>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gridSpan w:val="6"/>
          </w:tcPr>
          <w:p>
            <w:pPr>
              <w:ind w:left="20"/>
              <w:spacing w:after="0"/>
              <w:rPr>
                <w:sz w:val="20"/>
                <w:szCs w:val="20"/>
                <w:color w:val="auto"/>
              </w:rPr>
            </w:pPr>
            <w:r>
              <w:rPr>
                <w:rFonts w:ascii="Arial" w:cs="Arial" w:eastAsia="Arial" w:hAnsi="Arial"/>
                <w:sz w:val="18"/>
                <w:szCs w:val="18"/>
                <w:color w:val="auto"/>
              </w:rPr>
              <w:t>Non-maintenance capital expenditures</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8"/>
                <w:szCs w:val="18"/>
                <w:color w:val="auto"/>
              </w:rPr>
              <w:t>Development, redevelopment and expansions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60,411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66,726</w:t>
            </w:r>
          </w:p>
        </w:tc>
      </w:tr>
      <w:tr>
        <w:trPr>
          <w:trHeight w:val="243"/>
        </w:trPr>
        <w:tc>
          <w:tcPr>
            <w:tcW w:w="20" w:type="dxa"/>
            <w:vAlign w:val="bottom"/>
          </w:tcPr>
          <w:p>
            <w:pPr>
              <w:spacing w:after="0"/>
              <w:rPr>
                <w:sz w:val="21"/>
                <w:szCs w:val="21"/>
                <w:color w:val="auto"/>
              </w:rPr>
            </w:pPr>
          </w:p>
        </w:tc>
        <w:tc>
          <w:tcPr>
            <w:tcW w:w="8380" w:type="dxa"/>
            <w:vAlign w:val="bottom"/>
            <w:gridSpan w:val="5"/>
          </w:tcPr>
          <w:p>
            <w:pPr>
              <w:ind w:left="360"/>
              <w:spacing w:after="0"/>
              <w:rPr>
                <w:sz w:val="20"/>
                <w:szCs w:val="20"/>
                <w:color w:val="auto"/>
              </w:rPr>
            </w:pPr>
            <w:r>
              <w:rPr>
                <w:rFonts w:ascii="Arial" w:cs="Arial" w:eastAsia="Arial" w:hAnsi="Arial"/>
                <w:sz w:val="18"/>
                <w:szCs w:val="18"/>
                <w:color w:val="auto"/>
              </w:rPr>
              <w:t>Tenant improvements and incentives</w:t>
            </w:r>
          </w:p>
        </w:tc>
        <w:tc>
          <w:tcPr>
            <w:tcW w:w="24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5,792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11,774</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Total non-maintenance capital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66,203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78,500</w:t>
            </w:r>
          </w:p>
        </w:tc>
      </w:tr>
      <w:tr>
        <w:trPr>
          <w:trHeight w:val="243"/>
        </w:trPr>
        <w:tc>
          <w:tcPr>
            <w:tcW w:w="20" w:type="dxa"/>
            <w:vAlign w:val="bottom"/>
          </w:tcPr>
          <w:p>
            <w:pPr>
              <w:spacing w:after="0"/>
              <w:rPr>
                <w:sz w:val="21"/>
                <w:szCs w:val="21"/>
                <w:color w:val="auto"/>
              </w:rPr>
            </w:pPr>
          </w:p>
        </w:tc>
        <w:tc>
          <w:tcPr>
            <w:tcW w:w="8380" w:type="dxa"/>
            <w:vAlign w:val="bottom"/>
            <w:gridSpan w:val="5"/>
          </w:tcPr>
          <w:p>
            <w:pPr>
              <w:ind w:left="360"/>
              <w:spacing w:after="0"/>
              <w:rPr>
                <w:sz w:val="20"/>
                <w:szCs w:val="20"/>
                <w:color w:val="auto"/>
              </w:rPr>
            </w:pPr>
            <w:r>
              <w:rPr>
                <w:rFonts w:ascii="Arial" w:cs="Arial" w:eastAsia="Arial" w:hAnsi="Arial"/>
                <w:sz w:val="18"/>
                <w:szCs w:val="18"/>
                <w:color w:val="auto"/>
              </w:rPr>
              <w:t>Maintenance capital expenditures</w:t>
            </w:r>
          </w:p>
        </w:tc>
        <w:tc>
          <w:tcPr>
            <w:tcW w:w="24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3,337</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4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Total capital expenditures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67,671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81,837</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9"/>
              </w:rPr>
              <w:t>Dividends and Payout Ratios</w:t>
            </w:r>
          </w:p>
        </w:tc>
        <w:tc>
          <w:tcPr>
            <w:tcW w:w="6280" w:type="dxa"/>
            <w:vAlign w:val="bottom"/>
            <w:tcBorders>
              <w:bottom w:val="single" w:sz="8" w:color="CCEEFF"/>
            </w:tcBorders>
            <w:gridSpan w:val="4"/>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gridSpan w:val="6"/>
          </w:tcPr>
          <w:p>
            <w:pPr>
              <w:ind w:left="20"/>
              <w:spacing w:after="0"/>
              <w:rPr>
                <w:sz w:val="20"/>
                <w:szCs w:val="20"/>
                <w:color w:val="auto"/>
              </w:rPr>
            </w:pPr>
            <w:r>
              <w:rPr>
                <w:rFonts w:ascii="Arial" w:cs="Arial" w:eastAsia="Arial" w:hAnsi="Arial"/>
                <w:sz w:val="18"/>
                <w:szCs w:val="18"/>
                <w:color w:val="auto"/>
              </w:rPr>
              <w:t>Regular common dividends declared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76,106</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73,153</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Dividend payout ratio as a percentage of FFO</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84"/>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w w:val="92"/>
              </w:rPr>
              <w:t>Noncontrolling Interests Supplemental Information (3)</w:t>
            </w:r>
          </w:p>
        </w:tc>
        <w:tc>
          <w:tcPr>
            <w:tcW w:w="442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gridSpan w:val="6"/>
          </w:tcPr>
          <w:p>
            <w:pPr>
              <w:ind w:left="20"/>
              <w:spacing w:after="0"/>
              <w:rPr>
                <w:sz w:val="20"/>
                <w:szCs w:val="20"/>
                <w:color w:val="auto"/>
              </w:rPr>
            </w:pPr>
            <w:r>
              <w:rPr>
                <w:rFonts w:ascii="Arial" w:cs="Arial" w:eastAsia="Arial" w:hAnsi="Arial"/>
                <w:sz w:val="18"/>
                <w:szCs w:val="18"/>
                <w:color w:val="auto"/>
              </w:rPr>
              <w:t>Property operating income (1)</w:t>
            </w:r>
          </w:p>
        </w:tc>
        <w:tc>
          <w:tcPr>
            <w:tcW w:w="24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3,056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3,333</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(1,719)</w:t>
            </w:r>
          </w:p>
        </w:tc>
      </w:tr>
      <w:tr>
        <w:trPr>
          <w:trHeight w:val="243"/>
        </w:trPr>
        <w:tc>
          <w:tcPr>
            <w:tcW w:w="8400" w:type="dxa"/>
            <w:vAlign w:val="bottom"/>
            <w:gridSpan w:val="6"/>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(705)</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4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930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909</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5" w:lineRule="exact"/>
        <w:rPr>
          <w:rFonts w:ascii="Arial" w:cs="Arial" w:eastAsia="Arial" w:hAnsi="Arial"/>
          <w:sz w:val="16"/>
          <w:szCs w:val="16"/>
          <w:color w:val="auto"/>
        </w:rPr>
      </w:pPr>
    </w:p>
    <w:p>
      <w:pPr>
        <w:jc w:val="both"/>
        <w:ind w:left="660" w:right="60" w:hanging="652"/>
        <w:spacing w:after="0" w:line="24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connection with the adoption of the new lease accounting standard, effective January 1, 2019, certain internal and external legal leasing costs no longer qualify for capitalization. As a result, capitalized leasing costs excluding external commissions decreased to $0.4 million for the three months ended March 31, 2019, compared to $1.6 million for the three months ended March 31, 2018.</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Amounts reflect the components of "net income attributable to noncontrolling interests," but excludes "income attributable to operating partnership units."</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42" w:right="239" w:bottom="1440" w:gutter="0" w:footer="0" w:header="0"/>
          <w:type w:val="continuous"/>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6"/>
                <w:szCs w:val="16"/>
                <w:color w:val="auto"/>
              </w:rPr>
            </w:pPr>
          </w:p>
        </w:tc>
      </w:tr>
      <w:tr>
        <w:trPr>
          <w:trHeight w:val="264"/>
        </w:trPr>
        <w:tc>
          <w:tcPr>
            <w:tcW w:w="8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50"/>
        </w:trPr>
        <w:tc>
          <w:tcPr>
            <w:tcW w:w="8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2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8"/>
              </w:rPr>
              <w:t>(in thousands, except per share data)</w:t>
            </w:r>
          </w:p>
        </w:tc>
      </w:tr>
      <w:tr>
        <w:trPr>
          <w:trHeight w:val="256"/>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Common shares outstanding and operating partnership units (1)</w:t>
            </w:r>
          </w:p>
        </w:tc>
        <w:tc>
          <w:tcPr>
            <w:tcW w:w="30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75,506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73,979</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Market price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137.85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116.11</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10,408,502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8,589,702</w:t>
            </w:r>
          </w:p>
        </w:tc>
      </w:tr>
      <w:tr>
        <w:trPr>
          <w:trHeight w:val="27"/>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Series C preferred shares outstanding</w:t>
            </w:r>
          </w:p>
        </w:tc>
        <w:tc>
          <w:tcPr>
            <w:tcW w:w="3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6</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Liquidation price per Series C preferred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25,000</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Series C preferred equity market capitalization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150,000</w:t>
            </w:r>
          </w:p>
        </w:tc>
      </w:tr>
      <w:tr>
        <w:trPr>
          <w:trHeight w:val="27"/>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Series 1 preferred shares outstanding (2)</w:t>
            </w:r>
          </w:p>
        </w:tc>
        <w:tc>
          <w:tcPr>
            <w:tcW w:w="3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Liquidation price per Series 1 preferred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Series 1 preferred equity market capitalization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10,000</w:t>
            </w:r>
          </w:p>
        </w:tc>
      </w:tr>
      <w:tr>
        <w:trPr>
          <w:trHeight w:val="27"/>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Equity market capitalization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10,568,502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8,749,702</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4"/>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Total debt (3)</w:t>
            </w:r>
          </w:p>
        </w:tc>
        <w:tc>
          <w:tcPr>
            <w:tcW w:w="3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3,156,559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3,263,867</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4"/>
        </w:trPr>
        <w:tc>
          <w:tcPr>
            <w:tcW w:w="82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r>
      <w:tr>
        <w:trPr>
          <w:trHeight w:val="297"/>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market capitalization</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13,725,061</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12,013,569</w:t>
            </w:r>
          </w:p>
        </w:tc>
      </w:tr>
      <w:tr>
        <w:trPr>
          <w:trHeight w:val="271"/>
        </w:trPr>
        <w:tc>
          <w:tcPr>
            <w:tcW w:w="8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Total debt to market capitalization at market price per common share</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Amounts include 669,377 and 762,487 operating partnership units outstanding at March 31, 2019 and 2018,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jc w:val="both"/>
        <w:ind w:left="660" w:right="80" w:hanging="652"/>
        <w:spacing w:after="0" w:line="286"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Total debt includes mortgages payable, notes payable, senior notes and debentures, net of premiums/discounts and debt issuance costs from our consolidated balance sheet. The previously reported 2018 balance has been adjusted to exclude capital lease obligations, as finance lease liabilities are no longer included in debt upon the adoption of the new lease accounting standard. See Note 2 of our March 31, 2019 Form 10-Q for additional information regarding the adoption.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2019</w:t>
      </w:r>
    </w:p>
    <w:p>
      <w:pPr>
        <w:spacing w:after="0" w:line="200" w:lineRule="exact"/>
        <w:rPr>
          <w:sz w:val="20"/>
          <w:szCs w:val="20"/>
          <w:color w:val="auto"/>
        </w:rPr>
      </w:pPr>
    </w:p>
    <w:p>
      <w:pPr>
        <w:spacing w:after="0" w:line="363" w:lineRule="exact"/>
        <w:rPr>
          <w:sz w:val="20"/>
          <w:szCs w:val="20"/>
          <w:color w:val="auto"/>
        </w:rPr>
      </w:pPr>
    </w:p>
    <w:p>
      <w:pPr>
        <w:ind w:left="40" w:right="260"/>
        <w:spacing w:after="0" w:line="274" w:lineRule="auto"/>
        <w:rPr>
          <w:sz w:val="20"/>
          <w:szCs w:val="20"/>
          <w:color w:val="auto"/>
        </w:rPr>
      </w:pPr>
      <w:r>
        <w:rPr>
          <w:rFonts w:ascii="Arial" w:cs="Arial" w:eastAsia="Arial" w:hAnsi="Arial"/>
          <w:sz w:val="17"/>
          <w:szCs w:val="17"/>
          <w:color w:val="auto"/>
        </w:rPr>
        <w:t>Effective January 1, 2019, we adopted the accounting guidance in ASU 2016-2, Leases (Topic 842), which resulted in several presentation changes with respect to our 2019 Consolidated Income Statements.</w:t>
      </w:r>
    </w:p>
    <w:p>
      <w:pPr>
        <w:spacing w:after="0" w:line="13" w:lineRule="exact"/>
        <w:rPr>
          <w:sz w:val="20"/>
          <w:szCs w:val="20"/>
          <w:color w:val="auto"/>
        </w:rPr>
      </w:pPr>
    </w:p>
    <w:p>
      <w:pPr>
        <w:ind w:left="420" w:right="160" w:hanging="86"/>
        <w:spacing w:after="0" w:line="261" w:lineRule="auto"/>
        <w:tabs>
          <w:tab w:leader="none" w:pos="420" w:val="left"/>
        </w:tabs>
        <w:numPr>
          <w:ilvl w:val="0"/>
          <w:numId w:val="8"/>
        </w:numPr>
        <w:rPr>
          <w:rFonts w:ascii="Arial" w:cs="Arial" w:eastAsia="Arial" w:hAnsi="Arial"/>
          <w:sz w:val="9"/>
          <w:szCs w:val="9"/>
          <w:color w:val="auto"/>
        </w:rPr>
      </w:pPr>
      <w:r>
        <w:rPr>
          <w:rFonts w:ascii="Arial" w:cs="Arial" w:eastAsia="Arial" w:hAnsi="Arial"/>
          <w:sz w:val="17"/>
          <w:szCs w:val="17"/>
          <w:color w:val="auto"/>
        </w:rPr>
        <w:t>All income from tenant leases are reported as a single line item called “Rental Income.” We have provided below supplemental information with a breakout of the contractual components of the rental income line, however, these breakouts are provided for informational purposes only and should be considered a non-GAAP presentation.</w:t>
      </w:r>
    </w:p>
    <w:p>
      <w:pPr>
        <w:spacing w:after="0" w:line="24" w:lineRule="exact"/>
        <w:rPr>
          <w:rFonts w:ascii="Arial" w:cs="Arial" w:eastAsia="Arial" w:hAnsi="Arial"/>
          <w:sz w:val="9"/>
          <w:szCs w:val="9"/>
          <w:color w:val="auto"/>
        </w:rPr>
      </w:pPr>
    </w:p>
    <w:p>
      <w:pPr>
        <w:ind w:left="420" w:right="120" w:hanging="86"/>
        <w:spacing w:after="0" w:line="274" w:lineRule="auto"/>
        <w:tabs>
          <w:tab w:leader="none" w:pos="420" w:val="left"/>
        </w:tabs>
        <w:numPr>
          <w:ilvl w:val="0"/>
          <w:numId w:val="8"/>
        </w:numPr>
        <w:rPr>
          <w:rFonts w:ascii="Arial" w:cs="Arial" w:eastAsia="Arial" w:hAnsi="Arial"/>
          <w:sz w:val="9"/>
          <w:szCs w:val="9"/>
          <w:color w:val="auto"/>
        </w:rPr>
      </w:pPr>
      <w:r>
        <w:rPr>
          <w:rFonts w:ascii="Arial" w:cs="Arial" w:eastAsia="Arial" w:hAnsi="Arial"/>
          <w:sz w:val="17"/>
          <w:szCs w:val="17"/>
          <w:color w:val="auto"/>
        </w:rPr>
        <w:t>Real estate taxes paid directly to the taxing authority by our tenants are no longer presented gross as “real estate tax expense” and “rental income” (this amount in 2018 was approximately $1 million). This change is only reflected in the 2019 results.</w:t>
      </w:r>
    </w:p>
    <w:p>
      <w:pPr>
        <w:spacing w:after="0" w:line="12" w:lineRule="exact"/>
        <w:rPr>
          <w:rFonts w:ascii="Arial" w:cs="Arial" w:eastAsia="Arial" w:hAnsi="Arial"/>
          <w:sz w:val="9"/>
          <w:szCs w:val="9"/>
          <w:color w:val="auto"/>
        </w:rPr>
      </w:pPr>
    </w:p>
    <w:p>
      <w:pPr>
        <w:ind w:left="420" w:right="380" w:hanging="86"/>
        <w:spacing w:after="0" w:line="274" w:lineRule="auto"/>
        <w:tabs>
          <w:tab w:leader="none" w:pos="420" w:val="left"/>
        </w:tabs>
        <w:numPr>
          <w:ilvl w:val="0"/>
          <w:numId w:val="8"/>
        </w:numPr>
        <w:rPr>
          <w:rFonts w:ascii="Arial" w:cs="Arial" w:eastAsia="Arial" w:hAnsi="Arial"/>
          <w:sz w:val="9"/>
          <w:szCs w:val="9"/>
          <w:color w:val="auto"/>
        </w:rPr>
      </w:pPr>
      <w:r>
        <w:rPr>
          <w:rFonts w:ascii="Arial" w:cs="Arial" w:eastAsia="Arial" w:hAnsi="Arial"/>
          <w:sz w:val="17"/>
          <w:szCs w:val="17"/>
          <w:color w:val="auto"/>
        </w:rPr>
        <w:t>Bad debt expense is no longer reflected in “rental expenses” but instead is a direct reduction of “rental income.” This change is reflected in the 2019 results only, and is a reduction of rental income of approximately $1 million.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8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577"/>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tcBorders>
              <w:bottom w:val="single" w:sz="8" w:color="auto"/>
            </w:tcBorders>
          </w:tcPr>
          <w:p>
            <w:pPr>
              <w:spacing w:after="0"/>
              <w:rPr>
                <w:sz w:val="24"/>
                <w:szCs w:val="24"/>
                <w:color w:val="auto"/>
              </w:rPr>
            </w:pPr>
          </w:p>
        </w:tc>
      </w:tr>
      <w:tr>
        <w:trPr>
          <w:trHeight w:val="264"/>
        </w:trPr>
        <w:tc>
          <w:tcPr>
            <w:tcW w:w="83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center"/>
              <w:ind w:left="557"/>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21"/>
                <w:szCs w:val="2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 (1)</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Commercial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156,146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152,150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19,164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16,015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44,454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45,204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9,793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8,505</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231,492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224,648</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100" w:hanging="652"/>
        <w:spacing w:after="0" w:line="26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Minimum rents include $1.4 million and $1.9 million for the three months ended March 31, 2019 and 2018, respectively, to recognize minimum rents on a straight-line basis. In addition, minimum rents include $1.8 million and $0.8 million for the three months ended March 31, 2019 and 2018, respectively, to recognize income from the amortization of in-place leases.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4" w:name="page15"/>
    <w:bookmarkEnd w:id="14"/>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Comparable Property Information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2019</w:t>
      </w:r>
    </w:p>
    <w:p>
      <w:pPr>
        <w:spacing w:after="0" w:line="280" w:lineRule="exact"/>
        <w:rPr>
          <w:sz w:val="20"/>
          <w:szCs w:val="20"/>
          <w:color w:val="auto"/>
        </w:rPr>
      </w:pPr>
    </w:p>
    <w:p>
      <w:pPr>
        <w:ind w:left="40" w:right="220"/>
        <w:spacing w:after="0" w:line="294" w:lineRule="auto"/>
        <w:rPr>
          <w:sz w:val="20"/>
          <w:szCs w:val="20"/>
          <w:color w:val="auto"/>
        </w:rPr>
      </w:pPr>
      <w:r>
        <w:rPr>
          <w:rFonts w:ascii="Arial" w:cs="Arial" w:eastAsia="Arial" w:hAnsi="Arial"/>
          <w:sz w:val="15"/>
          <w:szCs w:val="15"/>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Q1 include: Assembly Row - Phase 2, CocoWalk, Olivo at Mission Hills, Pike &amp; Rose, The Shops at Sunset Place, Towson Residential, 700 Santana Row, a portion of Graham Park Plaza, and all properties acquired or disposed of from Q1 2018 to Q1 2019. Comparable Property property operating income (“Comparable Property POI”) is a non-GAAP measure used by management in evaluating the operating performance of our properties period over period.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Reconciliation of GAAP operating income to Comparable Property POI</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76"/>
        </w:trPr>
        <w:tc>
          <w:tcPr>
            <w:tcW w:w="7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264"/>
        </w:trPr>
        <w:tc>
          <w:tcPr>
            <w:tcW w:w="7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89"/>
              </w:rPr>
              <w:t>2018</w:t>
            </w:r>
          </w:p>
        </w:tc>
        <w:tc>
          <w:tcPr>
            <w:tcW w:w="1100" w:type="dxa"/>
            <w:vAlign w:val="bottom"/>
          </w:tcPr>
          <w:p>
            <w:pPr>
              <w:spacing w:after="0"/>
              <w:rPr>
                <w:sz w:val="22"/>
                <w:szCs w:val="22"/>
                <w:color w:val="auto"/>
              </w:rPr>
            </w:pPr>
          </w:p>
        </w:tc>
      </w:tr>
      <w:tr>
        <w:trPr>
          <w:trHeight w:val="250"/>
        </w:trPr>
        <w:tc>
          <w:tcPr>
            <w:tcW w:w="7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Operating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91,093</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89,461</w:t>
            </w:r>
          </w:p>
        </w:tc>
        <w:tc>
          <w:tcPr>
            <w:tcW w:w="1100" w:type="dxa"/>
            <w:vAlign w:val="bottom"/>
          </w:tcPr>
          <w:p>
            <w:pPr>
              <w:spacing w:after="0"/>
              <w:rPr>
                <w:sz w:val="22"/>
                <w:szCs w:val="22"/>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Add:</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59,622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58,110</w:t>
            </w:r>
          </w:p>
        </w:tc>
        <w:tc>
          <w:tcPr>
            <w:tcW w:w="1100" w:type="dxa"/>
            <w:vAlign w:val="bottom"/>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160" w:type="dxa"/>
            <w:vAlign w:val="bottom"/>
          </w:tcPr>
          <w:p>
            <w:pPr>
              <w:jc w:val="right"/>
              <w:ind w:right="117"/>
              <w:spacing w:after="0"/>
              <w:rPr>
                <w:sz w:val="20"/>
                <w:szCs w:val="20"/>
                <w:color w:val="auto"/>
              </w:rPr>
            </w:pPr>
            <w:r>
              <w:rPr>
                <w:rFonts w:ascii="Arial" w:cs="Arial" w:eastAsia="Arial" w:hAnsi="Arial"/>
                <w:sz w:val="18"/>
                <w:szCs w:val="18"/>
                <w:color w:val="auto"/>
              </w:rPr>
              <w:t>9,565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7,929</w:t>
            </w:r>
          </w:p>
        </w:tc>
        <w:tc>
          <w:tcPr>
            <w:tcW w:w="110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Gain on sale of real estate, net</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(3,316)</w:t>
            </w:r>
          </w:p>
        </w:tc>
        <w:tc>
          <w:tcPr>
            <w:tcW w:w="1100" w:type="dxa"/>
            <w:vAlign w:val="bottom"/>
          </w:tcPr>
          <w:p>
            <w:pPr>
              <w:spacing w:after="0"/>
              <w:rPr>
                <w:sz w:val="23"/>
                <w:szCs w:val="23"/>
                <w:color w:val="auto"/>
              </w:rPr>
            </w:pPr>
          </w:p>
        </w:tc>
      </w:tr>
      <w:tr>
        <w:trPr>
          <w:trHeight w:val="237"/>
        </w:trPr>
        <w:tc>
          <w:tcPr>
            <w:tcW w:w="7140" w:type="dxa"/>
            <w:vAlign w:val="bottom"/>
          </w:tcPr>
          <w:p>
            <w:pPr>
              <w:ind w:left="380"/>
              <w:spacing w:after="0"/>
              <w:rPr>
                <w:sz w:val="20"/>
                <w:szCs w:val="20"/>
                <w:color w:val="auto"/>
              </w:rPr>
            </w:pPr>
            <w:r>
              <w:rPr>
                <w:rFonts w:ascii="Arial" w:cs="Arial" w:eastAsia="Arial" w:hAnsi="Arial"/>
                <w:sz w:val="18"/>
                <w:szCs w:val="18"/>
                <w:color w:val="auto"/>
              </w:rPr>
              <w:t>Property operating income (POI)</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7"/>
              <w:spacing w:after="0"/>
              <w:rPr>
                <w:sz w:val="20"/>
                <w:szCs w:val="20"/>
                <w:color w:val="auto"/>
              </w:rPr>
            </w:pPr>
            <w:r>
              <w:rPr>
                <w:rFonts w:ascii="Arial" w:cs="Arial" w:eastAsia="Arial" w:hAnsi="Arial"/>
                <w:sz w:val="18"/>
                <w:szCs w:val="18"/>
                <w:color w:val="auto"/>
              </w:rPr>
              <w:t>160,280</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152,184</w:t>
            </w:r>
          </w:p>
        </w:tc>
        <w:tc>
          <w:tcPr>
            <w:tcW w:w="1100" w:type="dxa"/>
            <w:vAlign w:val="bottom"/>
          </w:tcPr>
          <w:p>
            <w:pPr>
              <w:spacing w:after="0"/>
              <w:rPr>
                <w:sz w:val="20"/>
                <w:szCs w:val="20"/>
                <w:color w:val="auto"/>
              </w:rPr>
            </w:pPr>
          </w:p>
        </w:tc>
      </w:tr>
      <w:tr>
        <w:trPr>
          <w:trHeight w:val="27"/>
        </w:trPr>
        <w:tc>
          <w:tcPr>
            <w:tcW w:w="7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Less: Non-comparable POI - acquisitions/dispositions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(596)</w:t>
            </w:r>
          </w:p>
        </w:tc>
        <w:tc>
          <w:tcPr>
            <w:tcW w:w="1100" w:type="dxa"/>
            <w:vAlign w:val="bottom"/>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Less: Non-comparable POI - redevelopment, development &amp; other</w:t>
            </w:r>
          </w:p>
        </w:tc>
        <w:tc>
          <w:tcPr>
            <w:tcW w:w="380" w:type="dxa"/>
            <w:vAlign w:val="bottom"/>
          </w:tcPr>
          <w:p>
            <w:pPr>
              <w:spacing w:after="0"/>
              <w:rPr>
                <w:sz w:val="21"/>
                <w:szCs w:val="21"/>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(13,634)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(9,962)</w:t>
            </w:r>
          </w:p>
        </w:tc>
        <w:tc>
          <w:tcPr>
            <w:tcW w:w="1100" w:type="dxa"/>
            <w:vAlign w:val="bottom"/>
          </w:tcPr>
          <w:p>
            <w:pPr>
              <w:spacing w:after="0"/>
              <w:rPr>
                <w:sz w:val="21"/>
                <w:szCs w:val="2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Comparable Property POI</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146,608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141,626</w:t>
            </w:r>
          </w:p>
        </w:tc>
        <w:tc>
          <w:tcPr>
            <w:tcW w:w="1100" w:type="dxa"/>
            <w:vAlign w:val="bottom"/>
          </w:tcPr>
          <w:p>
            <w:pPr>
              <w:spacing w:after="0"/>
              <w:rPr>
                <w:sz w:val="21"/>
                <w:szCs w:val="21"/>
                <w:color w:val="auto"/>
              </w:rPr>
            </w:pPr>
          </w:p>
        </w:tc>
      </w:tr>
      <w:tr>
        <w:trPr>
          <w:trHeight w:val="432"/>
        </w:trPr>
        <w:tc>
          <w:tcPr>
            <w:tcW w:w="7140" w:type="dxa"/>
            <w:vAlign w:val="bottom"/>
          </w:tcPr>
          <w:p>
            <w:pPr>
              <w:ind w:left="40"/>
              <w:spacing w:after="0"/>
              <w:rPr>
                <w:sz w:val="20"/>
                <w:szCs w:val="20"/>
                <w:color w:val="auto"/>
              </w:rPr>
            </w:pPr>
            <w:r>
              <w:rPr>
                <w:rFonts w:ascii="Arial" w:cs="Arial" w:eastAsia="Arial" w:hAnsi="Arial"/>
                <w:sz w:val="18"/>
                <w:szCs w:val="18"/>
                <w:i w:val="1"/>
                <w:iCs w:val="1"/>
                <w:color w:val="auto"/>
              </w:rPr>
              <w:t>Additional information regarding the components of Comparable Property POI</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5"/>
        </w:trPr>
        <w:tc>
          <w:tcPr>
            <w:tcW w:w="7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6"/>
        </w:trPr>
        <w:tc>
          <w:tcPr>
            <w:tcW w:w="7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264"/>
        </w:trPr>
        <w:tc>
          <w:tcPr>
            <w:tcW w:w="7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89"/>
              </w:rPr>
              <w:t>2018</w:t>
            </w:r>
          </w:p>
        </w:tc>
        <w:tc>
          <w:tcPr>
            <w:tcW w:w="11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97"/>
              </w:rPr>
              <w:t>% Change</w:t>
            </w:r>
          </w:p>
        </w:tc>
      </w:tr>
      <w:tr>
        <w:trPr>
          <w:trHeight w:val="264"/>
        </w:trPr>
        <w:tc>
          <w:tcPr>
            <w:tcW w:w="7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8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6"/>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Rental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209,041</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205,926</w:t>
            </w:r>
          </w:p>
        </w:tc>
        <w:tc>
          <w:tcPr>
            <w:tcW w:w="1100" w:type="dxa"/>
            <w:vAlign w:val="bottom"/>
            <w:tcBorders>
              <w:bottom w:val="single" w:sz="8" w:color="CCEEFF"/>
            </w:tcBorders>
            <w:shd w:val="clear" w:color="auto" w:fill="CCEEFF"/>
          </w:tcPr>
          <w:p>
            <w:pPr>
              <w:spacing w:after="0"/>
              <w:rPr>
                <w:sz w:val="22"/>
                <w:szCs w:val="22"/>
                <w:color w:val="auto"/>
              </w:rPr>
            </w:pPr>
          </w:p>
        </w:tc>
      </w:tr>
      <w:tr>
        <w:trPr>
          <w:trHeight w:val="270"/>
        </w:trPr>
        <w:tc>
          <w:tcPr>
            <w:tcW w:w="7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Rental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(37,536)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(38,449)</w:t>
            </w: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Real estate taxes</w:t>
            </w:r>
          </w:p>
        </w:tc>
        <w:tc>
          <w:tcPr>
            <w:tcW w:w="380" w:type="dxa"/>
            <w:vAlign w:val="bottom"/>
          </w:tcPr>
          <w:p>
            <w:pPr>
              <w:spacing w:after="0"/>
              <w:rPr>
                <w:sz w:val="21"/>
                <w:szCs w:val="21"/>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(24,897)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(25,851)</w:t>
            </w:r>
          </w:p>
        </w:tc>
        <w:tc>
          <w:tcPr>
            <w:tcW w:w="1100" w:type="dxa"/>
            <w:vAlign w:val="bottom"/>
          </w:tcPr>
          <w:p>
            <w:pPr>
              <w:spacing w:after="0"/>
              <w:rPr>
                <w:sz w:val="21"/>
                <w:szCs w:val="2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(62,433)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(64,300)</w:t>
            </w:r>
          </w:p>
        </w:tc>
        <w:tc>
          <w:tcPr>
            <w:tcW w:w="1100" w:type="dxa"/>
            <w:vAlign w:val="bottom"/>
            <w:tcBorders>
              <w:bottom w:val="single" w:sz="8" w:color="CCEEFF"/>
            </w:tcBorders>
            <w:shd w:val="clear" w:color="auto" w:fill="CCEEFF"/>
          </w:tcPr>
          <w:p>
            <w:pPr>
              <w:spacing w:after="0"/>
              <w:rPr>
                <w:sz w:val="21"/>
                <w:szCs w:val="21"/>
                <w:color w:val="auto"/>
              </w:rPr>
            </w:pPr>
          </w:p>
        </w:tc>
      </w:tr>
      <w:tr>
        <w:trPr>
          <w:trHeight w:val="216"/>
        </w:trPr>
        <w:tc>
          <w:tcPr>
            <w:tcW w:w="7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Comparable Property POI</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146,608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141,626</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7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Comparable Property POI as a percentage of total POI</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100" w:type="dxa"/>
            <w:vAlign w:val="bottom"/>
            <w:tcBorders>
              <w:bottom w:val="single" w:sz="8" w:color="CCEEFF"/>
            </w:tcBorders>
            <w:shd w:val="clear" w:color="auto" w:fill="CCEEFF"/>
          </w:tcPr>
          <w:p>
            <w:pPr>
              <w:spacing w:after="0"/>
              <w:rPr>
                <w:sz w:val="21"/>
                <w:szCs w:val="21"/>
                <w:color w:val="auto"/>
              </w:rPr>
            </w:pPr>
          </w:p>
        </w:tc>
      </w:tr>
      <w:tr>
        <w:trPr>
          <w:trHeight w:val="432"/>
        </w:trPr>
        <w:tc>
          <w:tcPr>
            <w:tcW w:w="7140" w:type="dxa"/>
            <w:vAlign w:val="bottom"/>
          </w:tcPr>
          <w:p>
            <w:pPr>
              <w:ind w:left="40"/>
              <w:spacing w:after="0"/>
              <w:rPr>
                <w:sz w:val="20"/>
                <w:szCs w:val="20"/>
                <w:color w:val="auto"/>
              </w:rPr>
            </w:pPr>
            <w:r>
              <w:rPr>
                <w:rFonts w:ascii="Arial" w:cs="Arial" w:eastAsia="Arial" w:hAnsi="Arial"/>
                <w:sz w:val="18"/>
                <w:szCs w:val="18"/>
                <w:i w:val="1"/>
                <w:iCs w:val="1"/>
                <w:color w:val="auto"/>
              </w:rPr>
              <w:t>Comparable Property - Occupancy Statistics (1)</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99" w:lineRule="exact"/>
        <w:rPr>
          <w:sz w:val="20"/>
          <w:szCs w:val="20"/>
          <w:color w:val="auto"/>
        </w:rPr>
      </w:pPr>
    </w:p>
    <w:p>
      <w:pPr>
        <w:sectPr>
          <w:pgSz w:w="11900" w:h="16838" w:orient="portrait"/>
          <w:cols w:equalWidth="0" w:num="1">
            <w:col w:w="11420"/>
          </w:cols>
          <w:pgMar w:left="240" w:top="742" w:right="239" w:bottom="0" w:gutter="0" w:footer="0" w:header="0"/>
        </w:sectPr>
      </w:pPr>
    </w:p>
    <w:p>
      <w:pPr>
        <w:spacing w:after="0" w:line="200" w:lineRule="exact"/>
        <w:rPr>
          <w:sz w:val="20"/>
          <w:szCs w:val="20"/>
          <w:color w:val="auto"/>
        </w:rPr>
      </w:pPr>
    </w:p>
    <w:p>
      <w:pPr>
        <w:spacing w:after="0" w:line="30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GLA - comparable commercial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655193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1930" cy="18034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Leased % - comparable commercial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5519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193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shd w:val="clear" w:color="auto" w:fill="CCEEFF"/>
        </w:rPr>
        <w:t>Occupancy % - comparable commercial properties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Comparable Property - Summary of Capital Expenditures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65519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19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80" w:right="1960"/>
        <w:spacing w:after="0" w:line="340" w:lineRule="auto"/>
        <w:rPr>
          <w:sz w:val="20"/>
          <w:szCs w:val="20"/>
          <w:color w:val="auto"/>
        </w:rPr>
      </w:pPr>
      <w:r>
        <w:rPr>
          <w:rFonts w:ascii="Arial" w:cs="Arial" w:eastAsia="Arial" w:hAnsi="Arial"/>
          <w:sz w:val="18"/>
          <w:szCs w:val="18"/>
          <w:color w:val="auto"/>
          <w:shd w:val="clear" w:color="auto" w:fill="CCEEFF"/>
        </w:rPr>
        <w:t xml:space="preserve">Redevelopment and tenant improvements and incentives </w:t>
      </w:r>
      <w:r>
        <w:rPr>
          <w:rFonts w:ascii="Arial" w:cs="Arial" w:eastAsia="Arial" w:hAnsi="Arial"/>
          <w:sz w:val="18"/>
          <w:szCs w:val="18"/>
          <w:color w:val="auto"/>
        </w:rPr>
        <w:t>Maintenance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55193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1930" cy="180340"/>
                    </a:xfrm>
                    <a:prstGeom prst="rect">
                      <a:avLst/>
                    </a:prstGeom>
                    <a:noFill/>
                  </pic:spPr>
                </pic:pic>
              </a:graphicData>
            </a:graphic>
          </wp:anchor>
        </w:drawing>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20" w:hanging="685"/>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See page 25 for entire portfolio occupancy statistics.</w:t>
      </w:r>
    </w:p>
    <w:p>
      <w:pPr>
        <w:spacing w:after="0" w:line="72" w:lineRule="exact"/>
        <w:rPr>
          <w:rFonts w:ascii="Arial" w:cs="Arial" w:eastAsia="Arial" w:hAnsi="Arial"/>
          <w:sz w:val="16"/>
          <w:szCs w:val="16"/>
          <w:color w:val="auto"/>
        </w:rPr>
      </w:pPr>
    </w:p>
    <w:p>
      <w:pPr>
        <w:ind w:left="720" w:hanging="685"/>
        <w:spacing w:after="0"/>
        <w:tabs>
          <w:tab w:leader="none" w:pos="7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page 9 for "Summary of Capital Expenditures" for our entire portfolio.</w:t>
      </w:r>
    </w:p>
    <w:p>
      <w:pPr>
        <w:spacing w:after="0" w:line="20" w:lineRule="exact"/>
        <w:rPr>
          <w:sz w:val="20"/>
          <w:szCs w:val="20"/>
          <w:color w:val="auto"/>
        </w:rPr>
      </w:pPr>
      <w:r>
        <w:rPr>
          <w:sz w:val="20"/>
          <w:szCs w:val="20"/>
          <w:color w:val="auto"/>
        </w:rPr>
        <w:br w:type="column"/>
      </w:r>
    </w:p>
    <w:p>
      <w:pPr>
        <w:ind w:left="1200"/>
        <w:spacing w:after="0"/>
        <w:rPr>
          <w:sz w:val="20"/>
          <w:szCs w:val="20"/>
          <w:color w:val="auto"/>
        </w:rPr>
      </w:pPr>
      <w:r>
        <w:rPr>
          <w:rFonts w:ascii="Arial" w:cs="Arial" w:eastAsia="Arial" w:hAnsi="Arial"/>
          <w:sz w:val="14"/>
          <w:szCs w:val="14"/>
          <w:b w:val="1"/>
          <w:bCs w:val="1"/>
          <w:color w:val="auto"/>
        </w:rPr>
        <w:t>At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2023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89"/>
              </w:rPr>
              <w:t>2018</w:t>
            </w:r>
          </w:p>
        </w:tc>
      </w:tr>
      <w:tr>
        <w:trPr>
          <w:trHeight w:val="243"/>
        </w:trPr>
        <w:tc>
          <w:tcPr>
            <w:tcW w:w="320" w:type="dxa"/>
            <w:vAlign w:val="bottom"/>
          </w:tcPr>
          <w:p>
            <w:pPr>
              <w:spacing w:after="0"/>
              <w:rPr>
                <w:sz w:val="21"/>
                <w:szCs w:val="21"/>
                <w:color w:val="auto"/>
              </w:rPr>
            </w:pPr>
          </w:p>
        </w:tc>
        <w:tc>
          <w:tcPr>
            <w:tcW w:w="1220" w:type="dxa"/>
            <w:vAlign w:val="bottom"/>
          </w:tcPr>
          <w:p>
            <w:pPr>
              <w:jc w:val="right"/>
              <w:ind w:right="118"/>
              <w:spacing w:after="0"/>
              <w:rPr>
                <w:sz w:val="20"/>
                <w:szCs w:val="20"/>
                <w:color w:val="auto"/>
              </w:rPr>
            </w:pPr>
            <w:r>
              <w:rPr>
                <w:rFonts w:ascii="Arial" w:cs="Arial" w:eastAsia="Arial" w:hAnsi="Arial"/>
                <w:sz w:val="18"/>
                <w:szCs w:val="18"/>
                <w:color w:val="auto"/>
              </w:rPr>
              <w:t>22,678,000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22,665,000</w:t>
            </w:r>
          </w:p>
        </w:tc>
      </w:tr>
      <w:tr>
        <w:trPr>
          <w:trHeight w:val="270"/>
        </w:trPr>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95.5%</w:t>
            </w:r>
          </w:p>
        </w:tc>
      </w:tr>
      <w:tr>
        <w:trPr>
          <w:trHeight w:val="270"/>
        </w:trPr>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93.9%</w:t>
            </w:r>
          </w:p>
        </w:tc>
      </w:tr>
      <w:tr>
        <w:trPr>
          <w:trHeight w:val="744"/>
        </w:trPr>
        <w:tc>
          <w:tcPr>
            <w:tcW w:w="320" w:type="dxa"/>
            <w:vAlign w:val="bottom"/>
          </w:tcPr>
          <w:p>
            <w:pPr>
              <w:spacing w:after="0"/>
              <w:rPr>
                <w:sz w:val="24"/>
                <w:szCs w:val="24"/>
                <w:color w:val="auto"/>
              </w:rPr>
            </w:pPr>
          </w:p>
        </w:tc>
        <w:tc>
          <w:tcPr>
            <w:tcW w:w="1940" w:type="dxa"/>
            <w:vAlign w:val="bottom"/>
            <w:gridSpan w:val="3"/>
          </w:tcPr>
          <w:p>
            <w:pPr>
              <w:jc w:val="center"/>
              <w:ind w:left="558"/>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24"/>
                <w:szCs w:val="24"/>
                <w:color w:val="auto"/>
              </w:rPr>
            </w:pPr>
          </w:p>
        </w:tc>
      </w:tr>
      <w:tr>
        <w:trPr>
          <w:trHeight w:val="276"/>
        </w:trPr>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Borders>
              <w:bottom w:val="single" w:sz="8" w:color="auto"/>
            </w:tcBorders>
          </w:tcPr>
          <w:p>
            <w:pPr>
              <w:spacing w:after="0"/>
              <w:rPr>
                <w:sz w:val="24"/>
                <w:szCs w:val="24"/>
                <w:color w:val="auto"/>
              </w:rPr>
            </w:pPr>
          </w:p>
        </w:tc>
      </w:tr>
      <w:tr>
        <w:trPr>
          <w:trHeight w:val="264"/>
        </w:trPr>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89"/>
              </w:rPr>
              <w:t>2018</w:t>
            </w:r>
          </w:p>
        </w:tc>
      </w:tr>
      <w:tr>
        <w:trPr>
          <w:trHeight w:val="244"/>
        </w:trPr>
        <w:tc>
          <w:tcPr>
            <w:tcW w:w="320" w:type="dxa"/>
            <w:vAlign w:val="bottom"/>
          </w:tcPr>
          <w:p>
            <w:pPr>
              <w:spacing w:after="0"/>
              <w:rPr>
                <w:sz w:val="21"/>
                <w:szCs w:val="21"/>
                <w:color w:val="auto"/>
              </w:rPr>
            </w:pPr>
          </w:p>
        </w:tc>
        <w:tc>
          <w:tcPr>
            <w:tcW w:w="1940" w:type="dxa"/>
            <w:vAlign w:val="bottom"/>
            <w:gridSpan w:val="3"/>
          </w:tcPr>
          <w:p>
            <w:pPr>
              <w:jc w:val="center"/>
              <w:ind w:left="538"/>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21"/>
                <w:szCs w:val="21"/>
                <w:color w:val="auto"/>
              </w:rPr>
            </w:pPr>
          </w:p>
        </w:tc>
      </w:tr>
      <w:tr>
        <w:trPr>
          <w:trHeight w:val="255"/>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8"/>
              <w:spacing w:after="0"/>
              <w:rPr>
                <w:sz w:val="20"/>
                <w:szCs w:val="20"/>
                <w:color w:val="auto"/>
              </w:rPr>
            </w:pPr>
            <w:r>
              <w:rPr>
                <w:rFonts w:ascii="Arial" w:cs="Arial" w:eastAsia="Arial" w:hAnsi="Arial"/>
                <w:sz w:val="18"/>
                <w:szCs w:val="18"/>
                <w:color w:val="auto"/>
              </w:rPr>
              <w:t>15,953</w:t>
            </w:r>
          </w:p>
        </w:tc>
        <w:tc>
          <w:tcPr>
            <w:tcW w:w="100" w:type="dxa"/>
            <w:vAlign w:val="bottom"/>
          </w:tcPr>
          <w:p>
            <w:pPr>
              <w:spacing w:after="0"/>
              <w:rPr>
                <w:sz w:val="22"/>
                <w:szCs w:val="22"/>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22,591</w:t>
            </w:r>
          </w:p>
        </w:tc>
      </w:tr>
      <w:tr>
        <w:trPr>
          <w:trHeight w:val="270"/>
        </w:trPr>
        <w:tc>
          <w:tcPr>
            <w:tcW w:w="320" w:type="dxa"/>
            <w:vAlign w:val="bottom"/>
          </w:tcPr>
          <w:p>
            <w:pPr>
              <w:spacing w:after="0"/>
              <w:rPr>
                <w:sz w:val="23"/>
                <w:szCs w:val="23"/>
                <w:color w:val="auto"/>
              </w:rPr>
            </w:pPr>
          </w:p>
        </w:tc>
        <w:tc>
          <w:tcPr>
            <w:tcW w:w="1220" w:type="dxa"/>
            <w:vAlign w:val="bottom"/>
          </w:tcPr>
          <w:p>
            <w:pPr>
              <w:jc w:val="right"/>
              <w:ind w:right="118"/>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3,226</w:t>
            </w:r>
          </w:p>
        </w:tc>
      </w:tr>
      <w:tr>
        <w:trPr>
          <w:trHeight w:val="27"/>
        </w:trPr>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8"/>
              <w:spacing w:after="0"/>
              <w:rPr>
                <w:sz w:val="20"/>
                <w:szCs w:val="20"/>
                <w:color w:val="auto"/>
              </w:rPr>
            </w:pPr>
            <w:r>
              <w:rPr>
                <w:rFonts w:ascii="Arial" w:cs="Arial" w:eastAsia="Arial" w:hAnsi="Arial"/>
                <w:sz w:val="18"/>
                <w:szCs w:val="18"/>
                <w:color w:val="auto"/>
              </w:rPr>
              <w:t>17,355</w:t>
            </w:r>
          </w:p>
        </w:tc>
        <w:tc>
          <w:tcPr>
            <w:tcW w:w="10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25,817</w:t>
            </w:r>
          </w:p>
        </w:tc>
      </w:tr>
    </w:tbl>
    <w:p>
      <w:pPr>
        <w:spacing w:after="0" w:line="1066" w:lineRule="exact"/>
        <w:rPr>
          <w:sz w:val="20"/>
          <w:szCs w:val="20"/>
          <w:color w:val="auto"/>
        </w:rPr>
      </w:pPr>
    </w:p>
    <w:p>
      <w:pPr>
        <w:sectPr>
          <w:pgSz w:w="11900" w:h="16838" w:orient="portrait"/>
          <w:cols w:equalWidth="0" w:num="2">
            <w:col w:w="6420" w:space="720"/>
            <w:col w:w="4280"/>
          </w:cols>
          <w:pgMar w:left="240" w:top="742" w:right="239" w:bottom="0" w:gutter="0" w:footer="0" w:header="0"/>
          <w:type w:val="continuous"/>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742" w:right="239" w:bottom="0" w:gutter="0" w:footer="0" w:header="0"/>
          <w:type w:val="continuous"/>
        </w:sectPr>
      </w:pPr>
    </w:p>
    <w:bookmarkStart w:id="15" w:name="page16"/>
    <w:bookmarkEnd w:id="1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 and Finance Lease Liabilities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2019</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1040"/>
              <w:spacing w:after="0"/>
              <w:rPr>
                <w:sz w:val="20"/>
                <w:szCs w:val="20"/>
                <w:color w:val="auto"/>
              </w:rPr>
            </w:pPr>
            <w:r>
              <w:rPr>
                <w:rFonts w:ascii="Arial" w:cs="Arial" w:eastAsia="Arial" w:hAnsi="Arial"/>
                <w:sz w:val="14"/>
                <w:szCs w:val="14"/>
                <w:b w:val="1"/>
                <w:bCs w:val="1"/>
                <w:color w:val="auto"/>
              </w:rPr>
              <w:t>As of March 31, 2019</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3"/>
              </w:rPr>
              <w:t>Stated maturity date</w:t>
            </w:r>
          </w:p>
        </w:tc>
        <w:tc>
          <w:tcPr>
            <w:tcW w:w="100" w:type="dxa"/>
            <w:vAlign w:val="bottom"/>
            <w:vMerge w:val="restart"/>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interest rate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vMerge w:val="restart"/>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59"/>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effective rate (4)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90"/>
              </w:rPr>
              <w:t>Mortgages Payable (1)</w:t>
            </w:r>
          </w:p>
        </w:tc>
        <w:tc>
          <w:tcPr>
            <w:tcW w:w="2760" w:type="dxa"/>
            <w:vAlign w:val="bottom"/>
            <w:tcBorders>
              <w:bottom w:val="single" w:sz="8" w:color="CCEEFF"/>
            </w:tcBorders>
            <w:gridSpan w:val="4"/>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i w:val="1"/>
                <w:iCs w:val="1"/>
                <w:color w:val="auto"/>
              </w:rPr>
              <w:t>Secured fixed rate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The Shops at Sunset Place</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9/1/2020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63,884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29th Place</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1/31/2021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4,058</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Sylmar Towne Center</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6/6/2021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16,911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Plaza Del Sol</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12/1/2021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8,365</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The AVENUE at White Marsh</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1/1/2022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52,705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Montrose Crossing</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1/10/2022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4.20%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68,863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Azalea</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11/1/2025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Bell Gardens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8/1/2026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4.06%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12,872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Plaza El Segundo</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6/5/2027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The Grove at Shrewsbury (East)</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9/1/2027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43,600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Brook 35</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7/1/2029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Chelsea</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1/15/2031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5,856</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453,614</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920"/>
              <w:spacing w:after="0"/>
              <w:rPr>
                <w:sz w:val="20"/>
                <w:szCs w:val="20"/>
                <w:color w:val="auto"/>
              </w:rPr>
            </w:pPr>
            <w:r>
              <w:rPr>
                <w:rFonts w:ascii="Arial" w:cs="Arial" w:eastAsia="Arial" w:hAnsi="Arial"/>
                <w:sz w:val="16"/>
                <w:szCs w:val="16"/>
                <w:color w:val="auto"/>
                <w:w w:val="91"/>
              </w:rPr>
              <w:t>Net unamortized premium and debt issuance costs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Total mortgages payable, net</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452,466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4.03%</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24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Notes payable</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Term loan</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11/21/2019</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LIBOR + 0.90%</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Revolving credit facility (2)</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4/20/2020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LIBOR + 0.825%</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Various</w:t>
            </w: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Various through 2028</w:t>
            </w: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11.31%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4,386</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299,386</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920"/>
              <w:spacing w:after="0"/>
              <w:rPr>
                <w:sz w:val="20"/>
                <w:szCs w:val="20"/>
                <w:color w:val="auto"/>
              </w:rPr>
            </w:pPr>
            <w:r>
              <w:rPr>
                <w:rFonts w:ascii="Arial" w:cs="Arial" w:eastAsia="Arial" w:hAnsi="Arial"/>
                <w:sz w:val="16"/>
                <w:szCs w:val="16"/>
                <w:color w:val="auto"/>
              </w:rPr>
              <w:t>Net unamortized debt issuance costs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Total notes payable, net</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299,106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3.62%</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91"/>
              </w:rPr>
              <w:t>(5)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24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Senior notes and debentures</w:t>
            </w: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1820" w:type="dxa"/>
            <w:vAlign w:val="bottom"/>
            <w:tcBorders>
              <w:top w:val="single" w:sz="8" w:color="auto"/>
            </w:tcBorders>
            <w:gridSpan w:val="4"/>
          </w:tcPr>
          <w:p>
            <w:pPr>
              <w:ind w:left="360"/>
              <w:spacing w:after="0"/>
              <w:rPr>
                <w:sz w:val="20"/>
                <w:szCs w:val="20"/>
                <w:color w:val="auto"/>
              </w:rPr>
            </w:pPr>
            <w:r>
              <w:rPr>
                <w:rFonts w:ascii="Arial" w:cs="Arial" w:eastAsia="Arial" w:hAnsi="Arial"/>
                <w:sz w:val="16"/>
                <w:szCs w:val="16"/>
                <w:i w:val="1"/>
                <w:iCs w:val="1"/>
                <w:color w:val="auto"/>
                <w:w w:val="97"/>
              </w:rPr>
              <w:t>Unsecured fixed rate</w:t>
            </w:r>
          </w:p>
        </w:tc>
        <w:tc>
          <w:tcPr>
            <w:tcW w:w="2420" w:type="dxa"/>
            <w:vAlign w:val="bottom"/>
            <w:tcBorders>
              <w:top w:val="single" w:sz="8" w:color="CCEEFF"/>
            </w:tcBorders>
            <w:gridSpan w:val="2"/>
          </w:tcPr>
          <w:p>
            <w:pPr>
              <w:spacing w:after="0"/>
              <w:rPr>
                <w:sz w:val="20"/>
                <w:szCs w:val="20"/>
                <w:color w:val="auto"/>
              </w:rPr>
            </w:pPr>
          </w:p>
        </w:tc>
        <w:tc>
          <w:tcPr>
            <w:tcW w:w="17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6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1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9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2.55%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1/15/2021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3.00%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8/1/2022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2.75%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6/1/2023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3.95%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1/15/2024</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7.48% debentures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8/15/2026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3.25%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7/15/2027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475,000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6.82% medium term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8/1/2027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4.50%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12/1/2044</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4.50%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550,000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3.625%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8/1/2046</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Arial" w:cs="Arial" w:eastAsia="Arial" w:hAnsi="Arial"/>
                <w:sz w:val="16"/>
                <w:szCs w:val="16"/>
                <w:color w:val="auto"/>
              </w:rPr>
              <w:t>Subtotal</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2,419,200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920"/>
              <w:spacing w:after="0"/>
              <w:rPr>
                <w:sz w:val="20"/>
                <w:szCs w:val="20"/>
                <w:color w:val="auto"/>
              </w:rPr>
            </w:pPr>
            <w:r>
              <w:rPr>
                <w:rFonts w:ascii="Arial" w:cs="Arial" w:eastAsia="Arial" w:hAnsi="Arial"/>
                <w:sz w:val="16"/>
                <w:szCs w:val="16"/>
                <w:color w:val="auto"/>
                <w:w w:val="92"/>
              </w:rPr>
              <w:t>Net unamortized discount and debt issuance costs</w:t>
            </w: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(14,213)</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Arial" w:cs="Arial" w:eastAsia="Arial" w:hAnsi="Arial"/>
                <w:sz w:val="16"/>
                <w:szCs w:val="16"/>
                <w:color w:val="auto"/>
              </w:rPr>
              <w:t>Total senior notes and debentures, net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2,404,987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3.75%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tcPr>
          <w:p>
            <w:pPr>
              <w:spacing w:after="0"/>
              <w:rPr>
                <w:sz w:val="24"/>
                <w:szCs w:val="24"/>
                <w:color w:val="auto"/>
              </w:rPr>
            </w:pPr>
          </w:p>
        </w:tc>
        <w:tc>
          <w:tcPr>
            <w:tcW w:w="4240" w:type="dxa"/>
            <w:vAlign w:val="bottom"/>
            <w:tcBorders>
              <w:bottom w:val="single" w:sz="8" w:color="CCEEFF"/>
            </w:tcBorders>
            <w:gridSpan w:val="6"/>
          </w:tcPr>
          <w:p>
            <w:pPr>
              <w:ind w:left="360"/>
              <w:spacing w:after="0"/>
              <w:rPr>
                <w:sz w:val="20"/>
                <w:szCs w:val="20"/>
                <w:color w:val="auto"/>
              </w:rPr>
            </w:pPr>
            <w:r>
              <w:rPr>
                <w:rFonts w:ascii="Arial" w:cs="Arial" w:eastAsia="Arial" w:hAnsi="Arial"/>
                <w:sz w:val="16"/>
                <w:szCs w:val="16"/>
                <w:color w:val="auto"/>
              </w:rPr>
              <w:t>Total net debt</w:t>
            </w:r>
          </w:p>
        </w:tc>
        <w:tc>
          <w:tcPr>
            <w:tcW w:w="1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3,156,559</w:t>
            </w: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jc w:val="right"/>
              <w:ind w:right="5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60" w:type="dxa"/>
            <w:vAlign w:val="bottom"/>
            <w:gridSpan w:val="7"/>
          </w:tcPr>
          <w:p>
            <w:pPr>
              <w:ind w:left="20"/>
              <w:spacing w:after="0"/>
              <w:rPr>
                <w:sz w:val="20"/>
                <w:szCs w:val="20"/>
                <w:color w:val="auto"/>
              </w:rPr>
            </w:pPr>
            <w:r>
              <w:rPr>
                <w:rFonts w:ascii="Arial" w:cs="Arial" w:eastAsia="Arial" w:hAnsi="Arial"/>
                <w:sz w:val="16"/>
                <w:szCs w:val="16"/>
                <w:color w:val="auto"/>
              </w:rPr>
              <w:t>Finance lease liabilities</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Various</w:t>
            </w:r>
          </w:p>
        </w:tc>
        <w:tc>
          <w:tcPr>
            <w:tcW w:w="180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Various through 2106</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Various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72,071</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8.03%</w:t>
            </w: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260" w:type="dxa"/>
            <w:vAlign w:val="bottom"/>
            <w:tcBorders>
              <w:bottom w:val="single" w:sz="8" w:color="CCEEFF"/>
            </w:tcBorders>
            <w:gridSpan w:val="7"/>
          </w:tcPr>
          <w:p>
            <w:pPr>
              <w:ind w:left="20"/>
              <w:spacing w:after="0"/>
              <w:rPr>
                <w:sz w:val="20"/>
                <w:szCs w:val="20"/>
                <w:color w:val="auto"/>
              </w:rPr>
            </w:pPr>
            <w:r>
              <w:rPr>
                <w:rFonts w:ascii="Arial" w:cs="Arial" w:eastAsia="Arial" w:hAnsi="Arial"/>
                <w:sz w:val="16"/>
                <w:szCs w:val="16"/>
                <w:color w:val="auto"/>
              </w:rPr>
              <w:t>Total debt and finance lease liabilities</w:t>
            </w:r>
          </w:p>
        </w:tc>
        <w:tc>
          <w:tcPr>
            <w:tcW w:w="1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3,228,630</w:t>
            </w: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60" w:type="dxa"/>
            <w:vAlign w:val="bottom"/>
            <w:gridSpan w:val="7"/>
          </w:tcPr>
          <w:p>
            <w:pPr>
              <w:ind w:left="20"/>
              <w:spacing w:after="0"/>
              <w:rPr>
                <w:sz w:val="20"/>
                <w:szCs w:val="20"/>
                <w:color w:val="auto"/>
              </w:rPr>
            </w:pPr>
            <w:r>
              <w:rPr>
                <w:rFonts w:ascii="Arial" w:cs="Arial" w:eastAsia="Arial" w:hAnsi="Arial"/>
                <w:sz w:val="16"/>
                <w:szCs w:val="16"/>
                <w:color w:val="auto"/>
              </w:rPr>
              <w:t>Total fixed rate debt and finance lease liabilities, net</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2,933,842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3.91%</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Total variable rate debt</w:t>
            </w: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294,788</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3.50%</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91"/>
              </w:rPr>
              <w:t>(5)</w:t>
            </w:r>
          </w:p>
        </w:tc>
        <w:tc>
          <w:tcPr>
            <w:tcW w:w="0" w:type="dxa"/>
            <w:vAlign w:val="bottom"/>
          </w:tcPr>
          <w:p>
            <w:pPr>
              <w:spacing w:after="0"/>
              <w:rPr>
                <w:sz w:val="1"/>
                <w:szCs w:val="1"/>
                <w:color w:val="auto"/>
              </w:rPr>
            </w:pPr>
          </w:p>
        </w:tc>
      </w:tr>
      <w:tr>
        <w:trPr>
          <w:trHeight w:val="244"/>
        </w:trPr>
        <w:tc>
          <w:tcPr>
            <w:tcW w:w="4260" w:type="dxa"/>
            <w:vAlign w:val="bottom"/>
            <w:gridSpan w:val="7"/>
          </w:tcPr>
          <w:p>
            <w:pPr>
              <w:ind w:left="20"/>
              <w:spacing w:after="0"/>
              <w:rPr>
                <w:sz w:val="20"/>
                <w:szCs w:val="20"/>
                <w:color w:val="auto"/>
              </w:rPr>
            </w:pPr>
            <w:r>
              <w:rPr>
                <w:rFonts w:ascii="Arial" w:cs="Arial" w:eastAsia="Arial" w:hAnsi="Arial"/>
                <w:sz w:val="16"/>
                <w:szCs w:val="16"/>
                <w:color w:val="auto"/>
              </w:rPr>
              <w:t>Total debt and finance lease liabilites, net</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3,228,630</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rPr>
              <w:t>3.88%</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w w:val="91"/>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47" w:right="239" w:bottom="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60" w:top="747" w:right="239" w:bottom="0" w:gutter="0" w:footer="0" w:header="0"/>
          <w:type w:val="continuous"/>
        </w:sectPr>
      </w:pPr>
    </w:p>
    <w:bookmarkStart w:id="17" w:name="page18"/>
    <w:bookmarkEnd w:id="17"/>
    <w:p>
      <w:pPr>
        <w:jc w:val="center"/>
        <w:ind w:left="9480"/>
        <w:spacing w:after="0"/>
        <w:rPr>
          <w:sz w:val="20"/>
          <w:szCs w:val="20"/>
          <w:color w:val="auto"/>
        </w:rPr>
      </w:pPr>
      <w:r>
        <w:rPr>
          <w:rFonts w:ascii="Arial" w:cs="Arial" w:eastAsia="Arial" w:hAnsi="Arial"/>
          <w:sz w:val="14"/>
          <w:szCs w:val="14"/>
          <w:b w:val="1"/>
          <w:bCs w:val="1"/>
          <w:color w:val="auto"/>
        </w:rPr>
        <w:t>Three Months Ended</w:t>
      </w:r>
    </w:p>
    <w:p>
      <w:pPr>
        <w:spacing w:after="0" w:line="109" w:lineRule="exact"/>
        <w:rPr>
          <w:sz w:val="20"/>
          <w:szCs w:val="20"/>
          <w:color w:val="auto"/>
        </w:rPr>
      </w:pPr>
    </w:p>
    <w:p>
      <w:pPr>
        <w:jc w:val="center"/>
        <w:ind w:left="94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23495</wp:posOffset>
            </wp:positionV>
            <wp:extent cx="12261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60" w:type="dxa"/>
            <w:vAlign w:val="bottom"/>
          </w:tcPr>
          <w:p>
            <w:pPr>
              <w:spacing w:after="0"/>
              <w:rPr>
                <w:sz w:val="16"/>
                <w:szCs w:val="16"/>
                <w:color w:val="auto"/>
              </w:rPr>
            </w:pPr>
          </w:p>
        </w:tc>
        <w:tc>
          <w:tcPr>
            <w:tcW w:w="9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2018</w:t>
            </w:r>
          </w:p>
        </w:tc>
      </w:tr>
      <w:tr>
        <w:trPr>
          <w:trHeight w:val="203"/>
        </w:trPr>
        <w:tc>
          <w:tcPr>
            <w:tcW w:w="9480" w:type="dxa"/>
            <w:vAlign w:val="bottom"/>
            <w:gridSpan w:val="3"/>
          </w:tcPr>
          <w:p>
            <w:pPr>
              <w:ind w:left="40"/>
              <w:spacing w:after="0"/>
              <w:rPr>
                <w:sz w:val="20"/>
                <w:szCs w:val="20"/>
                <w:color w:val="auto"/>
              </w:rPr>
            </w:pPr>
            <w:r>
              <w:rPr>
                <w:rFonts w:ascii="Arial" w:cs="Arial" w:eastAsia="Arial" w:hAnsi="Arial"/>
                <w:sz w:val="16"/>
                <w:szCs w:val="16"/>
                <w:color w:val="auto"/>
              </w:rPr>
              <w:t>Operational Statistics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80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37"/>
        </w:trPr>
        <w:tc>
          <w:tcPr>
            <w:tcW w:w="40" w:type="dxa"/>
            <w:vAlign w:val="bottom"/>
            <w:shd w:val="clear" w:color="auto" w:fill="CCEEFF"/>
          </w:tcPr>
          <w:p>
            <w:pPr>
              <w:spacing w:after="0"/>
              <w:rPr>
                <w:sz w:val="20"/>
                <w:szCs w:val="20"/>
                <w:color w:val="auto"/>
              </w:rPr>
            </w:pPr>
          </w:p>
        </w:tc>
        <w:tc>
          <w:tcPr>
            <w:tcW w:w="94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Ratio of EBITDAre to combined fixed charges and preferred share dividends (6)</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4.17x</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4.13x</w:t>
            </w:r>
          </w:p>
        </w:tc>
      </w:tr>
      <w:tr>
        <w:trPr>
          <w:trHeight w:val="33"/>
        </w:trPr>
        <w:tc>
          <w:tcPr>
            <w:tcW w:w="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right="240" w:hanging="652"/>
        <w:spacing w:after="0" w:line="27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Mortgages payable does not include our share of the debt on our unconsolidated real estate partnerships. At March 31, 2019, our share was approximately $54.1 million. At March 31, 2019, our noncontrolling interests share of mortgages payable was $58.5 million.</w:t>
      </w:r>
    </w:p>
    <w:p>
      <w:pPr>
        <w:spacing w:after="0" w:line="11" w:lineRule="exact"/>
        <w:rPr>
          <w:rFonts w:ascii="Arial" w:cs="Arial" w:eastAsia="Arial" w:hAnsi="Arial"/>
          <w:sz w:val="14"/>
          <w:szCs w:val="14"/>
          <w:color w:val="auto"/>
        </w:rPr>
      </w:pPr>
    </w:p>
    <w:p>
      <w:pPr>
        <w:ind w:left="660" w:right="280" w:hanging="652"/>
        <w:spacing w:after="0" w:line="27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maximum amount drawn under our revolving credit facility during the three months ended March 31, 2019 was $116.5 million. The weighted average interest rate on borrowings under our revolving credit facility, before amortization of debt fees, for the three months ended March 31, 2019 was 3.2%.</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weighted average remaining term on our debt is 10 years.</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debt issuance costs and discounts and premiums, if applicable, except as described in Note 5.</w:t>
      </w:r>
    </w:p>
    <w:p>
      <w:pPr>
        <w:spacing w:after="0" w:line="55" w:lineRule="exact"/>
        <w:rPr>
          <w:rFonts w:ascii="Arial" w:cs="Arial" w:eastAsia="Arial" w:hAnsi="Arial"/>
          <w:sz w:val="14"/>
          <w:szCs w:val="14"/>
          <w:color w:val="auto"/>
        </w:rPr>
      </w:pPr>
    </w:p>
    <w:p>
      <w:pPr>
        <w:ind w:left="660" w:right="120" w:hanging="652"/>
        <w:spacing w:after="0" w:line="27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quarterly debt fee amortization on our revolving credit facility which had $20.0 million outstanding on March 31, 2019.</w:t>
      </w:r>
    </w:p>
    <w:p>
      <w:pPr>
        <w:spacing w:after="0" w:line="11" w:lineRule="exact"/>
        <w:rPr>
          <w:rFonts w:ascii="Arial" w:cs="Arial" w:eastAsia="Arial" w:hAnsi="Arial"/>
          <w:sz w:val="14"/>
          <w:szCs w:val="14"/>
          <w:color w:val="auto"/>
        </w:rPr>
      </w:pPr>
    </w:p>
    <w:p>
      <w:pPr>
        <w:ind w:left="660" w:right="380" w:hanging="652"/>
        <w:spacing w:after="0" w:line="27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and finance leases (including capitalized interest), amortization of debt discount/premium and debt costs, and the portion of rent expense representing an interest factor. EBITDAre is reconciled to net income in the Glossary of Terms.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6" w:right="239" w:bottom="1440" w:gutter="0" w:footer="0" w:header="0"/>
        </w:sectPr>
      </w:pPr>
    </w:p>
    <w:bookmarkStart w:id="18" w:name="page19"/>
    <w:bookmarkEnd w:id="1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2019</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740"/>
              <w:spacing w:after="0"/>
              <w:rPr>
                <w:sz w:val="20"/>
                <w:szCs w:val="20"/>
                <w:color w:val="auto"/>
              </w:rPr>
            </w:pPr>
            <w:r>
              <w:rPr>
                <w:rFonts w:ascii="Arial" w:cs="Arial" w:eastAsia="Arial" w:hAnsi="Arial"/>
                <w:sz w:val="16"/>
                <w:szCs w:val="16"/>
                <w:b w:val="1"/>
                <w:bCs w:val="1"/>
                <w:color w:val="auto"/>
                <w:w w:val="88"/>
              </w:rPr>
              <w:t>Scheduled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80" w:type="dxa"/>
            <w:vAlign w:val="bottom"/>
          </w:tcPr>
          <w:p>
            <w:pPr>
              <w:spacing w:after="0"/>
              <w:rPr>
                <w:sz w:val="18"/>
                <w:szCs w:val="18"/>
                <w:color w:val="auto"/>
              </w:rPr>
            </w:pPr>
          </w:p>
        </w:tc>
        <w:tc>
          <w:tcPr>
            <w:tcW w:w="1740" w:type="dxa"/>
            <w:vAlign w:val="bottom"/>
            <w:gridSpan w:val="2"/>
          </w:tcPr>
          <w:p>
            <w:pPr>
              <w:jc w:val="center"/>
              <w:ind w:right="74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6"/>
                <w:szCs w:val="16"/>
                <w:b w:val="1"/>
                <w:bCs w:val="1"/>
                <w:color w:val="auto"/>
              </w:rPr>
              <w:t>Maturities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6"/>
                <w:szCs w:val="16"/>
                <w:b w:val="1"/>
                <w:bCs w:val="1"/>
                <w:color w:val="auto"/>
              </w:rPr>
              <w:t>Total</w:t>
            </w: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2019</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4,777</w:t>
            </w:r>
          </w:p>
        </w:tc>
        <w:tc>
          <w:tcPr>
            <w:tcW w:w="5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274,869</w:t>
            </w: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279,646</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0" w:type="dxa"/>
            <w:vAlign w:val="bottom"/>
          </w:tcPr>
          <w:p>
            <w:pPr>
              <w:ind w:left="40"/>
              <w:spacing w:after="0"/>
              <w:rPr>
                <w:sz w:val="20"/>
                <w:szCs w:val="20"/>
                <w:color w:val="auto"/>
              </w:rPr>
            </w:pPr>
            <w:r>
              <w:rPr>
                <w:rFonts w:ascii="Arial" w:cs="Arial" w:eastAsia="Arial" w:hAnsi="Arial"/>
                <w:sz w:val="18"/>
                <w:szCs w:val="18"/>
                <w:color w:val="auto"/>
                <w:w w:val="94"/>
              </w:rPr>
              <w:t>2020</w:t>
            </w: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5,559</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80,593</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86,152</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11.5%</w:t>
            </w: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2021</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3,677</w:t>
            </w:r>
          </w:p>
        </w:tc>
        <w:tc>
          <w:tcPr>
            <w:tcW w:w="5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277,546</w:t>
            </w: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281,223</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2022</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1,453</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366,323</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367,776</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32.0%</w:t>
            </w: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2023</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1,517</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275,000</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276,517</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2024</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1,455</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300,000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301,455</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50.2%</w:t>
            </w: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2025</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1,026</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40,000</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41,026</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51.5%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2026</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753</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39,886</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40,639</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52.8%</w:t>
            </w: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2027</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617</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683,600</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684,217</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74.4%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2028</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611</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611</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74.4%</w:t>
            </w:r>
          </w:p>
        </w:tc>
        <w:tc>
          <w:tcPr>
            <w:tcW w:w="1200" w:type="dxa"/>
            <w:vAlign w:val="bottom"/>
          </w:tcPr>
          <w:p>
            <w:pPr>
              <w:jc w:val="right"/>
              <w:spacing w:after="0"/>
              <w:rPr>
                <w:sz w:val="20"/>
                <w:szCs w:val="20"/>
                <w:color w:val="auto"/>
              </w:rPr>
            </w:pPr>
            <w:r>
              <w:rPr>
                <w:rFonts w:ascii="Arial" w:cs="Arial" w:eastAsia="Arial" w:hAnsi="Arial"/>
                <w:sz w:val="18"/>
                <w:szCs w:val="18"/>
                <w:color w:val="auto"/>
              </w:rPr>
              <w:t>11.8%</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1,438</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811,500</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812,938</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22,883</w:t>
            </w:r>
          </w:p>
        </w:tc>
        <w:tc>
          <w:tcPr>
            <w:tcW w:w="5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3,149,317</w:t>
            </w:r>
          </w:p>
        </w:tc>
        <w:tc>
          <w:tcPr>
            <w:tcW w:w="56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40"/>
              <w:spacing w:after="0" w:line="263" w:lineRule="exact"/>
              <w:rPr>
                <w:sz w:val="20"/>
                <w:szCs w:val="20"/>
                <w:color w:val="auto"/>
              </w:rPr>
            </w:pPr>
            <w:r>
              <w:rPr>
                <w:rFonts w:ascii="Arial" w:cs="Arial" w:eastAsia="Arial" w:hAnsi="Arial"/>
                <w:sz w:val="18"/>
                <w:szCs w:val="18"/>
                <w:color w:val="auto"/>
              </w:rPr>
              <w:t xml:space="preserve">3,172,200  </w:t>
            </w:r>
            <w:r>
              <w:rPr>
                <w:rFonts w:ascii="Arial" w:cs="Arial" w:eastAsia="Arial" w:hAnsi="Arial"/>
                <w:sz w:val="28"/>
                <w:szCs w:val="28"/>
                <w:color w:val="auto"/>
                <w:vertAlign w:val="subscript"/>
              </w:rPr>
              <w:t>(2)</w:t>
            </w: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98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right="300" w:hanging="652"/>
        <w:spacing w:after="0" w:line="27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$800.0 million revolving credit facility matures on April 20, 2020, subject to two six-month extensions at our option. As of March 31, 2019, there was $20.0 million outstanding under this credit facility.</w:t>
      </w:r>
    </w:p>
    <w:p>
      <w:pPr>
        <w:spacing w:after="0" w:line="10" w:lineRule="exact"/>
        <w:rPr>
          <w:rFonts w:ascii="Arial" w:cs="Arial" w:eastAsia="Arial" w:hAnsi="Arial"/>
          <w:sz w:val="16"/>
          <w:szCs w:val="16"/>
          <w:color w:val="auto"/>
        </w:rPr>
      </w:pPr>
    </w:p>
    <w:p>
      <w:pPr>
        <w:ind w:left="660" w:right="320" w:hanging="652"/>
        <w:spacing w:after="0" w:line="27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total debt maturities differ from the total reported on the consolidated balance sheet due to the unamortized net premium/discount and debt issuance costs on certain mortgage loans, notes payable, and senior notes as of March 31, 2019.</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weighted average rate excludes $0.5 million in quarterly financing fees and quarterly debt fee amortization on our revolving credit facility.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2" w:right="239" w:bottom="1440" w:gutter="0" w:footer="0" w:header="0"/>
        </w:sectPr>
      </w:pPr>
    </w:p>
    <w:bookmarkStart w:id="19" w:name="page20"/>
    <w:bookmarkEnd w:id="19"/>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2019</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8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Projected</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Cost to</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15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Property</w:t>
            </w:r>
          </w:p>
        </w:tc>
        <w:tc>
          <w:tcPr>
            <w:tcW w:w="14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Location</w:t>
            </w:r>
          </w:p>
        </w:tc>
        <w:tc>
          <w:tcPr>
            <w:tcW w:w="492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Opportunity</w:t>
            </w:r>
          </w:p>
        </w:tc>
        <w:tc>
          <w:tcPr>
            <w:tcW w:w="8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Stabilization</w:t>
            </w:r>
          </w:p>
        </w:tc>
        <w:tc>
          <w:tcPr>
            <w:tcW w:w="0" w:type="dxa"/>
            <w:vAlign w:val="bottom"/>
          </w:tcPr>
          <w:p>
            <w:pPr>
              <w:spacing w:after="0"/>
              <w:rPr>
                <w:sz w:val="1"/>
                <w:szCs w:val="1"/>
                <w:color w:val="auto"/>
              </w:rPr>
            </w:pPr>
          </w:p>
        </w:tc>
      </w:tr>
      <w:tr>
        <w:trPr>
          <w:trHeight w:val="192"/>
        </w:trPr>
        <w:tc>
          <w:tcPr>
            <w:tcW w:w="152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ROI (2)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Cost (1)</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78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CocoWalk</w:t>
            </w:r>
          </w:p>
        </w:tc>
        <w:tc>
          <w:tcPr>
            <w:tcW w:w="14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Coconut Grove, FL</w:t>
            </w:r>
          </w:p>
        </w:tc>
        <w:tc>
          <w:tcPr>
            <w:tcW w:w="492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w w:val="95"/>
              </w:rPr>
              <w:t>Shopping center redevelopment to include demolition of three story east wing of</w:t>
            </w:r>
          </w:p>
        </w:tc>
        <w:tc>
          <w:tcPr>
            <w:tcW w:w="860" w:type="dxa"/>
            <w:vAlign w:val="bottom"/>
            <w:shd w:val="clear" w:color="auto" w:fill="CCEEFF"/>
          </w:tcPr>
          <w:p>
            <w:pPr>
              <w:jc w:val="right"/>
              <w:ind w:right="108"/>
              <w:spacing w:after="0" w:line="157" w:lineRule="exact"/>
              <w:rPr>
                <w:sz w:val="20"/>
                <w:szCs w:val="20"/>
                <w:color w:val="auto"/>
              </w:rPr>
            </w:pPr>
            <w:r>
              <w:rPr>
                <w:rFonts w:ascii="Arial" w:cs="Arial" w:eastAsia="Arial" w:hAnsi="Arial"/>
                <w:sz w:val="14"/>
                <w:szCs w:val="14"/>
                <w:color w:val="auto"/>
              </w:rPr>
              <w:t>6%-7%</w:t>
            </w: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$75 - $80</w:t>
            </w: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$28</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9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the property and construction of an 106,000 square foot 5-story office/retail</w:t>
            </w:r>
          </w:p>
        </w:tc>
        <w:tc>
          <w:tcPr>
            <w:tcW w:w="8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building including 24,000 square feet of retail</w:t>
            </w: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40"/>
              <w:spacing w:after="0" w:line="157" w:lineRule="exact"/>
              <w:rPr>
                <w:sz w:val="20"/>
                <w:szCs w:val="20"/>
                <w:color w:val="auto"/>
              </w:rPr>
            </w:pPr>
            <w:r>
              <w:rPr>
                <w:rFonts w:ascii="Arial" w:cs="Arial" w:eastAsia="Arial" w:hAnsi="Arial"/>
                <w:sz w:val="14"/>
                <w:szCs w:val="14"/>
                <w:color w:val="auto"/>
                <w:w w:val="97"/>
              </w:rPr>
              <w:t>Jordan Downs Plaza (5)</w:t>
            </w:r>
          </w:p>
        </w:tc>
        <w:tc>
          <w:tcPr>
            <w:tcW w:w="1440" w:type="dxa"/>
            <w:vAlign w:val="bottom"/>
          </w:tcPr>
          <w:p>
            <w:pPr>
              <w:ind w:left="120"/>
              <w:spacing w:after="0" w:line="157" w:lineRule="exact"/>
              <w:rPr>
                <w:sz w:val="20"/>
                <w:szCs w:val="20"/>
                <w:color w:val="auto"/>
              </w:rPr>
            </w:pPr>
            <w:r>
              <w:rPr>
                <w:rFonts w:ascii="Arial" w:cs="Arial" w:eastAsia="Arial" w:hAnsi="Arial"/>
                <w:sz w:val="14"/>
                <w:szCs w:val="14"/>
                <w:color w:val="auto"/>
              </w:rPr>
              <w:t>Los Angeles, CA</w:t>
            </w:r>
          </w:p>
        </w:tc>
        <w:tc>
          <w:tcPr>
            <w:tcW w:w="4920" w:type="dxa"/>
            <w:vAlign w:val="bottom"/>
          </w:tcPr>
          <w:p>
            <w:pPr>
              <w:ind w:left="160"/>
              <w:spacing w:after="0" w:line="157" w:lineRule="exact"/>
              <w:rPr>
                <w:sz w:val="20"/>
                <w:szCs w:val="20"/>
                <w:color w:val="auto"/>
              </w:rPr>
            </w:pPr>
            <w:r>
              <w:rPr>
                <w:rFonts w:ascii="Arial" w:cs="Arial" w:eastAsia="Arial" w:hAnsi="Arial"/>
                <w:sz w:val="14"/>
                <w:szCs w:val="14"/>
                <w:color w:val="auto"/>
              </w:rPr>
              <w:t>Development of a new 113,000 square foot single-story grocery anchored</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7%</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$38 - $42</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$21</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neighborhood shopping center</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Brick Plaza</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Brick, NJ</w:t>
            </w: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9"/>
              </w:rPr>
              <w:t>Redevelopment and repositioning of anchor tenant and small shop spaces to</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transform property into a market dominant center</w:t>
            </w: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40"/>
              <w:spacing w:after="0" w:line="157" w:lineRule="exact"/>
              <w:rPr>
                <w:sz w:val="20"/>
                <w:szCs w:val="20"/>
                <w:color w:val="auto"/>
              </w:rPr>
            </w:pPr>
            <w:r>
              <w:rPr>
                <w:rFonts w:ascii="Arial" w:cs="Arial" w:eastAsia="Arial" w:hAnsi="Arial"/>
                <w:sz w:val="14"/>
                <w:szCs w:val="14"/>
                <w:color w:val="auto"/>
              </w:rPr>
              <w:t>Bala Cynwyd</w:t>
            </w:r>
          </w:p>
        </w:tc>
        <w:tc>
          <w:tcPr>
            <w:tcW w:w="1440" w:type="dxa"/>
            <w:vAlign w:val="bottom"/>
          </w:tcPr>
          <w:p>
            <w:pPr>
              <w:ind w:left="120"/>
              <w:spacing w:after="0" w:line="157" w:lineRule="exact"/>
              <w:rPr>
                <w:sz w:val="20"/>
                <w:szCs w:val="20"/>
                <w:color w:val="auto"/>
              </w:rPr>
            </w:pPr>
            <w:r>
              <w:rPr>
                <w:rFonts w:ascii="Arial" w:cs="Arial" w:eastAsia="Arial" w:hAnsi="Arial"/>
                <w:sz w:val="14"/>
                <w:szCs w:val="14"/>
                <w:color w:val="auto"/>
              </w:rPr>
              <w:t>Bala Cynwyd, PA</w:t>
            </w:r>
          </w:p>
        </w:tc>
        <w:tc>
          <w:tcPr>
            <w:tcW w:w="4920" w:type="dxa"/>
            <w:vAlign w:val="bottom"/>
          </w:tcPr>
          <w:p>
            <w:pPr>
              <w:ind w:left="160"/>
              <w:spacing w:after="0" w:line="157" w:lineRule="exact"/>
              <w:rPr>
                <w:sz w:val="20"/>
                <w:szCs w:val="20"/>
                <w:color w:val="auto"/>
              </w:rPr>
            </w:pPr>
            <w:r>
              <w:rPr>
                <w:rFonts w:ascii="Arial" w:cs="Arial" w:eastAsia="Arial" w:hAnsi="Arial"/>
                <w:sz w:val="14"/>
                <w:szCs w:val="14"/>
                <w:color w:val="auto"/>
                <w:w w:val="98"/>
              </w:rPr>
              <w:t>New 87 unit apartment building to be constructed on underutilized land behind</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6%</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$23</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$5</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our existing shopping center</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Melville Mall</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Huntington, NY</w:t>
            </w: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5"/>
              </w:rPr>
              <w:t>Development of a new 15,000 square foot pad site consisting of two multi-tenant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retail buildings</w:t>
            </w: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40"/>
              <w:spacing w:after="0" w:line="157" w:lineRule="exact"/>
              <w:rPr>
                <w:sz w:val="20"/>
                <w:szCs w:val="20"/>
                <w:color w:val="auto"/>
              </w:rPr>
            </w:pPr>
            <w:r>
              <w:rPr>
                <w:rFonts w:ascii="Arial" w:cs="Arial" w:eastAsia="Arial" w:hAnsi="Arial"/>
                <w:sz w:val="14"/>
                <w:szCs w:val="14"/>
                <w:color w:val="auto"/>
              </w:rPr>
              <w:t>Montrose Crossing</w:t>
            </w:r>
          </w:p>
        </w:tc>
        <w:tc>
          <w:tcPr>
            <w:tcW w:w="1440" w:type="dxa"/>
            <w:vAlign w:val="bottom"/>
          </w:tcPr>
          <w:p>
            <w:pPr>
              <w:ind w:left="120"/>
              <w:spacing w:after="0" w:line="157" w:lineRule="exact"/>
              <w:rPr>
                <w:sz w:val="20"/>
                <w:szCs w:val="20"/>
                <w:color w:val="auto"/>
              </w:rPr>
            </w:pPr>
            <w:r>
              <w:rPr>
                <w:rFonts w:ascii="Arial" w:cs="Arial" w:eastAsia="Arial" w:hAnsi="Arial"/>
                <w:sz w:val="14"/>
                <w:szCs w:val="14"/>
                <w:color w:val="auto"/>
              </w:rPr>
              <w:t>Rockville, MD</w:t>
            </w:r>
          </w:p>
        </w:tc>
        <w:tc>
          <w:tcPr>
            <w:tcW w:w="4920" w:type="dxa"/>
            <w:vAlign w:val="bottom"/>
          </w:tcPr>
          <w:p>
            <w:pPr>
              <w:ind w:left="160"/>
              <w:spacing w:after="0" w:line="157" w:lineRule="exact"/>
              <w:rPr>
                <w:sz w:val="20"/>
                <w:szCs w:val="20"/>
                <w:color w:val="auto"/>
              </w:rPr>
            </w:pPr>
            <w:r>
              <w:rPr>
                <w:rFonts w:ascii="Arial" w:cs="Arial" w:eastAsia="Arial" w:hAnsi="Arial"/>
                <w:sz w:val="14"/>
                <w:szCs w:val="14"/>
                <w:color w:val="auto"/>
              </w:rPr>
              <w:t>Demolition of 10,000 square foot restaurant building to construct an 18,000</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11%</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$8</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square foot multi-tenant pad building</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Pike 7 Plaza</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Vienna, VA</w:t>
            </w: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Addition of 8,300 square foot multi-tenant retail pad building</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197"/>
        </w:trPr>
        <w:tc>
          <w:tcPr>
            <w:tcW w:w="1520" w:type="dxa"/>
            <w:vAlign w:val="bottom"/>
          </w:tcPr>
          <w:p>
            <w:pPr>
              <w:ind w:left="40"/>
              <w:spacing w:after="0"/>
              <w:rPr>
                <w:sz w:val="20"/>
                <w:szCs w:val="20"/>
                <w:color w:val="auto"/>
              </w:rPr>
            </w:pPr>
            <w:r>
              <w:rPr>
                <w:rFonts w:ascii="Arial" w:cs="Arial" w:eastAsia="Arial" w:hAnsi="Arial"/>
                <w:sz w:val="14"/>
                <w:szCs w:val="14"/>
                <w:color w:val="auto"/>
              </w:rPr>
              <w:t>Wildwood</w:t>
            </w:r>
          </w:p>
        </w:tc>
        <w:tc>
          <w:tcPr>
            <w:tcW w:w="1440" w:type="dxa"/>
            <w:vAlign w:val="bottom"/>
          </w:tcPr>
          <w:p>
            <w:pPr>
              <w:ind w:left="120"/>
              <w:spacing w:after="0"/>
              <w:rPr>
                <w:sz w:val="20"/>
                <w:szCs w:val="20"/>
                <w:color w:val="auto"/>
              </w:rPr>
            </w:pPr>
            <w:r>
              <w:rPr>
                <w:rFonts w:ascii="Arial" w:cs="Arial" w:eastAsia="Arial" w:hAnsi="Arial"/>
                <w:sz w:val="14"/>
                <w:szCs w:val="14"/>
                <w:color w:val="auto"/>
              </w:rPr>
              <w:t>Bethesda, MD</w:t>
            </w:r>
          </w:p>
        </w:tc>
        <w:tc>
          <w:tcPr>
            <w:tcW w:w="4920" w:type="dxa"/>
            <w:vAlign w:val="bottom"/>
          </w:tcPr>
          <w:p>
            <w:pPr>
              <w:ind w:left="160"/>
              <w:spacing w:after="0"/>
              <w:rPr>
                <w:sz w:val="20"/>
                <w:szCs w:val="20"/>
                <w:color w:val="auto"/>
              </w:rPr>
            </w:pPr>
            <w:r>
              <w:rPr>
                <w:rFonts w:ascii="Arial" w:cs="Arial" w:eastAsia="Arial" w:hAnsi="Arial"/>
                <w:sz w:val="14"/>
                <w:szCs w:val="14"/>
                <w:color w:val="auto"/>
              </w:rPr>
              <w:t>4,900 square foot south end building expansion and site improvements</w:t>
            </w: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163"/>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Willow Lawn</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Richmond, VA</w:t>
            </w: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3"/>
              </w:rPr>
              <w:t>Conversion of vacant 5,000 square foot pad building to retail use to accommodate</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9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3"/>
              </w:rPr>
              <w:t>new 3,500 square foot fast casual restaurant tenant. Remainder of pad building to</w:t>
            </w:r>
          </w:p>
        </w:tc>
        <w:tc>
          <w:tcPr>
            <w:tcW w:w="8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be demolished to construct new 2,200 square foot Starbucks pad site</w:t>
            </w:r>
          </w:p>
        </w:tc>
        <w:tc>
          <w:tcPr>
            <w:tcW w:w="8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960" w:type="dxa"/>
            <w:vAlign w:val="bottom"/>
            <w:gridSpan w:val="2"/>
          </w:tcPr>
          <w:p>
            <w:pPr>
              <w:ind w:left="40"/>
              <w:spacing w:after="0"/>
              <w:rPr>
                <w:sz w:val="20"/>
                <w:szCs w:val="20"/>
                <w:color w:val="auto"/>
              </w:rPr>
            </w:pPr>
            <w:r>
              <w:rPr>
                <w:rFonts w:ascii="Arial" w:cs="Arial" w:eastAsia="Arial" w:hAnsi="Arial"/>
                <w:sz w:val="16"/>
                <w:szCs w:val="16"/>
                <w:b w:val="1"/>
                <w:bCs w:val="1"/>
                <w:color w:val="auto"/>
                <w:w w:val="95"/>
              </w:rPr>
              <w:t>Total Active Redevelopment projects (4)</w:t>
            </w:r>
          </w:p>
        </w:tc>
        <w:tc>
          <w:tcPr>
            <w:tcW w:w="49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880" w:type="dxa"/>
            <w:vAlign w:val="bottom"/>
          </w:tcPr>
          <w:p>
            <w:pPr>
              <w:jc w:val="right"/>
              <w:spacing w:after="0"/>
              <w:rPr>
                <w:sz w:val="20"/>
                <w:szCs w:val="20"/>
                <w:color w:val="auto"/>
              </w:rPr>
            </w:pPr>
            <w:r>
              <w:rPr>
                <w:rFonts w:ascii="Arial" w:cs="Arial" w:eastAsia="Arial" w:hAnsi="Arial"/>
                <w:sz w:val="14"/>
                <w:szCs w:val="14"/>
                <w:color w:val="auto"/>
              </w:rPr>
              <w:t>$205 - $214</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5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92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hanging="652"/>
        <w:spacing w:after="0" w:line="260" w:lineRule="auto"/>
        <w:tabs>
          <w:tab w:leader="none" w:pos="6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Stabilization is generally the year in which 90% physical occupancy of the redeveloped space is achieved. Economic stabilization may occur at a later point in time.</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cost is net of the proceeds from our New Market Tax Credit structure. See Note 3 of our December 31, 2018 Form 10-K for additional information.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Assembly Row, Pike &amp; Rose, and Santana Row</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Projected POI Delivered</w:t>
            </w:r>
          </w:p>
        </w:tc>
        <w:tc>
          <w:tcPr>
            <w:tcW w:w="2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(as a % of Total)</w:t>
            </w:r>
          </w:p>
        </w:tc>
        <w:tc>
          <w:tcPr>
            <w:tcW w:w="20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For Year Ended December 31,</w:t>
            </w:r>
          </w:p>
        </w:tc>
        <w:tc>
          <w:tcPr>
            <w:tcW w:w="2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740" w:type="dxa"/>
            <w:vAlign w:val="bottom"/>
          </w:tcPr>
          <w:p>
            <w:pPr>
              <w:jc w:val="center"/>
              <w:ind w:left="72"/>
              <w:spacing w:after="0"/>
              <w:rPr>
                <w:sz w:val="20"/>
                <w:szCs w:val="20"/>
                <w:color w:val="auto"/>
              </w:rPr>
            </w:pPr>
            <w:r>
              <w:rPr>
                <w:rFonts w:ascii="Arial" w:cs="Arial" w:eastAsia="Arial" w:hAnsi="Arial"/>
                <w:sz w:val="14"/>
                <w:szCs w:val="14"/>
                <w:b w:val="1"/>
                <w:bCs w:val="1"/>
                <w:color w:val="auto"/>
                <w:w w:val="87"/>
              </w:rPr>
              <w:t>Projected</w:t>
            </w:r>
          </w:p>
        </w:tc>
        <w:tc>
          <w:tcPr>
            <w:tcW w:w="3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Costs to</w:t>
            </w:r>
          </w:p>
        </w:tc>
        <w:tc>
          <w:tcPr>
            <w:tcW w:w="7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(2)</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Property (1)</w:t>
            </w:r>
          </w:p>
        </w:tc>
        <w:tc>
          <w:tcPr>
            <w:tcW w:w="28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Opportunity</w:t>
            </w:r>
          </w:p>
        </w:tc>
        <w:tc>
          <w:tcPr>
            <w:tcW w:w="74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b w:val="1"/>
                <w:bCs w:val="1"/>
                <w:color w:val="auto"/>
                <w:w w:val="95"/>
              </w:rPr>
              <w:t>ROI (3)</w:t>
            </w:r>
          </w:p>
        </w:tc>
        <w:tc>
          <w:tcPr>
            <w:tcW w:w="3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Cost (4)</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120" w:type="dxa"/>
            <w:vAlign w:val="bottom"/>
          </w:tcPr>
          <w:p>
            <w:pPr>
              <w:spacing w:after="0"/>
              <w:rPr>
                <w:sz w:val="21"/>
                <w:szCs w:val="21"/>
                <w:color w:val="auto"/>
              </w:rPr>
            </w:pPr>
          </w:p>
        </w:tc>
        <w:tc>
          <w:tcPr>
            <w:tcW w:w="700" w:type="dxa"/>
            <w:vAlign w:val="bottom"/>
            <w:tcBorders>
              <w:bottom w:val="single" w:sz="8" w:color="auto"/>
            </w:tcBorders>
          </w:tcPr>
          <w:p>
            <w:pPr>
              <w:jc w:val="center"/>
              <w:ind w:left="132"/>
              <w:spacing w:after="0"/>
              <w:rPr>
                <w:sz w:val="20"/>
                <w:szCs w:val="20"/>
                <w:color w:val="auto"/>
              </w:rPr>
            </w:pPr>
            <w:r>
              <w:rPr>
                <w:rFonts w:ascii="Arial" w:cs="Arial" w:eastAsia="Arial" w:hAnsi="Arial"/>
                <w:sz w:val="14"/>
                <w:szCs w:val="14"/>
                <w:b w:val="1"/>
                <w:bCs w:val="1"/>
                <w:color w:val="auto"/>
                <w:w w:val="83"/>
              </w:rPr>
              <w:t>2019</w:t>
            </w:r>
          </w:p>
        </w:tc>
        <w:tc>
          <w:tcPr>
            <w:tcW w:w="1100" w:type="dxa"/>
            <w:vAlign w:val="bottom"/>
            <w:tcBorders>
              <w:bottom w:val="single" w:sz="8" w:color="auto"/>
            </w:tcBorders>
            <w:gridSpan w:val="2"/>
          </w:tcPr>
          <w:p>
            <w:pPr>
              <w:jc w:val="center"/>
              <w:ind w:left="132"/>
              <w:spacing w:after="0"/>
              <w:rPr>
                <w:sz w:val="20"/>
                <w:szCs w:val="20"/>
                <w:color w:val="auto"/>
              </w:rPr>
            </w:pPr>
            <w:r>
              <w:rPr>
                <w:rFonts w:ascii="Arial" w:cs="Arial" w:eastAsia="Arial" w:hAnsi="Arial"/>
                <w:sz w:val="14"/>
                <w:szCs w:val="14"/>
                <w:b w:val="1"/>
                <w:bCs w:val="1"/>
                <w:color w:val="auto"/>
                <w:w w:val="83"/>
              </w:rPr>
              <w:t>2020</w:t>
            </w:r>
          </w:p>
        </w:tc>
        <w:tc>
          <w:tcPr>
            <w:tcW w:w="120" w:type="dxa"/>
            <w:vAlign w:val="bottom"/>
          </w:tcPr>
          <w:p>
            <w:pPr>
              <w:spacing w:after="0"/>
              <w:rPr>
                <w:sz w:val="21"/>
                <w:szCs w:val="21"/>
                <w:color w:val="auto"/>
              </w:rPr>
            </w:pPr>
          </w:p>
        </w:tc>
        <w:tc>
          <w:tcPr>
            <w:tcW w:w="2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Expected Opening Timeframe</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auto"/>
              </w:rPr>
              <w:t>(in</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(in</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auto"/>
              </w:rPr>
              <w:t>millions)</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millions)</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240" w:type="dxa"/>
            <w:vAlign w:val="bottom"/>
            <w:gridSpan w:val="6"/>
          </w:tcPr>
          <w:p>
            <w:pPr>
              <w:ind w:left="40"/>
              <w:spacing w:after="0"/>
              <w:rPr>
                <w:sz w:val="20"/>
                <w:szCs w:val="20"/>
                <w:color w:val="auto"/>
              </w:rPr>
            </w:pPr>
            <w:r>
              <w:rPr>
                <w:rFonts w:ascii="Arial" w:cs="Arial" w:eastAsia="Arial" w:hAnsi="Arial"/>
                <w:sz w:val="14"/>
                <w:szCs w:val="14"/>
                <w:b w:val="1"/>
                <w:bCs w:val="1"/>
                <w:color w:val="auto"/>
              </w:rPr>
              <w:t xml:space="preserve">Assembly Row, </w:t>
            </w:r>
            <w:r>
              <w:rPr>
                <w:rFonts w:ascii="Arial" w:cs="Arial" w:eastAsia="Arial" w:hAnsi="Arial"/>
                <w:sz w:val="14"/>
                <w:szCs w:val="14"/>
                <w:b w:val="1"/>
                <w:bCs w:val="1"/>
                <w:i w:val="1"/>
                <w:iCs w:val="1"/>
                <w:color w:val="auto"/>
              </w:rPr>
              <w:t>Somerville, MA</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Phase II</w:t>
            </w:r>
          </w:p>
        </w:tc>
        <w:tc>
          <w:tcPr>
            <w:tcW w:w="2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- 161,000 SF of retail</w:t>
            </w:r>
          </w:p>
        </w:tc>
        <w:tc>
          <w:tcPr>
            <w:tcW w:w="740" w:type="dxa"/>
            <w:vAlign w:val="bottom"/>
            <w:shd w:val="clear" w:color="auto" w:fill="CCEEFF"/>
          </w:tcPr>
          <w:p>
            <w:pPr>
              <w:jc w:val="center"/>
              <w:ind w:left="52"/>
              <w:spacing w:after="0"/>
              <w:rPr>
                <w:sz w:val="20"/>
                <w:szCs w:val="20"/>
                <w:color w:val="auto"/>
              </w:rPr>
            </w:pPr>
            <w:r>
              <w:rPr>
                <w:rFonts w:ascii="Arial" w:cs="Arial" w:eastAsia="Arial" w:hAnsi="Arial"/>
                <w:sz w:val="14"/>
                <w:szCs w:val="14"/>
                <w:color w:val="auto"/>
                <w:w w:val="88"/>
              </w:rPr>
              <w:t>7%</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shd w:val="clear" w:color="auto" w:fill="CCEEFF"/>
              </w:rPr>
              <w:t>$290 - 305</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$292</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132"/>
              <w:spacing w:after="0"/>
              <w:rPr>
                <w:sz w:val="20"/>
                <w:szCs w:val="20"/>
                <w:color w:val="auto"/>
              </w:rPr>
            </w:pPr>
            <w:r>
              <w:rPr>
                <w:rFonts w:ascii="Arial" w:cs="Arial" w:eastAsia="Arial" w:hAnsi="Arial"/>
                <w:sz w:val="14"/>
                <w:szCs w:val="14"/>
                <w:color w:val="auto"/>
                <w:w w:val="92"/>
              </w:rPr>
              <w:t>90%</w:t>
            </w:r>
          </w:p>
        </w:tc>
        <w:tc>
          <w:tcPr>
            <w:tcW w:w="122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Stabilized</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128,000 square feet of retail has opened,</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6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- 447 residential units</w:t>
            </w: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shd w:val="clear" w:color="auto" w:fill="CCEEFF"/>
              </w:rPr>
              <w:t>remaining</w:t>
            </w: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6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- 158 boutique hotel rooms</w:t>
            </w: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shd w:val="clear" w:color="auto" w:fill="CCEEFF"/>
              </w:rPr>
              <w:t>tenants projected to open through 2019</w:t>
            </w:r>
          </w:p>
        </w:tc>
        <w:tc>
          <w:tcPr>
            <w:tcW w:w="0" w:type="dxa"/>
            <w:vAlign w:val="bottom"/>
          </w:tcPr>
          <w:p>
            <w:pPr>
              <w:spacing w:after="0"/>
              <w:rPr>
                <w:sz w:val="1"/>
                <w:szCs w:val="1"/>
                <w:color w:val="auto"/>
              </w:rPr>
            </w:pPr>
          </w:p>
        </w:tc>
      </w:tr>
      <w:tr>
        <w:trPr>
          <w:trHeight w:val="192"/>
        </w:trPr>
        <w:tc>
          <w:tcPr>
            <w:tcW w:w="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1"/>
              </w:rPr>
              <w:t>Residential building opened in September 2017</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with</w:t>
            </w:r>
          </w:p>
        </w:tc>
        <w:tc>
          <w:tcPr>
            <w:tcW w:w="0" w:type="dxa"/>
            <w:vAlign w:val="bottom"/>
          </w:tcPr>
          <w:p>
            <w:pPr>
              <w:spacing w:after="0"/>
              <w:rPr>
                <w:sz w:val="1"/>
                <w:szCs w:val="1"/>
                <w:color w:val="auto"/>
              </w:rPr>
            </w:pPr>
          </w:p>
        </w:tc>
      </w:tr>
      <w:tr>
        <w:trPr>
          <w:trHeight w:val="172"/>
        </w:trPr>
        <w:tc>
          <w:tcPr>
            <w:tcW w:w="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deliveries through 3Q 2018</w:t>
            </w:r>
          </w:p>
        </w:tc>
        <w:tc>
          <w:tcPr>
            <w:tcW w:w="0" w:type="dxa"/>
            <w:vAlign w:val="bottom"/>
          </w:tcPr>
          <w:p>
            <w:pPr>
              <w:spacing w:after="0"/>
              <w:rPr>
                <w:sz w:val="1"/>
                <w:szCs w:val="1"/>
                <w:color w:val="auto"/>
              </w:rPr>
            </w:pPr>
          </w:p>
        </w:tc>
      </w:tr>
      <w:tr>
        <w:trPr>
          <w:trHeight w:val="179"/>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5"/>
              </w:rPr>
              <w:t>741,500 SF Partners Healthcare office space</w:t>
            </w:r>
          </w:p>
        </w:tc>
        <w:tc>
          <w:tcPr>
            <w:tcW w:w="0" w:type="dxa"/>
            <w:vAlign w:val="bottom"/>
          </w:tcPr>
          <w:p>
            <w:pPr>
              <w:spacing w:after="0"/>
              <w:rPr>
                <w:sz w:val="1"/>
                <w:szCs w:val="1"/>
                <w:color w:val="auto"/>
              </w:rPr>
            </w:pPr>
          </w:p>
        </w:tc>
      </w:tr>
      <w:tr>
        <w:trPr>
          <w:trHeight w:val="172"/>
        </w:trPr>
        <w:tc>
          <w:tcPr>
            <w:tcW w:w="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(built by Partners) opened in 2016</w:t>
            </w: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Hotel opened in 3Q18</w:t>
            </w:r>
          </w:p>
        </w:tc>
        <w:tc>
          <w:tcPr>
            <w:tcW w:w="0" w:type="dxa"/>
            <w:vAlign w:val="bottom"/>
          </w:tcPr>
          <w:p>
            <w:pPr>
              <w:spacing w:after="0"/>
              <w:rPr>
                <w:sz w:val="1"/>
                <w:szCs w:val="1"/>
                <w:color w:val="auto"/>
              </w:rPr>
            </w:pPr>
          </w:p>
        </w:tc>
      </w:tr>
      <w:tr>
        <w:trPr>
          <w:trHeight w:val="82"/>
        </w:trPr>
        <w:tc>
          <w:tcPr>
            <w:tcW w:w="4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1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60" w:type="dxa"/>
            <w:vAlign w:val="bottom"/>
            <w:gridSpan w:val="4"/>
          </w:tcPr>
          <w:p>
            <w:pPr>
              <w:ind w:left="40"/>
              <w:spacing w:after="0"/>
              <w:rPr>
                <w:sz w:val="20"/>
                <w:szCs w:val="20"/>
                <w:color w:val="auto"/>
              </w:rPr>
            </w:pPr>
            <w:r>
              <w:rPr>
                <w:rFonts w:ascii="Arial" w:cs="Arial" w:eastAsia="Arial" w:hAnsi="Arial"/>
                <w:sz w:val="14"/>
                <w:szCs w:val="14"/>
                <w:color w:val="auto"/>
              </w:rPr>
              <w:t>- 122 for-sale condominium units</w:t>
            </w:r>
          </w:p>
        </w:tc>
        <w:tc>
          <w:tcPr>
            <w:tcW w:w="740" w:type="dxa"/>
            <w:vAlign w:val="bottom"/>
          </w:tcPr>
          <w:p>
            <w:pPr>
              <w:jc w:val="center"/>
              <w:ind w:left="52"/>
              <w:spacing w:after="0"/>
              <w:rPr>
                <w:sz w:val="20"/>
                <w:szCs w:val="20"/>
                <w:color w:val="auto"/>
              </w:rPr>
            </w:pPr>
            <w:r>
              <w:rPr>
                <w:rFonts w:ascii="Arial" w:cs="Arial" w:eastAsia="Arial" w:hAnsi="Arial"/>
                <w:sz w:val="14"/>
                <w:szCs w:val="14"/>
                <w:color w:val="auto"/>
                <w:w w:val="99"/>
              </w:rPr>
              <w:t>—</w:t>
            </w:r>
          </w:p>
        </w:tc>
        <w:tc>
          <w:tcPr>
            <w:tcW w:w="34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640" w:type="dxa"/>
            <w:vAlign w:val="bottom"/>
          </w:tcPr>
          <w:p>
            <w:pPr>
              <w:jc w:val="center"/>
              <w:spacing w:after="0"/>
              <w:rPr>
                <w:sz w:val="20"/>
                <w:szCs w:val="20"/>
                <w:color w:val="auto"/>
              </w:rPr>
            </w:pPr>
            <w:r>
              <w:rPr>
                <w:rFonts w:ascii="Arial" w:cs="Arial" w:eastAsia="Arial" w:hAnsi="Arial"/>
                <w:sz w:val="14"/>
                <w:szCs w:val="14"/>
                <w:color w:val="auto"/>
                <w:w w:val="85"/>
              </w:rPr>
              <w:t>$81</w:t>
            </w:r>
          </w:p>
        </w:tc>
        <w:tc>
          <w:tcPr>
            <w:tcW w:w="700" w:type="dxa"/>
            <w:vAlign w:val="bottom"/>
          </w:tcPr>
          <w:p>
            <w:pPr>
              <w:jc w:val="center"/>
              <w:spacing w:after="0"/>
              <w:rPr>
                <w:sz w:val="20"/>
                <w:szCs w:val="20"/>
                <w:color w:val="auto"/>
              </w:rPr>
            </w:pPr>
            <w:r>
              <w:rPr>
                <w:rFonts w:ascii="Arial" w:cs="Arial" w:eastAsia="Arial" w:hAnsi="Arial"/>
                <w:sz w:val="14"/>
                <w:szCs w:val="14"/>
                <w:color w:val="auto"/>
                <w:w w:val="85"/>
              </w:rPr>
              <w:t>$81</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Closings commenced 1Q 2018</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Phase III</w:t>
            </w:r>
          </w:p>
        </w:tc>
        <w:tc>
          <w:tcPr>
            <w:tcW w:w="2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- 277,000 SF of office</w:t>
            </w:r>
          </w:p>
        </w:tc>
        <w:tc>
          <w:tcPr>
            <w:tcW w:w="740" w:type="dxa"/>
            <w:vAlign w:val="bottom"/>
            <w:shd w:val="clear" w:color="auto" w:fill="CCEEFF"/>
          </w:tcPr>
          <w:p>
            <w:pPr>
              <w:jc w:val="center"/>
              <w:ind w:left="52"/>
              <w:spacing w:after="0"/>
              <w:rPr>
                <w:sz w:val="20"/>
                <w:szCs w:val="20"/>
                <w:color w:val="auto"/>
              </w:rPr>
            </w:pPr>
            <w:r>
              <w:rPr>
                <w:rFonts w:ascii="Arial" w:cs="Arial" w:eastAsia="Arial" w:hAnsi="Arial"/>
                <w:sz w:val="14"/>
                <w:szCs w:val="14"/>
                <w:color w:val="auto"/>
                <w:w w:val="88"/>
              </w:rPr>
              <w:t>6%</w:t>
            </w: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shd w:val="clear" w:color="auto" w:fill="CCEEFF"/>
              </w:rPr>
              <w:t>$465 - 485</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shd w:val="clear" w:color="auto" w:fill="CCEEFF"/>
              </w:rPr>
              <w:t>82</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132"/>
              <w:spacing w:after="0"/>
              <w:rPr>
                <w:sz w:val="20"/>
                <w:szCs w:val="20"/>
                <w:color w:val="auto"/>
              </w:rPr>
            </w:pPr>
            <w:r>
              <w:rPr>
                <w:rFonts w:ascii="Arial" w:cs="Arial" w:eastAsia="Arial" w:hAnsi="Arial"/>
                <w:sz w:val="14"/>
                <w:szCs w:val="14"/>
                <w:color w:val="auto"/>
                <w:w w:val="99"/>
              </w:rPr>
              <w:t>—</w:t>
            </w:r>
          </w:p>
        </w:tc>
        <w:tc>
          <w:tcPr>
            <w:tcW w:w="5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9"/>
              </w:rPr>
              <w:t>—</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2"/>
                <w:shd w:val="clear" w:color="auto" w:fill="CCEEFF"/>
              </w:rPr>
              <w:t>150,000 square feet of office space pre-leased</w:t>
            </w:r>
          </w:p>
        </w:tc>
        <w:tc>
          <w:tcPr>
            <w:tcW w:w="0" w:type="dxa"/>
            <w:vAlign w:val="bottom"/>
          </w:tcPr>
          <w:p>
            <w:pPr>
              <w:spacing w:after="0"/>
              <w:rPr>
                <w:sz w:val="1"/>
                <w:szCs w:val="1"/>
                <w:color w:val="auto"/>
              </w:rPr>
            </w:pPr>
          </w:p>
        </w:tc>
      </w:tr>
      <w:tr>
        <w:trPr>
          <w:trHeight w:val="138"/>
        </w:trPr>
        <w:tc>
          <w:tcPr>
            <w:tcW w:w="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860" w:type="dxa"/>
            <w:vAlign w:val="bottom"/>
            <w:gridSpan w:val="4"/>
            <w:shd w:val="clear" w:color="auto" w:fill="CCEEFF"/>
          </w:tcPr>
          <w:p>
            <w:pPr>
              <w:ind w:left="40"/>
              <w:spacing w:after="0" w:line="138" w:lineRule="exact"/>
              <w:rPr>
                <w:sz w:val="20"/>
                <w:szCs w:val="20"/>
                <w:color w:val="auto"/>
              </w:rPr>
            </w:pPr>
            <w:r>
              <w:rPr>
                <w:rFonts w:ascii="Arial" w:cs="Arial" w:eastAsia="Arial" w:hAnsi="Arial"/>
                <w:sz w:val="14"/>
                <w:szCs w:val="14"/>
                <w:color w:val="auto"/>
              </w:rPr>
              <w:t>- 500 residential units</w:t>
            </w: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87"/>
                <w:shd w:val="clear" w:color="auto" w:fill="CCEEFF"/>
              </w:rPr>
              <w:t>Openings projected to begin in 2022</w:t>
            </w: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- 56,000 SF of retail</w:t>
            </w: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0" w:type="dxa"/>
            <w:vAlign w:val="bottom"/>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80" w:type="dxa"/>
            <w:vAlign w:val="bottom"/>
            <w:gridSpan w:val="2"/>
          </w:tcPr>
          <w:p>
            <w:pPr>
              <w:ind w:left="40"/>
              <w:spacing w:after="0"/>
              <w:rPr>
                <w:sz w:val="20"/>
                <w:szCs w:val="20"/>
                <w:color w:val="auto"/>
              </w:rPr>
            </w:pPr>
            <w:r>
              <w:rPr>
                <w:rFonts w:ascii="Arial" w:cs="Arial" w:eastAsia="Arial" w:hAnsi="Arial"/>
                <w:sz w:val="14"/>
                <w:szCs w:val="14"/>
                <w:color w:val="auto"/>
              </w:rPr>
              <w:t>Future Phases</w:t>
            </w:r>
          </w:p>
        </w:tc>
        <w:tc>
          <w:tcPr>
            <w:tcW w:w="2860" w:type="dxa"/>
            <w:vAlign w:val="bottom"/>
            <w:gridSpan w:val="4"/>
          </w:tcPr>
          <w:p>
            <w:pPr>
              <w:ind w:left="40"/>
              <w:spacing w:after="0"/>
              <w:rPr>
                <w:sz w:val="20"/>
                <w:szCs w:val="20"/>
                <w:color w:val="auto"/>
              </w:rPr>
            </w:pPr>
            <w:r>
              <w:rPr>
                <w:rFonts w:ascii="Arial" w:cs="Arial" w:eastAsia="Arial" w:hAnsi="Arial"/>
                <w:sz w:val="14"/>
                <w:szCs w:val="14"/>
                <w:color w:val="auto"/>
              </w:rPr>
              <w:t>- 1.5M SF of commercial</w:t>
            </w:r>
          </w:p>
        </w:tc>
        <w:tc>
          <w:tcPr>
            <w:tcW w:w="740" w:type="dxa"/>
            <w:vAlign w:val="bottom"/>
          </w:tcPr>
          <w:p>
            <w:pPr>
              <w:jc w:val="center"/>
              <w:ind w:left="52"/>
              <w:spacing w:after="0"/>
              <w:rPr>
                <w:sz w:val="20"/>
                <w:szCs w:val="20"/>
                <w:color w:val="auto"/>
              </w:rPr>
            </w:pPr>
            <w:r>
              <w:rPr>
                <w:rFonts w:ascii="Arial" w:cs="Arial" w:eastAsia="Arial" w:hAnsi="Arial"/>
                <w:sz w:val="14"/>
                <w:szCs w:val="14"/>
                <w:color w:val="auto"/>
                <w:w w:val="92"/>
              </w:rPr>
              <w:t>TBD</w:t>
            </w:r>
          </w:p>
        </w:tc>
        <w:tc>
          <w:tcPr>
            <w:tcW w:w="34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2"/>
              </w:rPr>
              <w:t>TBD</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860" w:type="dxa"/>
            <w:vAlign w:val="bottom"/>
            <w:gridSpan w:val="4"/>
          </w:tcPr>
          <w:p>
            <w:pPr>
              <w:ind w:left="40"/>
              <w:spacing w:after="0"/>
              <w:rPr>
                <w:sz w:val="20"/>
                <w:szCs w:val="20"/>
                <w:color w:val="auto"/>
              </w:rPr>
            </w:pPr>
            <w:r>
              <w:rPr>
                <w:rFonts w:ascii="Arial" w:cs="Arial" w:eastAsia="Arial" w:hAnsi="Arial"/>
                <w:sz w:val="14"/>
                <w:szCs w:val="14"/>
                <w:color w:val="auto"/>
              </w:rPr>
              <w:t>- 329 residential units</w:t>
            </w: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2"/>
        </w:trPr>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240" w:type="dxa"/>
            <w:vAlign w:val="bottom"/>
            <w:gridSpan w:val="6"/>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Pike &amp; Rose, </w:t>
            </w:r>
            <w:r>
              <w:rPr>
                <w:rFonts w:ascii="Arial" w:cs="Arial" w:eastAsia="Arial" w:hAnsi="Arial"/>
                <w:sz w:val="14"/>
                <w:szCs w:val="14"/>
                <w:b w:val="1"/>
                <w:bCs w:val="1"/>
                <w:i w:val="1"/>
                <w:iCs w:val="1"/>
                <w:color w:val="auto"/>
              </w:rPr>
              <w:t>North Bethesda, MD</w:t>
            </w: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134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214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0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380" w:type="dxa"/>
            <w:vAlign w:val="bottom"/>
            <w:gridSpan w:val="2"/>
          </w:tcPr>
          <w:p>
            <w:pPr>
              <w:ind w:left="40"/>
              <w:spacing w:after="0"/>
              <w:rPr>
                <w:sz w:val="20"/>
                <w:szCs w:val="20"/>
                <w:color w:val="auto"/>
              </w:rPr>
            </w:pPr>
            <w:r>
              <w:rPr>
                <w:rFonts w:ascii="Arial" w:cs="Arial" w:eastAsia="Arial" w:hAnsi="Arial"/>
                <w:sz w:val="14"/>
                <w:szCs w:val="14"/>
                <w:color w:val="auto"/>
              </w:rPr>
              <w:t>Phase II</w:t>
            </w:r>
          </w:p>
        </w:tc>
        <w:tc>
          <w:tcPr>
            <w:tcW w:w="2860" w:type="dxa"/>
            <w:vAlign w:val="bottom"/>
            <w:gridSpan w:val="4"/>
          </w:tcPr>
          <w:p>
            <w:pPr>
              <w:ind w:left="40"/>
              <w:spacing w:after="0"/>
              <w:rPr>
                <w:sz w:val="20"/>
                <w:szCs w:val="20"/>
                <w:color w:val="auto"/>
              </w:rPr>
            </w:pPr>
            <w:r>
              <w:rPr>
                <w:rFonts w:ascii="Arial" w:cs="Arial" w:eastAsia="Arial" w:hAnsi="Arial"/>
                <w:sz w:val="14"/>
                <w:szCs w:val="14"/>
                <w:color w:val="auto"/>
              </w:rPr>
              <w:t>- 216,000 SF of retail</w:t>
            </w:r>
          </w:p>
        </w:tc>
        <w:tc>
          <w:tcPr>
            <w:tcW w:w="740" w:type="dxa"/>
            <w:vAlign w:val="bottom"/>
          </w:tcPr>
          <w:p>
            <w:pPr>
              <w:jc w:val="center"/>
              <w:ind w:left="52"/>
              <w:spacing w:after="0"/>
              <w:rPr>
                <w:sz w:val="20"/>
                <w:szCs w:val="20"/>
                <w:color w:val="auto"/>
              </w:rPr>
            </w:pPr>
            <w:r>
              <w:rPr>
                <w:rFonts w:ascii="Arial" w:cs="Arial" w:eastAsia="Arial" w:hAnsi="Arial"/>
                <w:sz w:val="14"/>
                <w:szCs w:val="14"/>
                <w:color w:val="auto"/>
                <w:w w:val="88"/>
              </w:rPr>
              <w:t>6%</w:t>
            </w:r>
          </w:p>
        </w:tc>
        <w:tc>
          <w:tcPr>
            <w:tcW w:w="340" w:type="dxa"/>
            <w:vAlign w:val="bottom"/>
          </w:tcPr>
          <w:p>
            <w:pPr>
              <w:jc w:val="right"/>
              <w:ind w:right="52"/>
              <w:spacing w:after="0"/>
              <w:rPr>
                <w:sz w:val="20"/>
                <w:szCs w:val="20"/>
                <w:color w:val="auto"/>
              </w:rPr>
            </w:pPr>
            <w:r>
              <w:rPr>
                <w:rFonts w:ascii="Arial" w:cs="Arial" w:eastAsia="Arial" w:hAnsi="Arial"/>
                <w:sz w:val="14"/>
                <w:szCs w:val="14"/>
                <w:color w:val="auto"/>
              </w:rPr>
              <w:t>(5)</w:t>
            </w:r>
          </w:p>
        </w:tc>
        <w:tc>
          <w:tcPr>
            <w:tcW w:w="640" w:type="dxa"/>
            <w:vAlign w:val="bottom"/>
          </w:tcPr>
          <w:p>
            <w:pPr>
              <w:jc w:val="center"/>
              <w:spacing w:after="0"/>
              <w:rPr>
                <w:sz w:val="20"/>
                <w:szCs w:val="20"/>
                <w:color w:val="auto"/>
              </w:rPr>
            </w:pPr>
            <w:r>
              <w:rPr>
                <w:rFonts w:ascii="Arial" w:cs="Arial" w:eastAsia="Arial" w:hAnsi="Arial"/>
                <w:sz w:val="14"/>
                <w:szCs w:val="14"/>
                <w:color w:val="auto"/>
                <w:w w:val="86"/>
              </w:rPr>
              <w:t>$200 - 207</w:t>
            </w:r>
          </w:p>
        </w:tc>
        <w:tc>
          <w:tcPr>
            <w:tcW w:w="700" w:type="dxa"/>
            <w:vAlign w:val="bottom"/>
          </w:tcPr>
          <w:p>
            <w:pPr>
              <w:jc w:val="center"/>
              <w:spacing w:after="0"/>
              <w:rPr>
                <w:sz w:val="20"/>
                <w:szCs w:val="20"/>
                <w:color w:val="auto"/>
              </w:rPr>
            </w:pPr>
            <w:r>
              <w:rPr>
                <w:rFonts w:ascii="Arial" w:cs="Arial" w:eastAsia="Arial" w:hAnsi="Arial"/>
                <w:sz w:val="14"/>
                <w:szCs w:val="14"/>
                <w:color w:val="auto"/>
                <w:w w:val="83"/>
              </w:rPr>
              <w:t>$198</w:t>
            </w:r>
          </w:p>
        </w:tc>
        <w:tc>
          <w:tcPr>
            <w:tcW w:w="120" w:type="dxa"/>
            <w:vAlign w:val="bottom"/>
          </w:tcPr>
          <w:p>
            <w:pPr>
              <w:spacing w:after="0"/>
              <w:rPr>
                <w:sz w:val="14"/>
                <w:szCs w:val="14"/>
                <w:color w:val="auto"/>
              </w:rPr>
            </w:pPr>
          </w:p>
        </w:tc>
        <w:tc>
          <w:tcPr>
            <w:tcW w:w="700" w:type="dxa"/>
            <w:vAlign w:val="bottom"/>
          </w:tcPr>
          <w:p>
            <w:pPr>
              <w:jc w:val="center"/>
              <w:ind w:left="132"/>
              <w:spacing w:after="0"/>
              <w:rPr>
                <w:sz w:val="20"/>
                <w:szCs w:val="20"/>
                <w:color w:val="auto"/>
              </w:rPr>
            </w:pPr>
            <w:r>
              <w:rPr>
                <w:rFonts w:ascii="Arial" w:cs="Arial" w:eastAsia="Arial" w:hAnsi="Arial"/>
                <w:sz w:val="14"/>
                <w:szCs w:val="14"/>
                <w:color w:val="auto"/>
                <w:w w:val="92"/>
              </w:rPr>
              <w:t>80%</w:t>
            </w:r>
          </w:p>
        </w:tc>
        <w:tc>
          <w:tcPr>
            <w:tcW w:w="1220" w:type="dxa"/>
            <w:vAlign w:val="bottom"/>
            <w:gridSpan w:val="3"/>
          </w:tcPr>
          <w:p>
            <w:pPr>
              <w:ind w:left="380"/>
              <w:spacing w:after="0"/>
              <w:rPr>
                <w:sz w:val="20"/>
                <w:szCs w:val="20"/>
                <w:color w:val="auto"/>
              </w:rPr>
            </w:pPr>
            <w:r>
              <w:rPr>
                <w:rFonts w:ascii="Arial" w:cs="Arial" w:eastAsia="Arial" w:hAnsi="Arial"/>
                <w:sz w:val="14"/>
                <w:szCs w:val="14"/>
                <w:color w:val="auto"/>
              </w:rPr>
              <w:t>Stabilized</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192,000 square feet of retail has opened,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6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- 272 residential units</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remaining</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60" w:type="dxa"/>
            <w:vAlign w:val="bottom"/>
            <w:gridSpan w:val="4"/>
          </w:tcPr>
          <w:p>
            <w:pPr>
              <w:ind w:left="40"/>
              <w:spacing w:after="0"/>
              <w:rPr>
                <w:sz w:val="20"/>
                <w:szCs w:val="20"/>
                <w:color w:val="auto"/>
              </w:rPr>
            </w:pPr>
            <w:r>
              <w:rPr>
                <w:rFonts w:ascii="Arial" w:cs="Arial" w:eastAsia="Arial" w:hAnsi="Arial"/>
                <w:sz w:val="14"/>
                <w:szCs w:val="14"/>
                <w:color w:val="auto"/>
              </w:rPr>
              <w:t>- 177 boutique hotel rooms</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tenants projected to open through 2019</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2"/>
          </w:tcPr>
          <w:p>
            <w:pPr>
              <w:ind w:left="20"/>
              <w:spacing w:after="0"/>
              <w:rPr>
                <w:sz w:val="20"/>
                <w:szCs w:val="20"/>
                <w:color w:val="auto"/>
              </w:rPr>
            </w:pPr>
            <w:r>
              <w:rPr>
                <w:rFonts w:ascii="Arial" w:cs="Arial" w:eastAsia="Arial" w:hAnsi="Arial"/>
                <w:sz w:val="14"/>
                <w:szCs w:val="14"/>
                <w:color w:val="auto"/>
                <w:w w:val="89"/>
              </w:rPr>
              <w:t>Residential building opened in August 2017 with</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deliveries through 2Q 2018</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Hotel opened in 1Q18</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- 99 for-sale condominium units</w:t>
            </w:r>
          </w:p>
        </w:tc>
        <w:tc>
          <w:tcPr>
            <w:tcW w:w="740" w:type="dxa"/>
            <w:vAlign w:val="bottom"/>
            <w:shd w:val="clear" w:color="auto" w:fill="CCEEFF"/>
          </w:tcPr>
          <w:p>
            <w:pPr>
              <w:jc w:val="center"/>
              <w:ind w:left="52"/>
              <w:spacing w:after="0"/>
              <w:rPr>
                <w:sz w:val="20"/>
                <w:szCs w:val="20"/>
                <w:color w:val="auto"/>
              </w:rPr>
            </w:pPr>
            <w:r>
              <w:rPr>
                <w:rFonts w:ascii="Arial" w:cs="Arial" w:eastAsia="Arial" w:hAnsi="Arial"/>
                <w:sz w:val="14"/>
                <w:szCs w:val="14"/>
                <w:color w:val="auto"/>
                <w:w w:val="99"/>
              </w:rPr>
              <w:t>—</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shd w:val="clear" w:color="auto" w:fill="CCEEFF"/>
              </w:rPr>
              <w:t>$62</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$62</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Closings commenced 1Q 2018</w:t>
            </w: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380" w:type="dxa"/>
            <w:vAlign w:val="bottom"/>
            <w:gridSpan w:val="2"/>
          </w:tcPr>
          <w:p>
            <w:pPr>
              <w:ind w:left="40"/>
              <w:spacing w:after="0"/>
              <w:rPr>
                <w:sz w:val="20"/>
                <w:szCs w:val="20"/>
                <w:color w:val="auto"/>
              </w:rPr>
            </w:pPr>
            <w:r>
              <w:rPr>
                <w:rFonts w:ascii="Arial" w:cs="Arial" w:eastAsia="Arial" w:hAnsi="Arial"/>
                <w:sz w:val="14"/>
                <w:szCs w:val="14"/>
                <w:color w:val="auto"/>
              </w:rPr>
              <w:t>Phase III</w:t>
            </w:r>
          </w:p>
        </w:tc>
        <w:tc>
          <w:tcPr>
            <w:tcW w:w="2860" w:type="dxa"/>
            <w:vAlign w:val="bottom"/>
            <w:gridSpan w:val="4"/>
          </w:tcPr>
          <w:p>
            <w:pPr>
              <w:ind w:left="40"/>
              <w:spacing w:after="0"/>
              <w:rPr>
                <w:sz w:val="20"/>
                <w:szCs w:val="20"/>
                <w:color w:val="auto"/>
              </w:rPr>
            </w:pPr>
            <w:r>
              <w:rPr>
                <w:rFonts w:ascii="Arial" w:cs="Arial" w:eastAsia="Arial" w:hAnsi="Arial"/>
                <w:sz w:val="14"/>
                <w:szCs w:val="14"/>
                <w:color w:val="auto"/>
              </w:rPr>
              <w:t>- 212,000 SF of office</w:t>
            </w:r>
          </w:p>
        </w:tc>
        <w:tc>
          <w:tcPr>
            <w:tcW w:w="740" w:type="dxa"/>
            <w:vAlign w:val="bottom"/>
          </w:tcPr>
          <w:p>
            <w:pPr>
              <w:jc w:val="center"/>
              <w:ind w:left="52"/>
              <w:spacing w:after="0"/>
              <w:rPr>
                <w:sz w:val="20"/>
                <w:szCs w:val="20"/>
                <w:color w:val="auto"/>
              </w:rPr>
            </w:pPr>
            <w:r>
              <w:rPr>
                <w:rFonts w:ascii="Arial" w:cs="Arial" w:eastAsia="Arial" w:hAnsi="Arial"/>
                <w:sz w:val="14"/>
                <w:szCs w:val="14"/>
                <w:color w:val="auto"/>
                <w:w w:val="91"/>
              </w:rPr>
              <w:t>6-7%</w:t>
            </w:r>
          </w:p>
        </w:tc>
        <w:tc>
          <w:tcPr>
            <w:tcW w:w="34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6"/>
              </w:rPr>
              <w:t>$128 - 135</w:t>
            </w:r>
          </w:p>
        </w:tc>
        <w:tc>
          <w:tcPr>
            <w:tcW w:w="700" w:type="dxa"/>
            <w:vAlign w:val="bottom"/>
          </w:tcPr>
          <w:p>
            <w:pPr>
              <w:jc w:val="center"/>
              <w:spacing w:after="0"/>
              <w:rPr>
                <w:sz w:val="20"/>
                <w:szCs w:val="20"/>
                <w:color w:val="auto"/>
              </w:rPr>
            </w:pPr>
            <w:r>
              <w:rPr>
                <w:rFonts w:ascii="Arial" w:cs="Arial" w:eastAsia="Arial" w:hAnsi="Arial"/>
                <w:sz w:val="14"/>
                <w:szCs w:val="14"/>
                <w:color w:val="auto"/>
                <w:w w:val="85"/>
              </w:rPr>
              <w:t>$32</w:t>
            </w:r>
          </w:p>
        </w:tc>
        <w:tc>
          <w:tcPr>
            <w:tcW w:w="120" w:type="dxa"/>
            <w:vAlign w:val="bottom"/>
          </w:tcPr>
          <w:p>
            <w:pPr>
              <w:spacing w:after="0"/>
              <w:rPr>
                <w:sz w:val="16"/>
                <w:szCs w:val="16"/>
                <w:color w:val="auto"/>
              </w:rPr>
            </w:pPr>
          </w:p>
        </w:tc>
        <w:tc>
          <w:tcPr>
            <w:tcW w:w="700" w:type="dxa"/>
            <w:vAlign w:val="bottom"/>
          </w:tcPr>
          <w:p>
            <w:pPr>
              <w:jc w:val="center"/>
              <w:ind w:left="132"/>
              <w:spacing w:after="0"/>
              <w:rPr>
                <w:sz w:val="20"/>
                <w:szCs w:val="20"/>
                <w:color w:val="auto"/>
              </w:rPr>
            </w:pPr>
            <w:r>
              <w:rPr>
                <w:rFonts w:ascii="Arial" w:cs="Arial" w:eastAsia="Arial" w:hAnsi="Arial"/>
                <w:sz w:val="14"/>
                <w:szCs w:val="14"/>
                <w:color w:val="auto"/>
                <w:w w:val="99"/>
              </w:rPr>
              <w:t>—</w:t>
            </w:r>
          </w:p>
        </w:tc>
        <w:tc>
          <w:tcPr>
            <w:tcW w:w="520" w:type="dxa"/>
            <w:vAlign w:val="bottom"/>
          </w:tcPr>
          <w:p>
            <w:pPr>
              <w:spacing w:after="0"/>
              <w:rPr>
                <w:sz w:val="16"/>
                <w:szCs w:val="16"/>
                <w:color w:val="auto"/>
              </w:rPr>
            </w:pPr>
          </w:p>
        </w:tc>
        <w:tc>
          <w:tcPr>
            <w:tcW w:w="70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Opening projected to begin in 2021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860" w:type="dxa"/>
            <w:vAlign w:val="bottom"/>
            <w:gridSpan w:val="4"/>
          </w:tcPr>
          <w:p>
            <w:pPr>
              <w:ind w:left="40"/>
              <w:spacing w:after="0"/>
              <w:rPr>
                <w:sz w:val="20"/>
                <w:szCs w:val="20"/>
                <w:color w:val="auto"/>
              </w:rPr>
            </w:pPr>
            <w:r>
              <w:rPr>
                <w:rFonts w:ascii="Arial" w:cs="Arial" w:eastAsia="Arial" w:hAnsi="Arial"/>
                <w:sz w:val="14"/>
                <w:szCs w:val="14"/>
                <w:color w:val="auto"/>
              </w:rPr>
              <w:t>- 4,000 SF of retail</w:t>
            </w: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Future Phases</w:t>
            </w:r>
          </w:p>
        </w:tc>
        <w:tc>
          <w:tcPr>
            <w:tcW w:w="2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- 740,000 SF of commercial</w:t>
            </w:r>
          </w:p>
        </w:tc>
        <w:tc>
          <w:tcPr>
            <w:tcW w:w="740" w:type="dxa"/>
            <w:vAlign w:val="bottom"/>
            <w:shd w:val="clear" w:color="auto" w:fill="CCEEFF"/>
          </w:tcPr>
          <w:p>
            <w:pPr>
              <w:jc w:val="center"/>
              <w:ind w:left="52"/>
              <w:spacing w:after="0"/>
              <w:rPr>
                <w:sz w:val="20"/>
                <w:szCs w:val="20"/>
                <w:color w:val="auto"/>
              </w:rPr>
            </w:pPr>
            <w:r>
              <w:rPr>
                <w:rFonts w:ascii="Arial" w:cs="Arial" w:eastAsia="Arial" w:hAnsi="Arial"/>
                <w:sz w:val="14"/>
                <w:szCs w:val="14"/>
                <w:color w:val="auto"/>
                <w:w w:val="92"/>
                <w:shd w:val="clear" w:color="auto" w:fill="CCEEFF"/>
              </w:rPr>
              <w:t>TBD</w:t>
            </w: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shd w:val="clear" w:color="auto" w:fill="CCEEFF"/>
              </w:rPr>
              <w:t>TBD</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- 741 residential units</w:t>
            </w:r>
          </w:p>
        </w:tc>
        <w:tc>
          <w:tcPr>
            <w:tcW w:w="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240" w:type="dxa"/>
            <w:vAlign w:val="bottom"/>
            <w:gridSpan w:val="6"/>
          </w:tcPr>
          <w:p>
            <w:pPr>
              <w:ind w:left="40"/>
              <w:spacing w:after="0"/>
              <w:rPr>
                <w:sz w:val="20"/>
                <w:szCs w:val="20"/>
                <w:color w:val="auto"/>
              </w:rPr>
            </w:pPr>
            <w:r>
              <w:rPr>
                <w:rFonts w:ascii="Arial" w:cs="Arial" w:eastAsia="Arial" w:hAnsi="Arial"/>
                <w:sz w:val="14"/>
                <w:szCs w:val="14"/>
                <w:b w:val="1"/>
                <w:bCs w:val="1"/>
                <w:color w:val="auto"/>
              </w:rPr>
              <w:t xml:space="preserve">Santana Row, </w:t>
            </w:r>
            <w:r>
              <w:rPr>
                <w:rFonts w:ascii="Arial" w:cs="Arial" w:eastAsia="Arial" w:hAnsi="Arial"/>
                <w:sz w:val="14"/>
                <w:szCs w:val="14"/>
                <w:b w:val="1"/>
                <w:bCs w:val="1"/>
                <w:i w:val="1"/>
                <w:iCs w:val="1"/>
                <w:color w:val="auto"/>
              </w:rPr>
              <w:t>San Jose, CA</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700 Santana Row</w:t>
            </w:r>
          </w:p>
        </w:tc>
        <w:tc>
          <w:tcPr>
            <w:tcW w:w="2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- 301,000 SF of office</w:t>
            </w:r>
          </w:p>
        </w:tc>
        <w:tc>
          <w:tcPr>
            <w:tcW w:w="740" w:type="dxa"/>
            <w:vAlign w:val="bottom"/>
            <w:shd w:val="clear" w:color="auto" w:fill="CCEEFF"/>
          </w:tcPr>
          <w:p>
            <w:pPr>
              <w:jc w:val="center"/>
              <w:ind w:left="52"/>
              <w:spacing w:after="0"/>
              <w:rPr>
                <w:sz w:val="20"/>
                <w:szCs w:val="20"/>
                <w:color w:val="auto"/>
              </w:rPr>
            </w:pPr>
            <w:r>
              <w:rPr>
                <w:rFonts w:ascii="Arial" w:cs="Arial" w:eastAsia="Arial" w:hAnsi="Arial"/>
                <w:sz w:val="14"/>
                <w:szCs w:val="14"/>
                <w:color w:val="auto"/>
                <w:w w:val="91"/>
              </w:rPr>
              <w:t>7-8%</w:t>
            </w: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shd w:val="clear" w:color="auto" w:fill="CCEEFF"/>
              </w:rPr>
              <w:t>$210 - 220</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$161</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132"/>
              <w:spacing w:after="0"/>
              <w:rPr>
                <w:sz w:val="20"/>
                <w:szCs w:val="20"/>
                <w:color w:val="auto"/>
              </w:rPr>
            </w:pPr>
            <w:r>
              <w:rPr>
                <w:rFonts w:ascii="Arial" w:cs="Arial" w:eastAsia="Arial" w:hAnsi="Arial"/>
                <w:sz w:val="14"/>
                <w:szCs w:val="14"/>
                <w:color w:val="auto"/>
                <w:w w:val="99"/>
              </w:rPr>
              <w:t>—</w:t>
            </w: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252"/>
              <w:spacing w:after="0"/>
              <w:rPr>
                <w:sz w:val="20"/>
                <w:szCs w:val="20"/>
                <w:color w:val="auto"/>
              </w:rPr>
            </w:pPr>
            <w:r>
              <w:rPr>
                <w:rFonts w:ascii="Arial" w:cs="Arial" w:eastAsia="Arial" w:hAnsi="Arial"/>
                <w:sz w:val="14"/>
                <w:szCs w:val="14"/>
                <w:color w:val="auto"/>
                <w:w w:val="92"/>
                <w:shd w:val="clear" w:color="auto" w:fill="CCEEFF"/>
              </w:rPr>
              <w:t>90%</w:t>
            </w:r>
          </w:p>
        </w:tc>
        <w:tc>
          <w:tcPr>
            <w:tcW w:w="120" w:type="dxa"/>
            <w:vAlign w:val="bottom"/>
            <w:shd w:val="clear" w:color="auto" w:fill="CCEEFF"/>
          </w:tcPr>
          <w:p>
            <w:pPr>
              <w:spacing w:after="0"/>
              <w:rPr>
                <w:sz w:val="15"/>
                <w:szCs w:val="15"/>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0"/>
                <w:shd w:val="clear" w:color="auto" w:fill="CCEEFF"/>
              </w:rPr>
              <w:t>Commenced construction 4Q 2016</w:t>
            </w: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- 18,000 SF of retail &amp; 1,300 parking spaces</w:t>
            </w:r>
          </w:p>
        </w:tc>
        <w:tc>
          <w:tcPr>
            <w:tcW w:w="7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3"/>
                <w:shd w:val="clear" w:color="auto" w:fill="CCEEFF"/>
              </w:rPr>
              <w:t>Retail openings projected to begin in late 2019</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w w:val="92"/>
              </w:rPr>
              <w:t>- Redevelopment of Santana Row Park including</w:t>
            </w:r>
          </w:p>
        </w:tc>
        <w:tc>
          <w:tcPr>
            <w:tcW w:w="7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Office 100% pre-leased, opening in 2020</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the installation of a new retail pavilion</w:t>
            </w: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gridSpan w:val="6"/>
          </w:tcPr>
          <w:p>
            <w:pPr>
              <w:ind w:left="40"/>
              <w:spacing w:after="0"/>
              <w:rPr>
                <w:sz w:val="20"/>
                <w:szCs w:val="20"/>
                <w:color w:val="auto"/>
              </w:rPr>
            </w:pPr>
            <w:r>
              <w:rPr>
                <w:rFonts w:ascii="Arial" w:cs="Arial" w:eastAsia="Arial" w:hAnsi="Arial"/>
                <w:sz w:val="14"/>
                <w:szCs w:val="14"/>
                <w:color w:val="auto"/>
              </w:rPr>
              <w:t>Santana West - Phase I  - 360,000 SF of commercial</w:t>
            </w:r>
          </w:p>
        </w:tc>
        <w:tc>
          <w:tcPr>
            <w:tcW w:w="740" w:type="dxa"/>
            <w:vAlign w:val="bottom"/>
          </w:tcPr>
          <w:p>
            <w:pPr>
              <w:jc w:val="center"/>
              <w:ind w:left="52"/>
              <w:spacing w:after="0"/>
              <w:rPr>
                <w:sz w:val="20"/>
                <w:szCs w:val="20"/>
                <w:color w:val="auto"/>
              </w:rPr>
            </w:pPr>
            <w:r>
              <w:rPr>
                <w:rFonts w:ascii="Arial" w:cs="Arial" w:eastAsia="Arial" w:hAnsi="Arial"/>
                <w:sz w:val="14"/>
                <w:szCs w:val="14"/>
                <w:color w:val="auto"/>
                <w:w w:val="91"/>
              </w:rPr>
              <w:t>6-7%</w:t>
            </w:r>
          </w:p>
        </w:tc>
        <w:tc>
          <w:tcPr>
            <w:tcW w:w="34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6"/>
              </w:rPr>
              <w:t>$250 - 270</w:t>
            </w:r>
          </w:p>
        </w:tc>
        <w:tc>
          <w:tcPr>
            <w:tcW w:w="700" w:type="dxa"/>
            <w:vAlign w:val="bottom"/>
          </w:tcPr>
          <w:p>
            <w:pPr>
              <w:jc w:val="center"/>
              <w:spacing w:after="0"/>
              <w:rPr>
                <w:sz w:val="20"/>
                <w:szCs w:val="20"/>
                <w:color w:val="auto"/>
              </w:rPr>
            </w:pPr>
            <w:r>
              <w:rPr>
                <w:rFonts w:ascii="Arial" w:cs="Arial" w:eastAsia="Arial" w:hAnsi="Arial"/>
                <w:sz w:val="14"/>
                <w:szCs w:val="14"/>
                <w:color w:val="auto"/>
                <w:w w:val="85"/>
              </w:rPr>
              <w:t>$15</w:t>
            </w:r>
          </w:p>
        </w:tc>
        <w:tc>
          <w:tcPr>
            <w:tcW w:w="120" w:type="dxa"/>
            <w:vAlign w:val="bottom"/>
          </w:tcPr>
          <w:p>
            <w:pPr>
              <w:spacing w:after="0"/>
              <w:rPr>
                <w:sz w:val="16"/>
                <w:szCs w:val="16"/>
                <w:color w:val="auto"/>
              </w:rPr>
            </w:pPr>
          </w:p>
        </w:tc>
        <w:tc>
          <w:tcPr>
            <w:tcW w:w="700" w:type="dxa"/>
            <w:vAlign w:val="bottom"/>
          </w:tcPr>
          <w:p>
            <w:pPr>
              <w:jc w:val="center"/>
              <w:ind w:left="132"/>
              <w:spacing w:after="0"/>
              <w:rPr>
                <w:sz w:val="20"/>
                <w:szCs w:val="20"/>
                <w:color w:val="auto"/>
              </w:rPr>
            </w:pPr>
            <w:r>
              <w:rPr>
                <w:rFonts w:ascii="Arial" w:cs="Arial" w:eastAsia="Arial" w:hAnsi="Arial"/>
                <w:sz w:val="14"/>
                <w:szCs w:val="14"/>
                <w:color w:val="auto"/>
                <w:w w:val="99"/>
              </w:rPr>
              <w:t>—</w:t>
            </w:r>
          </w:p>
        </w:tc>
        <w:tc>
          <w:tcPr>
            <w:tcW w:w="520" w:type="dxa"/>
            <w:vAlign w:val="bottom"/>
          </w:tcPr>
          <w:p>
            <w:pPr>
              <w:spacing w:after="0"/>
              <w:rPr>
                <w:sz w:val="16"/>
                <w:szCs w:val="16"/>
                <w:color w:val="auto"/>
              </w:rPr>
            </w:pPr>
          </w:p>
        </w:tc>
        <w:tc>
          <w:tcPr>
            <w:tcW w:w="70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Openings projected to begin in 2021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860" w:type="dxa"/>
            <w:vAlign w:val="bottom"/>
            <w:gridSpan w:val="4"/>
          </w:tcPr>
          <w:p>
            <w:pPr>
              <w:ind w:left="40"/>
              <w:spacing w:after="0"/>
              <w:rPr>
                <w:sz w:val="20"/>
                <w:szCs w:val="20"/>
                <w:color w:val="auto"/>
              </w:rPr>
            </w:pPr>
            <w:r>
              <w:rPr>
                <w:rFonts w:ascii="Arial" w:cs="Arial" w:eastAsia="Arial" w:hAnsi="Arial"/>
                <w:sz w:val="14"/>
                <w:szCs w:val="14"/>
                <w:color w:val="auto"/>
              </w:rPr>
              <w:t>- 1,750 parking spaces</w:t>
            </w: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Future Phases</w:t>
            </w:r>
          </w:p>
        </w:tc>
        <w:tc>
          <w:tcPr>
            <w:tcW w:w="28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- 321,000 SF of commercial</w:t>
            </w:r>
          </w:p>
        </w:tc>
        <w:tc>
          <w:tcPr>
            <w:tcW w:w="740" w:type="dxa"/>
            <w:vAlign w:val="bottom"/>
            <w:shd w:val="clear" w:color="auto" w:fill="CCEEFF"/>
          </w:tcPr>
          <w:p>
            <w:pPr>
              <w:jc w:val="center"/>
              <w:ind w:left="52"/>
              <w:spacing w:after="0"/>
              <w:rPr>
                <w:sz w:val="20"/>
                <w:szCs w:val="20"/>
                <w:color w:val="auto"/>
              </w:rPr>
            </w:pPr>
            <w:r>
              <w:rPr>
                <w:rFonts w:ascii="Arial" w:cs="Arial" w:eastAsia="Arial" w:hAnsi="Arial"/>
                <w:sz w:val="14"/>
                <w:szCs w:val="14"/>
                <w:color w:val="auto"/>
                <w:w w:val="92"/>
                <w:shd w:val="clear" w:color="auto" w:fill="CCEEFF"/>
              </w:rPr>
              <w:t>TBD</w:t>
            </w: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shd w:val="clear" w:color="auto" w:fill="CCEEFF"/>
              </w:rPr>
              <w:t>TBD</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2860" w:type="dxa"/>
            <w:vAlign w:val="bottom"/>
            <w:gridSpan w:val="4"/>
            <w:vMerge w:val="restart"/>
            <w:shd w:val="clear" w:color="auto" w:fill="CCEEFF"/>
          </w:tcPr>
          <w:p>
            <w:pPr>
              <w:ind w:left="40"/>
              <w:spacing w:after="0"/>
              <w:rPr>
                <w:sz w:val="20"/>
                <w:szCs w:val="20"/>
                <w:color w:val="auto"/>
              </w:rPr>
            </w:pPr>
            <w:r>
              <w:rPr>
                <w:rFonts w:ascii="Arial" w:cs="Arial" w:eastAsia="Arial" w:hAnsi="Arial"/>
                <w:sz w:val="14"/>
                <w:szCs w:val="14"/>
                <w:color w:val="auto"/>
              </w:rPr>
              <w:t>- 395 residential units</w:t>
            </w:r>
          </w:p>
        </w:tc>
        <w:tc>
          <w:tcPr>
            <w:tcW w:w="7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60" w:type="dxa"/>
            <w:vAlign w:val="bottom"/>
            <w:gridSpan w:val="4"/>
            <w:vMerge w:val="continue"/>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1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246620" cy="702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7029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2"/>
          <w:szCs w:val="12"/>
          <w:color w:val="auto"/>
        </w:rPr>
        <w:t>- 620,000 SF of commercial across from Santana</w:t>
      </w:r>
    </w:p>
    <w:p>
      <w:pPr>
        <w:spacing w:after="0" w:line="22"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Row</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98" w:lineRule="exact"/>
        <w:rPr>
          <w:sz w:val="20"/>
          <w:szCs w:val="20"/>
          <w:color w:val="auto"/>
        </w:rPr>
      </w:pPr>
    </w:p>
    <w:p>
      <w:pPr>
        <w:ind w:left="500" w:right="60" w:hanging="465"/>
        <w:spacing w:after="0" w:line="296" w:lineRule="auto"/>
        <w:tabs>
          <w:tab w:leader="none" w:pos="5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Expected opening dates, total cost, projected return on investment (ROI), and projected POI percentages are subject to adjustment as a result of factors inherent in the development process, some of which may not be under the direct control of the Company. Refer to the Company's filings with the Securities and Exchange Commission on Form 10-K and Form 10-Q for other risk factors. Percentage figures reflect (i) the projected POI (herein defined) for the stated year divided by (ii) the current projected annual stabilized POI for the Property. These percentages are projections only and</w:t>
      </w:r>
    </w:p>
    <w:p>
      <w:pPr>
        <w:spacing w:after="0" w:line="1" w:lineRule="exact"/>
        <w:rPr>
          <w:rFonts w:ascii="Arial" w:cs="Arial" w:eastAsia="Arial" w:hAnsi="Arial"/>
          <w:sz w:val="12"/>
          <w:szCs w:val="12"/>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cannot give any assurances that these amounts will actually be achieved.</w:t>
      </w:r>
    </w:p>
    <w:p>
      <w:pPr>
        <w:spacing w:after="0" w:line="29"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unleveraged Property Operating Income (POI) generated by the development and is calculated as POI divided by cost.</w:t>
      </w:r>
    </w:p>
    <w:p>
      <w:pPr>
        <w:spacing w:after="0" w:line="41"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2"/>
          <w:szCs w:val="12"/>
          <w:color w:val="auto"/>
        </w:rPr>
        <w:t>Projected costs for Assembly Row and Pike &amp; Rose include an allocation of infrastructure costs for the entire project. Phase I of Santana West includes an allocation of infrastructure for the Santana</w:t>
      </w:r>
    </w:p>
    <w:p>
      <w:pPr>
        <w:spacing w:after="0" w:line="22"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West site.</w:t>
      </w:r>
    </w:p>
    <w:p>
      <w:pPr>
        <w:spacing w:after="0" w:line="29"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Costs are net of expected reimbursement by third parties and land sale proceeds. Phase II total costs and costs to date include our share of the costs in the hotel.</w:t>
      </w:r>
    </w:p>
    <w:p>
      <w:pPr>
        <w:spacing w:after="0" w:line="41"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2"/>
          <w:szCs w:val="12"/>
          <w:color w:val="auto"/>
        </w:rPr>
        <w:t>Condominiums shown at cost; the projected ROI for Phase II does not assume any incremental profit on the sale of condominium units; for return calculation purposes, condominiums are assumed to be</w:t>
      </w:r>
    </w:p>
    <w:p>
      <w:pPr>
        <w:spacing w:after="0" w:line="22"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sold at cost.</w:t>
      </w:r>
    </w:p>
    <w:p>
      <w:pPr>
        <w:sectPr>
          <w:pgSz w:w="11900" w:h="16838" w:orient="portrait"/>
          <w:cols w:equalWidth="0" w:num="1">
            <w:col w:w="11420"/>
          </w:cols>
          <w:pgMar w:left="240" w:top="760" w:right="239" w:bottom="973"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60" w:right="239" w:bottom="973" w:gutter="0" w:footer="0" w:header="0"/>
          <w:type w:val="continuous"/>
        </w:sectPr>
      </w:pPr>
    </w:p>
    <w:bookmarkStart w:id="21" w:name="page22"/>
    <w:bookmarkEnd w:id="21"/>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Redevelopment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2019</w:t>
      </w:r>
    </w:p>
    <w:p>
      <w:pPr>
        <w:spacing w:after="0" w:line="374" w:lineRule="exact"/>
        <w:rPr>
          <w:sz w:val="20"/>
          <w:szCs w:val="20"/>
          <w:color w:val="auto"/>
        </w:rPr>
      </w:pPr>
    </w:p>
    <w:p>
      <w:pPr>
        <w:ind w:left="40" w:right="4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20" w:lineRule="exact"/>
        <w:rPr>
          <w:sz w:val="20"/>
          <w:szCs w:val="20"/>
          <w:color w:val="auto"/>
        </w:rPr>
      </w:pPr>
    </w:p>
    <w:p>
      <w:pPr>
        <w:ind w:left="40" w:right="96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Escondido Promenade</w:t>
            </w:r>
          </w:p>
        </w:tc>
        <w:tc>
          <w:tcPr>
            <w:tcW w:w="2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Escondido, CA</w:t>
            </w:r>
          </w:p>
        </w:tc>
        <w:tc>
          <w:tcPr>
            <w:tcW w:w="27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Mercer Mall</w:t>
            </w:r>
          </w:p>
        </w:tc>
        <w:tc>
          <w:tcPr>
            <w:tcW w:w="37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Lawrenceville, NJ</w:t>
            </w:r>
          </w:p>
        </w:tc>
      </w:tr>
      <w:tr>
        <w:trPr>
          <w:trHeight w:val="237"/>
        </w:trPr>
        <w:tc>
          <w:tcPr>
            <w:tcW w:w="2700" w:type="dxa"/>
            <w:vAlign w:val="bottom"/>
          </w:tcPr>
          <w:p>
            <w:pPr>
              <w:ind w:left="620"/>
              <w:spacing w:after="0"/>
              <w:rPr>
                <w:sz w:val="20"/>
                <w:szCs w:val="20"/>
                <w:color w:val="auto"/>
              </w:rPr>
            </w:pPr>
            <w:r>
              <w:rPr>
                <w:rFonts w:ascii="Arial" w:cs="Arial" w:eastAsia="Arial" w:hAnsi="Arial"/>
                <w:sz w:val="16"/>
                <w:szCs w:val="16"/>
                <w:b w:val="1"/>
                <w:bCs w:val="1"/>
                <w:color w:val="auto"/>
              </w:rPr>
              <w:t>Federal Plaza</w:t>
            </w:r>
          </w:p>
        </w:tc>
        <w:tc>
          <w:tcPr>
            <w:tcW w:w="2200" w:type="dxa"/>
            <w:vAlign w:val="bottom"/>
          </w:tcPr>
          <w:p>
            <w:pPr>
              <w:ind w:left="540"/>
              <w:spacing w:after="0"/>
              <w:rPr>
                <w:sz w:val="20"/>
                <w:szCs w:val="20"/>
                <w:color w:val="auto"/>
              </w:rPr>
            </w:pPr>
            <w:r>
              <w:rPr>
                <w:rFonts w:ascii="Arial" w:cs="Arial" w:eastAsia="Arial" w:hAnsi="Arial"/>
                <w:sz w:val="16"/>
                <w:szCs w:val="16"/>
                <w:color w:val="auto"/>
              </w:rPr>
              <w:t>Rockville, MD</w:t>
            </w:r>
          </w:p>
        </w:tc>
        <w:tc>
          <w:tcPr>
            <w:tcW w:w="2760" w:type="dxa"/>
            <w:vAlign w:val="bottom"/>
          </w:tcPr>
          <w:p>
            <w:pPr>
              <w:ind w:left="640"/>
              <w:spacing w:after="0"/>
              <w:rPr>
                <w:sz w:val="20"/>
                <w:szCs w:val="20"/>
                <w:color w:val="auto"/>
              </w:rPr>
            </w:pPr>
            <w:r>
              <w:rPr>
                <w:rFonts w:ascii="Arial" w:cs="Arial" w:eastAsia="Arial" w:hAnsi="Arial"/>
                <w:sz w:val="16"/>
                <w:szCs w:val="16"/>
                <w:b w:val="1"/>
                <w:bCs w:val="1"/>
                <w:color w:val="auto"/>
              </w:rPr>
              <w:t>Pan Am</w:t>
            </w:r>
          </w:p>
        </w:tc>
        <w:tc>
          <w:tcPr>
            <w:tcW w:w="3760" w:type="dxa"/>
            <w:vAlign w:val="bottom"/>
          </w:tcPr>
          <w:p>
            <w:pPr>
              <w:ind w:left="620"/>
              <w:spacing w:after="0"/>
              <w:rPr>
                <w:sz w:val="20"/>
                <w:szCs w:val="20"/>
                <w:color w:val="auto"/>
              </w:rPr>
            </w:pPr>
            <w:r>
              <w:rPr>
                <w:rFonts w:ascii="Arial" w:cs="Arial" w:eastAsia="Arial" w:hAnsi="Arial"/>
                <w:sz w:val="16"/>
                <w:szCs w:val="16"/>
                <w:color w:val="auto"/>
              </w:rPr>
              <w:t>Fairfax, VA</w:t>
            </w:r>
          </w:p>
        </w:tc>
      </w:tr>
      <w:tr>
        <w:trPr>
          <w:trHeight w:val="33"/>
        </w:trPr>
        <w:tc>
          <w:tcPr>
            <w:tcW w:w="27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Flourtown</w:t>
            </w:r>
          </w:p>
        </w:tc>
        <w:tc>
          <w:tcPr>
            <w:tcW w:w="2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Flourtown, PA</w:t>
            </w:r>
          </w:p>
        </w:tc>
        <w:tc>
          <w:tcPr>
            <w:tcW w:w="27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Sylmar Towne Center</w:t>
            </w:r>
          </w:p>
        </w:tc>
        <w:tc>
          <w:tcPr>
            <w:tcW w:w="37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Sylmar, CA</w:t>
            </w:r>
          </w:p>
        </w:tc>
      </w:tr>
      <w:tr>
        <w:trPr>
          <w:trHeight w:val="237"/>
        </w:trPr>
        <w:tc>
          <w:tcPr>
            <w:tcW w:w="2700" w:type="dxa"/>
            <w:vAlign w:val="bottom"/>
          </w:tcPr>
          <w:p>
            <w:pPr>
              <w:ind w:left="620"/>
              <w:spacing w:after="0"/>
              <w:rPr>
                <w:sz w:val="20"/>
                <w:szCs w:val="20"/>
                <w:color w:val="auto"/>
              </w:rPr>
            </w:pPr>
            <w:r>
              <w:rPr>
                <w:rFonts w:ascii="Arial" w:cs="Arial" w:eastAsia="Arial" w:hAnsi="Arial"/>
                <w:sz w:val="16"/>
                <w:szCs w:val="16"/>
                <w:b w:val="1"/>
                <w:bCs w:val="1"/>
                <w:color w:val="auto"/>
              </w:rPr>
              <w:t>Fresh Meadows</w:t>
            </w:r>
          </w:p>
        </w:tc>
        <w:tc>
          <w:tcPr>
            <w:tcW w:w="2200" w:type="dxa"/>
            <w:vAlign w:val="bottom"/>
          </w:tcPr>
          <w:p>
            <w:pPr>
              <w:ind w:left="540"/>
              <w:spacing w:after="0"/>
              <w:rPr>
                <w:sz w:val="20"/>
                <w:szCs w:val="20"/>
                <w:color w:val="auto"/>
              </w:rPr>
            </w:pPr>
            <w:r>
              <w:rPr>
                <w:rFonts w:ascii="Arial" w:cs="Arial" w:eastAsia="Arial" w:hAnsi="Arial"/>
                <w:sz w:val="16"/>
                <w:szCs w:val="16"/>
                <w:color w:val="auto"/>
              </w:rPr>
              <w:t>Queens, NY</w:t>
            </w:r>
          </w:p>
        </w:tc>
        <w:tc>
          <w:tcPr>
            <w:tcW w:w="276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3"/>
        </w:trPr>
        <w:tc>
          <w:tcPr>
            <w:tcW w:w="27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70"/>
        </w:trPr>
        <w:tc>
          <w:tcPr>
            <w:tcW w:w="270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2760" w:type="dxa"/>
            <w:vAlign w:val="bottom"/>
            <w:shd w:val="clear" w:color="auto" w:fill="CCEEFF"/>
          </w:tcPr>
          <w:p>
            <w:pPr>
              <w:spacing w:after="0"/>
              <w:rPr>
                <w:sz w:val="23"/>
                <w:szCs w:val="23"/>
                <w:color w:val="auto"/>
              </w:rPr>
            </w:pPr>
          </w:p>
        </w:tc>
        <w:tc>
          <w:tcPr>
            <w:tcW w:w="376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right="520"/>
        <w:spacing w:after="0" w:line="290"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more productive uses for the property.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Barracks Road</w:t>
            </w:r>
          </w:p>
        </w:tc>
        <w:tc>
          <w:tcPr>
            <w:tcW w:w="25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Charlottesville, VA</w:t>
            </w:r>
          </w:p>
        </w:tc>
        <w:tc>
          <w:tcPr>
            <w:tcW w:w="2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Hastings Ranch Plaza</w:t>
            </w:r>
          </w:p>
        </w:tc>
        <w:tc>
          <w:tcPr>
            <w:tcW w:w="3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Pasadena, CA</w:t>
            </w:r>
          </w:p>
        </w:tc>
      </w:tr>
      <w:tr>
        <w:trPr>
          <w:trHeight w:val="237"/>
        </w:trPr>
        <w:tc>
          <w:tcPr>
            <w:tcW w:w="2480" w:type="dxa"/>
            <w:vAlign w:val="bottom"/>
          </w:tcPr>
          <w:p>
            <w:pPr>
              <w:ind w:left="620"/>
              <w:spacing w:after="0"/>
              <w:rPr>
                <w:sz w:val="20"/>
                <w:szCs w:val="20"/>
                <w:color w:val="auto"/>
              </w:rPr>
            </w:pPr>
            <w:r>
              <w:rPr>
                <w:rFonts w:ascii="Arial" w:cs="Arial" w:eastAsia="Arial" w:hAnsi="Arial"/>
                <w:sz w:val="16"/>
                <w:szCs w:val="16"/>
                <w:b w:val="1"/>
                <w:bCs w:val="1"/>
                <w:color w:val="auto"/>
              </w:rPr>
              <w:t>Bethesda Row</w:t>
            </w:r>
          </w:p>
        </w:tc>
        <w:tc>
          <w:tcPr>
            <w:tcW w:w="2540" w:type="dxa"/>
            <w:vAlign w:val="bottom"/>
          </w:tcPr>
          <w:p>
            <w:pPr>
              <w:ind w:left="760"/>
              <w:spacing w:after="0"/>
              <w:rPr>
                <w:sz w:val="20"/>
                <w:szCs w:val="20"/>
                <w:color w:val="auto"/>
              </w:rPr>
            </w:pPr>
            <w:r>
              <w:rPr>
                <w:rFonts w:ascii="Arial" w:cs="Arial" w:eastAsia="Arial" w:hAnsi="Arial"/>
                <w:sz w:val="16"/>
                <w:szCs w:val="16"/>
                <w:color w:val="auto"/>
              </w:rPr>
              <w:t>Bethesda, MD</w:t>
            </w:r>
          </w:p>
        </w:tc>
        <w:tc>
          <w:tcPr>
            <w:tcW w:w="2800" w:type="dxa"/>
            <w:vAlign w:val="bottom"/>
          </w:tcPr>
          <w:p>
            <w:pPr>
              <w:ind w:left="520"/>
              <w:spacing w:after="0"/>
              <w:rPr>
                <w:sz w:val="20"/>
                <w:szCs w:val="20"/>
                <w:color w:val="auto"/>
              </w:rPr>
            </w:pPr>
            <w:r>
              <w:rPr>
                <w:rFonts w:ascii="Arial" w:cs="Arial" w:eastAsia="Arial" w:hAnsi="Arial"/>
                <w:sz w:val="16"/>
                <w:szCs w:val="16"/>
                <w:b w:val="1"/>
                <w:bCs w:val="1"/>
                <w:color w:val="auto"/>
              </w:rPr>
              <w:t>Northeast</w:t>
            </w:r>
          </w:p>
        </w:tc>
        <w:tc>
          <w:tcPr>
            <w:tcW w:w="3600" w:type="dxa"/>
            <w:vAlign w:val="bottom"/>
          </w:tcPr>
          <w:p>
            <w:pPr>
              <w:ind w:left="460"/>
              <w:spacing w:after="0"/>
              <w:rPr>
                <w:sz w:val="20"/>
                <w:szCs w:val="20"/>
                <w:color w:val="auto"/>
              </w:rPr>
            </w:pPr>
            <w:r>
              <w:rPr>
                <w:rFonts w:ascii="Arial" w:cs="Arial" w:eastAsia="Arial" w:hAnsi="Arial"/>
                <w:sz w:val="16"/>
                <w:szCs w:val="16"/>
                <w:color w:val="auto"/>
              </w:rPr>
              <w:t>Philadelphia, PA</w:t>
            </w:r>
          </w:p>
        </w:tc>
      </w:tr>
      <w:tr>
        <w:trPr>
          <w:trHeight w:val="33"/>
        </w:trPr>
        <w:tc>
          <w:tcPr>
            <w:tcW w:w="2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Crossroads</w:t>
            </w:r>
          </w:p>
        </w:tc>
        <w:tc>
          <w:tcPr>
            <w:tcW w:w="25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Highland Park, IL</w:t>
            </w:r>
          </w:p>
        </w:tc>
        <w:tc>
          <w:tcPr>
            <w:tcW w:w="2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Riverpoint Center</w:t>
            </w:r>
          </w:p>
        </w:tc>
        <w:tc>
          <w:tcPr>
            <w:tcW w:w="3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Chicago, IL</w:t>
            </w:r>
          </w:p>
        </w:tc>
      </w:tr>
      <w:tr>
        <w:trPr>
          <w:trHeight w:val="237"/>
        </w:trPr>
        <w:tc>
          <w:tcPr>
            <w:tcW w:w="2480" w:type="dxa"/>
            <w:vAlign w:val="bottom"/>
          </w:tcPr>
          <w:p>
            <w:pPr>
              <w:ind w:left="620"/>
              <w:spacing w:after="0"/>
              <w:rPr>
                <w:sz w:val="20"/>
                <w:szCs w:val="20"/>
                <w:color w:val="auto"/>
              </w:rPr>
            </w:pPr>
            <w:r>
              <w:rPr>
                <w:rFonts w:ascii="Arial" w:cs="Arial" w:eastAsia="Arial" w:hAnsi="Arial"/>
                <w:sz w:val="16"/>
                <w:szCs w:val="16"/>
                <w:b w:val="1"/>
                <w:bCs w:val="1"/>
                <w:color w:val="auto"/>
              </w:rPr>
              <w:t>Darien</w:t>
            </w:r>
          </w:p>
        </w:tc>
        <w:tc>
          <w:tcPr>
            <w:tcW w:w="2540" w:type="dxa"/>
            <w:vAlign w:val="bottom"/>
          </w:tcPr>
          <w:p>
            <w:pPr>
              <w:ind w:left="760"/>
              <w:spacing w:after="0"/>
              <w:rPr>
                <w:sz w:val="20"/>
                <w:szCs w:val="20"/>
                <w:color w:val="auto"/>
              </w:rPr>
            </w:pPr>
            <w:r>
              <w:rPr>
                <w:rFonts w:ascii="Arial" w:cs="Arial" w:eastAsia="Arial" w:hAnsi="Arial"/>
                <w:sz w:val="16"/>
                <w:szCs w:val="16"/>
                <w:color w:val="auto"/>
              </w:rPr>
              <w:t>Darien, CT</w:t>
            </w:r>
          </w:p>
        </w:tc>
        <w:tc>
          <w:tcPr>
            <w:tcW w:w="2800" w:type="dxa"/>
            <w:vAlign w:val="bottom"/>
          </w:tcPr>
          <w:p>
            <w:pPr>
              <w:ind w:left="520"/>
              <w:spacing w:after="0"/>
              <w:rPr>
                <w:sz w:val="20"/>
                <w:szCs w:val="20"/>
                <w:color w:val="auto"/>
              </w:rPr>
            </w:pPr>
            <w:r>
              <w:rPr>
                <w:rFonts w:ascii="Arial" w:cs="Arial" w:eastAsia="Arial" w:hAnsi="Arial"/>
                <w:sz w:val="16"/>
                <w:szCs w:val="16"/>
                <w:b w:val="1"/>
                <w:bCs w:val="1"/>
                <w:color w:val="auto"/>
              </w:rPr>
              <w:t>The Shops at Sunset Place</w:t>
            </w:r>
          </w:p>
        </w:tc>
        <w:tc>
          <w:tcPr>
            <w:tcW w:w="3600" w:type="dxa"/>
            <w:vAlign w:val="bottom"/>
          </w:tcPr>
          <w:p>
            <w:pPr>
              <w:ind w:left="460"/>
              <w:spacing w:after="0"/>
              <w:rPr>
                <w:sz w:val="20"/>
                <w:szCs w:val="20"/>
                <w:color w:val="auto"/>
              </w:rPr>
            </w:pPr>
            <w:r>
              <w:rPr>
                <w:rFonts w:ascii="Arial" w:cs="Arial" w:eastAsia="Arial" w:hAnsi="Arial"/>
                <w:sz w:val="16"/>
                <w:szCs w:val="16"/>
                <w:color w:val="auto"/>
              </w:rPr>
              <w:t>South Miami, FL</w:t>
            </w:r>
          </w:p>
        </w:tc>
      </w:tr>
      <w:tr>
        <w:trPr>
          <w:trHeight w:val="33"/>
        </w:trPr>
        <w:tc>
          <w:tcPr>
            <w:tcW w:w="2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Dedham Plaza</w:t>
            </w:r>
          </w:p>
        </w:tc>
        <w:tc>
          <w:tcPr>
            <w:tcW w:w="25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Dedham, MA</w:t>
            </w:r>
          </w:p>
        </w:tc>
        <w:tc>
          <w:tcPr>
            <w:tcW w:w="2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Third Street Promenade</w:t>
            </w:r>
          </w:p>
        </w:tc>
        <w:tc>
          <w:tcPr>
            <w:tcW w:w="3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Santa Monica, CA</w:t>
            </w:r>
          </w:p>
        </w:tc>
      </w:tr>
      <w:tr>
        <w:trPr>
          <w:trHeight w:val="237"/>
        </w:trPr>
        <w:tc>
          <w:tcPr>
            <w:tcW w:w="2480" w:type="dxa"/>
            <w:vAlign w:val="bottom"/>
          </w:tcPr>
          <w:p>
            <w:pPr>
              <w:ind w:left="620"/>
              <w:spacing w:after="0"/>
              <w:rPr>
                <w:sz w:val="20"/>
                <w:szCs w:val="20"/>
                <w:color w:val="auto"/>
              </w:rPr>
            </w:pPr>
            <w:r>
              <w:rPr>
                <w:rFonts w:ascii="Arial" w:cs="Arial" w:eastAsia="Arial" w:hAnsi="Arial"/>
                <w:sz w:val="16"/>
                <w:szCs w:val="16"/>
                <w:b w:val="1"/>
                <w:bCs w:val="1"/>
                <w:color w:val="auto"/>
              </w:rPr>
              <w:t>Fourth Street</w:t>
            </w:r>
          </w:p>
        </w:tc>
        <w:tc>
          <w:tcPr>
            <w:tcW w:w="2540" w:type="dxa"/>
            <w:vAlign w:val="bottom"/>
          </w:tcPr>
          <w:p>
            <w:pPr>
              <w:ind w:left="760"/>
              <w:spacing w:after="0"/>
              <w:rPr>
                <w:sz w:val="20"/>
                <w:szCs w:val="20"/>
                <w:color w:val="auto"/>
              </w:rPr>
            </w:pPr>
            <w:r>
              <w:rPr>
                <w:rFonts w:ascii="Arial" w:cs="Arial" w:eastAsia="Arial" w:hAnsi="Arial"/>
                <w:sz w:val="16"/>
                <w:szCs w:val="16"/>
                <w:color w:val="auto"/>
              </w:rPr>
              <w:t>Berkeley, CA</w:t>
            </w:r>
          </w:p>
        </w:tc>
        <w:tc>
          <w:tcPr>
            <w:tcW w:w="2800" w:type="dxa"/>
            <w:vAlign w:val="bottom"/>
          </w:tcPr>
          <w:p>
            <w:pPr>
              <w:ind w:left="520"/>
              <w:spacing w:after="0"/>
              <w:rPr>
                <w:sz w:val="20"/>
                <w:szCs w:val="20"/>
                <w:color w:val="auto"/>
              </w:rPr>
            </w:pPr>
            <w:r>
              <w:rPr>
                <w:rFonts w:ascii="Arial" w:cs="Arial" w:eastAsia="Arial" w:hAnsi="Arial"/>
                <w:sz w:val="16"/>
                <w:szCs w:val="16"/>
                <w:b w:val="1"/>
                <w:bCs w:val="1"/>
                <w:color w:val="auto"/>
              </w:rPr>
              <w:t>Wildwood</w:t>
            </w:r>
          </w:p>
        </w:tc>
        <w:tc>
          <w:tcPr>
            <w:tcW w:w="3600" w:type="dxa"/>
            <w:vAlign w:val="bottom"/>
          </w:tcPr>
          <w:p>
            <w:pPr>
              <w:ind w:left="460"/>
              <w:spacing w:after="0"/>
              <w:rPr>
                <w:sz w:val="20"/>
                <w:szCs w:val="20"/>
                <w:color w:val="auto"/>
              </w:rPr>
            </w:pPr>
            <w:r>
              <w:rPr>
                <w:rFonts w:ascii="Arial" w:cs="Arial" w:eastAsia="Arial" w:hAnsi="Arial"/>
                <w:sz w:val="16"/>
                <w:szCs w:val="16"/>
                <w:color w:val="auto"/>
              </w:rPr>
              <w:t>Bethesda, MD</w:t>
            </w:r>
          </w:p>
        </w:tc>
      </w:tr>
      <w:tr>
        <w:trPr>
          <w:trHeight w:val="33"/>
        </w:trPr>
        <w:tc>
          <w:tcPr>
            <w:tcW w:w="2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37"/>
        </w:trPr>
        <w:tc>
          <w:tcPr>
            <w:tcW w:w="248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Fresh Meadows</w:t>
            </w:r>
          </w:p>
        </w:tc>
        <w:tc>
          <w:tcPr>
            <w:tcW w:w="2540" w:type="dxa"/>
            <w:vAlign w:val="bottom"/>
            <w:shd w:val="clear" w:color="auto" w:fill="CCEEFF"/>
          </w:tcPr>
          <w:p>
            <w:pPr>
              <w:ind w:left="760"/>
              <w:spacing w:after="0"/>
              <w:rPr>
                <w:sz w:val="20"/>
                <w:szCs w:val="20"/>
                <w:color w:val="auto"/>
              </w:rPr>
            </w:pPr>
            <w:r>
              <w:rPr>
                <w:rFonts w:ascii="Arial" w:cs="Arial" w:eastAsia="Arial" w:hAnsi="Arial"/>
                <w:sz w:val="16"/>
                <w:szCs w:val="16"/>
                <w:color w:val="auto"/>
              </w:rPr>
              <w:t>Queens, NY</w:t>
            </w:r>
          </w:p>
        </w:tc>
        <w:tc>
          <w:tcPr>
            <w:tcW w:w="28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33"/>
        </w:trPr>
        <w:tc>
          <w:tcPr>
            <w:tcW w:w="248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6"/>
                <w:szCs w:val="16"/>
                <w:b w:val="1"/>
                <w:bCs w:val="1"/>
                <w:color w:val="auto"/>
              </w:rPr>
              <w:t>Barracks Road</w:t>
            </w:r>
          </w:p>
        </w:tc>
        <w:tc>
          <w:tcPr>
            <w:tcW w:w="2080" w:type="dxa"/>
            <w:vAlign w:val="bottom"/>
          </w:tcPr>
          <w:p>
            <w:pPr>
              <w:ind w:left="240"/>
              <w:spacing w:after="0"/>
              <w:rPr>
                <w:sz w:val="20"/>
                <w:szCs w:val="20"/>
                <w:color w:val="auto"/>
              </w:rPr>
            </w:pPr>
            <w:r>
              <w:rPr>
                <w:rFonts w:ascii="Arial" w:cs="Arial" w:eastAsia="Arial" w:hAnsi="Arial"/>
                <w:sz w:val="16"/>
                <w:szCs w:val="16"/>
                <w:color w:val="auto"/>
              </w:rPr>
              <w:t>Charlottesville, VA</w:t>
            </w:r>
          </w:p>
        </w:tc>
        <w:tc>
          <w:tcPr>
            <w:tcW w:w="3180" w:type="dxa"/>
            <w:vAlign w:val="bottom"/>
          </w:tcPr>
          <w:p>
            <w:pPr>
              <w:ind w:left="460"/>
              <w:spacing w:after="0"/>
              <w:rPr>
                <w:sz w:val="20"/>
                <w:szCs w:val="20"/>
                <w:color w:val="auto"/>
              </w:rPr>
            </w:pPr>
            <w:r>
              <w:rPr>
                <w:rFonts w:ascii="Arial" w:cs="Arial" w:eastAsia="Arial" w:hAnsi="Arial"/>
                <w:sz w:val="16"/>
                <w:szCs w:val="16"/>
                <w:b w:val="1"/>
                <w:bCs w:val="1"/>
                <w:color w:val="auto"/>
              </w:rPr>
              <w:t>Graham Park Plaza</w:t>
            </w:r>
          </w:p>
        </w:tc>
        <w:tc>
          <w:tcPr>
            <w:tcW w:w="3160" w:type="dxa"/>
            <w:vAlign w:val="bottom"/>
          </w:tcPr>
          <w:p>
            <w:pPr>
              <w:ind w:left="20"/>
              <w:spacing w:after="0"/>
              <w:rPr>
                <w:sz w:val="20"/>
                <w:szCs w:val="20"/>
                <w:color w:val="auto"/>
              </w:rPr>
            </w:pPr>
            <w:r>
              <w:rPr>
                <w:rFonts w:ascii="Arial" w:cs="Arial" w:eastAsia="Arial" w:hAnsi="Arial"/>
                <w:sz w:val="16"/>
                <w:szCs w:val="16"/>
                <w:color w:val="auto"/>
              </w:rPr>
              <w:t>Falls Church, VA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Bala Cynwyd</w:t>
            </w:r>
          </w:p>
        </w:tc>
        <w:tc>
          <w:tcPr>
            <w:tcW w:w="2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Bala Cynwyd, PA</w:t>
            </w:r>
          </w:p>
        </w:tc>
        <w:tc>
          <w:tcPr>
            <w:tcW w:w="3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Village at Shirlington</w:t>
            </w:r>
          </w:p>
        </w:tc>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Arlington, VA</w:t>
            </w:r>
          </w:p>
        </w:tc>
      </w:tr>
      <w:tr>
        <w:trPr>
          <w:trHeight w:val="270"/>
        </w:trPr>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580" w:type="dxa"/>
            <w:vAlign w:val="bottom"/>
            <w:gridSpan w:val="2"/>
          </w:tcPr>
          <w:p>
            <w:pPr>
              <w:spacing w:after="0"/>
              <w:rPr>
                <w:sz w:val="23"/>
                <w:szCs w:val="23"/>
                <w:color w:val="auto"/>
              </w:rPr>
            </w:pPr>
          </w:p>
        </w:tc>
        <w:tc>
          <w:tcPr>
            <w:tcW w:w="20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3160" w:type="dxa"/>
            <w:vAlign w:val="bottom"/>
          </w:tcPr>
          <w:p>
            <w:pPr>
              <w:spacing w:after="0"/>
              <w:rPr>
                <w:sz w:val="23"/>
                <w:szCs w:val="23"/>
                <w:color w:val="auto"/>
              </w:rPr>
            </w:pPr>
          </w:p>
        </w:tc>
      </w:tr>
      <w:tr>
        <w:trPr>
          <w:trHeight w:val="237"/>
        </w:trPr>
        <w:tc>
          <w:tcPr>
            <w:tcW w:w="3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Longer Term Mixed-Use Opportunities</w:t>
            </w:r>
          </w:p>
        </w:tc>
        <w:tc>
          <w:tcPr>
            <w:tcW w:w="2080" w:type="dxa"/>
            <w:vAlign w:val="bottom"/>
            <w:tcBorders>
              <w:bottom w:val="single" w:sz="8" w:color="CCEEFF"/>
            </w:tcBorders>
            <w:shd w:val="clear" w:color="auto" w:fill="CCEEFF"/>
          </w:tcPr>
          <w:p>
            <w:pPr>
              <w:spacing w:after="0"/>
              <w:rPr>
                <w:sz w:val="20"/>
                <w:szCs w:val="20"/>
                <w:color w:val="auto"/>
              </w:rPr>
            </w:pPr>
          </w:p>
        </w:tc>
        <w:tc>
          <w:tcPr>
            <w:tcW w:w="3180" w:type="dxa"/>
            <w:vAlign w:val="bottom"/>
            <w:tcBorders>
              <w:bottom w:val="single" w:sz="8" w:color="CCEEFF"/>
            </w:tcBorders>
            <w:shd w:val="clear" w:color="auto" w:fill="CCEEFF"/>
          </w:tcPr>
          <w:p>
            <w:pPr>
              <w:spacing w:after="0"/>
              <w:rPr>
                <w:sz w:val="20"/>
                <w:szCs w:val="20"/>
                <w:color w:val="auto"/>
              </w:rPr>
            </w:pPr>
          </w:p>
        </w:tc>
        <w:tc>
          <w:tcPr>
            <w:tcW w:w="3160" w:type="dxa"/>
            <w:vAlign w:val="bottom"/>
            <w:tcBorders>
              <w:bottom w:val="single" w:sz="8" w:color="CCEEFF"/>
            </w:tcBorders>
            <w:shd w:val="clear" w:color="auto" w:fill="CCEEFF"/>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ind w:left="100"/>
              <w:spacing w:after="0"/>
              <w:rPr>
                <w:sz w:val="20"/>
                <w:szCs w:val="20"/>
                <w:color w:val="auto"/>
              </w:rPr>
            </w:pPr>
            <w:r>
              <w:rPr>
                <w:rFonts w:ascii="Arial" w:cs="Arial" w:eastAsia="Arial" w:hAnsi="Arial"/>
                <w:sz w:val="16"/>
                <w:szCs w:val="16"/>
                <w:b w:val="1"/>
                <w:bCs w:val="1"/>
                <w:color w:val="auto"/>
              </w:rPr>
              <w:t>Assembly Row (1)</w:t>
            </w:r>
          </w:p>
        </w:tc>
        <w:tc>
          <w:tcPr>
            <w:tcW w:w="2080" w:type="dxa"/>
            <w:vAlign w:val="bottom"/>
          </w:tcPr>
          <w:p>
            <w:pPr>
              <w:ind w:left="240"/>
              <w:spacing w:after="0"/>
              <w:rPr>
                <w:sz w:val="20"/>
                <w:szCs w:val="20"/>
                <w:color w:val="auto"/>
              </w:rPr>
            </w:pPr>
            <w:r>
              <w:rPr>
                <w:rFonts w:ascii="Arial" w:cs="Arial" w:eastAsia="Arial" w:hAnsi="Arial"/>
                <w:sz w:val="16"/>
                <w:szCs w:val="16"/>
                <w:color w:val="auto"/>
              </w:rPr>
              <w:t>Somerville, MA</w:t>
            </w:r>
          </w:p>
        </w:tc>
        <w:tc>
          <w:tcPr>
            <w:tcW w:w="3180" w:type="dxa"/>
            <w:vAlign w:val="bottom"/>
          </w:tcPr>
          <w:p>
            <w:pPr>
              <w:ind w:left="460"/>
              <w:spacing w:after="0"/>
              <w:rPr>
                <w:sz w:val="20"/>
                <w:szCs w:val="20"/>
                <w:color w:val="auto"/>
              </w:rPr>
            </w:pPr>
            <w:r>
              <w:rPr>
                <w:rFonts w:ascii="Arial" w:cs="Arial" w:eastAsia="Arial" w:hAnsi="Arial"/>
                <w:sz w:val="16"/>
                <w:szCs w:val="16"/>
                <w:b w:val="1"/>
                <w:bCs w:val="1"/>
                <w:color w:val="auto"/>
              </w:rPr>
              <w:t>San Antonio Center</w:t>
            </w:r>
          </w:p>
        </w:tc>
        <w:tc>
          <w:tcPr>
            <w:tcW w:w="3160" w:type="dxa"/>
            <w:vAlign w:val="bottom"/>
          </w:tcPr>
          <w:p>
            <w:pPr>
              <w:ind w:left="20"/>
              <w:spacing w:after="0"/>
              <w:rPr>
                <w:sz w:val="20"/>
                <w:szCs w:val="20"/>
                <w:color w:val="auto"/>
              </w:rPr>
            </w:pPr>
            <w:r>
              <w:rPr>
                <w:rFonts w:ascii="Arial" w:cs="Arial" w:eastAsia="Arial" w:hAnsi="Arial"/>
                <w:sz w:val="16"/>
                <w:szCs w:val="16"/>
                <w:color w:val="auto"/>
              </w:rPr>
              <w:t>Mountain View, CA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Bala Cynwyd</w:t>
            </w:r>
          </w:p>
        </w:tc>
        <w:tc>
          <w:tcPr>
            <w:tcW w:w="2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Bala Cynwyd, PA</w:t>
            </w:r>
          </w:p>
        </w:tc>
        <w:tc>
          <w:tcPr>
            <w:tcW w:w="3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Santana Row (3)</w:t>
            </w:r>
          </w:p>
        </w:tc>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San Jose, CA</w:t>
            </w:r>
          </w:p>
        </w:tc>
      </w:tr>
      <w:tr>
        <w:trPr>
          <w:trHeight w:val="237"/>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ind w:left="100"/>
              <w:spacing w:after="0"/>
              <w:rPr>
                <w:sz w:val="20"/>
                <w:szCs w:val="20"/>
                <w:color w:val="auto"/>
              </w:rPr>
            </w:pPr>
            <w:r>
              <w:rPr>
                <w:rFonts w:ascii="Arial" w:cs="Arial" w:eastAsia="Arial" w:hAnsi="Arial"/>
                <w:sz w:val="16"/>
                <w:szCs w:val="16"/>
                <w:b w:val="1"/>
                <w:bCs w:val="1"/>
                <w:color w:val="auto"/>
              </w:rPr>
              <w:t>Pike 7 Plaza</w:t>
            </w:r>
          </w:p>
        </w:tc>
        <w:tc>
          <w:tcPr>
            <w:tcW w:w="2080" w:type="dxa"/>
            <w:vAlign w:val="bottom"/>
          </w:tcPr>
          <w:p>
            <w:pPr>
              <w:ind w:left="240"/>
              <w:spacing w:after="0"/>
              <w:rPr>
                <w:sz w:val="20"/>
                <w:szCs w:val="20"/>
                <w:color w:val="auto"/>
              </w:rPr>
            </w:pPr>
            <w:r>
              <w:rPr>
                <w:rFonts w:ascii="Arial" w:cs="Arial" w:eastAsia="Arial" w:hAnsi="Arial"/>
                <w:sz w:val="16"/>
                <w:szCs w:val="16"/>
                <w:color w:val="auto"/>
              </w:rPr>
              <w:t>Vienna, VA</w:t>
            </w:r>
          </w:p>
        </w:tc>
        <w:tc>
          <w:tcPr>
            <w:tcW w:w="3180" w:type="dxa"/>
            <w:vAlign w:val="bottom"/>
          </w:tcPr>
          <w:p>
            <w:pPr>
              <w:ind w:left="460"/>
              <w:spacing w:after="0"/>
              <w:rPr>
                <w:sz w:val="20"/>
                <w:szCs w:val="20"/>
                <w:color w:val="auto"/>
              </w:rPr>
            </w:pPr>
            <w:r>
              <w:rPr>
                <w:rFonts w:ascii="Arial" w:cs="Arial" w:eastAsia="Arial" w:hAnsi="Arial"/>
                <w:sz w:val="16"/>
                <w:szCs w:val="16"/>
                <w:b w:val="1"/>
                <w:bCs w:val="1"/>
                <w:color w:val="auto"/>
              </w:rPr>
              <w:t>Santana Row - Santana West (3)</w:t>
            </w:r>
          </w:p>
        </w:tc>
        <w:tc>
          <w:tcPr>
            <w:tcW w:w="3160" w:type="dxa"/>
            <w:vAlign w:val="bottom"/>
          </w:tcPr>
          <w:p>
            <w:pPr>
              <w:ind w:left="20"/>
              <w:spacing w:after="0"/>
              <w:rPr>
                <w:sz w:val="20"/>
                <w:szCs w:val="20"/>
                <w:color w:val="auto"/>
              </w:rPr>
            </w:pPr>
            <w:r>
              <w:rPr>
                <w:rFonts w:ascii="Arial" w:cs="Arial" w:eastAsia="Arial" w:hAnsi="Arial"/>
                <w:sz w:val="16"/>
                <w:szCs w:val="16"/>
                <w:color w:val="auto"/>
              </w:rPr>
              <w:t>San Jose, CA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Pike &amp; Rose (2)</w:t>
            </w:r>
          </w:p>
        </w:tc>
        <w:tc>
          <w:tcPr>
            <w:tcW w:w="2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North Bethesda, MD</w:t>
            </w:r>
          </w:p>
        </w:tc>
        <w:tc>
          <w:tcPr>
            <w:tcW w:w="318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3160" w:type="dxa"/>
            <w:vAlign w:val="bottom"/>
          </w:tcPr>
          <w:p>
            <w:pPr>
              <w:spacing w:after="0"/>
              <w:rPr>
                <w:sz w:val="23"/>
                <w:szCs w:val="23"/>
                <w:color w:val="auto"/>
              </w:rPr>
            </w:pPr>
          </w:p>
        </w:tc>
      </w:tr>
      <w:tr>
        <w:trPr>
          <w:trHeight w:val="230"/>
        </w:trPr>
        <w:tc>
          <w:tcPr>
            <w:tcW w:w="5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Notes:</w:t>
            </w:r>
          </w:p>
        </w:tc>
        <w:tc>
          <w:tcPr>
            <w:tcW w:w="24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Assembly Row</w:t>
            </w:r>
          </w:p>
        </w:tc>
        <w:tc>
          <w:tcPr>
            <w:tcW w:w="8420" w:type="dxa"/>
            <w:vAlign w:val="bottom"/>
            <w:gridSpan w:val="3"/>
          </w:tcPr>
          <w:p>
            <w:pPr>
              <w:ind w:left="240"/>
              <w:spacing w:after="0"/>
              <w:rPr>
                <w:sz w:val="20"/>
                <w:szCs w:val="20"/>
                <w:color w:val="auto"/>
              </w:rPr>
            </w:pPr>
            <w:r>
              <w:rPr>
                <w:rFonts w:ascii="Arial" w:cs="Arial" w:eastAsia="Arial" w:hAnsi="Arial"/>
                <w:sz w:val="14"/>
                <w:szCs w:val="14"/>
                <w:color w:val="auto"/>
                <w:w w:val="95"/>
              </w:rPr>
              <w:t>Remaining entitlements after Phase II include approximately 1.5 million square feet of commercial-use buildings and 329 residential units.</w:t>
            </w:r>
          </w:p>
        </w:tc>
      </w:tr>
      <w:tr>
        <w:trPr>
          <w:trHeight w:val="209"/>
        </w:trPr>
        <w:tc>
          <w:tcPr>
            <w:tcW w:w="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Pike &amp; Rose</w:t>
            </w:r>
          </w:p>
        </w:tc>
        <w:tc>
          <w:tcPr>
            <w:tcW w:w="842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w w:val="97"/>
              </w:rPr>
              <w:t>Remaining entitlements after Phase II include approximately 740,000 square feet of commercial-use buildings and 741 residential units.</w:t>
            </w:r>
          </w:p>
        </w:tc>
      </w:tr>
      <w:tr>
        <w:trPr>
          <w:trHeight w:val="157"/>
        </w:trPr>
        <w:tc>
          <w:tcPr>
            <w:tcW w:w="4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2480" w:type="dxa"/>
            <w:vAlign w:val="bottom"/>
          </w:tcPr>
          <w:p>
            <w:pPr>
              <w:ind w:left="100"/>
              <w:spacing w:after="0" w:line="157" w:lineRule="exact"/>
              <w:rPr>
                <w:sz w:val="20"/>
                <w:szCs w:val="20"/>
                <w:color w:val="auto"/>
              </w:rPr>
            </w:pPr>
            <w:r>
              <w:rPr>
                <w:rFonts w:ascii="Arial" w:cs="Arial" w:eastAsia="Arial" w:hAnsi="Arial"/>
                <w:sz w:val="14"/>
                <w:szCs w:val="14"/>
                <w:color w:val="auto"/>
              </w:rPr>
              <w:t>Santana Row</w:t>
            </w:r>
          </w:p>
        </w:tc>
        <w:tc>
          <w:tcPr>
            <w:tcW w:w="8420" w:type="dxa"/>
            <w:vAlign w:val="bottom"/>
            <w:gridSpan w:val="3"/>
          </w:tcPr>
          <w:p>
            <w:pPr>
              <w:ind w:left="240"/>
              <w:spacing w:after="0" w:line="157" w:lineRule="exact"/>
              <w:rPr>
                <w:sz w:val="20"/>
                <w:szCs w:val="20"/>
                <w:color w:val="auto"/>
              </w:rPr>
            </w:pPr>
            <w:r>
              <w:rPr>
                <w:rFonts w:ascii="Arial" w:cs="Arial" w:eastAsia="Arial" w:hAnsi="Arial"/>
                <w:sz w:val="14"/>
                <w:szCs w:val="14"/>
                <w:color w:val="auto"/>
                <w:w w:val="94"/>
              </w:rPr>
              <w:t>Remaining entitlements include approximately 321,000 square feet of commercial space and 395 residential units, as well as approximately</w:t>
            </w:r>
          </w:p>
        </w:tc>
      </w:tr>
      <w:tr>
        <w:trPr>
          <w:trHeight w:val="182"/>
        </w:trPr>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260" w:type="dxa"/>
            <w:vAlign w:val="bottom"/>
            <w:gridSpan w:val="2"/>
          </w:tcPr>
          <w:p>
            <w:pPr>
              <w:ind w:left="240"/>
              <w:spacing w:after="0"/>
              <w:rPr>
                <w:sz w:val="20"/>
                <w:szCs w:val="20"/>
                <w:color w:val="auto"/>
              </w:rPr>
            </w:pPr>
            <w:r>
              <w:rPr>
                <w:rFonts w:ascii="Arial" w:cs="Arial" w:eastAsia="Arial" w:hAnsi="Arial"/>
                <w:sz w:val="14"/>
                <w:szCs w:val="14"/>
                <w:color w:val="auto"/>
                <w:w w:val="92"/>
              </w:rPr>
              <w:t>620,000 square feet of commercial space on land we control across from Santana Row.</w:t>
            </w:r>
          </w:p>
        </w:tc>
        <w:tc>
          <w:tcPr>
            <w:tcW w:w="3160" w:type="dxa"/>
            <w:vAlign w:val="bottom"/>
          </w:tcPr>
          <w:p>
            <w:pPr>
              <w:spacing w:after="0"/>
              <w:rPr>
                <w:sz w:val="15"/>
                <w:szCs w:val="15"/>
                <w:color w:val="auto"/>
              </w:rPr>
            </w:pPr>
          </w:p>
        </w:tc>
      </w:tr>
      <w:tr>
        <w:trPr>
          <w:trHeight w:val="471"/>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80" w:type="dxa"/>
            <w:vAlign w:val="bottom"/>
          </w:tcPr>
          <w:p>
            <w:pPr>
              <w:ind w:left="540"/>
              <w:spacing w:after="0"/>
              <w:rPr>
                <w:sz w:val="20"/>
                <w:szCs w:val="20"/>
                <w:color w:val="auto"/>
              </w:rPr>
            </w:pPr>
            <w:r>
              <w:rPr>
                <w:rFonts w:ascii="Arial" w:cs="Arial" w:eastAsia="Arial" w:hAnsi="Arial"/>
                <w:sz w:val="18"/>
                <w:szCs w:val="18"/>
                <w:color w:val="auto"/>
              </w:rPr>
              <w:t>18</w:t>
            </w:r>
          </w:p>
        </w:tc>
        <w:tc>
          <w:tcPr>
            <w:tcW w:w="3160" w:type="dxa"/>
            <w:vAlign w:val="bottom"/>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22" w:name="page23"/>
    <w:bookmarkEnd w:id="22"/>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7"/>
              </w:rPr>
              <w:t>Real</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Mortgage/Finance</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17"/>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Property</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Lease Liabilities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Leased</w:t>
            </w: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22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0"/>
              </w:rPr>
              <w:t>Name</w:t>
            </w: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7"/>
              </w:rPr>
              <w:t>Acreage</w:t>
            </w: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GLA (3)</w:t>
            </w: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(3)</w:t>
            </w: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4"/>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2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104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54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Washington Metropolitan Area</w:t>
            </w: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8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220" w:type="dxa"/>
            <w:vAlign w:val="bottom"/>
            <w:tcBorders>
              <w:top w:val="single" w:sz="8" w:color="CCEEFF"/>
            </w:tcBorders>
            <w:shd w:val="clear" w:color="auto" w:fill="CCEEFF"/>
          </w:tcPr>
          <w:p>
            <w:pPr>
              <w:spacing w:after="0"/>
              <w:rPr>
                <w:sz w:val="8"/>
                <w:szCs w:val="8"/>
                <w:color w:val="auto"/>
              </w:rPr>
            </w:pP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w w:val="95"/>
              </w:rPr>
              <w:t>Barcroft Plaza</w:t>
            </w:r>
          </w:p>
        </w:tc>
        <w:tc>
          <w:tcPr>
            <w:tcW w:w="320" w:type="dxa"/>
            <w:vAlign w:val="bottom"/>
          </w:tcPr>
          <w:p>
            <w:pPr>
              <w:spacing w:after="0"/>
              <w:rPr>
                <w:sz w:val="12"/>
                <w:szCs w:val="12"/>
                <w:color w:val="auto"/>
              </w:rPr>
            </w:pP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w w:val="95"/>
              </w:rPr>
              <w:t>$  46,977</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115,000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46,000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4"/>
              </w:rPr>
              <w:t>Harris Teeter</w:t>
            </w:r>
          </w:p>
        </w:tc>
        <w:tc>
          <w:tcPr>
            <w:tcW w:w="222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Bethesda</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227,554</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536,000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180</w:t>
            </w: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40,000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7"/>
              </w:rPr>
              <w:t>Apple / Equinox / Multiple Restaurants</w:t>
            </w:r>
          </w:p>
        </w:tc>
      </w:tr>
      <w:tr>
        <w:trPr>
          <w:trHeight w:val="17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Row</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w w:val="93"/>
              </w:rPr>
              <w:t>Congressional</w:t>
            </w:r>
          </w:p>
        </w:tc>
        <w:tc>
          <w:tcPr>
            <w:tcW w:w="320" w:type="dxa"/>
            <w:vAlign w:val="bottom"/>
          </w:tcPr>
          <w:p>
            <w:pPr>
              <w:ind w:left="100"/>
              <w:spacing w:after="0" w:line="148" w:lineRule="exact"/>
              <w:rPr>
                <w:sz w:val="20"/>
                <w:szCs w:val="20"/>
                <w:color w:val="auto"/>
              </w:rPr>
            </w:pPr>
            <w:r>
              <w:rPr>
                <w:rFonts w:ascii="Arial" w:cs="Arial" w:eastAsia="Arial" w:hAnsi="Arial"/>
                <w:sz w:val="13"/>
                <w:szCs w:val="13"/>
                <w:color w:val="auto"/>
              </w:rPr>
              <w:t>(4)</w:t>
            </w: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102,528</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325,000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194</w:t>
            </w: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The Fresh</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w w:val="97"/>
              </w:rPr>
              <w:t>Buy Buy Baby / Saks Fifth Avenue Off</w:t>
            </w:r>
          </w:p>
        </w:tc>
      </w:tr>
      <w:tr>
        <w:trPr>
          <w:trHeight w:val="168"/>
        </w:trPr>
        <w:tc>
          <w:tcPr>
            <w:tcW w:w="840" w:type="dxa"/>
            <w:vAlign w:val="bottom"/>
            <w:gridSpan w:val="3"/>
          </w:tcPr>
          <w:p>
            <w:pPr>
              <w:ind w:left="40"/>
              <w:spacing w:after="0"/>
              <w:rPr>
                <w:sz w:val="20"/>
                <w:szCs w:val="20"/>
                <w:color w:val="auto"/>
              </w:rPr>
            </w:pPr>
            <w:r>
              <w:rPr>
                <w:rFonts w:ascii="Arial" w:cs="Arial" w:eastAsia="Arial" w:hAnsi="Arial"/>
                <w:sz w:val="13"/>
                <w:szCs w:val="13"/>
                <w:color w:val="auto"/>
              </w:rPr>
              <w:t>Plaza</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Market</w:t>
            </w:r>
          </w:p>
        </w:tc>
        <w:tc>
          <w:tcPr>
            <w:tcW w:w="2220" w:type="dxa"/>
            <w:vAlign w:val="bottom"/>
          </w:tcPr>
          <w:p>
            <w:pPr>
              <w:ind w:left="60"/>
              <w:spacing w:after="0"/>
              <w:rPr>
                <w:sz w:val="20"/>
                <w:szCs w:val="20"/>
                <w:color w:val="auto"/>
              </w:rPr>
            </w:pPr>
            <w:r>
              <w:rPr>
                <w:rFonts w:ascii="Arial" w:cs="Arial" w:eastAsia="Arial" w:hAnsi="Arial"/>
                <w:sz w:val="13"/>
                <w:szCs w:val="13"/>
                <w:color w:val="auto"/>
              </w:rPr>
              <w:t>5th / Container Store / Ulta</w:t>
            </w: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Courthouse</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6,608</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r>
      <w:tr>
        <w:trPr>
          <w:trHeight w:val="17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Fairfax</w:t>
            </w:r>
          </w:p>
        </w:tc>
        <w:tc>
          <w:tcPr>
            <w:tcW w:w="320" w:type="dxa"/>
            <w:vAlign w:val="bottom"/>
          </w:tcPr>
          <w:p>
            <w:pPr>
              <w:ind w:left="100"/>
              <w:spacing w:after="0" w:line="148" w:lineRule="exact"/>
              <w:rPr>
                <w:sz w:val="20"/>
                <w:szCs w:val="20"/>
                <w:color w:val="auto"/>
              </w:rPr>
            </w:pPr>
            <w:r>
              <w:rPr>
                <w:rFonts w:ascii="Arial" w:cs="Arial" w:eastAsia="Arial" w:hAnsi="Arial"/>
                <w:sz w:val="13"/>
                <w:szCs w:val="13"/>
                <w:color w:val="auto"/>
              </w:rPr>
              <w:t>(5)</w:t>
            </w: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21,604</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75,000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23,000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Aldi</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CVS / Planet Fitness</w:t>
            </w:r>
          </w:p>
        </w:tc>
      </w:tr>
      <w:tr>
        <w:trPr>
          <w:trHeight w:val="168"/>
        </w:trPr>
        <w:tc>
          <w:tcPr>
            <w:tcW w:w="840" w:type="dxa"/>
            <w:vAlign w:val="bottom"/>
            <w:gridSpan w:val="3"/>
          </w:tcPr>
          <w:p>
            <w:pPr>
              <w:ind w:left="40"/>
              <w:spacing w:after="0"/>
              <w:rPr>
                <w:sz w:val="20"/>
                <w:szCs w:val="20"/>
                <w:color w:val="auto"/>
              </w:rPr>
            </w:pPr>
            <w:r>
              <w:rPr>
                <w:rFonts w:ascii="Arial" w:cs="Arial" w:eastAsia="Arial" w:hAnsi="Arial"/>
                <w:sz w:val="13"/>
                <w:szCs w:val="13"/>
                <w:color w:val="auto"/>
              </w:rPr>
              <w:t>Junction</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Falls</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13,879</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144,000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51,000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Staples</w:t>
            </w:r>
          </w:p>
        </w:tc>
      </w:tr>
      <w:tr>
        <w:trPr>
          <w:trHeight w:val="135"/>
        </w:trPr>
        <w:tc>
          <w:tcPr>
            <w:tcW w:w="84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Plaza/Falls</w:t>
            </w:r>
          </w:p>
        </w:tc>
        <w:tc>
          <w:tcPr>
            <w:tcW w:w="32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r>
      <w:tr>
        <w:trPr>
          <w:trHeight w:val="17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Plaza-East</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w w:val="97"/>
              </w:rPr>
              <w:t>Federal Plaza</w:t>
            </w:r>
          </w:p>
        </w:tc>
        <w:tc>
          <w:tcPr>
            <w:tcW w:w="320" w:type="dxa"/>
            <w:vAlign w:val="bottom"/>
          </w:tcPr>
          <w:p>
            <w:pPr>
              <w:spacing w:after="0"/>
              <w:rPr>
                <w:sz w:val="12"/>
                <w:szCs w:val="12"/>
                <w:color w:val="auto"/>
              </w:rPr>
            </w:pP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70,183</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250,000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14,000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w w:val="90"/>
              </w:rPr>
              <w:t>TJ Maxx / Micro Center / Ross Dress For</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Less</w:t>
            </w: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Free State</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65,526</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264,000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73,000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4"/>
              </w:rPr>
              <w:t>TJ Maxx / Ross Dress For Less / Office</w:t>
            </w:r>
          </w:p>
        </w:tc>
      </w:tr>
      <w:tr>
        <w:trPr>
          <w:trHeight w:val="135"/>
        </w:trPr>
        <w:tc>
          <w:tcPr>
            <w:tcW w:w="84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Shopping</w:t>
            </w:r>
          </w:p>
        </w:tc>
        <w:tc>
          <w:tcPr>
            <w:tcW w:w="32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Depot</w:t>
            </w:r>
          </w:p>
        </w:tc>
      </w:tr>
      <w:tr>
        <w:trPr>
          <w:trHeight w:val="17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Friendship</w:t>
            </w:r>
          </w:p>
        </w:tc>
        <w:tc>
          <w:tcPr>
            <w:tcW w:w="320" w:type="dxa"/>
            <w:vAlign w:val="bottom"/>
          </w:tcPr>
          <w:p>
            <w:pPr>
              <w:spacing w:after="0"/>
              <w:rPr>
                <w:sz w:val="12"/>
                <w:szCs w:val="12"/>
                <w:color w:val="auto"/>
              </w:rPr>
            </w:pP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38,109</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119,000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Marshalls / Nordstrom Rack / DSW /</w:t>
            </w:r>
          </w:p>
        </w:tc>
      </w:tr>
      <w:tr>
        <w:trPr>
          <w:trHeight w:val="168"/>
        </w:trPr>
        <w:tc>
          <w:tcPr>
            <w:tcW w:w="840" w:type="dxa"/>
            <w:vAlign w:val="bottom"/>
            <w:gridSpan w:val="3"/>
          </w:tcPr>
          <w:p>
            <w:pPr>
              <w:ind w:left="40"/>
              <w:spacing w:after="0"/>
              <w:rPr>
                <w:sz w:val="20"/>
                <w:szCs w:val="20"/>
                <w:color w:val="auto"/>
              </w:rPr>
            </w:pPr>
            <w:r>
              <w:rPr>
                <w:rFonts w:ascii="Arial" w:cs="Arial" w:eastAsia="Arial" w:hAnsi="Arial"/>
                <w:sz w:val="13"/>
                <w:szCs w:val="13"/>
                <w:color w:val="auto"/>
              </w:rPr>
              <w:t>Center</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Maggiano's</w:t>
            </w: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Gaithersburg</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28,173</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208,000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8"/>
              </w:rPr>
              <w:t>Bed, Bath &amp; Beyond / Ross Dress For</w:t>
            </w:r>
          </w:p>
        </w:tc>
      </w:tr>
      <w:tr>
        <w:trPr>
          <w:trHeight w:val="17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Square</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Less / Ashley Furniture HomeStore</w:t>
            </w: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Graham Park</w:t>
            </w:r>
          </w:p>
        </w:tc>
        <w:tc>
          <w:tcPr>
            <w:tcW w:w="320" w:type="dxa"/>
            <w:vAlign w:val="bottom"/>
          </w:tcPr>
          <w:p>
            <w:pPr>
              <w:spacing w:after="0"/>
              <w:rPr>
                <w:sz w:val="12"/>
                <w:szCs w:val="12"/>
                <w:color w:val="auto"/>
              </w:rPr>
            </w:pP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35,963</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19</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158,000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840" w:type="dxa"/>
            <w:vAlign w:val="bottom"/>
            <w:gridSpan w:val="3"/>
          </w:tcPr>
          <w:p>
            <w:pPr>
              <w:ind w:left="40"/>
              <w:spacing w:after="0"/>
              <w:rPr>
                <w:sz w:val="20"/>
                <w:szCs w:val="20"/>
                <w:color w:val="auto"/>
              </w:rPr>
            </w:pPr>
            <w:r>
              <w:rPr>
                <w:rFonts w:ascii="Arial" w:cs="Arial" w:eastAsia="Arial" w:hAnsi="Arial"/>
                <w:sz w:val="13"/>
                <w:szCs w:val="13"/>
                <w:color w:val="auto"/>
              </w:rPr>
              <w:t>Plaza</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Idylwood</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17,094</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30,000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Whole Foods</w:t>
            </w:r>
          </w:p>
        </w:tc>
        <w:tc>
          <w:tcPr>
            <w:tcW w:w="2220" w:type="dxa"/>
            <w:vAlign w:val="bottom"/>
            <w:shd w:val="clear" w:color="auto" w:fill="CCEEFF"/>
          </w:tcPr>
          <w:p>
            <w:pPr>
              <w:spacing w:after="0"/>
              <w:rPr>
                <w:sz w:val="13"/>
                <w:szCs w:val="13"/>
                <w:color w:val="auto"/>
              </w:rPr>
            </w:pPr>
          </w:p>
        </w:tc>
      </w:tr>
      <w:tr>
        <w:trPr>
          <w:trHeight w:val="17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Plaza</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Laurel</w:t>
            </w:r>
          </w:p>
        </w:tc>
        <w:tc>
          <w:tcPr>
            <w:tcW w:w="320" w:type="dxa"/>
            <w:vAlign w:val="bottom"/>
          </w:tcPr>
          <w:p>
            <w:pPr>
              <w:spacing w:after="0"/>
              <w:rPr>
                <w:sz w:val="12"/>
                <w:szCs w:val="12"/>
                <w:color w:val="auto"/>
              </w:rPr>
            </w:pP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57,887</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26</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389,000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61,000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Marshalls / L.A. Fitness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Leesburg</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36,876</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236,000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Petsmart / Gold's Gym / Office Depot</w:t>
            </w:r>
          </w:p>
        </w:tc>
      </w:tr>
      <w:tr>
        <w:trPr>
          <w:trHeight w:val="17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Plaza</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Montrose</w:t>
            </w:r>
          </w:p>
        </w:tc>
        <w:tc>
          <w:tcPr>
            <w:tcW w:w="320" w:type="dxa"/>
            <w:vAlign w:val="bottom"/>
          </w:tcPr>
          <w:p>
            <w:pPr>
              <w:ind w:left="100"/>
              <w:spacing w:after="0" w:line="148" w:lineRule="exact"/>
              <w:rPr>
                <w:sz w:val="20"/>
                <w:szCs w:val="20"/>
                <w:color w:val="auto"/>
              </w:rPr>
            </w:pPr>
            <w:r>
              <w:rPr>
                <w:rFonts w:ascii="Arial" w:cs="Arial" w:eastAsia="Arial" w:hAnsi="Arial"/>
                <w:sz w:val="13"/>
                <w:szCs w:val="13"/>
                <w:color w:val="auto"/>
              </w:rPr>
              <w:t>(4)</w:t>
            </w: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162,014</w:t>
            </w:r>
          </w:p>
        </w:tc>
        <w:tc>
          <w:tcPr>
            <w:tcW w:w="1040" w:type="dxa"/>
            <w:vAlign w:val="bottom"/>
          </w:tcPr>
          <w:p>
            <w:pPr>
              <w:jc w:val="right"/>
              <w:ind w:right="98"/>
              <w:spacing w:after="0" w:line="148" w:lineRule="exact"/>
              <w:rPr>
                <w:sz w:val="20"/>
                <w:szCs w:val="20"/>
                <w:color w:val="auto"/>
              </w:rPr>
            </w:pPr>
            <w:r>
              <w:rPr>
                <w:rFonts w:ascii="Arial" w:cs="Arial" w:eastAsia="Arial" w:hAnsi="Arial"/>
                <w:sz w:val="13"/>
                <w:szCs w:val="13"/>
                <w:color w:val="auto"/>
              </w:rPr>
              <w:t>68,863</w:t>
            </w: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36</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368,000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89%</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73,000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w w:val="93"/>
              </w:rPr>
              <w:t>Marshalls / Old Navy / Barnes &amp; Noble /</w:t>
            </w:r>
          </w:p>
        </w:tc>
      </w:tr>
      <w:tr>
        <w:trPr>
          <w:trHeight w:val="168"/>
        </w:trPr>
        <w:tc>
          <w:tcPr>
            <w:tcW w:w="840" w:type="dxa"/>
            <w:vAlign w:val="bottom"/>
            <w:gridSpan w:val="3"/>
          </w:tcPr>
          <w:p>
            <w:pPr>
              <w:ind w:left="40"/>
              <w:spacing w:after="0"/>
              <w:rPr>
                <w:sz w:val="20"/>
                <w:szCs w:val="20"/>
                <w:color w:val="auto"/>
              </w:rPr>
            </w:pPr>
            <w:r>
              <w:rPr>
                <w:rFonts w:ascii="Arial" w:cs="Arial" w:eastAsia="Arial" w:hAnsi="Arial"/>
                <w:sz w:val="13"/>
                <w:szCs w:val="13"/>
                <w:color w:val="auto"/>
              </w:rPr>
              <w:t>Crossing</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Bob's Discount Furniture</w:t>
            </w: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Mount</w:t>
            </w:r>
          </w:p>
        </w:tc>
        <w:tc>
          <w:tcPr>
            <w:tcW w:w="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(7)</w:t>
            </w: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85,186</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570,000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62,000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Shoppers</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TJ Maxx / Home Depot / Bed, Bath &amp;</w:t>
            </w:r>
          </w:p>
        </w:tc>
      </w:tr>
      <w:tr>
        <w:trPr>
          <w:trHeight w:val="135"/>
        </w:trPr>
        <w:tc>
          <w:tcPr>
            <w:tcW w:w="84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w w:val="98"/>
              </w:rPr>
              <w:t>Vernon/South</w:t>
            </w:r>
          </w:p>
        </w:tc>
        <w:tc>
          <w:tcPr>
            <w:tcW w:w="32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Food</w:t>
            </w:r>
          </w:p>
        </w:tc>
        <w:tc>
          <w:tcPr>
            <w:tcW w:w="22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Beyond / Results Fitness</w:t>
            </w:r>
          </w:p>
        </w:tc>
      </w:tr>
      <w:tr>
        <w:trPr>
          <w:trHeight w:val="135"/>
        </w:trPr>
        <w:tc>
          <w:tcPr>
            <w:tcW w:w="84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Valley/7770</w:t>
            </w: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Warehouse</w:t>
            </w:r>
          </w:p>
        </w:tc>
        <w:tc>
          <w:tcPr>
            <w:tcW w:w="2220" w:type="dxa"/>
            <w:vAlign w:val="bottom"/>
            <w:shd w:val="clear" w:color="auto" w:fill="CCEEFF"/>
          </w:tcPr>
          <w:p>
            <w:pPr>
              <w:spacing w:after="0"/>
              <w:rPr>
                <w:sz w:val="11"/>
                <w:szCs w:val="11"/>
                <w:color w:val="auto"/>
              </w:rPr>
            </w:pPr>
          </w:p>
        </w:tc>
      </w:tr>
      <w:tr>
        <w:trPr>
          <w:trHeight w:val="135"/>
        </w:trPr>
        <w:tc>
          <w:tcPr>
            <w:tcW w:w="84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Richmond</w:t>
            </w: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r>
      <w:tr>
        <w:trPr>
          <w:trHeight w:val="17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Hwy</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Old Keene</w:t>
            </w:r>
          </w:p>
        </w:tc>
        <w:tc>
          <w:tcPr>
            <w:tcW w:w="320" w:type="dxa"/>
            <w:vAlign w:val="bottom"/>
          </w:tcPr>
          <w:p>
            <w:pPr>
              <w:spacing w:after="0"/>
              <w:rPr>
                <w:sz w:val="12"/>
                <w:szCs w:val="12"/>
                <w:color w:val="auto"/>
              </w:rPr>
            </w:pP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9,189</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92,000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24,000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3"/>
              </w:rPr>
              <w:t>Whole Foods</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Walgreens / Planet Fitness</w:t>
            </w:r>
          </w:p>
        </w:tc>
      </w:tr>
      <w:tr>
        <w:trPr>
          <w:trHeight w:val="168"/>
        </w:trPr>
        <w:tc>
          <w:tcPr>
            <w:tcW w:w="840" w:type="dxa"/>
            <w:vAlign w:val="bottom"/>
            <w:gridSpan w:val="3"/>
          </w:tcPr>
          <w:p>
            <w:pPr>
              <w:ind w:left="40"/>
              <w:spacing w:after="0"/>
              <w:rPr>
                <w:sz w:val="20"/>
                <w:szCs w:val="20"/>
                <w:color w:val="auto"/>
              </w:rPr>
            </w:pPr>
            <w:r>
              <w:rPr>
                <w:rFonts w:ascii="Arial" w:cs="Arial" w:eastAsia="Arial" w:hAnsi="Arial"/>
                <w:sz w:val="13"/>
                <w:szCs w:val="13"/>
                <w:color w:val="auto"/>
              </w:rPr>
              <w:t>Mill</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Pan Am</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29,423</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226,000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65,000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Safeway</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Micro Center / CVS / Michaels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Pentagon</w:t>
            </w:r>
          </w:p>
        </w:tc>
        <w:tc>
          <w:tcPr>
            <w:tcW w:w="320" w:type="dxa"/>
            <w:vAlign w:val="bottom"/>
          </w:tcPr>
          <w:p>
            <w:pPr>
              <w:spacing w:after="0"/>
              <w:rPr>
                <w:sz w:val="12"/>
                <w:szCs w:val="12"/>
                <w:color w:val="auto"/>
              </w:rPr>
            </w:pP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106,632</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298,000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4"/>
              </w:rPr>
              <w:t>Harris Teeter</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w w:val="98"/>
              </w:rPr>
              <w:t>TJ Maxx / Bed, Bath &amp; Beyond / DSW</w:t>
            </w:r>
          </w:p>
        </w:tc>
      </w:tr>
      <w:tr>
        <w:trPr>
          <w:trHeight w:val="168"/>
        </w:trPr>
        <w:tc>
          <w:tcPr>
            <w:tcW w:w="840" w:type="dxa"/>
            <w:vAlign w:val="bottom"/>
            <w:gridSpan w:val="3"/>
          </w:tcPr>
          <w:p>
            <w:pPr>
              <w:ind w:left="40"/>
              <w:spacing w:after="0"/>
              <w:rPr>
                <w:sz w:val="20"/>
                <w:szCs w:val="20"/>
                <w:color w:val="auto"/>
              </w:rPr>
            </w:pPr>
            <w:r>
              <w:rPr>
                <w:rFonts w:ascii="Arial" w:cs="Arial" w:eastAsia="Arial" w:hAnsi="Arial"/>
                <w:sz w:val="13"/>
                <w:szCs w:val="13"/>
                <w:color w:val="auto"/>
              </w:rPr>
              <w:t>Row</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Pike &amp; Rose</w:t>
            </w:r>
          </w:p>
        </w:tc>
        <w:tc>
          <w:tcPr>
            <w:tcW w:w="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(6)</w:t>
            </w: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572,215</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443,000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765</w:t>
            </w: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iPic Theater / Porsche / H &amp; M / REI /</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Pinstripes / Multiple Restaurants</w:t>
            </w: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Pike 7 Plaza</w:t>
            </w:r>
          </w:p>
        </w:tc>
        <w:tc>
          <w:tcPr>
            <w:tcW w:w="320" w:type="dxa"/>
            <w:vAlign w:val="bottom"/>
          </w:tcPr>
          <w:p>
            <w:pPr>
              <w:spacing w:after="0"/>
              <w:rPr>
                <w:sz w:val="12"/>
                <w:szCs w:val="12"/>
                <w:color w:val="auto"/>
              </w:rPr>
            </w:pP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48,215</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169,000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TJ Maxx / DSW / Crunch Fitness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Staples</w:t>
            </w: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Plaza del</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46,525</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117,000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18,000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Aldi</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L.A. Fitness</w:t>
            </w:r>
          </w:p>
        </w:tc>
      </w:tr>
      <w:tr>
        <w:trPr>
          <w:trHeight w:val="17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Mercado</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Quince</w:t>
            </w:r>
          </w:p>
        </w:tc>
        <w:tc>
          <w:tcPr>
            <w:tcW w:w="320" w:type="dxa"/>
            <w:vAlign w:val="bottom"/>
          </w:tcPr>
          <w:p>
            <w:pPr>
              <w:spacing w:after="0"/>
              <w:rPr>
                <w:sz w:val="12"/>
                <w:szCs w:val="12"/>
                <w:color w:val="auto"/>
              </w:rPr>
            </w:pP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39,378</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16</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267,000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19,000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Aldi</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HomeGoods / L.A. Fitness / Staples</w:t>
            </w:r>
          </w:p>
        </w:tc>
      </w:tr>
      <w:tr>
        <w:trPr>
          <w:trHeight w:val="168"/>
        </w:trPr>
        <w:tc>
          <w:tcPr>
            <w:tcW w:w="840" w:type="dxa"/>
            <w:vAlign w:val="bottom"/>
            <w:gridSpan w:val="3"/>
          </w:tcPr>
          <w:p>
            <w:pPr>
              <w:ind w:left="40"/>
              <w:spacing w:after="0"/>
              <w:rPr>
                <w:sz w:val="20"/>
                <w:szCs w:val="20"/>
                <w:color w:val="auto"/>
              </w:rPr>
            </w:pPr>
            <w:r>
              <w:rPr>
                <w:rFonts w:ascii="Arial" w:cs="Arial" w:eastAsia="Arial" w:hAnsi="Arial"/>
                <w:sz w:val="13"/>
                <w:szCs w:val="13"/>
                <w:color w:val="auto"/>
              </w:rPr>
              <w:t>Orchard</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Rockville</w:t>
            </w:r>
          </w:p>
        </w:tc>
        <w:tc>
          <w:tcPr>
            <w:tcW w:w="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(8)</w:t>
            </w: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52,031</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4,431</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186,000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25,000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Dawson's</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1"/>
              </w:rPr>
              <w:t>CVS / Gold's Gym / Multiple Restaurants</w:t>
            </w:r>
          </w:p>
        </w:tc>
      </w:tr>
      <w:tr>
        <w:trPr>
          <w:trHeight w:val="17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Town Square</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w:t>
            </w:r>
          </w:p>
        </w:tc>
        <w:tc>
          <w:tcPr>
            <w:tcW w:w="2220" w:type="dxa"/>
            <w:vAlign w:val="bottom"/>
            <w:shd w:val="clear" w:color="auto" w:fill="CCEEFF"/>
          </w:tcPr>
          <w:p>
            <w:pPr>
              <w:spacing w:after="0"/>
              <w:rPr>
                <w:sz w:val="15"/>
                <w:szCs w:val="15"/>
                <w:color w:val="auto"/>
              </w:rPr>
            </w:pP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Rollingwood</w:t>
            </w:r>
          </w:p>
        </w:tc>
        <w:tc>
          <w:tcPr>
            <w:tcW w:w="320" w:type="dxa"/>
            <w:vAlign w:val="bottom"/>
          </w:tcPr>
          <w:p>
            <w:pPr>
              <w:spacing w:after="0"/>
              <w:rPr>
                <w:sz w:val="12"/>
                <w:szCs w:val="12"/>
                <w:color w:val="auto"/>
              </w:rPr>
            </w:pP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11,116</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N/A</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282</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68"/>
        </w:trPr>
        <w:tc>
          <w:tcPr>
            <w:tcW w:w="840" w:type="dxa"/>
            <w:vAlign w:val="bottom"/>
            <w:gridSpan w:val="3"/>
          </w:tcPr>
          <w:p>
            <w:pPr>
              <w:ind w:left="40"/>
              <w:spacing w:after="0"/>
              <w:rPr>
                <w:sz w:val="20"/>
                <w:szCs w:val="20"/>
                <w:color w:val="auto"/>
              </w:rPr>
            </w:pPr>
            <w:r>
              <w:rPr>
                <w:rFonts w:ascii="Arial" w:cs="Arial" w:eastAsia="Arial" w:hAnsi="Arial"/>
                <w:sz w:val="13"/>
                <w:szCs w:val="13"/>
                <w:color w:val="auto"/>
              </w:rPr>
              <w:t>Apartments</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9"/>
              </w:rPr>
              <w:t>Sam's Park &amp;</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13,881</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Target</w:t>
            </w:r>
          </w:p>
        </w:tc>
      </w:tr>
      <w:tr>
        <w:trPr>
          <w:trHeight w:val="17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Shop</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Tower</w:t>
            </w:r>
          </w:p>
        </w:tc>
        <w:tc>
          <w:tcPr>
            <w:tcW w:w="320" w:type="dxa"/>
            <w:vAlign w:val="bottom"/>
          </w:tcPr>
          <w:p>
            <w:pPr>
              <w:spacing w:after="0"/>
              <w:rPr>
                <w:sz w:val="12"/>
                <w:szCs w:val="12"/>
                <w:color w:val="auto"/>
              </w:rPr>
            </w:pP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22,112</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112,000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26,000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L.A. Mart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Talbots / Total Wine &amp; More</w:t>
            </w:r>
          </w:p>
        </w:tc>
      </w:tr>
      <w:tr>
        <w:trPr>
          <w:trHeight w:val="135"/>
        </w:trPr>
        <w:tc>
          <w:tcPr>
            <w:tcW w:w="84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Shopping</w:t>
            </w:r>
          </w:p>
        </w:tc>
        <w:tc>
          <w:tcPr>
            <w:tcW w:w="320" w:type="dxa"/>
            <w:vAlign w:val="bottom"/>
          </w:tcPr>
          <w:p>
            <w:pPr>
              <w:spacing w:after="0"/>
              <w:rPr>
                <w:sz w:val="11"/>
                <w:szCs w:val="11"/>
                <w:color w:val="auto"/>
              </w:rPr>
            </w:pPr>
          </w:p>
        </w:tc>
        <w:tc>
          <w:tcPr>
            <w:tcW w:w="24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MD-WV</w:t>
            </w: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68"/>
        </w:trPr>
        <w:tc>
          <w:tcPr>
            <w:tcW w:w="840" w:type="dxa"/>
            <w:vAlign w:val="bottom"/>
            <w:gridSpan w:val="3"/>
          </w:tcPr>
          <w:p>
            <w:pPr>
              <w:ind w:left="40"/>
              <w:spacing w:after="0"/>
              <w:rPr>
                <w:sz w:val="20"/>
                <w:szCs w:val="20"/>
                <w:color w:val="auto"/>
              </w:rPr>
            </w:pPr>
            <w:r>
              <w:rPr>
                <w:rFonts w:ascii="Arial" w:cs="Arial" w:eastAsia="Arial" w:hAnsi="Arial"/>
                <w:sz w:val="13"/>
                <w:szCs w:val="13"/>
                <w:color w:val="auto"/>
              </w:rPr>
              <w:t>Center</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Tyson's</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4,709</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11,000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Trader Joe's</w:t>
            </w:r>
          </w:p>
        </w:tc>
        <w:tc>
          <w:tcPr>
            <w:tcW w:w="2220" w:type="dxa"/>
            <w:vAlign w:val="bottom"/>
            <w:shd w:val="clear" w:color="auto" w:fill="CCEEFF"/>
          </w:tcPr>
          <w:p>
            <w:pPr>
              <w:spacing w:after="0"/>
              <w:rPr>
                <w:sz w:val="13"/>
                <w:szCs w:val="13"/>
                <w:color w:val="auto"/>
              </w:rPr>
            </w:pPr>
          </w:p>
        </w:tc>
      </w:tr>
      <w:tr>
        <w:trPr>
          <w:trHeight w:val="17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Station</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Village at</w:t>
            </w:r>
          </w:p>
        </w:tc>
        <w:tc>
          <w:tcPr>
            <w:tcW w:w="320" w:type="dxa"/>
            <w:vAlign w:val="bottom"/>
          </w:tcPr>
          <w:p>
            <w:pPr>
              <w:ind w:left="100"/>
              <w:spacing w:after="0" w:line="148" w:lineRule="exact"/>
              <w:rPr>
                <w:sz w:val="20"/>
                <w:szCs w:val="20"/>
                <w:color w:val="auto"/>
              </w:rPr>
            </w:pPr>
            <w:r>
              <w:rPr>
                <w:rFonts w:ascii="Arial" w:cs="Arial" w:eastAsia="Arial" w:hAnsi="Arial"/>
                <w:sz w:val="13"/>
                <w:szCs w:val="13"/>
                <w:color w:val="auto"/>
              </w:rPr>
              <w:t>(8)</w:t>
            </w:r>
          </w:p>
        </w:tc>
        <w:tc>
          <w:tcPr>
            <w:tcW w:w="242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5"/>
              </w:rPr>
              <w:t>Washington-Arlington-Alexandria, DC-VA-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66,842</w:t>
            </w:r>
          </w:p>
        </w:tc>
        <w:tc>
          <w:tcPr>
            <w:tcW w:w="1040" w:type="dxa"/>
            <w:vAlign w:val="bottom"/>
          </w:tcPr>
          <w:p>
            <w:pPr>
              <w:jc w:val="right"/>
              <w:ind w:right="98"/>
              <w:spacing w:after="0" w:line="148" w:lineRule="exact"/>
              <w:rPr>
                <w:sz w:val="20"/>
                <w:szCs w:val="20"/>
                <w:color w:val="auto"/>
              </w:rPr>
            </w:pPr>
            <w:r>
              <w:rPr>
                <w:rFonts w:ascii="Arial" w:cs="Arial" w:eastAsia="Arial" w:hAnsi="Arial"/>
                <w:sz w:val="13"/>
                <w:szCs w:val="13"/>
                <w:color w:val="auto"/>
              </w:rPr>
              <w:t>6,719</w:t>
            </w: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16</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260,000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4"/>
              </w:rPr>
              <w:t>Harris Teeter</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AMC / Carlyle Grand Café</w:t>
            </w:r>
          </w:p>
        </w:tc>
      </w:tr>
      <w:tr>
        <w:trPr>
          <w:trHeight w:val="168"/>
        </w:trPr>
        <w:tc>
          <w:tcPr>
            <w:tcW w:w="840" w:type="dxa"/>
            <w:vAlign w:val="bottom"/>
            <w:gridSpan w:val="3"/>
          </w:tcPr>
          <w:p>
            <w:pPr>
              <w:ind w:left="40"/>
              <w:spacing w:after="0"/>
              <w:rPr>
                <w:sz w:val="20"/>
                <w:szCs w:val="20"/>
                <w:color w:val="auto"/>
              </w:rPr>
            </w:pPr>
            <w:r>
              <w:rPr>
                <w:rFonts w:ascii="Arial" w:cs="Arial" w:eastAsia="Arial" w:hAnsi="Arial"/>
                <w:sz w:val="13"/>
                <w:szCs w:val="13"/>
                <w:color w:val="auto"/>
              </w:rPr>
              <w:t>Shirlington</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Wildwood</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5"/>
              </w:rPr>
              <w:t>Washington-Arlington-Alexandria, DC-VA-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24,883</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83,000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20,000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Balducci's</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Borders>
              <w:bottom w:val="single" w:sz="8" w:color="auto"/>
            </w:tcBorders>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 Washington Metropolitan Area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2,063,312</w:t>
            </w:r>
          </w:p>
        </w:tc>
        <w:tc>
          <w:tcPr>
            <w:tcW w:w="1040" w:type="dxa"/>
            <w:vAlign w:val="bottom"/>
          </w:tcPr>
          <w:p>
            <w:pPr>
              <w:spacing w:after="0"/>
              <w:rPr>
                <w:sz w:val="14"/>
                <w:szCs w:val="14"/>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458</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w w:val="93"/>
              </w:rPr>
              <w:t>6,221,000</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94%</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20" w:type="dxa"/>
            <w:vAlign w:val="bottom"/>
          </w:tcPr>
          <w:p>
            <w:pPr>
              <w:spacing w:after="0"/>
              <w:rPr>
                <w:sz w:val="7"/>
                <w:szCs w:val="7"/>
                <w:color w:val="auto"/>
              </w:rPr>
            </w:pPr>
          </w:p>
        </w:tc>
      </w:tr>
      <w:tr>
        <w:trPr>
          <w:trHeight w:val="270"/>
        </w:trPr>
        <w:tc>
          <w:tcPr>
            <w:tcW w:w="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r>
      <w:tr>
        <w:trPr>
          <w:trHeight w:val="149"/>
        </w:trPr>
        <w:tc>
          <w:tcPr>
            <w:tcW w:w="4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b w:val="1"/>
                <w:bCs w:val="1"/>
                <w:color w:val="auto"/>
              </w:rPr>
              <w:t>California</w:t>
            </w: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20" w:type="dxa"/>
            <w:vAlign w:val="bottom"/>
          </w:tcPr>
          <w:p>
            <w:pPr>
              <w:spacing w:after="0"/>
              <w:rPr>
                <w:sz w:val="8"/>
                <w:szCs w:val="8"/>
                <w:color w:val="auto"/>
              </w:rPr>
            </w:pPr>
          </w:p>
        </w:tc>
      </w:tr>
      <w:tr>
        <w:trPr>
          <w:trHeight w:val="148"/>
        </w:trPr>
        <w:tc>
          <w:tcPr>
            <w:tcW w:w="84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Azalea</w:t>
            </w:r>
          </w:p>
        </w:tc>
        <w:tc>
          <w:tcPr>
            <w:tcW w:w="2740" w:type="dxa"/>
            <w:vAlign w:val="bottom"/>
            <w:gridSpan w:val="3"/>
            <w:shd w:val="clear" w:color="auto" w:fill="CCEEFF"/>
          </w:tcPr>
          <w:p>
            <w:pPr>
              <w:ind w:left="100"/>
              <w:spacing w:after="0" w:line="148" w:lineRule="exact"/>
              <w:rPr>
                <w:sz w:val="20"/>
                <w:szCs w:val="20"/>
                <w:color w:val="auto"/>
              </w:rPr>
            </w:pPr>
            <w:r>
              <w:rPr>
                <w:rFonts w:ascii="Arial" w:cs="Arial" w:eastAsia="Arial" w:hAnsi="Arial"/>
                <w:sz w:val="13"/>
                <w:szCs w:val="13"/>
                <w:color w:val="auto"/>
              </w:rPr>
              <w:t>(4)   Los Angeles-Long Beach-Anaheim, CA</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107,451</w:t>
            </w:r>
          </w:p>
        </w:tc>
        <w:tc>
          <w:tcPr>
            <w:tcW w:w="1040" w:type="dxa"/>
            <w:vAlign w:val="bottom"/>
            <w:shd w:val="clear" w:color="auto" w:fill="CCEEFF"/>
          </w:tcPr>
          <w:p>
            <w:pPr>
              <w:jc w:val="right"/>
              <w:ind w:right="98"/>
              <w:spacing w:after="0" w:line="148" w:lineRule="exact"/>
              <w:rPr>
                <w:sz w:val="20"/>
                <w:szCs w:val="20"/>
                <w:color w:val="auto"/>
              </w:rPr>
            </w:pPr>
            <w:r>
              <w:rPr>
                <w:rFonts w:ascii="Arial" w:cs="Arial" w:eastAsia="Arial" w:hAnsi="Arial"/>
                <w:sz w:val="13"/>
                <w:szCs w:val="13"/>
                <w:color w:val="auto"/>
              </w:rPr>
              <w:t>40,000</w:t>
            </w:r>
          </w:p>
        </w:tc>
        <w:tc>
          <w:tcPr>
            <w:tcW w:w="4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223,000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5"/>
              </w:rPr>
              <w:t>Marshalls / Ross Dress for Less / Ulta /</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148"/>
        </w:trPr>
        <w:tc>
          <w:tcPr>
            <w:tcW w:w="8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Bell Gardens</w:t>
            </w:r>
          </w:p>
        </w:tc>
        <w:tc>
          <w:tcPr>
            <w:tcW w:w="2740" w:type="dxa"/>
            <w:vAlign w:val="bottom"/>
            <w:gridSpan w:val="3"/>
          </w:tcPr>
          <w:p>
            <w:pPr>
              <w:ind w:left="100"/>
              <w:spacing w:after="0" w:line="148" w:lineRule="exact"/>
              <w:rPr>
                <w:sz w:val="20"/>
                <w:szCs w:val="20"/>
                <w:color w:val="auto"/>
              </w:rPr>
            </w:pPr>
            <w:r>
              <w:rPr>
                <w:rFonts w:ascii="Arial" w:cs="Arial" w:eastAsia="Arial" w:hAnsi="Arial"/>
                <w:sz w:val="13"/>
                <w:szCs w:val="13"/>
                <w:color w:val="auto"/>
              </w:rPr>
              <w:t>(4)   Los Angeles-Long Beach-Anaheim, CA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110,531</w:t>
            </w:r>
          </w:p>
        </w:tc>
        <w:tc>
          <w:tcPr>
            <w:tcW w:w="1040" w:type="dxa"/>
            <w:vAlign w:val="bottom"/>
          </w:tcPr>
          <w:p>
            <w:pPr>
              <w:jc w:val="right"/>
              <w:ind w:right="98"/>
              <w:spacing w:after="0" w:line="148" w:lineRule="exact"/>
              <w:rPr>
                <w:sz w:val="20"/>
                <w:szCs w:val="20"/>
                <w:color w:val="auto"/>
              </w:rPr>
            </w:pPr>
            <w:r>
              <w:rPr>
                <w:rFonts w:ascii="Arial" w:cs="Arial" w:eastAsia="Arial" w:hAnsi="Arial"/>
                <w:sz w:val="13"/>
                <w:szCs w:val="13"/>
                <w:color w:val="auto"/>
              </w:rPr>
              <w:t>12,872</w:t>
            </w: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32</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330,000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67,000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Food 4 Less</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w w:val="91"/>
              </w:rPr>
              <w:t>Marshalls / Ross Dress for Less / Petco /</w:t>
            </w:r>
          </w:p>
        </w:tc>
      </w:tr>
      <w:tr>
        <w:trPr>
          <w:trHeight w:val="160"/>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Bob's Discount Furniture</w:t>
            </w: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47" w:right="239" w:bottom="1440" w:gutter="0" w:footer="0" w:header="0"/>
          <w:type w:val="continuous"/>
        </w:sectPr>
      </w:pPr>
    </w:p>
    <w:bookmarkStart w:id="23" w:name="page24"/>
    <w:bookmarkEnd w:id="23"/>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7"/>
              </w:rPr>
              <w:t>Real</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Mortgage/Finance</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17"/>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3"/>
                <w:szCs w:val="13"/>
                <w:b w:val="1"/>
                <w:bCs w:val="1"/>
                <w:color w:val="auto"/>
              </w:rPr>
              <w:t>Grocery</w:t>
            </w:r>
          </w:p>
        </w:tc>
        <w:tc>
          <w:tcPr>
            <w:tcW w:w="84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Property</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Lease Liabilities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Leased</w:t>
            </w: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Anchor</w:t>
            </w:r>
          </w:p>
        </w:tc>
        <w:tc>
          <w:tcPr>
            <w:tcW w:w="84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20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Name</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7"/>
              </w:rPr>
              <w:t>Acreage</w:t>
            </w: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GLA (3)</w:t>
            </w: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(3)</w:t>
            </w: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4"/>
              </w:rPr>
              <w:t>GLA</w:t>
            </w: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2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104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48"/>
        </w:trPr>
        <w:tc>
          <w:tcPr>
            <w:tcW w:w="7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Colorado</w:t>
            </w:r>
          </w:p>
        </w:tc>
        <w:tc>
          <w:tcPr>
            <w:tcW w:w="42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Los Angeles-Long Beach-Anaheim, CA</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19,556</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62,000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12</w:t>
            </w: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Pottery Barn / Banana Republic</w:t>
            </w:r>
          </w:p>
        </w:tc>
      </w:tr>
      <w:tr>
        <w:trPr>
          <w:trHeight w:val="17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Blvd</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48"/>
        </w:trPr>
        <w:tc>
          <w:tcPr>
            <w:tcW w:w="78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1"/>
              </w:rPr>
              <w:t>Crow Canyon</w:t>
            </w:r>
          </w:p>
        </w:tc>
        <w:tc>
          <w:tcPr>
            <w:tcW w:w="42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San Francisco-Oakland-Hayward, CA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90,033</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241,000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85%</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32,000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Sprouts</w:t>
            </w:r>
          </w:p>
        </w:tc>
        <w:tc>
          <w:tcPr>
            <w:tcW w:w="2200" w:type="dxa"/>
            <w:vAlign w:val="bottom"/>
          </w:tcPr>
          <w:p>
            <w:pPr>
              <w:ind w:left="40"/>
              <w:spacing w:after="0" w:line="148" w:lineRule="exact"/>
              <w:rPr>
                <w:sz w:val="20"/>
                <w:szCs w:val="20"/>
                <w:color w:val="auto"/>
              </w:rPr>
            </w:pPr>
            <w:r>
              <w:rPr>
                <w:rFonts w:ascii="Arial" w:cs="Arial" w:eastAsia="Arial" w:hAnsi="Arial"/>
                <w:sz w:val="13"/>
                <w:szCs w:val="13"/>
                <w:color w:val="auto"/>
              </w:rPr>
              <w:t>Rite Aid / Total Wine &amp; More</w:t>
            </w:r>
          </w:p>
        </w:tc>
      </w:tr>
      <w:tr>
        <w:trPr>
          <w:trHeight w:val="168"/>
        </w:trPr>
        <w:tc>
          <w:tcPr>
            <w:tcW w:w="780" w:type="dxa"/>
            <w:vAlign w:val="bottom"/>
            <w:gridSpan w:val="2"/>
          </w:tcPr>
          <w:p>
            <w:pPr>
              <w:ind w:left="40"/>
              <w:spacing w:after="0"/>
              <w:rPr>
                <w:sz w:val="20"/>
                <w:szCs w:val="20"/>
                <w:color w:val="auto"/>
              </w:rPr>
            </w:pPr>
            <w:r>
              <w:rPr>
                <w:rFonts w:ascii="Arial" w:cs="Arial" w:eastAsia="Arial" w:hAnsi="Arial"/>
                <w:sz w:val="13"/>
                <w:szCs w:val="13"/>
                <w:color w:val="auto"/>
              </w:rPr>
              <w:t>Commons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East Bay</w:t>
            </w:r>
          </w:p>
        </w:tc>
        <w:tc>
          <w:tcPr>
            <w:tcW w:w="42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San Francisco-Oakland-Hayward, CA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179,040</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441,000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59,000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Pak-N-Save</w:t>
            </w: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4"/>
              </w:rPr>
              <w:t>Home Depot / Target / Nordstrom Rack</w:t>
            </w:r>
          </w:p>
        </w:tc>
      </w:tr>
      <w:tr>
        <w:trPr>
          <w:trHeight w:val="17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Bridge</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48"/>
        </w:trPr>
        <w:tc>
          <w:tcPr>
            <w:tcW w:w="7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Escondido</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87"/>
              </w:rPr>
              <w:t>(4)</w:t>
            </w: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San Diego-Carlsbad, CA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51,412</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298,000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tcPr>
          <w:p>
            <w:pPr>
              <w:ind w:left="40"/>
              <w:spacing w:after="0" w:line="148" w:lineRule="exact"/>
              <w:rPr>
                <w:sz w:val="20"/>
                <w:szCs w:val="20"/>
                <w:color w:val="auto"/>
              </w:rPr>
            </w:pPr>
            <w:r>
              <w:rPr>
                <w:rFonts w:ascii="Arial" w:cs="Arial" w:eastAsia="Arial" w:hAnsi="Arial"/>
                <w:sz w:val="13"/>
                <w:szCs w:val="13"/>
                <w:color w:val="auto"/>
                <w:w w:val="93"/>
              </w:rPr>
              <w:t>TJ Maxx / Dick’s Sporting Goods / Ross</w:t>
            </w:r>
          </w:p>
        </w:tc>
      </w:tr>
      <w:tr>
        <w:trPr>
          <w:trHeight w:val="168"/>
        </w:trPr>
        <w:tc>
          <w:tcPr>
            <w:tcW w:w="780" w:type="dxa"/>
            <w:vAlign w:val="bottom"/>
            <w:gridSpan w:val="2"/>
          </w:tcPr>
          <w:p>
            <w:pPr>
              <w:ind w:left="40"/>
              <w:spacing w:after="0"/>
              <w:rPr>
                <w:sz w:val="20"/>
                <w:szCs w:val="20"/>
                <w:color w:val="auto"/>
              </w:rPr>
            </w:pPr>
            <w:r>
              <w:rPr>
                <w:rFonts w:ascii="Arial" w:cs="Arial" w:eastAsia="Arial" w:hAnsi="Arial"/>
                <w:sz w:val="13"/>
                <w:szCs w:val="13"/>
                <w:color w:val="auto"/>
              </w:rPr>
              <w:t>Promenade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Arial" w:cs="Arial" w:eastAsia="Arial" w:hAnsi="Arial"/>
                <w:sz w:val="13"/>
                <w:szCs w:val="13"/>
                <w:color w:val="auto"/>
              </w:rPr>
              <w:t>Dress For Less</w:t>
            </w:r>
          </w:p>
        </w:tc>
      </w:tr>
      <w:tr>
        <w:trPr>
          <w:trHeight w:val="181"/>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4"/>
              </w:rPr>
              <w:t>Fourth Street</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(4)</w:t>
            </w: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San Francisco-Oakland-Hayward, CA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24,052</w:t>
            </w: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CB2 / Ingram Book Group</w:t>
            </w:r>
          </w:p>
        </w:tc>
      </w:tr>
      <w:tr>
        <w:trPr>
          <w:trHeight w:val="97"/>
        </w:trPr>
        <w:tc>
          <w:tcPr>
            <w:tcW w:w="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200" w:type="dxa"/>
            <w:vAlign w:val="bottom"/>
            <w:shd w:val="clear" w:color="auto" w:fill="CCEEFF"/>
          </w:tcPr>
          <w:p>
            <w:pPr>
              <w:spacing w:after="0"/>
              <w:rPr>
                <w:sz w:val="8"/>
                <w:szCs w:val="8"/>
                <w:color w:val="auto"/>
              </w:rPr>
            </w:pPr>
          </w:p>
        </w:tc>
      </w:tr>
      <w:tr>
        <w:trPr>
          <w:trHeight w:val="148"/>
        </w:trPr>
        <w:tc>
          <w:tcPr>
            <w:tcW w:w="7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Hastings</w:t>
            </w:r>
          </w:p>
        </w:tc>
        <w:tc>
          <w:tcPr>
            <w:tcW w:w="42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Los Angeles-Long Beach-Anaheim, CA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22,662</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273,000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tcPr>
          <w:p>
            <w:pPr>
              <w:ind w:left="40"/>
              <w:spacing w:after="0" w:line="148" w:lineRule="exact"/>
              <w:rPr>
                <w:sz w:val="20"/>
                <w:szCs w:val="20"/>
                <w:color w:val="auto"/>
              </w:rPr>
            </w:pPr>
            <w:r>
              <w:rPr>
                <w:rFonts w:ascii="Arial" w:cs="Arial" w:eastAsia="Arial" w:hAnsi="Arial"/>
                <w:sz w:val="13"/>
                <w:szCs w:val="13"/>
                <w:color w:val="auto"/>
                <w:w w:val="96"/>
              </w:rPr>
              <w:t>Marshalls / HomeGoods / CVS / Sears</w:t>
            </w:r>
          </w:p>
        </w:tc>
      </w:tr>
      <w:tr>
        <w:trPr>
          <w:trHeight w:val="168"/>
        </w:trPr>
        <w:tc>
          <w:tcPr>
            <w:tcW w:w="780" w:type="dxa"/>
            <w:vAlign w:val="bottom"/>
            <w:gridSpan w:val="2"/>
          </w:tcPr>
          <w:p>
            <w:pPr>
              <w:ind w:left="40"/>
              <w:spacing w:after="0"/>
              <w:rPr>
                <w:sz w:val="20"/>
                <w:szCs w:val="20"/>
                <w:color w:val="auto"/>
              </w:rPr>
            </w:pPr>
            <w:r>
              <w:rPr>
                <w:rFonts w:ascii="Arial" w:cs="Arial" w:eastAsia="Arial" w:hAnsi="Arial"/>
                <w:sz w:val="13"/>
                <w:szCs w:val="13"/>
                <w:color w:val="auto"/>
                <w:w w:val="97"/>
              </w:rPr>
              <w:t>Ranch Plaza</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Hermosa</w:t>
            </w:r>
          </w:p>
        </w:tc>
        <w:tc>
          <w:tcPr>
            <w:tcW w:w="42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Los Angeles-Long Beach-Anaheim, CA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6,225</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&lt;1</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r>
      <w:tr>
        <w:trPr>
          <w:trHeight w:val="17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Avenue</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48"/>
        </w:trPr>
        <w:tc>
          <w:tcPr>
            <w:tcW w:w="7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Hollywood</w:t>
            </w:r>
          </w:p>
        </w:tc>
        <w:tc>
          <w:tcPr>
            <w:tcW w:w="42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Los Angeles-Long Beach-Anaheim, CA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46,977</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178,000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73%</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tcPr>
          <w:p>
            <w:pPr>
              <w:ind w:left="40"/>
              <w:spacing w:after="0" w:line="148" w:lineRule="exact"/>
              <w:rPr>
                <w:sz w:val="20"/>
                <w:szCs w:val="20"/>
                <w:color w:val="auto"/>
              </w:rPr>
            </w:pPr>
            <w:r>
              <w:rPr>
                <w:rFonts w:ascii="Arial" w:cs="Arial" w:eastAsia="Arial" w:hAnsi="Arial"/>
                <w:sz w:val="13"/>
                <w:szCs w:val="13"/>
                <w:color w:val="auto"/>
              </w:rPr>
              <w:t>Marshalls / L.A. Fitness / La La Land</w:t>
            </w:r>
          </w:p>
        </w:tc>
      </w:tr>
      <w:tr>
        <w:trPr>
          <w:trHeight w:val="168"/>
        </w:trPr>
        <w:tc>
          <w:tcPr>
            <w:tcW w:w="780" w:type="dxa"/>
            <w:vAlign w:val="bottom"/>
            <w:gridSpan w:val="2"/>
          </w:tcPr>
          <w:p>
            <w:pPr>
              <w:ind w:left="40"/>
              <w:spacing w:after="0"/>
              <w:rPr>
                <w:sz w:val="20"/>
                <w:szCs w:val="20"/>
                <w:color w:val="auto"/>
              </w:rPr>
            </w:pPr>
            <w:r>
              <w:rPr>
                <w:rFonts w:ascii="Arial" w:cs="Arial" w:eastAsia="Arial" w:hAnsi="Arial"/>
                <w:sz w:val="13"/>
                <w:szCs w:val="13"/>
                <w:color w:val="auto"/>
              </w:rPr>
              <w:t>Blvd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Jordan</w:t>
            </w:r>
          </w:p>
        </w:tc>
        <w:tc>
          <w:tcPr>
            <w:tcW w:w="42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Los Angeles-Long Beach-Anaheim, CA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20,744</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N/A</w:t>
            </w:r>
          </w:p>
        </w:tc>
        <w:tc>
          <w:tcPr>
            <w:tcW w:w="4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N/A</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r>
      <w:tr>
        <w:trPr>
          <w:trHeight w:val="17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4"/>
              </w:rPr>
              <w:t>Downs Plaza</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73"/>
        </w:trPr>
        <w:tc>
          <w:tcPr>
            <w:tcW w:w="780" w:type="dxa"/>
            <w:vAlign w:val="bottom"/>
            <w:gridSpan w:val="2"/>
          </w:tcPr>
          <w:p>
            <w:pPr>
              <w:ind w:left="40"/>
              <w:spacing w:after="0"/>
              <w:rPr>
                <w:sz w:val="20"/>
                <w:szCs w:val="20"/>
                <w:color w:val="auto"/>
              </w:rPr>
            </w:pPr>
            <w:r>
              <w:rPr>
                <w:rFonts w:ascii="Arial" w:cs="Arial" w:eastAsia="Arial" w:hAnsi="Arial"/>
                <w:sz w:val="13"/>
                <w:szCs w:val="13"/>
                <w:color w:val="auto"/>
              </w:rPr>
              <w:t>Kings Court</w:t>
            </w:r>
          </w:p>
        </w:tc>
        <w:tc>
          <w:tcPr>
            <w:tcW w:w="420" w:type="dxa"/>
            <w:vAlign w:val="bottom"/>
          </w:tcPr>
          <w:p>
            <w:pPr>
              <w:jc w:val="center"/>
              <w:spacing w:after="0"/>
              <w:rPr>
                <w:sz w:val="20"/>
                <w:szCs w:val="20"/>
                <w:color w:val="auto"/>
              </w:rPr>
            </w:pPr>
            <w:r>
              <w:rPr>
                <w:rFonts w:ascii="Arial" w:cs="Arial" w:eastAsia="Arial" w:hAnsi="Arial"/>
                <w:sz w:val="13"/>
                <w:szCs w:val="13"/>
                <w:color w:val="auto"/>
                <w:w w:val="87"/>
              </w:rPr>
              <w:t>(7)</w:t>
            </w:r>
          </w:p>
        </w:tc>
        <w:tc>
          <w:tcPr>
            <w:tcW w:w="2380" w:type="dxa"/>
            <w:vAlign w:val="bottom"/>
            <w:gridSpan w:val="2"/>
          </w:tcPr>
          <w:p>
            <w:pPr>
              <w:ind w:left="40"/>
              <w:spacing w:after="0"/>
              <w:rPr>
                <w:sz w:val="20"/>
                <w:szCs w:val="20"/>
                <w:color w:val="auto"/>
              </w:rPr>
            </w:pPr>
            <w:r>
              <w:rPr>
                <w:rFonts w:ascii="Arial" w:cs="Arial" w:eastAsia="Arial" w:hAnsi="Arial"/>
                <w:sz w:val="13"/>
                <w:szCs w:val="13"/>
                <w:color w:val="auto"/>
              </w:rPr>
              <w:t>San Jose-Sunnyvale-Santa Clara, CA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11,576</w:t>
            </w:r>
          </w:p>
        </w:tc>
        <w:tc>
          <w:tcPr>
            <w:tcW w:w="104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79,000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100%</w:t>
            </w:r>
          </w:p>
        </w:tc>
        <w:tc>
          <w:tcPr>
            <w:tcW w:w="70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31,000</w:t>
            </w:r>
          </w:p>
        </w:tc>
        <w:tc>
          <w:tcPr>
            <w:tcW w:w="840" w:type="dxa"/>
            <w:vAlign w:val="bottom"/>
          </w:tcPr>
          <w:p>
            <w:pPr>
              <w:ind w:left="80"/>
              <w:spacing w:after="0"/>
              <w:rPr>
                <w:sz w:val="20"/>
                <w:szCs w:val="20"/>
                <w:color w:val="auto"/>
              </w:rPr>
            </w:pPr>
            <w:r>
              <w:rPr>
                <w:rFonts w:ascii="Arial" w:cs="Arial" w:eastAsia="Arial" w:hAnsi="Arial"/>
                <w:sz w:val="13"/>
                <w:szCs w:val="13"/>
                <w:color w:val="auto"/>
              </w:rPr>
              <w:t>Lunardi's</w:t>
            </w:r>
          </w:p>
        </w:tc>
        <w:tc>
          <w:tcPr>
            <w:tcW w:w="2200" w:type="dxa"/>
            <w:vAlign w:val="bottom"/>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0" w:type="dxa"/>
            <w:vAlign w:val="bottom"/>
          </w:tcPr>
          <w:p>
            <w:pPr>
              <w:spacing w:after="0"/>
              <w:rPr>
                <w:sz w:val="8"/>
                <w:szCs w:val="8"/>
                <w:color w:val="auto"/>
              </w:rPr>
            </w:pPr>
          </w:p>
        </w:tc>
      </w:tr>
      <w:tr>
        <w:trPr>
          <w:trHeight w:val="148"/>
        </w:trPr>
        <w:tc>
          <w:tcPr>
            <w:tcW w:w="7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Old Town</w:t>
            </w:r>
          </w:p>
        </w:tc>
        <w:tc>
          <w:tcPr>
            <w:tcW w:w="42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San Jose-Sunnyvale-Santa Clara, CA</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35,736</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98,000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83%</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4"/>
              </w:rPr>
              <w:t>Anthropologie / Banana Republic / Gap</w:t>
            </w:r>
          </w:p>
        </w:tc>
      </w:tr>
      <w:tr>
        <w:trPr>
          <w:trHeight w:val="17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48"/>
        </w:trPr>
        <w:tc>
          <w:tcPr>
            <w:tcW w:w="7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Olivo at</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87"/>
              </w:rPr>
              <w:t>(4)</w:t>
            </w: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Los Angeles-Long Beach-Anaheim, CA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77,964</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136,000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tcPr>
          <w:p>
            <w:pPr>
              <w:ind w:left="40"/>
              <w:spacing w:after="0" w:line="148" w:lineRule="exact"/>
              <w:rPr>
                <w:sz w:val="20"/>
                <w:szCs w:val="20"/>
                <w:color w:val="auto"/>
              </w:rPr>
            </w:pPr>
            <w:r>
              <w:rPr>
                <w:rFonts w:ascii="Arial" w:cs="Arial" w:eastAsia="Arial" w:hAnsi="Arial"/>
                <w:sz w:val="13"/>
                <w:szCs w:val="13"/>
                <w:color w:val="auto"/>
                <w:w w:val="88"/>
              </w:rPr>
              <w:t>Target / 24 Hour Fitness / Ross Dress For</w:t>
            </w:r>
          </w:p>
        </w:tc>
      </w:tr>
      <w:tr>
        <w:trPr>
          <w:trHeight w:val="168"/>
        </w:trPr>
        <w:tc>
          <w:tcPr>
            <w:tcW w:w="780" w:type="dxa"/>
            <w:vAlign w:val="bottom"/>
            <w:gridSpan w:val="2"/>
          </w:tcPr>
          <w:p>
            <w:pPr>
              <w:ind w:left="40"/>
              <w:spacing w:after="0"/>
              <w:rPr>
                <w:sz w:val="20"/>
                <w:szCs w:val="20"/>
                <w:color w:val="auto"/>
              </w:rPr>
            </w:pPr>
            <w:r>
              <w:rPr>
                <w:rFonts w:ascii="Arial" w:cs="Arial" w:eastAsia="Arial" w:hAnsi="Arial"/>
                <w:sz w:val="13"/>
                <w:szCs w:val="13"/>
                <w:color w:val="auto"/>
                <w:w w:val="99"/>
              </w:rPr>
              <w:t>Mission Hills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Arial" w:cs="Arial" w:eastAsia="Arial" w:hAnsi="Arial"/>
                <w:sz w:val="13"/>
                <w:szCs w:val="13"/>
                <w:color w:val="auto"/>
              </w:rPr>
              <w:t>Less</w:t>
            </w:r>
          </w:p>
        </w:tc>
      </w:tr>
      <w:tr>
        <w:trPr>
          <w:trHeight w:val="181"/>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2"/>
              </w:rPr>
              <w:t>Plaza Del Sol</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(4)</w:t>
            </w: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Los Angeles-Long Beach-Anaheim, CA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17,936</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8,365</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w:t>
            </w:r>
          </w:p>
        </w:tc>
      </w:tr>
      <w:tr>
        <w:trPr>
          <w:trHeight w:val="97"/>
        </w:trPr>
        <w:tc>
          <w:tcPr>
            <w:tcW w:w="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200" w:type="dxa"/>
            <w:vAlign w:val="bottom"/>
            <w:shd w:val="clear" w:color="auto" w:fill="CCEEFF"/>
          </w:tcPr>
          <w:p>
            <w:pPr>
              <w:spacing w:after="0"/>
              <w:rPr>
                <w:sz w:val="8"/>
                <w:szCs w:val="8"/>
                <w:color w:val="auto"/>
              </w:rPr>
            </w:pPr>
          </w:p>
        </w:tc>
      </w:tr>
      <w:tr>
        <w:trPr>
          <w:trHeight w:val="148"/>
        </w:trPr>
        <w:tc>
          <w:tcPr>
            <w:tcW w:w="7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Plaza El</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87"/>
              </w:rPr>
              <w:t>(4)</w:t>
            </w: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Los Angeles-Long Beach-Anaheim, CA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286,228</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50</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496,000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66,000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w w:val="96"/>
              </w:rPr>
              <w:t>Whole Foods</w:t>
            </w:r>
          </w:p>
        </w:tc>
        <w:tc>
          <w:tcPr>
            <w:tcW w:w="2200" w:type="dxa"/>
            <w:vAlign w:val="bottom"/>
          </w:tcPr>
          <w:p>
            <w:pPr>
              <w:ind w:left="40"/>
              <w:spacing w:after="0" w:line="148" w:lineRule="exact"/>
              <w:rPr>
                <w:sz w:val="20"/>
                <w:szCs w:val="20"/>
                <w:color w:val="auto"/>
              </w:rPr>
            </w:pPr>
            <w:r>
              <w:rPr>
                <w:rFonts w:ascii="Arial" w:cs="Arial" w:eastAsia="Arial" w:hAnsi="Arial"/>
                <w:sz w:val="13"/>
                <w:szCs w:val="13"/>
                <w:color w:val="auto"/>
              </w:rPr>
              <w:t>Anthropologie / HomeGoods / Dick's</w:t>
            </w:r>
          </w:p>
        </w:tc>
      </w:tr>
      <w:tr>
        <w:trPr>
          <w:trHeight w:val="135"/>
        </w:trPr>
        <w:tc>
          <w:tcPr>
            <w:tcW w:w="7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Segundo /</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0" w:type="dxa"/>
            <w:vAlign w:val="bottom"/>
          </w:tcPr>
          <w:p>
            <w:pPr>
              <w:ind w:left="40"/>
              <w:spacing w:after="0" w:line="135" w:lineRule="exact"/>
              <w:rPr>
                <w:sz w:val="20"/>
                <w:szCs w:val="20"/>
                <w:color w:val="auto"/>
              </w:rPr>
            </w:pPr>
            <w:r>
              <w:rPr>
                <w:rFonts w:ascii="Arial" w:cs="Arial" w:eastAsia="Arial" w:hAnsi="Arial"/>
                <w:sz w:val="13"/>
                <w:szCs w:val="13"/>
                <w:color w:val="auto"/>
                <w:w w:val="97"/>
              </w:rPr>
              <w:t>Sporting Goods / Multiple Restaurants</w:t>
            </w:r>
          </w:p>
        </w:tc>
      </w:tr>
      <w:tr>
        <w:trPr>
          <w:trHeight w:val="168"/>
        </w:trPr>
        <w:tc>
          <w:tcPr>
            <w:tcW w:w="780" w:type="dxa"/>
            <w:vAlign w:val="bottom"/>
            <w:gridSpan w:val="2"/>
          </w:tcPr>
          <w:p>
            <w:pPr>
              <w:ind w:left="40"/>
              <w:spacing w:after="0"/>
              <w:rPr>
                <w:sz w:val="20"/>
                <w:szCs w:val="20"/>
                <w:color w:val="auto"/>
              </w:rPr>
            </w:pPr>
            <w:r>
              <w:rPr>
                <w:rFonts w:ascii="Arial" w:cs="Arial" w:eastAsia="Arial" w:hAnsi="Arial"/>
                <w:sz w:val="13"/>
                <w:szCs w:val="13"/>
                <w:color w:val="auto"/>
              </w:rPr>
              <w:t>The Point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Plaza</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(4)</w:t>
            </w: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Los Angeles-Long Beach-Anaheim, CA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50,365</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125,000</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204,000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Costco / Best Buy</w:t>
            </w:r>
          </w:p>
        </w:tc>
      </w:tr>
      <w:tr>
        <w:trPr>
          <w:trHeight w:val="17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Pacoima</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48"/>
        </w:trPr>
        <w:tc>
          <w:tcPr>
            <w:tcW w:w="7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San Antonio</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87"/>
              </w:rPr>
              <w:t>(7)</w:t>
            </w: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San Jose-Sunnyvale-Santa Clara, CA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74,418</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33</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376,000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11,000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2200" w:type="dxa"/>
            <w:vAlign w:val="bottom"/>
          </w:tcPr>
          <w:p>
            <w:pPr>
              <w:ind w:left="40"/>
              <w:spacing w:after="0" w:line="148" w:lineRule="exact"/>
              <w:rPr>
                <w:sz w:val="20"/>
                <w:szCs w:val="20"/>
                <w:color w:val="auto"/>
              </w:rPr>
            </w:pPr>
            <w:r>
              <w:rPr>
                <w:rFonts w:ascii="Arial" w:cs="Arial" w:eastAsia="Arial" w:hAnsi="Arial"/>
                <w:sz w:val="13"/>
                <w:szCs w:val="13"/>
                <w:color w:val="auto"/>
              </w:rPr>
              <w:t>Walmart / Kohl's / 24 Hour Fitness</w:t>
            </w:r>
          </w:p>
        </w:tc>
      </w:tr>
      <w:tr>
        <w:trPr>
          <w:trHeight w:val="168"/>
        </w:trPr>
        <w:tc>
          <w:tcPr>
            <w:tcW w:w="780" w:type="dxa"/>
            <w:vAlign w:val="bottom"/>
            <w:gridSpan w:val="2"/>
          </w:tcPr>
          <w:p>
            <w:pPr>
              <w:ind w:left="40"/>
              <w:spacing w:after="0"/>
              <w:rPr>
                <w:sz w:val="20"/>
                <w:szCs w:val="20"/>
                <w:color w:val="auto"/>
              </w:rPr>
            </w:pPr>
            <w:r>
              <w:rPr>
                <w:rFonts w:ascii="Arial" w:cs="Arial" w:eastAsia="Arial" w:hAnsi="Arial"/>
                <w:sz w:val="13"/>
                <w:szCs w:val="13"/>
                <w:color w:val="auto"/>
              </w:rPr>
              <w:t>Center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2"/>
              </w:rPr>
              <w:t>Santana Row</w:t>
            </w:r>
          </w:p>
        </w:tc>
        <w:tc>
          <w:tcPr>
            <w:tcW w:w="42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San Jose-Sunnyvale-Santa Clara, CA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974,812</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885,000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662</w:t>
            </w: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2"/>
              </w:rPr>
              <w:t>Crate &amp; Barrel / H&amp;M / Container Store /</w:t>
            </w:r>
          </w:p>
        </w:tc>
      </w:tr>
      <w:tr>
        <w:trPr>
          <w:trHeight w:val="176"/>
        </w:trPr>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Multiple Restaurants</w:t>
            </w:r>
          </w:p>
        </w:tc>
      </w:tr>
      <w:tr>
        <w:trPr>
          <w:trHeight w:val="148"/>
        </w:trPr>
        <w:tc>
          <w:tcPr>
            <w:tcW w:w="7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Sylmar</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87"/>
              </w:rPr>
              <w:t>(4)</w:t>
            </w: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Los Angeles-Long Beach-Anaheim, CA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43,486</w:t>
            </w:r>
          </w:p>
        </w:tc>
        <w:tc>
          <w:tcPr>
            <w:tcW w:w="1040" w:type="dxa"/>
            <w:vAlign w:val="bottom"/>
          </w:tcPr>
          <w:p>
            <w:pPr>
              <w:jc w:val="right"/>
              <w:ind w:right="98"/>
              <w:spacing w:after="0" w:line="148" w:lineRule="exact"/>
              <w:rPr>
                <w:sz w:val="20"/>
                <w:szCs w:val="20"/>
                <w:color w:val="auto"/>
              </w:rPr>
            </w:pPr>
            <w:r>
              <w:rPr>
                <w:rFonts w:ascii="Arial" w:cs="Arial" w:eastAsia="Arial" w:hAnsi="Arial"/>
                <w:sz w:val="13"/>
                <w:szCs w:val="13"/>
                <w:color w:val="auto"/>
              </w:rPr>
              <w:t>16,911</w:t>
            </w: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148,000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89%</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43,000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Food 4 Less</w:t>
            </w:r>
          </w:p>
        </w:tc>
        <w:tc>
          <w:tcPr>
            <w:tcW w:w="2200" w:type="dxa"/>
            <w:vAlign w:val="bottom"/>
          </w:tcPr>
          <w:p>
            <w:pPr>
              <w:ind w:left="4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780" w:type="dxa"/>
            <w:vAlign w:val="bottom"/>
            <w:gridSpan w:val="2"/>
          </w:tcPr>
          <w:p>
            <w:pPr>
              <w:ind w:left="40"/>
              <w:spacing w:after="0"/>
              <w:rPr>
                <w:sz w:val="20"/>
                <w:szCs w:val="20"/>
                <w:color w:val="auto"/>
              </w:rPr>
            </w:pPr>
            <w:r>
              <w:rPr>
                <w:rFonts w:ascii="Arial" w:cs="Arial" w:eastAsia="Arial" w:hAnsi="Arial"/>
                <w:sz w:val="13"/>
                <w:szCs w:val="13"/>
                <w:color w:val="auto"/>
                <w:w w:val="88"/>
              </w:rPr>
              <w:t>Towne Center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Third Street</w:t>
            </w:r>
          </w:p>
        </w:tc>
        <w:tc>
          <w:tcPr>
            <w:tcW w:w="42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Los Angeles-Long Beach-Anaheim, CA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81,267</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209,000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Adidas / Banana Republic / Old Navy / J.</w:t>
            </w:r>
          </w:p>
        </w:tc>
      </w:tr>
      <w:tr>
        <w:trPr>
          <w:trHeight w:val="17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Promenade</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Crew</w:t>
            </w:r>
          </w:p>
        </w:tc>
      </w:tr>
      <w:tr>
        <w:trPr>
          <w:trHeight w:val="148"/>
        </w:trPr>
        <w:tc>
          <w:tcPr>
            <w:tcW w:w="7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Westgate</w:t>
            </w:r>
          </w:p>
        </w:tc>
        <w:tc>
          <w:tcPr>
            <w:tcW w:w="42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San Jose-Sunnyvale-Santa Clara, CA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156,846</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44</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652,000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38,000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Walmart</w:t>
            </w:r>
          </w:p>
        </w:tc>
        <w:tc>
          <w:tcPr>
            <w:tcW w:w="2200" w:type="dxa"/>
            <w:vAlign w:val="bottom"/>
          </w:tcPr>
          <w:p>
            <w:pPr>
              <w:ind w:left="40"/>
              <w:spacing w:after="0" w:line="148" w:lineRule="exact"/>
              <w:rPr>
                <w:sz w:val="20"/>
                <w:szCs w:val="20"/>
                <w:color w:val="auto"/>
              </w:rPr>
            </w:pPr>
            <w:r>
              <w:rPr>
                <w:rFonts w:ascii="Arial" w:cs="Arial" w:eastAsia="Arial" w:hAnsi="Arial"/>
                <w:sz w:val="13"/>
                <w:szCs w:val="13"/>
                <w:color w:val="auto"/>
                <w:w w:val="91"/>
              </w:rPr>
              <w:t>Target / Nordstrom Rack / Nike Factory /</w:t>
            </w:r>
          </w:p>
        </w:tc>
      </w:tr>
      <w:tr>
        <w:trPr>
          <w:trHeight w:val="135"/>
        </w:trPr>
        <w:tc>
          <w:tcPr>
            <w:tcW w:w="7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Center</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3"/>
                <w:szCs w:val="13"/>
                <w:color w:val="auto"/>
                <w:w w:val="90"/>
              </w:rPr>
              <w:t>Neighborhood</w:t>
            </w:r>
          </w:p>
        </w:tc>
        <w:tc>
          <w:tcPr>
            <w:tcW w:w="2200" w:type="dxa"/>
            <w:vAlign w:val="bottom"/>
          </w:tcPr>
          <w:p>
            <w:pPr>
              <w:ind w:left="40"/>
              <w:spacing w:after="0" w:line="135" w:lineRule="exact"/>
              <w:rPr>
                <w:sz w:val="20"/>
                <w:szCs w:val="20"/>
                <w:color w:val="auto"/>
              </w:rPr>
            </w:pPr>
            <w:r>
              <w:rPr>
                <w:rFonts w:ascii="Arial" w:cs="Arial" w:eastAsia="Arial" w:hAnsi="Arial"/>
                <w:sz w:val="13"/>
                <w:szCs w:val="13"/>
                <w:color w:val="auto"/>
              </w:rPr>
              <w:t>TJ Maxx</w:t>
            </w:r>
          </w:p>
        </w:tc>
      </w:tr>
      <w:tr>
        <w:trPr>
          <w:trHeight w:val="170"/>
        </w:trPr>
        <w:tc>
          <w:tcPr>
            <w:tcW w:w="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Market</w:t>
            </w:r>
          </w:p>
        </w:tc>
        <w:tc>
          <w:tcPr>
            <w:tcW w:w="2200" w:type="dxa"/>
            <w:vAlign w:val="bottom"/>
            <w:tcBorders>
              <w:bottom w:val="single" w:sz="8" w:color="CCEEFF"/>
            </w:tcBorders>
          </w:tcPr>
          <w:p>
            <w:pPr>
              <w:spacing w:after="0"/>
              <w:rPr>
                <w:sz w:val="14"/>
                <w:szCs w:val="14"/>
                <w:color w:val="auto"/>
              </w:rPr>
            </w:pPr>
          </w:p>
        </w:tc>
      </w:tr>
      <w:tr>
        <w:trPr>
          <w:trHeight w:val="173"/>
        </w:trPr>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Total California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9"/>
              </w:rPr>
              <w:t>2,489,317</w:t>
            </w: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5,471,000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1260" w:type="dxa"/>
            <w:vAlign w:val="bottom"/>
            <w:gridSpan w:val="3"/>
            <w:shd w:val="clear" w:color="auto" w:fill="CCEEFF"/>
          </w:tcPr>
          <w:p>
            <w:pPr>
              <w:spacing w:after="0"/>
              <w:rPr>
                <w:sz w:val="7"/>
                <w:szCs w:val="7"/>
                <w:color w:val="auto"/>
              </w:rPr>
            </w:pPr>
          </w:p>
        </w:tc>
        <w:tc>
          <w:tcPr>
            <w:tcW w:w="22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200" w:type="dxa"/>
            <w:vAlign w:val="bottom"/>
            <w:shd w:val="clear" w:color="auto" w:fill="CCEEFF"/>
          </w:tcPr>
          <w:p>
            <w:pPr>
              <w:spacing w:after="0"/>
              <w:rPr>
                <w:sz w:val="7"/>
                <w:szCs w:val="7"/>
                <w:color w:val="auto"/>
              </w:rPr>
            </w:pPr>
          </w:p>
        </w:tc>
      </w:tr>
      <w:tr>
        <w:trPr>
          <w:trHeight w:val="270"/>
        </w:trPr>
        <w:tc>
          <w:tcPr>
            <w:tcW w:w="40" w:type="dxa"/>
            <w:vAlign w:val="bottom"/>
          </w:tcPr>
          <w:p>
            <w:pPr>
              <w:spacing w:after="0"/>
              <w:rPr>
                <w:sz w:val="23"/>
                <w:szCs w:val="23"/>
                <w:color w:val="auto"/>
              </w:rPr>
            </w:pPr>
          </w:p>
        </w:tc>
        <w:tc>
          <w:tcPr>
            <w:tcW w:w="1260" w:type="dxa"/>
            <w:vAlign w:val="bottom"/>
            <w:gridSpan w:val="3"/>
          </w:tcPr>
          <w:p>
            <w:pPr>
              <w:spacing w:after="0"/>
              <w:rPr>
                <w:sz w:val="23"/>
                <w:szCs w:val="23"/>
                <w:color w:val="auto"/>
              </w:rPr>
            </w:pPr>
          </w:p>
        </w:tc>
        <w:tc>
          <w:tcPr>
            <w:tcW w:w="2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0" w:type="dxa"/>
            <w:vAlign w:val="bottom"/>
          </w:tcPr>
          <w:p>
            <w:pPr>
              <w:spacing w:after="0"/>
              <w:rPr>
                <w:sz w:val="23"/>
                <w:szCs w:val="23"/>
                <w:color w:val="auto"/>
              </w:rPr>
            </w:pPr>
          </w:p>
        </w:tc>
      </w:tr>
      <w:tr>
        <w:trPr>
          <w:trHeight w:val="149"/>
        </w:trPr>
        <w:tc>
          <w:tcPr>
            <w:tcW w:w="40" w:type="dxa"/>
            <w:vAlign w:val="bottom"/>
            <w:shd w:val="clear" w:color="auto" w:fill="CCEEFF"/>
          </w:tcPr>
          <w:p>
            <w:pPr>
              <w:spacing w:after="0"/>
              <w:rPr>
                <w:sz w:val="12"/>
                <w:szCs w:val="12"/>
                <w:color w:val="auto"/>
              </w:rPr>
            </w:pPr>
          </w:p>
        </w:tc>
        <w:tc>
          <w:tcPr>
            <w:tcW w:w="354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rPr>
              <w:t>NY Metro/New Jersey</w:t>
            </w: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2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CCEEFF"/>
            </w:tcBorders>
            <w:shd w:val="clear" w:color="auto" w:fill="CCEEFF"/>
          </w:tcPr>
          <w:p>
            <w:pPr>
              <w:spacing w:after="0"/>
              <w:rPr>
                <w:sz w:val="8"/>
                <w:szCs w:val="8"/>
                <w:color w:val="auto"/>
              </w:rPr>
            </w:pPr>
          </w:p>
        </w:tc>
        <w:tc>
          <w:tcPr>
            <w:tcW w:w="2200" w:type="dxa"/>
            <w:vAlign w:val="bottom"/>
            <w:tcBorders>
              <w:top w:val="single" w:sz="8" w:color="CCEEFF"/>
            </w:tcBorders>
            <w:shd w:val="clear" w:color="auto" w:fill="CCEEFF"/>
          </w:tcPr>
          <w:p>
            <w:pPr>
              <w:spacing w:after="0"/>
              <w:rPr>
                <w:sz w:val="8"/>
                <w:szCs w:val="8"/>
                <w:color w:val="auto"/>
              </w:rPr>
            </w:pPr>
          </w:p>
        </w:tc>
      </w:tr>
      <w:tr>
        <w:trPr>
          <w:trHeight w:val="173"/>
        </w:trPr>
        <w:tc>
          <w:tcPr>
            <w:tcW w:w="780" w:type="dxa"/>
            <w:vAlign w:val="bottom"/>
            <w:gridSpan w:val="2"/>
          </w:tcPr>
          <w:p>
            <w:pPr>
              <w:ind w:left="40"/>
              <w:spacing w:after="0"/>
              <w:rPr>
                <w:sz w:val="20"/>
                <w:szCs w:val="20"/>
                <w:color w:val="auto"/>
              </w:rPr>
            </w:pPr>
            <w:r>
              <w:rPr>
                <w:rFonts w:ascii="Arial" w:cs="Arial" w:eastAsia="Arial" w:hAnsi="Arial"/>
                <w:sz w:val="13"/>
                <w:szCs w:val="13"/>
                <w:color w:val="auto"/>
              </w:rPr>
              <w:t>Brick Plaza</w:t>
            </w:r>
          </w:p>
        </w:tc>
        <w:tc>
          <w:tcPr>
            <w:tcW w:w="420" w:type="dxa"/>
            <w:vAlign w:val="bottom"/>
          </w:tcPr>
          <w:p>
            <w:pPr>
              <w:spacing w:after="0"/>
              <w:rPr>
                <w:sz w:val="15"/>
                <w:szCs w:val="15"/>
                <w:color w:val="auto"/>
              </w:rPr>
            </w:pPr>
          </w:p>
        </w:tc>
        <w:tc>
          <w:tcPr>
            <w:tcW w:w="2380" w:type="dxa"/>
            <w:vAlign w:val="bottom"/>
            <w:gridSpan w:val="2"/>
          </w:tcPr>
          <w:p>
            <w:pPr>
              <w:ind w:left="40"/>
              <w:spacing w:after="0"/>
              <w:rPr>
                <w:sz w:val="20"/>
                <w:szCs w:val="20"/>
                <w:color w:val="auto"/>
              </w:rPr>
            </w:pPr>
            <w:r>
              <w:rPr>
                <w:rFonts w:ascii="Arial" w:cs="Arial" w:eastAsia="Arial" w:hAnsi="Arial"/>
                <w:sz w:val="13"/>
                <w:szCs w:val="13"/>
                <w:color w:val="auto"/>
                <w:w w:val="96"/>
              </w:rPr>
              <w:t>New York-Newark-Jersey City, NY-NJ-PA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87,309</w:t>
            </w:r>
          </w:p>
        </w:tc>
        <w:tc>
          <w:tcPr>
            <w:tcW w:w="104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406,000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81%</w:t>
            </w: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Arial" w:cs="Arial" w:eastAsia="Arial" w:hAnsi="Arial"/>
                <w:sz w:val="13"/>
                <w:szCs w:val="13"/>
                <w:color w:val="auto"/>
                <w:w w:val="94"/>
              </w:rPr>
              <w:t>AMC / HomeGoods / Ulta / L.A. Fitness</w:t>
            </w:r>
          </w:p>
        </w:tc>
      </w:tr>
      <w:tr>
        <w:trPr>
          <w:trHeight w:val="97"/>
        </w:trPr>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0" w:type="dxa"/>
            <w:vAlign w:val="bottom"/>
          </w:tcPr>
          <w:p>
            <w:pPr>
              <w:spacing w:after="0"/>
              <w:rPr>
                <w:sz w:val="8"/>
                <w:szCs w:val="8"/>
                <w:color w:val="auto"/>
              </w:rPr>
            </w:pPr>
          </w:p>
        </w:tc>
      </w:tr>
      <w:tr>
        <w:trPr>
          <w:trHeight w:val="148"/>
        </w:trPr>
        <w:tc>
          <w:tcPr>
            <w:tcW w:w="7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Brook 35</w:t>
            </w:r>
          </w:p>
        </w:tc>
        <w:tc>
          <w:tcPr>
            <w:tcW w:w="4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(4) (7)</w:t>
            </w:r>
          </w:p>
        </w:tc>
        <w:tc>
          <w:tcPr>
            <w:tcW w:w="23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6"/>
              </w:rPr>
              <w:t>New York-Newark-Jersey City, NY-NJ-PA</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48,227</w:t>
            </w:r>
          </w:p>
        </w:tc>
        <w:tc>
          <w:tcPr>
            <w:tcW w:w="1040" w:type="dxa"/>
            <w:vAlign w:val="bottom"/>
            <w:shd w:val="clear" w:color="auto" w:fill="CCEEFF"/>
          </w:tcPr>
          <w:p>
            <w:pPr>
              <w:jc w:val="right"/>
              <w:ind w:right="98"/>
              <w:spacing w:after="0" w:line="148" w:lineRule="exact"/>
              <w:rPr>
                <w:sz w:val="20"/>
                <w:szCs w:val="20"/>
                <w:color w:val="auto"/>
              </w:rPr>
            </w:pPr>
            <w:r>
              <w:rPr>
                <w:rFonts w:ascii="Arial" w:cs="Arial" w:eastAsia="Arial" w:hAnsi="Arial"/>
                <w:sz w:val="13"/>
                <w:szCs w:val="13"/>
                <w:color w:val="auto"/>
              </w:rPr>
              <w:t>11,500</w:t>
            </w:r>
          </w:p>
        </w:tc>
        <w:tc>
          <w:tcPr>
            <w:tcW w:w="4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99,000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96%</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Banana Republic / Gap / Williams-</w:t>
            </w:r>
          </w:p>
        </w:tc>
      </w:tr>
      <w:tr>
        <w:trPr>
          <w:trHeight w:val="176"/>
        </w:trPr>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Sonoma</w:t>
            </w:r>
          </w:p>
        </w:tc>
      </w:tr>
      <w:tr>
        <w:trPr>
          <w:trHeight w:val="173"/>
        </w:trPr>
        <w:tc>
          <w:tcPr>
            <w:tcW w:w="780" w:type="dxa"/>
            <w:vAlign w:val="bottom"/>
            <w:gridSpan w:val="2"/>
          </w:tcPr>
          <w:p>
            <w:pPr>
              <w:ind w:left="40"/>
              <w:spacing w:after="0"/>
              <w:rPr>
                <w:sz w:val="20"/>
                <w:szCs w:val="20"/>
                <w:color w:val="auto"/>
              </w:rPr>
            </w:pPr>
            <w:r>
              <w:rPr>
                <w:rFonts w:ascii="Arial" w:cs="Arial" w:eastAsia="Arial" w:hAnsi="Arial"/>
                <w:sz w:val="13"/>
                <w:szCs w:val="13"/>
                <w:color w:val="auto"/>
              </w:rPr>
              <w:t>Darien</w:t>
            </w:r>
          </w:p>
        </w:tc>
        <w:tc>
          <w:tcPr>
            <w:tcW w:w="420" w:type="dxa"/>
            <w:vAlign w:val="bottom"/>
          </w:tcPr>
          <w:p>
            <w:pPr>
              <w:spacing w:after="0"/>
              <w:rPr>
                <w:sz w:val="15"/>
                <w:szCs w:val="15"/>
                <w:color w:val="auto"/>
              </w:rPr>
            </w:pPr>
          </w:p>
        </w:tc>
        <w:tc>
          <w:tcPr>
            <w:tcW w:w="2380" w:type="dxa"/>
            <w:vAlign w:val="bottom"/>
            <w:gridSpan w:val="2"/>
          </w:tcPr>
          <w:p>
            <w:pPr>
              <w:ind w:left="40"/>
              <w:spacing w:after="0"/>
              <w:rPr>
                <w:sz w:val="20"/>
                <w:szCs w:val="20"/>
                <w:color w:val="auto"/>
              </w:rPr>
            </w:pPr>
            <w:r>
              <w:rPr>
                <w:rFonts w:ascii="Arial" w:cs="Arial" w:eastAsia="Arial" w:hAnsi="Arial"/>
                <w:sz w:val="13"/>
                <w:szCs w:val="13"/>
                <w:color w:val="auto"/>
              </w:rPr>
              <w:t>Bridgeport-Stamford-Norwalk, CT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54,259</w:t>
            </w:r>
          </w:p>
        </w:tc>
        <w:tc>
          <w:tcPr>
            <w:tcW w:w="104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95,000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97%</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6</w:t>
            </w: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45,000</w:t>
            </w:r>
          </w:p>
        </w:tc>
        <w:tc>
          <w:tcPr>
            <w:tcW w:w="840" w:type="dxa"/>
            <w:vAlign w:val="bottom"/>
          </w:tcPr>
          <w:p>
            <w:pPr>
              <w:ind w:left="80"/>
              <w:spacing w:after="0"/>
              <w:rPr>
                <w:sz w:val="20"/>
                <w:szCs w:val="20"/>
                <w:color w:val="auto"/>
              </w:rPr>
            </w:pPr>
            <w:r>
              <w:rPr>
                <w:rFonts w:ascii="Arial" w:cs="Arial" w:eastAsia="Arial" w:hAnsi="Arial"/>
                <w:sz w:val="13"/>
                <w:szCs w:val="13"/>
                <w:color w:val="auto"/>
              </w:rPr>
              <w:t>Stop &amp; Shop</w:t>
            </w:r>
          </w:p>
        </w:tc>
        <w:tc>
          <w:tcPr>
            <w:tcW w:w="2200" w:type="dxa"/>
            <w:vAlign w:val="bottom"/>
          </w:tcPr>
          <w:p>
            <w:pPr>
              <w:ind w:left="40"/>
              <w:spacing w:after="0"/>
              <w:rPr>
                <w:sz w:val="20"/>
                <w:szCs w:val="20"/>
                <w:color w:val="auto"/>
              </w:rPr>
            </w:pPr>
            <w:r>
              <w:rPr>
                <w:rFonts w:ascii="Arial" w:cs="Arial" w:eastAsia="Arial" w:hAnsi="Arial"/>
                <w:sz w:val="13"/>
                <w:szCs w:val="13"/>
                <w:color w:val="auto"/>
              </w:rPr>
              <w:t>Equinox / Walgreens</w:t>
            </w:r>
          </w:p>
        </w:tc>
      </w:tr>
      <w:tr>
        <w:trPr>
          <w:trHeight w:val="97"/>
        </w:trPr>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0" w:type="dxa"/>
            <w:vAlign w:val="bottom"/>
          </w:tcPr>
          <w:p>
            <w:pPr>
              <w:spacing w:after="0"/>
              <w:rPr>
                <w:sz w:val="8"/>
                <w:szCs w:val="8"/>
                <w:color w:val="auto"/>
              </w:rPr>
            </w:pPr>
          </w:p>
        </w:tc>
      </w:tr>
      <w:tr>
        <w:trPr>
          <w:trHeight w:val="148"/>
        </w:trPr>
        <w:tc>
          <w:tcPr>
            <w:tcW w:w="7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Fresh</w:t>
            </w:r>
          </w:p>
        </w:tc>
        <w:tc>
          <w:tcPr>
            <w:tcW w:w="42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6"/>
              </w:rPr>
              <w:t>New York-Newark-Jersey City, NY-NJ-PA</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91,823</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404,000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15,000</w:t>
            </w:r>
          </w:p>
        </w:tc>
        <w:tc>
          <w:tcPr>
            <w:tcW w:w="8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2"/>
              </w:rPr>
              <w:t>Island of Gold</w:t>
            </w:r>
          </w:p>
        </w:tc>
        <w:tc>
          <w:tcPr>
            <w:tcW w:w="22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AMC / Kohl's / Michaels</w:t>
            </w:r>
          </w:p>
        </w:tc>
      </w:tr>
      <w:tr>
        <w:trPr>
          <w:trHeight w:val="17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Meadows</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48"/>
        </w:trPr>
        <w:tc>
          <w:tcPr>
            <w:tcW w:w="7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Greenlawn</w:t>
            </w:r>
          </w:p>
        </w:tc>
        <w:tc>
          <w:tcPr>
            <w:tcW w:w="42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6"/>
              </w:rPr>
              <w:t>New York-Newark-Jersey City, NY-NJ-PA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31,838</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106,000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46,000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Greenlawn</w:t>
            </w:r>
          </w:p>
        </w:tc>
        <w:tc>
          <w:tcPr>
            <w:tcW w:w="2200" w:type="dxa"/>
            <w:vAlign w:val="bottom"/>
          </w:tcPr>
          <w:p>
            <w:pPr>
              <w:ind w:left="40"/>
              <w:spacing w:after="0" w:line="148" w:lineRule="exact"/>
              <w:rPr>
                <w:sz w:val="20"/>
                <w:szCs w:val="20"/>
                <w:color w:val="auto"/>
              </w:rPr>
            </w:pPr>
            <w:r>
              <w:rPr>
                <w:rFonts w:ascii="Arial" w:cs="Arial" w:eastAsia="Arial" w:hAnsi="Arial"/>
                <w:sz w:val="13"/>
                <w:szCs w:val="13"/>
                <w:color w:val="auto"/>
              </w:rPr>
              <w:t>Tuesday Morning</w:t>
            </w:r>
          </w:p>
        </w:tc>
      </w:tr>
      <w:tr>
        <w:trPr>
          <w:trHeight w:val="168"/>
        </w:trPr>
        <w:tc>
          <w:tcPr>
            <w:tcW w:w="780" w:type="dxa"/>
            <w:vAlign w:val="bottom"/>
            <w:gridSpan w:val="2"/>
          </w:tcPr>
          <w:p>
            <w:pPr>
              <w:ind w:left="40"/>
              <w:spacing w:after="0"/>
              <w:rPr>
                <w:sz w:val="20"/>
                <w:szCs w:val="20"/>
                <w:color w:val="auto"/>
              </w:rPr>
            </w:pPr>
            <w:r>
              <w:rPr>
                <w:rFonts w:ascii="Arial" w:cs="Arial" w:eastAsia="Arial" w:hAnsi="Arial"/>
                <w:sz w:val="13"/>
                <w:szCs w:val="13"/>
                <w:color w:val="auto"/>
              </w:rPr>
              <w:t>Plaza</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3"/>
                <w:szCs w:val="13"/>
                <w:color w:val="auto"/>
              </w:rPr>
              <w:t>Farms</w:t>
            </w:r>
          </w:p>
        </w:tc>
        <w:tc>
          <w:tcPr>
            <w:tcW w:w="2200" w:type="dxa"/>
            <w:vAlign w:val="bottom"/>
          </w:tcPr>
          <w:p>
            <w:pPr>
              <w:spacing w:after="0"/>
              <w:rPr>
                <w:sz w:val="14"/>
                <w:szCs w:val="14"/>
                <w:color w:val="auto"/>
              </w:rPr>
            </w:pPr>
          </w:p>
        </w:tc>
      </w:tr>
      <w:tr>
        <w:trPr>
          <w:trHeight w:val="15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Greenwich</w:t>
            </w:r>
          </w:p>
        </w:tc>
        <w:tc>
          <w:tcPr>
            <w:tcW w:w="42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Bridgeport-Stamford-Norwalk, CT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14,127</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Saks Fifth Avenue</w:t>
            </w:r>
          </w:p>
        </w:tc>
      </w:tr>
      <w:tr>
        <w:trPr>
          <w:trHeight w:val="17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Avenue</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73"/>
        </w:trPr>
        <w:tc>
          <w:tcPr>
            <w:tcW w:w="780" w:type="dxa"/>
            <w:vAlign w:val="bottom"/>
            <w:gridSpan w:val="2"/>
          </w:tcPr>
          <w:p>
            <w:pPr>
              <w:ind w:left="40"/>
              <w:spacing w:after="0"/>
              <w:rPr>
                <w:sz w:val="20"/>
                <w:szCs w:val="20"/>
                <w:color w:val="auto"/>
              </w:rPr>
            </w:pPr>
            <w:r>
              <w:rPr>
                <w:rFonts w:ascii="Arial" w:cs="Arial" w:eastAsia="Arial" w:hAnsi="Arial"/>
                <w:sz w:val="13"/>
                <w:szCs w:val="13"/>
                <w:color w:val="auto"/>
              </w:rPr>
              <w:t>Hauppauge</w:t>
            </w:r>
          </w:p>
        </w:tc>
        <w:tc>
          <w:tcPr>
            <w:tcW w:w="420" w:type="dxa"/>
            <w:vAlign w:val="bottom"/>
          </w:tcPr>
          <w:p>
            <w:pPr>
              <w:spacing w:after="0"/>
              <w:rPr>
                <w:sz w:val="15"/>
                <w:szCs w:val="15"/>
                <w:color w:val="auto"/>
              </w:rPr>
            </w:pPr>
          </w:p>
        </w:tc>
        <w:tc>
          <w:tcPr>
            <w:tcW w:w="2380" w:type="dxa"/>
            <w:vAlign w:val="bottom"/>
            <w:gridSpan w:val="2"/>
          </w:tcPr>
          <w:p>
            <w:pPr>
              <w:ind w:left="40"/>
              <w:spacing w:after="0"/>
              <w:rPr>
                <w:sz w:val="20"/>
                <w:szCs w:val="20"/>
                <w:color w:val="auto"/>
              </w:rPr>
            </w:pPr>
            <w:r>
              <w:rPr>
                <w:rFonts w:ascii="Arial" w:cs="Arial" w:eastAsia="Arial" w:hAnsi="Arial"/>
                <w:sz w:val="13"/>
                <w:szCs w:val="13"/>
                <w:color w:val="auto"/>
                <w:w w:val="96"/>
              </w:rPr>
              <w:t>New York-Newark-Jersey City, NY-NJ-PA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29,182</w:t>
            </w:r>
          </w:p>
        </w:tc>
        <w:tc>
          <w:tcPr>
            <w:tcW w:w="104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134,000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96%</w:t>
            </w:r>
          </w:p>
        </w:tc>
        <w:tc>
          <w:tcPr>
            <w:tcW w:w="70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61,000</w:t>
            </w:r>
          </w:p>
        </w:tc>
        <w:tc>
          <w:tcPr>
            <w:tcW w:w="840" w:type="dxa"/>
            <w:vAlign w:val="bottom"/>
          </w:tcPr>
          <w:p>
            <w:pPr>
              <w:ind w:left="80"/>
              <w:spacing w:after="0"/>
              <w:rPr>
                <w:sz w:val="20"/>
                <w:szCs w:val="20"/>
                <w:color w:val="auto"/>
              </w:rPr>
            </w:pPr>
            <w:r>
              <w:rPr>
                <w:rFonts w:ascii="Arial" w:cs="Arial" w:eastAsia="Arial" w:hAnsi="Arial"/>
                <w:sz w:val="13"/>
                <w:szCs w:val="13"/>
                <w:color w:val="auto"/>
              </w:rPr>
              <w:t>Shop Rite</w:t>
            </w:r>
          </w:p>
        </w:tc>
        <w:tc>
          <w:tcPr>
            <w:tcW w:w="2200" w:type="dxa"/>
            <w:vAlign w:val="bottom"/>
          </w:tcPr>
          <w:p>
            <w:pPr>
              <w:ind w:left="40"/>
              <w:spacing w:after="0"/>
              <w:rPr>
                <w:sz w:val="20"/>
                <w:szCs w:val="20"/>
                <w:color w:val="auto"/>
              </w:rPr>
            </w:pPr>
            <w:r>
              <w:rPr>
                <w:rFonts w:ascii="Arial" w:cs="Arial" w:eastAsia="Arial" w:hAnsi="Arial"/>
                <w:sz w:val="13"/>
                <w:szCs w:val="13"/>
                <w:color w:val="auto"/>
              </w:rPr>
              <w:t>A.C. Moore</w:t>
            </w:r>
          </w:p>
        </w:tc>
      </w:tr>
      <w:tr>
        <w:trPr>
          <w:trHeight w:val="97"/>
        </w:trPr>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0" w:type="dxa"/>
            <w:vAlign w:val="bottom"/>
          </w:tcPr>
          <w:p>
            <w:pPr>
              <w:spacing w:after="0"/>
              <w:rPr>
                <w:sz w:val="8"/>
                <w:szCs w:val="8"/>
                <w:color w:val="auto"/>
              </w:rPr>
            </w:pPr>
          </w:p>
        </w:tc>
      </w:tr>
      <w:tr>
        <w:trPr>
          <w:trHeight w:val="148"/>
        </w:trPr>
        <w:tc>
          <w:tcPr>
            <w:tcW w:w="7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Huntington</w:t>
            </w:r>
          </w:p>
        </w:tc>
        <w:tc>
          <w:tcPr>
            <w:tcW w:w="42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6"/>
              </w:rPr>
              <w:t>New York-Newark-Jersey City, NY-NJ-PA</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46,754</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263,000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81%</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Nordstrom Rack / Buy Buy Baby /</w:t>
            </w:r>
          </w:p>
        </w:tc>
      </w:tr>
      <w:tr>
        <w:trPr>
          <w:trHeight w:val="176"/>
        </w:trPr>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Michaels / Petsmart</w:t>
            </w:r>
          </w:p>
        </w:tc>
      </w:tr>
      <w:tr>
        <w:trPr>
          <w:trHeight w:val="148"/>
        </w:trPr>
        <w:tc>
          <w:tcPr>
            <w:tcW w:w="7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Huntington</w:t>
            </w:r>
          </w:p>
        </w:tc>
        <w:tc>
          <w:tcPr>
            <w:tcW w:w="42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6"/>
              </w:rPr>
              <w:t>New York-Newark-Jersey City, NY-NJ-PA</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12,899</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74,000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tcPr>
          <w:p>
            <w:pPr>
              <w:ind w:left="40"/>
              <w:spacing w:after="0" w:line="148" w:lineRule="exact"/>
              <w:rPr>
                <w:sz w:val="20"/>
                <w:szCs w:val="20"/>
                <w:color w:val="auto"/>
              </w:rPr>
            </w:pPr>
            <w:r>
              <w:rPr>
                <w:rFonts w:ascii="Arial" w:cs="Arial" w:eastAsia="Arial" w:hAnsi="Arial"/>
                <w:sz w:val="13"/>
                <w:szCs w:val="13"/>
                <w:color w:val="auto"/>
              </w:rPr>
              <w:t>Barnes &amp; Noble</w:t>
            </w:r>
          </w:p>
        </w:tc>
      </w:tr>
      <w:tr>
        <w:trPr>
          <w:trHeight w:val="168"/>
        </w:trPr>
        <w:tc>
          <w:tcPr>
            <w:tcW w:w="780" w:type="dxa"/>
            <w:vAlign w:val="bottom"/>
            <w:gridSpan w:val="2"/>
          </w:tcPr>
          <w:p>
            <w:pPr>
              <w:ind w:left="40"/>
              <w:spacing w:after="0"/>
              <w:rPr>
                <w:sz w:val="20"/>
                <w:szCs w:val="20"/>
                <w:color w:val="auto"/>
              </w:rPr>
            </w:pPr>
            <w:r>
              <w:rPr>
                <w:rFonts w:ascii="Arial" w:cs="Arial" w:eastAsia="Arial" w:hAnsi="Arial"/>
                <w:sz w:val="13"/>
                <w:szCs w:val="13"/>
                <w:color w:val="auto"/>
              </w:rPr>
              <w:t>Square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Melville Mall</w:t>
            </w:r>
          </w:p>
        </w:tc>
        <w:tc>
          <w:tcPr>
            <w:tcW w:w="42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6"/>
              </w:rPr>
              <w:t>New York-Newark-Jersey City, NY-NJ-PA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93,848</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251,000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53,000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Uncle</w:t>
            </w: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Marshalls / Dick's Sporting Goods / Field</w:t>
            </w:r>
          </w:p>
        </w:tc>
      </w:tr>
      <w:tr>
        <w:trPr>
          <w:trHeight w:val="135"/>
        </w:trPr>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Giuseppe's</w:t>
            </w:r>
          </w:p>
        </w:tc>
        <w:tc>
          <w:tcPr>
            <w:tcW w:w="220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&amp; Stream / Macy's Backstage</w:t>
            </w:r>
          </w:p>
        </w:tc>
      </w:tr>
      <w:tr>
        <w:trPr>
          <w:trHeight w:val="176"/>
        </w:trPr>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Marketplace</w:t>
            </w:r>
          </w:p>
        </w:tc>
        <w:tc>
          <w:tcPr>
            <w:tcW w:w="2200" w:type="dxa"/>
            <w:vAlign w:val="bottom"/>
            <w:shd w:val="clear" w:color="auto" w:fill="CCEEFF"/>
          </w:tcPr>
          <w:p>
            <w:pPr>
              <w:spacing w:after="0"/>
              <w:rPr>
                <w:sz w:val="15"/>
                <w:szCs w:val="15"/>
                <w:color w:val="auto"/>
              </w:rPr>
            </w:pPr>
          </w:p>
        </w:tc>
      </w:tr>
      <w:tr>
        <w:trPr>
          <w:trHeight w:val="148"/>
        </w:trPr>
        <w:tc>
          <w:tcPr>
            <w:tcW w:w="7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Mercer Mall</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87"/>
              </w:rPr>
              <w:t>(8)</w:t>
            </w: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Trenton, NJ</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128,220</w:t>
            </w:r>
          </w:p>
        </w:tc>
        <w:tc>
          <w:tcPr>
            <w:tcW w:w="1040" w:type="dxa"/>
            <w:vAlign w:val="bottom"/>
          </w:tcPr>
          <w:p>
            <w:pPr>
              <w:jc w:val="right"/>
              <w:ind w:right="98"/>
              <w:spacing w:after="0" w:line="148" w:lineRule="exact"/>
              <w:rPr>
                <w:sz w:val="20"/>
                <w:szCs w:val="20"/>
                <w:color w:val="auto"/>
              </w:rPr>
            </w:pPr>
            <w:r>
              <w:rPr>
                <w:rFonts w:ascii="Arial" w:cs="Arial" w:eastAsia="Arial" w:hAnsi="Arial"/>
                <w:sz w:val="13"/>
                <w:szCs w:val="13"/>
                <w:color w:val="auto"/>
              </w:rPr>
              <w:t>55,452</w:t>
            </w: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50</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551,000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75,000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Shop Rite</w:t>
            </w:r>
          </w:p>
        </w:tc>
        <w:tc>
          <w:tcPr>
            <w:tcW w:w="2200" w:type="dxa"/>
            <w:vAlign w:val="bottom"/>
          </w:tcPr>
          <w:p>
            <w:pPr>
              <w:ind w:left="40"/>
              <w:spacing w:after="0" w:line="148" w:lineRule="exact"/>
              <w:rPr>
                <w:sz w:val="20"/>
                <w:szCs w:val="20"/>
                <w:color w:val="auto"/>
              </w:rPr>
            </w:pPr>
            <w:r>
              <w:rPr>
                <w:rFonts w:ascii="Arial" w:cs="Arial" w:eastAsia="Arial" w:hAnsi="Arial"/>
                <w:sz w:val="13"/>
                <w:szCs w:val="13"/>
                <w:color w:val="auto"/>
                <w:w w:val="91"/>
              </w:rPr>
              <w:t>Ross Dress For Less / Nordstrom Rack /</w:t>
            </w:r>
          </w:p>
        </w:tc>
      </w:tr>
      <w:tr>
        <w:trPr>
          <w:trHeight w:val="168"/>
        </w:trPr>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Arial" w:cs="Arial" w:eastAsia="Arial" w:hAnsi="Arial"/>
                <w:sz w:val="13"/>
                <w:szCs w:val="13"/>
                <w:color w:val="auto"/>
              </w:rPr>
              <w:t>Bed, Bath &amp; Beyond / REI</w:t>
            </w:r>
          </w:p>
        </w:tc>
      </w:tr>
      <w:tr>
        <w:trPr>
          <w:trHeight w:val="15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4"/>
              </w:rPr>
              <w:t>The Grove at</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(4) (7)</w:t>
            </w: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6"/>
              </w:rPr>
              <w:t>New York-Newark-Jersey City, NY-NJ-PA</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125,399</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43,600</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192,000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Lululemon / Anthropologie / Pottery Barn</w:t>
            </w:r>
          </w:p>
        </w:tc>
      </w:tr>
      <w:tr>
        <w:trPr>
          <w:trHeight w:val="176"/>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Shrewsbury</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 Williams-Sonoma</w:t>
            </w: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747" w:right="239" w:bottom="1440" w:gutter="0" w:footer="0" w:header="0"/>
          <w:type w:val="continuous"/>
        </w:sectPr>
      </w:pPr>
    </w:p>
    <w:bookmarkStart w:id="24" w:name="page25"/>
    <w:bookmarkEnd w:id="24"/>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7"/>
              </w:rPr>
              <w:t>Real</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Mortgage/Finance</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17"/>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60" w:type="dxa"/>
            <w:vAlign w:val="bottom"/>
            <w:gridSpan w:val="6"/>
          </w:tcPr>
          <w:p>
            <w:pPr>
              <w:ind w:left="120"/>
              <w:spacing w:after="0" w:line="135" w:lineRule="exact"/>
              <w:rPr>
                <w:sz w:val="20"/>
                <w:szCs w:val="20"/>
                <w:color w:val="auto"/>
              </w:rPr>
            </w:pPr>
            <w:r>
              <w:rPr>
                <w:rFonts w:ascii="Arial" w:cs="Arial" w:eastAsia="Arial" w:hAnsi="Arial"/>
                <w:sz w:val="13"/>
                <w:szCs w:val="13"/>
                <w:b w:val="1"/>
                <w:bCs w:val="1"/>
                <w:color w:val="auto"/>
              </w:rPr>
              <w:t>Property</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Lease Liabilities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Leased</w:t>
            </w: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22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6"/>
          </w:tcPr>
          <w:p>
            <w:pPr>
              <w:ind w:left="200"/>
              <w:spacing w:after="0"/>
              <w:rPr>
                <w:sz w:val="20"/>
                <w:szCs w:val="20"/>
                <w:color w:val="auto"/>
              </w:rPr>
            </w:pPr>
            <w:r>
              <w:rPr>
                <w:rFonts w:ascii="Arial" w:cs="Arial" w:eastAsia="Arial" w:hAnsi="Arial"/>
                <w:sz w:val="13"/>
                <w:szCs w:val="13"/>
                <w:b w:val="1"/>
                <w:bCs w:val="1"/>
                <w:color w:val="auto"/>
              </w:rPr>
              <w:t>Name</w:t>
            </w:r>
          </w:p>
        </w:tc>
        <w:tc>
          <w:tcPr>
            <w:tcW w:w="4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7"/>
              </w:rPr>
              <w:t>Acreage</w:t>
            </w:r>
          </w:p>
        </w:tc>
        <w:tc>
          <w:tcPr>
            <w:tcW w:w="7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GLA (3)</w:t>
            </w: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(3)</w:t>
            </w: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4"/>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2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104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95"/>
        </w:trPr>
        <w:tc>
          <w:tcPr>
            <w:tcW w:w="800" w:type="dxa"/>
            <w:vAlign w:val="bottom"/>
            <w:gridSpan w:val="7"/>
          </w:tcPr>
          <w:p>
            <w:pPr>
              <w:ind w:left="40"/>
              <w:spacing w:after="0"/>
              <w:rPr>
                <w:sz w:val="20"/>
                <w:szCs w:val="20"/>
                <w:color w:val="auto"/>
              </w:rPr>
            </w:pPr>
            <w:r>
              <w:rPr>
                <w:rFonts w:ascii="Arial" w:cs="Arial" w:eastAsia="Arial" w:hAnsi="Arial"/>
                <w:sz w:val="13"/>
                <w:szCs w:val="13"/>
                <w:color w:val="auto"/>
              </w:rPr>
              <w:t>Troy Hills</w:t>
            </w:r>
          </w:p>
        </w:tc>
        <w:tc>
          <w:tcPr>
            <w:tcW w:w="400" w:type="dxa"/>
            <w:vAlign w:val="bottom"/>
          </w:tcPr>
          <w:p>
            <w:pPr>
              <w:spacing w:after="0"/>
              <w:rPr>
                <w:sz w:val="16"/>
                <w:szCs w:val="16"/>
                <w:color w:val="auto"/>
              </w:rPr>
            </w:pPr>
          </w:p>
        </w:tc>
        <w:tc>
          <w:tcPr>
            <w:tcW w:w="2380" w:type="dxa"/>
            <w:vAlign w:val="bottom"/>
            <w:gridSpan w:val="2"/>
          </w:tcPr>
          <w:p>
            <w:pPr>
              <w:ind w:left="40"/>
              <w:spacing w:after="0"/>
              <w:rPr>
                <w:sz w:val="20"/>
                <w:szCs w:val="20"/>
                <w:color w:val="auto"/>
              </w:rPr>
            </w:pPr>
            <w:r>
              <w:rPr>
                <w:rFonts w:ascii="Arial" w:cs="Arial" w:eastAsia="Arial" w:hAnsi="Arial"/>
                <w:sz w:val="13"/>
                <w:szCs w:val="13"/>
                <w:color w:val="auto"/>
                <w:w w:val="96"/>
              </w:rPr>
              <w:t>New York-Newark-Jersey City, NY-NJ-PA</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40,019</w:t>
            </w:r>
          </w:p>
        </w:tc>
        <w:tc>
          <w:tcPr>
            <w:tcW w:w="1040" w:type="dxa"/>
            <w:vAlign w:val="bottom"/>
          </w:tcPr>
          <w:p>
            <w:pPr>
              <w:spacing w:after="0"/>
              <w:rPr>
                <w:sz w:val="16"/>
                <w:szCs w:val="16"/>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6"/>
                <w:szCs w:val="16"/>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211,000</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100%</w:t>
            </w: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Target / L.A. Fitness / Michaels</w:t>
            </w:r>
          </w:p>
        </w:tc>
      </w:tr>
      <w:tr>
        <w:trPr>
          <w:trHeight w:val="97"/>
        </w:trPr>
        <w:tc>
          <w:tcPr>
            <w:tcW w:w="40" w:type="dxa"/>
            <w:vAlign w:val="bottom"/>
            <w:tcBorders>
              <w:bottom w:val="single" w:sz="8" w:color="CCEEFF"/>
            </w:tcBorders>
          </w:tcPr>
          <w:p>
            <w:pPr>
              <w:spacing w:after="0"/>
              <w:rPr>
                <w:sz w:val="8"/>
                <w:szCs w:val="8"/>
                <w:color w:val="auto"/>
              </w:rPr>
            </w:pPr>
          </w:p>
        </w:tc>
        <w:tc>
          <w:tcPr>
            <w:tcW w:w="30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400" w:type="dxa"/>
            <w:vAlign w:val="bottom"/>
            <w:tcBorders>
              <w:bottom w:val="single" w:sz="8" w:color="CCEEFF"/>
            </w:tcBorders>
          </w:tcPr>
          <w:p>
            <w:pPr>
              <w:spacing w:after="0"/>
              <w:rPr>
                <w:sz w:val="8"/>
                <w:szCs w:val="8"/>
                <w:color w:val="auto"/>
              </w:rPr>
            </w:pPr>
          </w:p>
        </w:tc>
        <w:tc>
          <w:tcPr>
            <w:tcW w:w="620" w:type="dxa"/>
            <w:vAlign w:val="bottom"/>
            <w:tcBorders>
              <w:bottom w:val="single" w:sz="8" w:color="CCEEFF"/>
            </w:tcBorders>
          </w:tcPr>
          <w:p>
            <w:pPr>
              <w:spacing w:after="0"/>
              <w:rPr>
                <w:sz w:val="8"/>
                <w:szCs w:val="8"/>
                <w:color w:val="auto"/>
              </w:rPr>
            </w:pPr>
          </w:p>
        </w:tc>
        <w:tc>
          <w:tcPr>
            <w:tcW w:w="176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4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00" w:type="dxa"/>
            <w:vAlign w:val="bottom"/>
            <w:tcBorders>
              <w:bottom w:val="single" w:sz="8" w:color="CCEEFF"/>
            </w:tcBorders>
          </w:tcPr>
          <w:p>
            <w:pPr>
              <w:spacing w:after="0"/>
              <w:rPr>
                <w:sz w:val="8"/>
                <w:szCs w:val="8"/>
                <w:color w:val="auto"/>
              </w:rPr>
            </w:pPr>
          </w:p>
        </w:tc>
        <w:tc>
          <w:tcPr>
            <w:tcW w:w="580" w:type="dxa"/>
            <w:vAlign w:val="bottom"/>
            <w:tcBorders>
              <w:bottom w:val="single" w:sz="8" w:color="CCEEFF"/>
            </w:tcBorders>
          </w:tcPr>
          <w:p>
            <w:pPr>
              <w:spacing w:after="0"/>
              <w:rPr>
                <w:sz w:val="8"/>
                <w:szCs w:val="8"/>
                <w:color w:val="auto"/>
              </w:rPr>
            </w:pPr>
          </w:p>
        </w:tc>
        <w:tc>
          <w:tcPr>
            <w:tcW w:w="820" w:type="dxa"/>
            <w:vAlign w:val="bottom"/>
            <w:tcBorders>
              <w:bottom w:val="single" w:sz="8" w:color="CCEEFF"/>
            </w:tcBorders>
          </w:tcPr>
          <w:p>
            <w:pPr>
              <w:spacing w:after="0"/>
              <w:rPr>
                <w:sz w:val="8"/>
                <w:szCs w:val="8"/>
                <w:color w:val="auto"/>
              </w:rPr>
            </w:pPr>
          </w:p>
        </w:tc>
        <w:tc>
          <w:tcPr>
            <w:tcW w:w="222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Total NY Metro/New Jersey</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803,904</w:t>
            </w:r>
          </w:p>
        </w:tc>
        <w:tc>
          <w:tcPr>
            <w:tcW w:w="10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262</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2,822,000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7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80" w:type="dxa"/>
            <w:vAlign w:val="bottom"/>
            <w:gridSpan w:val="3"/>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220" w:type="dxa"/>
            <w:vAlign w:val="bottom"/>
            <w:shd w:val="clear" w:color="auto" w:fill="CCEEFF"/>
          </w:tcPr>
          <w:p>
            <w:pPr>
              <w:spacing w:after="0"/>
              <w:rPr>
                <w:sz w:val="7"/>
                <w:szCs w:val="7"/>
                <w:color w:val="auto"/>
              </w:rPr>
            </w:pPr>
          </w:p>
        </w:tc>
      </w:tr>
      <w:tr>
        <w:trPr>
          <w:trHeight w:val="176"/>
        </w:trPr>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spacing w:after="0"/>
              <w:rPr>
                <w:sz w:val="15"/>
                <w:szCs w:val="15"/>
                <w:color w:val="auto"/>
              </w:rPr>
            </w:pPr>
          </w:p>
        </w:tc>
        <w:tc>
          <w:tcPr>
            <w:tcW w:w="1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49"/>
        </w:trPr>
        <w:tc>
          <w:tcPr>
            <w:tcW w:w="40" w:type="dxa"/>
            <w:vAlign w:val="bottom"/>
            <w:shd w:val="clear" w:color="auto" w:fill="CCEEFF"/>
          </w:tcPr>
          <w:p>
            <w:pPr>
              <w:spacing w:after="0"/>
              <w:rPr>
                <w:sz w:val="12"/>
                <w:szCs w:val="12"/>
                <w:color w:val="auto"/>
              </w:rPr>
            </w:pPr>
          </w:p>
        </w:tc>
        <w:tc>
          <w:tcPr>
            <w:tcW w:w="3540" w:type="dxa"/>
            <w:vAlign w:val="bottom"/>
            <w:gridSpan w:val="9"/>
            <w:shd w:val="clear" w:color="auto" w:fill="CCEEFF"/>
          </w:tcPr>
          <w:p>
            <w:pPr>
              <w:ind w:left="60"/>
              <w:spacing w:after="0"/>
              <w:rPr>
                <w:sz w:val="20"/>
                <w:szCs w:val="20"/>
                <w:color w:val="auto"/>
              </w:rPr>
            </w:pPr>
            <w:r>
              <w:rPr>
                <w:rFonts w:ascii="Arial" w:cs="Arial" w:eastAsia="Arial" w:hAnsi="Arial"/>
                <w:sz w:val="13"/>
                <w:szCs w:val="13"/>
                <w:b w:val="1"/>
                <w:bCs w:val="1"/>
                <w:color w:val="auto"/>
              </w:rPr>
              <w:t>Philadelphia Metropolitan Area</w:t>
            </w: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7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220" w:type="dxa"/>
            <w:vAlign w:val="bottom"/>
            <w:tcBorders>
              <w:top w:val="single" w:sz="8" w:color="CCEEFF"/>
            </w:tcBorders>
            <w:shd w:val="clear" w:color="auto" w:fill="CCEEFF"/>
          </w:tcPr>
          <w:p>
            <w:pPr>
              <w:spacing w:after="0"/>
              <w:rPr>
                <w:sz w:val="8"/>
                <w:szCs w:val="8"/>
                <w:color w:val="auto"/>
              </w:rPr>
            </w:pPr>
          </w:p>
        </w:tc>
      </w:tr>
      <w:tr>
        <w:trPr>
          <w:trHeight w:val="148"/>
        </w:trPr>
        <w:tc>
          <w:tcPr>
            <w:tcW w:w="80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Andorra</w:t>
            </w:r>
          </w:p>
        </w:tc>
        <w:tc>
          <w:tcPr>
            <w:tcW w:w="40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5"/>
              </w:rPr>
              <w:t>Philadelphia-Camden-Wilmington, PA-NJ-</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25,610</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265,000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85%</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24,000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Acme</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Kohl's / L.A. Fitness / Staples</w:t>
            </w:r>
          </w:p>
        </w:tc>
      </w:tr>
      <w:tr>
        <w:trPr>
          <w:trHeight w:val="168"/>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Markets</w:t>
            </w:r>
          </w:p>
        </w:tc>
        <w:tc>
          <w:tcPr>
            <w:tcW w:w="2220" w:type="dxa"/>
            <w:vAlign w:val="bottom"/>
          </w:tcPr>
          <w:p>
            <w:pPr>
              <w:spacing w:after="0"/>
              <w:rPr>
                <w:sz w:val="14"/>
                <w:szCs w:val="14"/>
                <w:color w:val="auto"/>
              </w:rPr>
            </w:pPr>
          </w:p>
        </w:tc>
      </w:tr>
      <w:tr>
        <w:trPr>
          <w:trHeight w:val="15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w w:val="97"/>
              </w:rPr>
              <w:t>Bala Cynwyd</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Philadelphia-Camden-Wilmington, PA-NJ-</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45,484</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294,000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Acme</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7"/>
              </w:rPr>
              <w:t>Lord &amp; Taylor / Michaels / L.A. Fitness</w:t>
            </w:r>
          </w:p>
        </w:tc>
      </w:tr>
      <w:tr>
        <w:trPr>
          <w:trHeight w:val="176"/>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Markets</w:t>
            </w:r>
          </w:p>
        </w:tc>
        <w:tc>
          <w:tcPr>
            <w:tcW w:w="2220" w:type="dxa"/>
            <w:vAlign w:val="bottom"/>
            <w:shd w:val="clear" w:color="auto" w:fill="CCEEFF"/>
          </w:tcPr>
          <w:p>
            <w:pPr>
              <w:spacing w:after="0"/>
              <w:rPr>
                <w:sz w:val="15"/>
                <w:szCs w:val="15"/>
                <w:color w:val="auto"/>
              </w:rPr>
            </w:pPr>
          </w:p>
        </w:tc>
      </w:tr>
      <w:tr>
        <w:trPr>
          <w:trHeight w:val="148"/>
        </w:trPr>
        <w:tc>
          <w:tcPr>
            <w:tcW w:w="80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Ellisburg</w:t>
            </w:r>
          </w:p>
        </w:tc>
        <w:tc>
          <w:tcPr>
            <w:tcW w:w="40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5"/>
              </w:rPr>
              <w:t>Philadelphia-Camden-Wilmington, PA-NJ-</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34,231</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28</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268,000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90%</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47,000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3"/>
              </w:rPr>
              <w:t>Whole Foods</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Buy Buy Baby / Stein Mart</w:t>
            </w:r>
          </w:p>
        </w:tc>
      </w:tr>
      <w:tr>
        <w:trPr>
          <w:trHeight w:val="168"/>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Flourtown</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Philadelphia-Camden-Wilmington, PA-NJ-</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16,978</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156,000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75,000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Movie Tavern</w:t>
            </w:r>
          </w:p>
        </w:tc>
      </w:tr>
      <w:tr>
        <w:trPr>
          <w:trHeight w:val="176"/>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0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Langhorne</w:t>
            </w:r>
          </w:p>
        </w:tc>
        <w:tc>
          <w:tcPr>
            <w:tcW w:w="40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5"/>
              </w:rPr>
              <w:t>Philadelphia-Camden-Wilmington, PA-NJ-</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22,436</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227,000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Redner's</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Marshalls / Planet Fitness</w:t>
            </w:r>
          </w:p>
        </w:tc>
      </w:tr>
      <w:tr>
        <w:trPr>
          <w:trHeight w:val="135"/>
        </w:trPr>
        <w:tc>
          <w:tcPr>
            <w:tcW w:w="800" w:type="dxa"/>
            <w:vAlign w:val="bottom"/>
            <w:gridSpan w:val="7"/>
          </w:tcPr>
          <w:p>
            <w:pPr>
              <w:ind w:left="40"/>
              <w:spacing w:after="0" w:line="135" w:lineRule="exact"/>
              <w:rPr>
                <w:sz w:val="20"/>
                <w:szCs w:val="20"/>
                <w:color w:val="auto"/>
              </w:rPr>
            </w:pPr>
            <w:r>
              <w:rPr>
                <w:rFonts w:ascii="Arial" w:cs="Arial" w:eastAsia="Arial" w:hAnsi="Arial"/>
                <w:sz w:val="13"/>
                <w:szCs w:val="13"/>
                <w:color w:val="auto"/>
              </w:rPr>
              <w:t>Square</w:t>
            </w:r>
          </w:p>
        </w:tc>
        <w:tc>
          <w:tcPr>
            <w:tcW w:w="400" w:type="dxa"/>
            <w:vAlign w:val="bottom"/>
          </w:tcPr>
          <w:p>
            <w:pPr>
              <w:spacing w:after="0"/>
              <w:rPr>
                <w:sz w:val="11"/>
                <w:szCs w:val="11"/>
                <w:color w:val="auto"/>
              </w:rPr>
            </w:pPr>
          </w:p>
        </w:tc>
        <w:tc>
          <w:tcPr>
            <w:tcW w:w="23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DE-MD</w:t>
            </w: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3"/>
                <w:szCs w:val="13"/>
                <w:color w:val="auto"/>
              </w:rPr>
              <w:t>Warehouse</w:t>
            </w:r>
          </w:p>
        </w:tc>
        <w:tc>
          <w:tcPr>
            <w:tcW w:w="222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Mkts.</w:t>
            </w:r>
          </w:p>
        </w:tc>
        <w:tc>
          <w:tcPr>
            <w:tcW w:w="2220" w:type="dxa"/>
            <w:vAlign w:val="bottom"/>
          </w:tcPr>
          <w:p>
            <w:pPr>
              <w:spacing w:after="0"/>
              <w:rPr>
                <w:sz w:val="14"/>
                <w:szCs w:val="14"/>
                <w:color w:val="auto"/>
              </w:rPr>
            </w:pPr>
          </w:p>
        </w:tc>
      </w:tr>
      <w:tr>
        <w:trPr>
          <w:trHeight w:val="15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Lawrence</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Philadelphia-Camden-Wilmington, PA-NJ-</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33,255</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374,000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53,000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Acme</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1"/>
              </w:rPr>
              <w:t>TJ Maxx / HomeGoods / Barnes &amp; Noble</w:t>
            </w:r>
          </w:p>
        </w:tc>
      </w:tr>
      <w:tr>
        <w:trPr>
          <w:trHeight w:val="17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Park</w:t>
            </w:r>
          </w:p>
        </w:tc>
        <w:tc>
          <w:tcPr>
            <w:tcW w:w="4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Markets</w:t>
            </w:r>
          </w:p>
        </w:tc>
        <w:tc>
          <w:tcPr>
            <w:tcW w:w="2220" w:type="dxa"/>
            <w:vAlign w:val="bottom"/>
            <w:shd w:val="clear" w:color="auto" w:fill="CCEEFF"/>
          </w:tcPr>
          <w:p>
            <w:pPr>
              <w:spacing w:after="0"/>
              <w:rPr>
                <w:sz w:val="15"/>
                <w:szCs w:val="15"/>
                <w:color w:val="auto"/>
              </w:rPr>
            </w:pPr>
          </w:p>
        </w:tc>
      </w:tr>
      <w:tr>
        <w:trPr>
          <w:trHeight w:val="148"/>
        </w:trPr>
        <w:tc>
          <w:tcPr>
            <w:tcW w:w="80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Northeast</w:t>
            </w:r>
          </w:p>
        </w:tc>
        <w:tc>
          <w:tcPr>
            <w:tcW w:w="40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5"/>
              </w:rPr>
              <w:t>Philadelphia-Camden-Wilmington, PA-NJ-</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34,067</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19</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292,000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85%</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Marshalls / Burlington / Ulta / A.C.</w:t>
            </w:r>
          </w:p>
        </w:tc>
      </w:tr>
      <w:tr>
        <w:trPr>
          <w:trHeight w:val="168"/>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Moore</w:t>
            </w:r>
          </w:p>
        </w:tc>
      </w:tr>
      <w:tr>
        <w:trPr>
          <w:trHeight w:val="15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w w:val="99"/>
              </w:rPr>
              <w:t>Town Center</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Philadelphia-Camden-Wilmington, PA-NJ-</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15,374</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124,000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36,000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Rite Aid / Dollar Tree</w:t>
            </w:r>
          </w:p>
        </w:tc>
      </w:tr>
      <w:tr>
        <w:trPr>
          <w:trHeight w:val="135"/>
        </w:trPr>
        <w:tc>
          <w:tcPr>
            <w:tcW w:w="800" w:type="dxa"/>
            <w:vAlign w:val="bottom"/>
            <w:gridSpan w:val="7"/>
            <w:shd w:val="clear" w:color="auto" w:fill="CCEEFF"/>
          </w:tcPr>
          <w:p>
            <w:pPr>
              <w:ind w:left="40"/>
              <w:spacing w:after="0" w:line="135" w:lineRule="exact"/>
              <w:rPr>
                <w:sz w:val="20"/>
                <w:szCs w:val="20"/>
                <w:color w:val="auto"/>
              </w:rPr>
            </w:pPr>
            <w:r>
              <w:rPr>
                <w:rFonts w:ascii="Arial" w:cs="Arial" w:eastAsia="Arial" w:hAnsi="Arial"/>
                <w:sz w:val="13"/>
                <w:szCs w:val="13"/>
                <w:color w:val="auto"/>
              </w:rPr>
              <w:t>of New</w:t>
            </w:r>
          </w:p>
        </w:tc>
        <w:tc>
          <w:tcPr>
            <w:tcW w:w="40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DE-MD</w:t>
            </w: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r>
      <w:tr>
        <w:trPr>
          <w:trHeight w:val="17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Britain</w:t>
            </w: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00" w:type="dxa"/>
            <w:vAlign w:val="bottom"/>
            <w:gridSpan w:val="7"/>
          </w:tcPr>
          <w:p>
            <w:pPr>
              <w:ind w:left="40"/>
              <w:spacing w:after="0" w:line="148" w:lineRule="exact"/>
              <w:rPr>
                <w:sz w:val="20"/>
                <w:szCs w:val="20"/>
                <w:color w:val="auto"/>
              </w:rPr>
            </w:pPr>
            <w:r>
              <w:rPr>
                <w:rFonts w:ascii="Arial" w:cs="Arial" w:eastAsia="Arial" w:hAnsi="Arial"/>
                <w:sz w:val="13"/>
                <w:szCs w:val="13"/>
                <w:color w:val="auto"/>
                <w:w w:val="96"/>
              </w:rPr>
              <w:t>Willow Grove</w:t>
            </w:r>
          </w:p>
        </w:tc>
        <w:tc>
          <w:tcPr>
            <w:tcW w:w="40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5"/>
              </w:rPr>
              <w:t>Philadelphia-Camden-Wilmington, PA-NJ-</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30,255</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211,000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Marshalls / HomeGoods / Barnes &amp;</w:t>
            </w:r>
          </w:p>
        </w:tc>
      </w:tr>
      <w:tr>
        <w:trPr>
          <w:trHeight w:val="168"/>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Noble</w:t>
            </w:r>
          </w:p>
        </w:tc>
      </w:tr>
      <w:tr>
        <w:trPr>
          <w:trHeight w:val="15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Wynnewood</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Philadelphia-Camden-Wilmington, PA-NJ-</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42,878</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251,000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w:t>
            </w: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98,000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6"/>
              </w:rPr>
              <w:t>Bed, Bath &amp; Beyond / Old Navy / DSW</w:t>
            </w:r>
          </w:p>
        </w:tc>
      </w:tr>
      <w:tr>
        <w:trPr>
          <w:trHeight w:val="176"/>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60" w:type="dxa"/>
            <w:vAlign w:val="bottom"/>
            <w:tcBorders>
              <w:bottom w:val="single" w:sz="8" w:color="auto"/>
            </w:tcBorders>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Philadelphia Metropolitan Area</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300,568</w:t>
            </w:r>
          </w:p>
        </w:tc>
        <w:tc>
          <w:tcPr>
            <w:tcW w:w="1040" w:type="dxa"/>
            <w:vAlign w:val="bottom"/>
          </w:tcPr>
          <w:p>
            <w:pPr>
              <w:spacing w:after="0"/>
              <w:rPr>
                <w:sz w:val="14"/>
                <w:szCs w:val="14"/>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210</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w w:val="93"/>
              </w:rPr>
              <w:t>2,462,000</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91%</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20" w:type="dxa"/>
            <w:vAlign w:val="bottom"/>
          </w:tcPr>
          <w:p>
            <w:pPr>
              <w:spacing w:after="0"/>
              <w:rPr>
                <w:sz w:val="7"/>
                <w:szCs w:val="7"/>
                <w:color w:val="auto"/>
              </w:rPr>
            </w:pPr>
          </w:p>
        </w:tc>
      </w:tr>
      <w:tr>
        <w:trPr>
          <w:trHeight w:val="176"/>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9"/>
        </w:trPr>
        <w:tc>
          <w:tcPr>
            <w:tcW w:w="40" w:type="dxa"/>
            <w:vAlign w:val="bottom"/>
          </w:tcPr>
          <w:p>
            <w:pPr>
              <w:spacing w:after="0"/>
              <w:rPr>
                <w:sz w:val="12"/>
                <w:szCs w:val="12"/>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82"/>
              </w:rPr>
              <w:t>New</w:t>
            </w:r>
          </w:p>
        </w:tc>
        <w:tc>
          <w:tcPr>
            <w:tcW w:w="460" w:type="dxa"/>
            <w:vAlign w:val="bottom"/>
            <w:gridSpan w:val="5"/>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15"/>
        </w:trPr>
        <w:tc>
          <w:tcPr>
            <w:tcW w:w="40" w:type="dxa"/>
            <w:vAlign w:val="bottom"/>
          </w:tcPr>
          <w:p>
            <w:pPr>
              <w:spacing w:after="0"/>
              <w:rPr>
                <w:sz w:val="10"/>
                <w:szCs w:val="10"/>
                <w:color w:val="auto"/>
              </w:rPr>
            </w:pPr>
          </w:p>
        </w:tc>
        <w:tc>
          <w:tcPr>
            <w:tcW w:w="760" w:type="dxa"/>
            <w:vAlign w:val="bottom"/>
            <w:gridSpan w:val="6"/>
          </w:tcPr>
          <w:p>
            <w:pPr>
              <w:spacing w:after="0" w:line="115" w:lineRule="exact"/>
              <w:rPr>
                <w:sz w:val="20"/>
                <w:szCs w:val="20"/>
                <w:color w:val="auto"/>
              </w:rPr>
            </w:pPr>
            <w:r>
              <w:rPr>
                <w:rFonts w:ascii="Arial" w:cs="Arial" w:eastAsia="Arial" w:hAnsi="Arial"/>
                <w:sz w:val="13"/>
                <w:szCs w:val="13"/>
                <w:b w:val="1"/>
                <w:bCs w:val="1"/>
                <w:color w:val="auto"/>
              </w:rPr>
              <w:t>England</w:t>
            </w: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20" w:type="dxa"/>
            <w:vAlign w:val="bottom"/>
          </w:tcPr>
          <w:p>
            <w:pPr>
              <w:spacing w:after="0"/>
              <w:rPr>
                <w:sz w:val="10"/>
                <w:szCs w:val="10"/>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48"/>
        </w:trPr>
        <w:tc>
          <w:tcPr>
            <w:tcW w:w="800" w:type="dxa"/>
            <w:vAlign w:val="bottom"/>
            <w:gridSpan w:val="7"/>
            <w:shd w:val="clear" w:color="auto" w:fill="CCEEFF"/>
          </w:tcPr>
          <w:p>
            <w:pPr>
              <w:ind w:left="40"/>
              <w:spacing w:after="0" w:line="148" w:lineRule="exact"/>
              <w:rPr>
                <w:sz w:val="20"/>
                <w:szCs w:val="20"/>
                <w:color w:val="auto"/>
              </w:rPr>
            </w:pPr>
            <w:r>
              <w:rPr>
                <w:rFonts w:ascii="Arial" w:cs="Arial" w:eastAsia="Arial" w:hAnsi="Arial"/>
                <w:sz w:val="13"/>
                <w:szCs w:val="13"/>
                <w:color w:val="auto"/>
              </w:rPr>
              <w:t>Assembly</w:t>
            </w:r>
          </w:p>
        </w:tc>
        <w:tc>
          <w:tcPr>
            <w:tcW w:w="4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(6)</w:t>
            </w:r>
          </w:p>
        </w:tc>
        <w:tc>
          <w:tcPr>
            <w:tcW w:w="23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Boston-Cambridge-Newton, MA-NH</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714,719</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889,000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7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447</w:t>
            </w: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18,000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Trader Joe's</w:t>
            </w:r>
          </w:p>
        </w:tc>
        <w:tc>
          <w:tcPr>
            <w:tcW w:w="22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TJ Maxx / AMC / LEGOLAND</w:t>
            </w:r>
          </w:p>
        </w:tc>
      </w:tr>
      <w:tr>
        <w:trPr>
          <w:trHeight w:val="135"/>
        </w:trPr>
        <w:tc>
          <w:tcPr>
            <w:tcW w:w="800" w:type="dxa"/>
            <w:vAlign w:val="bottom"/>
            <w:gridSpan w:val="7"/>
            <w:shd w:val="clear" w:color="auto" w:fill="CCEEFF"/>
          </w:tcPr>
          <w:p>
            <w:pPr>
              <w:ind w:left="40"/>
              <w:spacing w:after="0" w:line="135" w:lineRule="exact"/>
              <w:rPr>
                <w:sz w:val="20"/>
                <w:szCs w:val="20"/>
                <w:color w:val="auto"/>
              </w:rPr>
            </w:pPr>
            <w:r>
              <w:rPr>
                <w:rFonts w:ascii="Arial" w:cs="Arial" w:eastAsia="Arial" w:hAnsi="Arial"/>
                <w:sz w:val="13"/>
                <w:szCs w:val="13"/>
                <w:color w:val="auto"/>
              </w:rPr>
              <w:t>Row /</w:t>
            </w: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93"/>
              </w:rPr>
              <w:t>Discovery Center / Multiple Restaurants</w:t>
            </w:r>
          </w:p>
        </w:tc>
      </w:tr>
      <w:tr>
        <w:trPr>
          <w:trHeight w:val="135"/>
        </w:trPr>
        <w:tc>
          <w:tcPr>
            <w:tcW w:w="800" w:type="dxa"/>
            <w:vAlign w:val="bottom"/>
            <w:gridSpan w:val="7"/>
            <w:shd w:val="clear" w:color="auto" w:fill="CCEEFF"/>
          </w:tcPr>
          <w:p>
            <w:pPr>
              <w:ind w:left="40"/>
              <w:spacing w:after="0" w:line="135" w:lineRule="exact"/>
              <w:rPr>
                <w:sz w:val="20"/>
                <w:szCs w:val="20"/>
                <w:color w:val="auto"/>
              </w:rPr>
            </w:pPr>
            <w:r>
              <w:rPr>
                <w:rFonts w:ascii="Arial" w:cs="Arial" w:eastAsia="Arial" w:hAnsi="Arial"/>
                <w:sz w:val="13"/>
                <w:szCs w:val="13"/>
                <w:color w:val="auto"/>
              </w:rPr>
              <w:t>Assembly</w:t>
            </w: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&amp; Outlets</w:t>
            </w:r>
          </w:p>
        </w:tc>
      </w:tr>
      <w:tr>
        <w:trPr>
          <w:trHeight w:val="135"/>
        </w:trPr>
        <w:tc>
          <w:tcPr>
            <w:tcW w:w="800" w:type="dxa"/>
            <w:vAlign w:val="bottom"/>
            <w:gridSpan w:val="7"/>
            <w:shd w:val="clear" w:color="auto" w:fill="CCEEFF"/>
          </w:tcPr>
          <w:p>
            <w:pPr>
              <w:ind w:left="40"/>
              <w:spacing w:after="0" w:line="135" w:lineRule="exact"/>
              <w:rPr>
                <w:sz w:val="20"/>
                <w:szCs w:val="20"/>
                <w:color w:val="auto"/>
              </w:rPr>
            </w:pPr>
            <w:r>
              <w:rPr>
                <w:rFonts w:ascii="Arial" w:cs="Arial" w:eastAsia="Arial" w:hAnsi="Arial"/>
                <w:sz w:val="13"/>
                <w:szCs w:val="13"/>
                <w:color w:val="auto"/>
              </w:rPr>
              <w:t>Square</w:t>
            </w: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r>
      <w:tr>
        <w:trPr>
          <w:trHeight w:val="17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Marketplace</w:t>
            </w: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73"/>
        </w:trPr>
        <w:tc>
          <w:tcPr>
            <w:tcW w:w="800" w:type="dxa"/>
            <w:vAlign w:val="bottom"/>
            <w:gridSpan w:val="7"/>
          </w:tcPr>
          <w:p>
            <w:pPr>
              <w:ind w:left="40"/>
              <w:spacing w:after="0"/>
              <w:rPr>
                <w:sz w:val="20"/>
                <w:szCs w:val="20"/>
                <w:color w:val="auto"/>
              </w:rPr>
            </w:pPr>
            <w:r>
              <w:rPr>
                <w:rFonts w:ascii="Arial" w:cs="Arial" w:eastAsia="Arial" w:hAnsi="Arial"/>
                <w:sz w:val="13"/>
                <w:szCs w:val="13"/>
                <w:color w:val="auto"/>
                <w:w w:val="87"/>
              </w:rPr>
              <w:t>Campus Plaza</w:t>
            </w:r>
          </w:p>
        </w:tc>
        <w:tc>
          <w:tcPr>
            <w:tcW w:w="400" w:type="dxa"/>
            <w:vAlign w:val="bottom"/>
          </w:tcPr>
          <w:p>
            <w:pPr>
              <w:spacing w:after="0"/>
              <w:rPr>
                <w:sz w:val="15"/>
                <w:szCs w:val="15"/>
                <w:color w:val="auto"/>
              </w:rPr>
            </w:pPr>
          </w:p>
        </w:tc>
        <w:tc>
          <w:tcPr>
            <w:tcW w:w="2380" w:type="dxa"/>
            <w:vAlign w:val="bottom"/>
            <w:gridSpan w:val="2"/>
          </w:tcPr>
          <w:p>
            <w:pPr>
              <w:ind w:left="40"/>
              <w:spacing w:after="0"/>
              <w:rPr>
                <w:sz w:val="20"/>
                <w:szCs w:val="20"/>
                <w:color w:val="auto"/>
              </w:rPr>
            </w:pPr>
            <w:r>
              <w:rPr>
                <w:rFonts w:ascii="Arial" w:cs="Arial" w:eastAsia="Arial" w:hAnsi="Arial"/>
                <w:sz w:val="13"/>
                <w:szCs w:val="13"/>
                <w:color w:val="auto"/>
              </w:rPr>
              <w:t>Boston-Cambridge-Newton, MA-NH</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30,436</w:t>
            </w:r>
          </w:p>
        </w:tc>
        <w:tc>
          <w:tcPr>
            <w:tcW w:w="104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116,000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97%</w:t>
            </w:r>
          </w:p>
        </w:tc>
        <w:tc>
          <w:tcPr>
            <w:tcW w:w="70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46,000</w:t>
            </w:r>
          </w:p>
        </w:tc>
        <w:tc>
          <w:tcPr>
            <w:tcW w:w="820" w:type="dxa"/>
            <w:vAlign w:val="bottom"/>
          </w:tcPr>
          <w:p>
            <w:pPr>
              <w:ind w:left="80"/>
              <w:spacing w:after="0"/>
              <w:rPr>
                <w:sz w:val="20"/>
                <w:szCs w:val="20"/>
                <w:color w:val="auto"/>
              </w:rPr>
            </w:pPr>
            <w:r>
              <w:rPr>
                <w:rFonts w:ascii="Arial" w:cs="Arial" w:eastAsia="Arial" w:hAnsi="Arial"/>
                <w:sz w:val="13"/>
                <w:szCs w:val="13"/>
                <w:color w:val="auto"/>
              </w:rPr>
              <w:t>Roche Bros.</w:t>
            </w:r>
          </w:p>
        </w:tc>
        <w:tc>
          <w:tcPr>
            <w:tcW w:w="2220" w:type="dxa"/>
            <w:vAlign w:val="bottom"/>
          </w:tcPr>
          <w:p>
            <w:pPr>
              <w:ind w:left="60"/>
              <w:spacing w:after="0"/>
              <w:rPr>
                <w:sz w:val="20"/>
                <w:szCs w:val="20"/>
                <w:color w:val="auto"/>
              </w:rPr>
            </w:pPr>
            <w:r>
              <w:rPr>
                <w:rFonts w:ascii="Arial" w:cs="Arial" w:eastAsia="Arial" w:hAnsi="Arial"/>
                <w:sz w:val="13"/>
                <w:szCs w:val="13"/>
                <w:color w:val="auto"/>
              </w:rPr>
              <w:t>Burlington</w:t>
            </w:r>
          </w:p>
        </w:tc>
      </w:tr>
      <w:tr>
        <w:trPr>
          <w:trHeight w:val="97"/>
        </w:trPr>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20" w:type="dxa"/>
            <w:vAlign w:val="bottom"/>
          </w:tcPr>
          <w:p>
            <w:pPr>
              <w:spacing w:after="0"/>
              <w:rPr>
                <w:sz w:val="8"/>
                <w:szCs w:val="8"/>
                <w:color w:val="auto"/>
              </w:rPr>
            </w:pPr>
          </w:p>
        </w:tc>
      </w:tr>
      <w:tr>
        <w:trPr>
          <w:trHeight w:val="148"/>
        </w:trPr>
        <w:tc>
          <w:tcPr>
            <w:tcW w:w="800" w:type="dxa"/>
            <w:vAlign w:val="bottom"/>
            <w:gridSpan w:val="7"/>
            <w:shd w:val="clear" w:color="auto" w:fill="CCEEFF"/>
          </w:tcPr>
          <w:p>
            <w:pPr>
              <w:ind w:left="40"/>
              <w:spacing w:after="0" w:line="148" w:lineRule="exact"/>
              <w:rPr>
                <w:sz w:val="20"/>
                <w:szCs w:val="20"/>
                <w:color w:val="auto"/>
              </w:rPr>
            </w:pPr>
            <w:r>
              <w:rPr>
                <w:rFonts w:ascii="Arial" w:cs="Arial" w:eastAsia="Arial" w:hAnsi="Arial"/>
                <w:sz w:val="13"/>
                <w:szCs w:val="13"/>
                <w:color w:val="auto"/>
              </w:rPr>
              <w:t>Chelsea</w:t>
            </w:r>
          </w:p>
        </w:tc>
        <w:tc>
          <w:tcPr>
            <w:tcW w:w="40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Boston-Cambridge-Newton, MA-NH</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29,781</w:t>
            </w:r>
          </w:p>
        </w:tc>
        <w:tc>
          <w:tcPr>
            <w:tcW w:w="1040" w:type="dxa"/>
            <w:vAlign w:val="bottom"/>
            <w:shd w:val="clear" w:color="auto" w:fill="CCEEFF"/>
          </w:tcPr>
          <w:p>
            <w:pPr>
              <w:jc w:val="right"/>
              <w:ind w:right="98"/>
              <w:spacing w:after="0" w:line="148" w:lineRule="exact"/>
              <w:rPr>
                <w:sz w:val="20"/>
                <w:szCs w:val="20"/>
                <w:color w:val="auto"/>
              </w:rPr>
            </w:pPr>
            <w:r>
              <w:rPr>
                <w:rFonts w:ascii="Arial" w:cs="Arial" w:eastAsia="Arial" w:hAnsi="Arial"/>
                <w:sz w:val="13"/>
                <w:szCs w:val="13"/>
                <w:color w:val="auto"/>
              </w:rPr>
              <w:t>5,856</w:t>
            </w:r>
          </w:p>
        </w:tc>
        <w:tc>
          <w:tcPr>
            <w:tcW w:w="4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222,000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91%</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Home Depot / Planet Fitness</w:t>
            </w:r>
          </w:p>
        </w:tc>
      </w:tr>
      <w:tr>
        <w:trPr>
          <w:trHeight w:val="17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Commons</w:t>
            </w: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0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Dedham</w:t>
            </w:r>
          </w:p>
        </w:tc>
        <w:tc>
          <w:tcPr>
            <w:tcW w:w="40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Boston-Cambridge-Newton, MA-NH</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44,926</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19</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245,000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80,000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Star Market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Planet Fitness</w:t>
            </w:r>
          </w:p>
        </w:tc>
      </w:tr>
      <w:tr>
        <w:trPr>
          <w:trHeight w:val="168"/>
        </w:trPr>
        <w:tc>
          <w:tcPr>
            <w:tcW w:w="800" w:type="dxa"/>
            <w:vAlign w:val="bottom"/>
            <w:gridSpan w:val="7"/>
          </w:tcPr>
          <w:p>
            <w:pPr>
              <w:ind w:left="40"/>
              <w:spacing w:after="0"/>
              <w:rPr>
                <w:sz w:val="20"/>
                <w:szCs w:val="20"/>
                <w:color w:val="auto"/>
              </w:rPr>
            </w:pPr>
            <w:r>
              <w:rPr>
                <w:rFonts w:ascii="Arial" w:cs="Arial" w:eastAsia="Arial" w:hAnsi="Arial"/>
                <w:sz w:val="13"/>
                <w:szCs w:val="13"/>
                <w:color w:val="auto"/>
              </w:rPr>
              <w:t>Plaza</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Linden</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Boston-Cambridge-Newton, MA-NH</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149,609</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223,000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w:t>
            </w: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50,000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17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Square</w:t>
            </w: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0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North</w:t>
            </w:r>
          </w:p>
        </w:tc>
        <w:tc>
          <w:tcPr>
            <w:tcW w:w="40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Providence-Warwick, RI-MA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9,369</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28</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48,000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8"/>
              </w:rPr>
              <w:t>Stop &amp; Shop</w:t>
            </w:r>
          </w:p>
        </w:tc>
        <w:tc>
          <w:tcPr>
            <w:tcW w:w="2220" w:type="dxa"/>
            <w:vAlign w:val="bottom"/>
          </w:tcPr>
          <w:p>
            <w:pPr>
              <w:spacing w:after="0"/>
              <w:rPr>
                <w:sz w:val="12"/>
                <w:szCs w:val="12"/>
                <w:color w:val="auto"/>
              </w:rPr>
            </w:pPr>
          </w:p>
        </w:tc>
      </w:tr>
      <w:tr>
        <w:trPr>
          <w:trHeight w:val="168"/>
        </w:trPr>
        <w:tc>
          <w:tcPr>
            <w:tcW w:w="800" w:type="dxa"/>
            <w:vAlign w:val="bottom"/>
            <w:gridSpan w:val="7"/>
          </w:tcPr>
          <w:p>
            <w:pPr>
              <w:ind w:left="40"/>
              <w:spacing w:after="0"/>
              <w:rPr>
                <w:sz w:val="20"/>
                <w:szCs w:val="20"/>
                <w:color w:val="auto"/>
              </w:rPr>
            </w:pPr>
            <w:r>
              <w:rPr>
                <w:rFonts w:ascii="Arial" w:cs="Arial" w:eastAsia="Arial" w:hAnsi="Arial"/>
                <w:sz w:val="13"/>
                <w:szCs w:val="13"/>
                <w:color w:val="auto"/>
              </w:rPr>
              <w:t>Dartmouth</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Queen Anne</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Boston-Cambridge-Newton, MA-NH</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18,302</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149,000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50,000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Big Y Foods</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TJ Maxx / HomeGoods</w:t>
            </w:r>
          </w:p>
        </w:tc>
      </w:tr>
      <w:tr>
        <w:trPr>
          <w:trHeight w:val="17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Plaza</w:t>
            </w: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00" w:type="dxa"/>
            <w:vAlign w:val="bottom"/>
            <w:gridSpan w:val="7"/>
          </w:tcPr>
          <w:p>
            <w:pPr>
              <w:ind w:left="40"/>
              <w:spacing w:after="0" w:line="148" w:lineRule="exact"/>
              <w:rPr>
                <w:sz w:val="20"/>
                <w:szCs w:val="20"/>
                <w:color w:val="auto"/>
              </w:rPr>
            </w:pPr>
            <w:r>
              <w:rPr>
                <w:rFonts w:ascii="Arial" w:cs="Arial" w:eastAsia="Arial" w:hAnsi="Arial"/>
                <w:sz w:val="13"/>
                <w:szCs w:val="13"/>
                <w:color w:val="auto"/>
                <w:w w:val="92"/>
              </w:rPr>
              <w:t>Saugus Plaza</w:t>
            </w:r>
          </w:p>
        </w:tc>
        <w:tc>
          <w:tcPr>
            <w:tcW w:w="40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Boston-Cambridge-Newton, MA-NH</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15,935</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169,000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3"/>
              </w:rPr>
              <w:t>Super Stop &amp;</w:t>
            </w:r>
          </w:p>
        </w:tc>
        <w:tc>
          <w:tcPr>
            <w:tcW w:w="2220" w:type="dxa"/>
            <w:vAlign w:val="bottom"/>
          </w:tcPr>
          <w:p>
            <w:pPr>
              <w:spacing w:after="0"/>
              <w:rPr>
                <w:sz w:val="12"/>
                <w:szCs w:val="12"/>
                <w:color w:val="auto"/>
              </w:rPr>
            </w:pPr>
          </w:p>
        </w:tc>
      </w:tr>
      <w:tr>
        <w:trPr>
          <w:trHeight w:val="170"/>
        </w:trPr>
        <w:tc>
          <w:tcPr>
            <w:tcW w:w="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Shop</w:t>
            </w:r>
          </w:p>
        </w:tc>
        <w:tc>
          <w:tcPr>
            <w:tcW w:w="2220" w:type="dxa"/>
            <w:vAlign w:val="bottom"/>
            <w:tcBorders>
              <w:bottom w:val="single" w:sz="8" w:color="CCEEFF"/>
            </w:tcBorders>
          </w:tcPr>
          <w:p>
            <w:pPr>
              <w:spacing w:after="0"/>
              <w:rPr>
                <w:sz w:val="14"/>
                <w:szCs w:val="14"/>
                <w:color w:val="auto"/>
              </w:rPr>
            </w:pPr>
          </w:p>
        </w:tc>
      </w:tr>
      <w:tr>
        <w:trPr>
          <w:trHeight w:val="173"/>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Total New England</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w w:val="89"/>
              </w:rPr>
              <w:t>1,013,077</w:t>
            </w: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2,061,000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220" w:type="dxa"/>
            <w:vAlign w:val="bottom"/>
            <w:shd w:val="clear" w:color="auto" w:fill="CCEEFF"/>
          </w:tcPr>
          <w:p>
            <w:pPr>
              <w:spacing w:after="0"/>
              <w:rPr>
                <w:sz w:val="7"/>
                <w:szCs w:val="7"/>
                <w:color w:val="auto"/>
              </w:rPr>
            </w:pPr>
          </w:p>
        </w:tc>
      </w:tr>
      <w:tr>
        <w:trPr>
          <w:trHeight w:val="270"/>
        </w:trPr>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20" w:type="dxa"/>
            <w:vAlign w:val="bottom"/>
          </w:tcPr>
          <w:p>
            <w:pPr>
              <w:spacing w:after="0"/>
              <w:rPr>
                <w:sz w:val="23"/>
                <w:szCs w:val="23"/>
                <w:color w:val="auto"/>
              </w:rPr>
            </w:pPr>
          </w:p>
        </w:tc>
      </w:tr>
      <w:tr>
        <w:trPr>
          <w:trHeight w:val="149"/>
        </w:trPr>
        <w:tc>
          <w:tcPr>
            <w:tcW w:w="40" w:type="dxa"/>
            <w:vAlign w:val="bottom"/>
            <w:shd w:val="clear" w:color="auto" w:fill="CCEEFF"/>
          </w:tcPr>
          <w:p>
            <w:pPr>
              <w:spacing w:after="0"/>
              <w:rPr>
                <w:sz w:val="12"/>
                <w:szCs w:val="12"/>
                <w:color w:val="auto"/>
              </w:rPr>
            </w:pPr>
          </w:p>
        </w:tc>
        <w:tc>
          <w:tcPr>
            <w:tcW w:w="760" w:type="dxa"/>
            <w:vAlign w:val="bottom"/>
            <w:gridSpan w:val="6"/>
            <w:shd w:val="clear" w:color="auto" w:fill="CCEEFF"/>
          </w:tcPr>
          <w:p>
            <w:pPr>
              <w:ind w:left="60"/>
              <w:spacing w:after="0"/>
              <w:rPr>
                <w:sz w:val="20"/>
                <w:szCs w:val="20"/>
                <w:color w:val="auto"/>
              </w:rPr>
            </w:pPr>
            <w:r>
              <w:rPr>
                <w:rFonts w:ascii="Arial" w:cs="Arial" w:eastAsia="Arial" w:hAnsi="Arial"/>
                <w:sz w:val="13"/>
                <w:szCs w:val="13"/>
                <w:b w:val="1"/>
                <w:bCs w:val="1"/>
                <w:color w:val="auto"/>
              </w:rPr>
              <w:t>South</w:t>
            </w: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r>
      <w:tr>
        <w:trPr>
          <w:trHeight w:val="141"/>
        </w:trPr>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gridSpan w:val="2"/>
            <w:shd w:val="clear" w:color="auto" w:fill="CCEEFF"/>
          </w:tcPr>
          <w:p>
            <w:pPr>
              <w:spacing w:after="0" w:line="115" w:lineRule="exact"/>
              <w:rPr>
                <w:sz w:val="20"/>
                <w:szCs w:val="20"/>
                <w:color w:val="auto"/>
              </w:rPr>
            </w:pPr>
            <w:r>
              <w:rPr>
                <w:rFonts w:ascii="Arial" w:cs="Arial" w:eastAsia="Arial" w:hAnsi="Arial"/>
                <w:sz w:val="13"/>
                <w:szCs w:val="13"/>
                <w:b w:val="1"/>
                <w:bCs w:val="1"/>
                <w:color w:val="auto"/>
                <w:w w:val="82"/>
              </w:rPr>
              <w:t>Florida</w:t>
            </w: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CCEEFF"/>
              <w:bottom w:val="single" w:sz="8" w:color="CCEEFF"/>
            </w:tcBorders>
            <w:shd w:val="clear" w:color="auto" w:fill="CCEEFF"/>
          </w:tcPr>
          <w:p>
            <w:pPr>
              <w:spacing w:after="0"/>
              <w:rPr>
                <w:sz w:val="11"/>
                <w:szCs w:val="11"/>
                <w:color w:val="auto"/>
              </w:rPr>
            </w:pPr>
          </w:p>
        </w:tc>
        <w:tc>
          <w:tcPr>
            <w:tcW w:w="176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CCEEFF"/>
              <w:bottom w:val="single" w:sz="8" w:color="CCEEFF"/>
            </w:tcBorders>
            <w:shd w:val="clear" w:color="auto" w:fill="CCEEFF"/>
          </w:tcPr>
          <w:p>
            <w:pPr>
              <w:spacing w:after="0"/>
              <w:rPr>
                <w:sz w:val="11"/>
                <w:szCs w:val="11"/>
                <w:color w:val="auto"/>
              </w:rPr>
            </w:pPr>
          </w:p>
        </w:tc>
        <w:tc>
          <w:tcPr>
            <w:tcW w:w="104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22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48"/>
        </w:trPr>
        <w:tc>
          <w:tcPr>
            <w:tcW w:w="800" w:type="dxa"/>
            <w:vAlign w:val="bottom"/>
            <w:tcBorders>
              <w:top w:val="single" w:sz="8" w:color="CCEEFF"/>
            </w:tcBorders>
            <w:gridSpan w:val="7"/>
          </w:tcPr>
          <w:p>
            <w:pPr>
              <w:ind w:left="40"/>
              <w:spacing w:after="0" w:line="148" w:lineRule="exact"/>
              <w:rPr>
                <w:sz w:val="20"/>
                <w:szCs w:val="20"/>
                <w:color w:val="auto"/>
              </w:rPr>
            </w:pPr>
            <w:r>
              <w:rPr>
                <w:rFonts w:ascii="Arial" w:cs="Arial" w:eastAsia="Arial" w:hAnsi="Arial"/>
                <w:sz w:val="13"/>
                <w:szCs w:val="13"/>
                <w:color w:val="auto"/>
              </w:rPr>
              <w:t>CocoWalk</w:t>
            </w:r>
          </w:p>
        </w:tc>
        <w:tc>
          <w:tcPr>
            <w:tcW w:w="400" w:type="dxa"/>
            <w:vAlign w:val="bottom"/>
            <w:tcBorders>
              <w:top w:val="single" w:sz="8" w:color="CCEEFF"/>
            </w:tcBorders>
          </w:tcPr>
          <w:p>
            <w:pPr>
              <w:jc w:val="center"/>
              <w:spacing w:after="0" w:line="148" w:lineRule="exact"/>
              <w:rPr>
                <w:sz w:val="20"/>
                <w:szCs w:val="20"/>
                <w:color w:val="auto"/>
              </w:rPr>
            </w:pPr>
            <w:r>
              <w:rPr>
                <w:rFonts w:ascii="Arial" w:cs="Arial" w:eastAsia="Arial" w:hAnsi="Arial"/>
                <w:sz w:val="13"/>
                <w:szCs w:val="13"/>
                <w:color w:val="auto"/>
                <w:w w:val="90"/>
              </w:rPr>
              <w:t>(4) (9)</w:t>
            </w:r>
          </w:p>
        </w:tc>
        <w:tc>
          <w:tcPr>
            <w:tcW w:w="2380" w:type="dxa"/>
            <w:vAlign w:val="bottom"/>
            <w:tcBorders>
              <w:top w:val="single" w:sz="8" w:color="CCEEFF"/>
            </w:tcBorders>
            <w:gridSpan w:val="2"/>
          </w:tcPr>
          <w:p>
            <w:pPr>
              <w:ind w:left="40"/>
              <w:spacing w:after="0" w:line="148" w:lineRule="exact"/>
              <w:rPr>
                <w:sz w:val="20"/>
                <w:szCs w:val="20"/>
                <w:color w:val="auto"/>
              </w:rPr>
            </w:pPr>
            <w:r>
              <w:rPr>
                <w:rFonts w:ascii="Arial" w:cs="Arial" w:eastAsia="Arial" w:hAnsi="Arial"/>
                <w:sz w:val="13"/>
                <w:szCs w:val="13"/>
                <w:color w:val="auto"/>
                <w:w w:val="95"/>
              </w:rPr>
              <w:t>Miami-Fort Lauderdale-West Palm Beach,</w:t>
            </w:r>
          </w:p>
        </w:tc>
        <w:tc>
          <w:tcPr>
            <w:tcW w:w="660" w:type="dxa"/>
            <w:vAlign w:val="bottom"/>
            <w:tcBorders>
              <w:top w:val="single" w:sz="8" w:color="CCEEFF"/>
            </w:tcBorders>
          </w:tcPr>
          <w:p>
            <w:pPr>
              <w:jc w:val="right"/>
              <w:ind w:right="58"/>
              <w:spacing w:after="0" w:line="148" w:lineRule="exact"/>
              <w:rPr>
                <w:sz w:val="20"/>
                <w:szCs w:val="20"/>
                <w:color w:val="auto"/>
              </w:rPr>
            </w:pPr>
            <w:r>
              <w:rPr>
                <w:rFonts w:ascii="Arial" w:cs="Arial" w:eastAsia="Arial" w:hAnsi="Arial"/>
                <w:sz w:val="13"/>
                <w:szCs w:val="13"/>
                <w:color w:val="auto"/>
              </w:rPr>
              <w:t>134,362</w:t>
            </w:r>
          </w:p>
        </w:tc>
        <w:tc>
          <w:tcPr>
            <w:tcW w:w="104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jc w:val="right"/>
              <w:ind w:right="57"/>
              <w:spacing w:after="0" w:line="148" w:lineRule="exact"/>
              <w:rPr>
                <w:sz w:val="20"/>
                <w:szCs w:val="20"/>
                <w:color w:val="auto"/>
              </w:rPr>
            </w:pPr>
            <w:r>
              <w:rPr>
                <w:rFonts w:ascii="Arial" w:cs="Arial" w:eastAsia="Arial" w:hAnsi="Arial"/>
                <w:sz w:val="13"/>
                <w:szCs w:val="13"/>
                <w:color w:val="auto"/>
              </w:rPr>
              <w:t>3</w:t>
            </w:r>
          </w:p>
        </w:tc>
        <w:tc>
          <w:tcPr>
            <w:tcW w:w="10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jc w:val="right"/>
              <w:ind w:right="57"/>
              <w:spacing w:after="0" w:line="148" w:lineRule="exact"/>
              <w:rPr>
                <w:sz w:val="20"/>
                <w:szCs w:val="20"/>
                <w:color w:val="auto"/>
              </w:rPr>
            </w:pPr>
            <w:r>
              <w:rPr>
                <w:rFonts w:ascii="Arial" w:cs="Arial" w:eastAsia="Arial" w:hAnsi="Arial"/>
                <w:sz w:val="13"/>
                <w:szCs w:val="13"/>
                <w:color w:val="auto"/>
              </w:rPr>
              <w:t>165,000</w:t>
            </w:r>
          </w:p>
        </w:tc>
        <w:tc>
          <w:tcPr>
            <w:tcW w:w="10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jc w:val="right"/>
              <w:spacing w:after="0" w:line="148" w:lineRule="exact"/>
              <w:rPr>
                <w:sz w:val="20"/>
                <w:szCs w:val="20"/>
                <w:color w:val="auto"/>
              </w:rPr>
            </w:pPr>
            <w:r>
              <w:rPr>
                <w:rFonts w:ascii="Arial" w:cs="Arial" w:eastAsia="Arial" w:hAnsi="Arial"/>
                <w:sz w:val="13"/>
                <w:szCs w:val="13"/>
                <w:color w:val="auto"/>
              </w:rPr>
              <w:t>83%</w:t>
            </w:r>
          </w:p>
        </w:tc>
        <w:tc>
          <w:tcPr>
            <w:tcW w:w="70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2220" w:type="dxa"/>
            <w:vAlign w:val="bottom"/>
            <w:tcBorders>
              <w:top w:val="single" w:sz="8" w:color="CCEEFF"/>
            </w:tcBorders>
          </w:tcPr>
          <w:p>
            <w:pPr>
              <w:ind w:left="60"/>
              <w:spacing w:after="0" w:line="148" w:lineRule="exact"/>
              <w:rPr>
                <w:sz w:val="20"/>
                <w:szCs w:val="20"/>
                <w:color w:val="auto"/>
              </w:rPr>
            </w:pPr>
            <w:r>
              <w:rPr>
                <w:rFonts w:ascii="Arial" w:cs="Arial" w:eastAsia="Arial" w:hAnsi="Arial"/>
                <w:sz w:val="13"/>
                <w:szCs w:val="13"/>
                <w:color w:val="auto"/>
                <w:w w:val="93"/>
              </w:rPr>
              <w:t>Gap / Cinepolis Theaters / Youfit Health</w:t>
            </w:r>
          </w:p>
        </w:tc>
      </w:tr>
      <w:tr>
        <w:trPr>
          <w:trHeight w:val="168"/>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2"/>
          </w:tcPr>
          <w:p>
            <w:pPr>
              <w:ind w:left="40"/>
              <w:spacing w:after="0"/>
              <w:rPr>
                <w:sz w:val="20"/>
                <w:szCs w:val="20"/>
                <w:color w:val="auto"/>
              </w:rPr>
            </w:pPr>
            <w:r>
              <w:rPr>
                <w:rFonts w:ascii="Arial" w:cs="Arial" w:eastAsia="Arial" w:hAnsi="Arial"/>
                <w:sz w:val="13"/>
                <w:szCs w:val="13"/>
                <w:color w:val="auto"/>
              </w:rPr>
              <w:t>FL</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Club</w:t>
            </w:r>
          </w:p>
        </w:tc>
      </w:tr>
      <w:tr>
        <w:trPr>
          <w:trHeight w:val="15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Del Mar</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Miami-Fort Lauderdale-West Palm Beach,</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71,882</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191,000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44,000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Winn Dixie</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L.A. Fitness</w:t>
            </w:r>
          </w:p>
        </w:tc>
      </w:tr>
      <w:tr>
        <w:trPr>
          <w:trHeight w:val="17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Village</w:t>
            </w:r>
          </w:p>
        </w:tc>
        <w:tc>
          <w:tcPr>
            <w:tcW w:w="4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FL</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00" w:type="dxa"/>
            <w:vAlign w:val="bottom"/>
            <w:gridSpan w:val="7"/>
          </w:tcPr>
          <w:p>
            <w:pPr>
              <w:ind w:left="40"/>
              <w:spacing w:after="0" w:line="148" w:lineRule="exact"/>
              <w:rPr>
                <w:sz w:val="20"/>
                <w:szCs w:val="20"/>
                <w:color w:val="auto"/>
              </w:rPr>
            </w:pPr>
            <w:r>
              <w:rPr>
                <w:rFonts w:ascii="Arial" w:cs="Arial" w:eastAsia="Arial" w:hAnsi="Arial"/>
                <w:sz w:val="13"/>
                <w:szCs w:val="13"/>
                <w:color w:val="auto"/>
                <w:w w:val="95"/>
              </w:rPr>
              <w:t>The Shops at</w:t>
            </w:r>
          </w:p>
        </w:tc>
        <w:tc>
          <w:tcPr>
            <w:tcW w:w="400" w:type="dxa"/>
            <w:vAlign w:val="bottom"/>
          </w:tcPr>
          <w:p>
            <w:pPr>
              <w:jc w:val="center"/>
              <w:spacing w:after="0" w:line="148" w:lineRule="exact"/>
              <w:rPr>
                <w:sz w:val="20"/>
                <w:szCs w:val="20"/>
                <w:color w:val="auto"/>
              </w:rPr>
            </w:pPr>
            <w:r>
              <w:rPr>
                <w:rFonts w:ascii="Arial" w:cs="Arial" w:eastAsia="Arial" w:hAnsi="Arial"/>
                <w:sz w:val="13"/>
                <w:szCs w:val="13"/>
                <w:color w:val="auto"/>
              </w:rPr>
              <w:t>(4)</w:t>
            </w: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5"/>
              </w:rPr>
              <w:t>Miami-Fort Lauderdale-West Palm Beach,</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123,504</w:t>
            </w:r>
          </w:p>
        </w:tc>
        <w:tc>
          <w:tcPr>
            <w:tcW w:w="1040" w:type="dxa"/>
            <w:vAlign w:val="bottom"/>
          </w:tcPr>
          <w:p>
            <w:pPr>
              <w:jc w:val="right"/>
              <w:ind w:right="98"/>
              <w:spacing w:after="0" w:line="148" w:lineRule="exact"/>
              <w:rPr>
                <w:sz w:val="20"/>
                <w:szCs w:val="20"/>
                <w:color w:val="auto"/>
              </w:rPr>
            </w:pPr>
            <w:r>
              <w:rPr>
                <w:rFonts w:ascii="Arial" w:cs="Arial" w:eastAsia="Arial" w:hAnsi="Arial"/>
                <w:sz w:val="13"/>
                <w:szCs w:val="13"/>
                <w:color w:val="auto"/>
              </w:rPr>
              <w:t>63,884</w:t>
            </w: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523,000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66%</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w w:val="98"/>
              </w:rPr>
              <w:t>AMC / L.A. Fitness / Barnes &amp; Noble /</w:t>
            </w:r>
          </w:p>
        </w:tc>
      </w:tr>
      <w:tr>
        <w:trPr>
          <w:trHeight w:val="168"/>
        </w:trPr>
        <w:tc>
          <w:tcPr>
            <w:tcW w:w="800" w:type="dxa"/>
            <w:vAlign w:val="bottom"/>
            <w:gridSpan w:val="7"/>
          </w:tcPr>
          <w:p>
            <w:pPr>
              <w:ind w:left="40"/>
              <w:spacing w:after="0"/>
              <w:rPr>
                <w:sz w:val="20"/>
                <w:szCs w:val="20"/>
                <w:color w:val="auto"/>
              </w:rPr>
            </w:pPr>
            <w:r>
              <w:rPr>
                <w:rFonts w:ascii="Arial" w:cs="Arial" w:eastAsia="Arial" w:hAnsi="Arial"/>
                <w:sz w:val="13"/>
                <w:szCs w:val="13"/>
                <w:color w:val="auto"/>
                <w:w w:val="96"/>
              </w:rPr>
              <w:t>Sunset Place</w:t>
            </w:r>
          </w:p>
        </w:tc>
        <w:tc>
          <w:tcPr>
            <w:tcW w:w="400" w:type="dxa"/>
            <w:vAlign w:val="bottom"/>
          </w:tcPr>
          <w:p>
            <w:pPr>
              <w:spacing w:after="0"/>
              <w:rPr>
                <w:sz w:val="14"/>
                <w:szCs w:val="14"/>
                <w:color w:val="auto"/>
              </w:rPr>
            </w:pPr>
          </w:p>
        </w:tc>
        <w:tc>
          <w:tcPr>
            <w:tcW w:w="2380" w:type="dxa"/>
            <w:vAlign w:val="bottom"/>
            <w:gridSpan w:val="2"/>
          </w:tcPr>
          <w:p>
            <w:pPr>
              <w:ind w:left="40"/>
              <w:spacing w:after="0"/>
              <w:rPr>
                <w:sz w:val="20"/>
                <w:szCs w:val="20"/>
                <w:color w:val="auto"/>
              </w:rPr>
            </w:pPr>
            <w:r>
              <w:rPr>
                <w:rFonts w:ascii="Arial" w:cs="Arial" w:eastAsia="Arial" w:hAnsi="Arial"/>
                <w:sz w:val="13"/>
                <w:szCs w:val="13"/>
                <w:color w:val="auto"/>
              </w:rPr>
              <w:t>FL</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Restoration Hardware Outlet</w:t>
            </w:r>
          </w:p>
        </w:tc>
      </w:tr>
      <w:tr>
        <w:trPr>
          <w:trHeight w:val="15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w w:val="96"/>
              </w:rPr>
              <w:t>Tower Shops</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Miami-Fort Lauderdale-West Palm Beach,</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97,937</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426,000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12,000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Trader Joe's</w:t>
            </w: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8"/>
              </w:rPr>
              <w:t>TJ Maxx / Ross Dress For Less / Best</w:t>
            </w:r>
          </w:p>
        </w:tc>
      </w:tr>
      <w:tr>
        <w:trPr>
          <w:trHeight w:val="176"/>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FL</w:t>
            </w:r>
          </w:p>
        </w:tc>
        <w:tc>
          <w:tcPr>
            <w:tcW w:w="660" w:type="dxa"/>
            <w:vAlign w:val="bottom"/>
            <w:tcBorders>
              <w:bottom w:val="single" w:sz="8" w:color="auto"/>
            </w:tcBorders>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Buy / Ulta</w:t>
            </w:r>
          </w:p>
        </w:tc>
      </w:tr>
      <w:tr>
        <w:trPr>
          <w:trHeight w:val="167"/>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South Florida</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427,685</w:t>
            </w:r>
          </w:p>
        </w:tc>
        <w:tc>
          <w:tcPr>
            <w:tcW w:w="1040" w:type="dxa"/>
            <w:vAlign w:val="bottom"/>
          </w:tcPr>
          <w:p>
            <w:pPr>
              <w:spacing w:after="0"/>
              <w:rPr>
                <w:sz w:val="14"/>
                <w:szCs w:val="14"/>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w w:val="93"/>
              </w:rPr>
              <w:t>1,305,000</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82%</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20" w:type="dxa"/>
            <w:vAlign w:val="bottom"/>
          </w:tcPr>
          <w:p>
            <w:pPr>
              <w:spacing w:after="0"/>
              <w:rPr>
                <w:sz w:val="7"/>
                <w:szCs w:val="7"/>
                <w:color w:val="auto"/>
              </w:rPr>
            </w:pPr>
          </w:p>
        </w:tc>
      </w:tr>
      <w:tr>
        <w:trPr>
          <w:trHeight w:val="270"/>
        </w:trPr>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r>
      <w:tr>
        <w:trPr>
          <w:trHeight w:val="149"/>
        </w:trPr>
        <w:tc>
          <w:tcPr>
            <w:tcW w:w="40" w:type="dxa"/>
            <w:vAlign w:val="bottom"/>
          </w:tcPr>
          <w:p>
            <w:pPr>
              <w:spacing w:after="0"/>
              <w:rPr>
                <w:sz w:val="12"/>
                <w:szCs w:val="12"/>
                <w:color w:val="auto"/>
              </w:rPr>
            </w:pPr>
          </w:p>
        </w:tc>
        <w:tc>
          <w:tcPr>
            <w:tcW w:w="760" w:type="dxa"/>
            <w:vAlign w:val="bottom"/>
            <w:gridSpan w:val="6"/>
          </w:tcPr>
          <w:p>
            <w:pPr>
              <w:ind w:left="60"/>
              <w:spacing w:after="0"/>
              <w:rPr>
                <w:sz w:val="20"/>
                <w:szCs w:val="20"/>
                <w:color w:val="auto"/>
              </w:rPr>
            </w:pPr>
            <w:r>
              <w:rPr>
                <w:rFonts w:ascii="Arial" w:cs="Arial" w:eastAsia="Arial" w:hAnsi="Arial"/>
                <w:sz w:val="13"/>
                <w:szCs w:val="13"/>
                <w:b w:val="1"/>
                <w:bCs w:val="1"/>
                <w:color w:val="auto"/>
              </w:rPr>
              <w:t>Baltimore</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20" w:type="dxa"/>
            <w:vAlign w:val="bottom"/>
          </w:tcPr>
          <w:p>
            <w:pPr>
              <w:spacing w:after="0"/>
              <w:rPr>
                <w:sz w:val="8"/>
                <w:szCs w:val="8"/>
                <w:color w:val="auto"/>
              </w:rPr>
            </w:pPr>
          </w:p>
        </w:tc>
      </w:tr>
      <w:tr>
        <w:trPr>
          <w:trHeight w:val="148"/>
        </w:trPr>
        <w:tc>
          <w:tcPr>
            <w:tcW w:w="800" w:type="dxa"/>
            <w:vAlign w:val="bottom"/>
            <w:gridSpan w:val="7"/>
            <w:shd w:val="clear" w:color="auto" w:fill="CCEEFF"/>
          </w:tcPr>
          <w:p>
            <w:pPr>
              <w:ind w:left="40"/>
              <w:spacing w:after="0" w:line="148" w:lineRule="exact"/>
              <w:rPr>
                <w:sz w:val="20"/>
                <w:szCs w:val="20"/>
                <w:color w:val="auto"/>
              </w:rPr>
            </w:pPr>
            <w:r>
              <w:rPr>
                <w:rFonts w:ascii="Arial" w:cs="Arial" w:eastAsia="Arial" w:hAnsi="Arial"/>
                <w:sz w:val="13"/>
                <w:szCs w:val="13"/>
                <w:color w:val="auto"/>
              </w:rPr>
              <w:t>Governor</w:t>
            </w:r>
          </w:p>
        </w:tc>
        <w:tc>
          <w:tcPr>
            <w:tcW w:w="40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Baltimore-Columbia-Towson, MD</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27,307</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243,000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16,500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Aldi</w:t>
            </w:r>
          </w:p>
        </w:tc>
        <w:tc>
          <w:tcPr>
            <w:tcW w:w="22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Dick's Sporting Goods / A.C. Moore</w:t>
            </w:r>
          </w:p>
        </w:tc>
      </w:tr>
      <w:tr>
        <w:trPr>
          <w:trHeight w:val="17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Plaza</w:t>
            </w: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8"/>
        </w:trPr>
        <w:tc>
          <w:tcPr>
            <w:tcW w:w="800" w:type="dxa"/>
            <w:vAlign w:val="bottom"/>
            <w:gridSpan w:val="7"/>
          </w:tcPr>
          <w:p>
            <w:pPr>
              <w:ind w:left="40"/>
              <w:spacing w:after="0" w:line="148" w:lineRule="exact"/>
              <w:rPr>
                <w:sz w:val="20"/>
                <w:szCs w:val="20"/>
                <w:color w:val="auto"/>
              </w:rPr>
            </w:pPr>
            <w:r>
              <w:rPr>
                <w:rFonts w:ascii="Arial" w:cs="Arial" w:eastAsia="Arial" w:hAnsi="Arial"/>
                <w:sz w:val="13"/>
                <w:szCs w:val="13"/>
                <w:color w:val="auto"/>
                <w:w w:val="94"/>
              </w:rPr>
              <w:t>Perring Plaza</w:t>
            </w:r>
          </w:p>
        </w:tc>
        <w:tc>
          <w:tcPr>
            <w:tcW w:w="400" w:type="dxa"/>
            <w:vAlign w:val="bottom"/>
          </w:tcPr>
          <w:p>
            <w:pPr>
              <w:spacing w:after="0"/>
              <w:rPr>
                <w:sz w:val="12"/>
                <w:szCs w:val="12"/>
                <w:color w:val="auto"/>
              </w:rPr>
            </w:pPr>
          </w:p>
        </w:tc>
        <w:tc>
          <w:tcPr>
            <w:tcW w:w="2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Baltimore-Columbia-Towson, MD</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31,153</w:t>
            </w:r>
          </w:p>
        </w:tc>
        <w:tc>
          <w:tcPr>
            <w:tcW w:w="104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29</w:t>
            </w:r>
          </w:p>
        </w:tc>
        <w:tc>
          <w:tcPr>
            <w:tcW w:w="100" w:type="dxa"/>
            <w:vAlign w:val="bottom"/>
          </w:tcPr>
          <w:p>
            <w:pPr>
              <w:spacing w:after="0"/>
              <w:rPr>
                <w:sz w:val="12"/>
                <w:szCs w:val="12"/>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396,000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Shoppers</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w w:val="94"/>
              </w:rPr>
              <w:t>Home Depot / Micro Center / Burlington</w:t>
            </w:r>
          </w:p>
        </w:tc>
      </w:tr>
      <w:tr>
        <w:trPr>
          <w:trHeight w:val="135"/>
        </w:trPr>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3"/>
                <w:szCs w:val="13"/>
                <w:color w:val="auto"/>
              </w:rPr>
              <w:t>Food</w:t>
            </w:r>
          </w:p>
        </w:tc>
        <w:tc>
          <w:tcPr>
            <w:tcW w:w="222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Warehouse</w:t>
            </w:r>
          </w:p>
        </w:tc>
        <w:tc>
          <w:tcPr>
            <w:tcW w:w="2220" w:type="dxa"/>
            <w:vAlign w:val="bottom"/>
          </w:tcPr>
          <w:p>
            <w:pPr>
              <w:spacing w:after="0"/>
              <w:rPr>
                <w:sz w:val="14"/>
                <w:szCs w:val="14"/>
                <w:color w:val="auto"/>
              </w:rPr>
            </w:pPr>
          </w:p>
        </w:tc>
      </w:tr>
      <w:tr>
        <w:trPr>
          <w:trHeight w:val="15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THE</w:t>
            </w: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(7)</w:t>
            </w: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Baltimore-Columbia-Towson, MD</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119,890</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52,705</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314,000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3"/>
              </w:rPr>
              <w:t>AMC / Ulta / Old Navy / Barnes &amp; Noble</w:t>
            </w:r>
          </w:p>
        </w:tc>
      </w:tr>
      <w:tr>
        <w:trPr>
          <w:trHeight w:val="135"/>
        </w:trPr>
        <w:tc>
          <w:tcPr>
            <w:tcW w:w="800" w:type="dxa"/>
            <w:vAlign w:val="bottom"/>
            <w:gridSpan w:val="7"/>
            <w:shd w:val="clear" w:color="auto" w:fill="CCEEFF"/>
          </w:tcPr>
          <w:p>
            <w:pPr>
              <w:ind w:left="40"/>
              <w:spacing w:after="0" w:line="135" w:lineRule="exact"/>
              <w:rPr>
                <w:sz w:val="20"/>
                <w:szCs w:val="20"/>
                <w:color w:val="auto"/>
              </w:rPr>
            </w:pPr>
            <w:r>
              <w:rPr>
                <w:rFonts w:ascii="Arial" w:cs="Arial" w:eastAsia="Arial" w:hAnsi="Arial"/>
                <w:sz w:val="13"/>
                <w:szCs w:val="13"/>
                <w:color w:val="auto"/>
              </w:rPr>
              <w:t>AVENUE at</w:t>
            </w: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r>
      <w:tr>
        <w:trPr>
          <w:trHeight w:val="176"/>
        </w:trPr>
        <w:tc>
          <w:tcPr>
            <w:tcW w:w="80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White Marsh</w:t>
            </w: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163"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47" w:right="239" w:bottom="1163" w:gutter="0" w:footer="0" w:header="0"/>
          <w:type w:val="continuous"/>
        </w:sectPr>
      </w:pPr>
    </w:p>
    <w:bookmarkStart w:id="25" w:name="page26"/>
    <w:bookmarkEnd w:id="25"/>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Mortgage/Finance</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37"/>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8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Property</w:t>
            </w:r>
          </w:p>
        </w:tc>
        <w:tc>
          <w:tcPr>
            <w:tcW w:w="26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10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Lease Liabilities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Leased</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2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Grocery</w:t>
            </w:r>
          </w:p>
        </w:tc>
        <w:tc>
          <w:tcPr>
            <w:tcW w:w="218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3"/>
                <w:szCs w:val="13"/>
                <w:b w:val="1"/>
                <w:bCs w:val="1"/>
                <w:color w:val="auto"/>
                <w:w w:val="90"/>
              </w:rPr>
              <w:t>Name</w:t>
            </w:r>
          </w:p>
        </w:tc>
        <w:tc>
          <w:tcPr>
            <w:tcW w:w="2680" w:type="dxa"/>
            <w:vAlign w:val="bottom"/>
            <w:tcBorders>
              <w:bottom w:val="single" w:sz="8" w:color="auto"/>
            </w:tcBorders>
          </w:tcPr>
          <w:p>
            <w:pPr>
              <w:ind w:left="1060"/>
              <w:spacing w:after="0"/>
              <w:rPr>
                <w:sz w:val="20"/>
                <w:szCs w:val="20"/>
                <w:color w:val="auto"/>
              </w:rPr>
            </w:pPr>
            <w:r>
              <w:rPr>
                <w:rFonts w:ascii="Arial" w:cs="Arial" w:eastAsia="Arial" w:hAnsi="Arial"/>
                <w:sz w:val="13"/>
                <w:szCs w:val="13"/>
                <w:b w:val="1"/>
                <w:bCs w:val="1"/>
                <w:color w:val="auto"/>
              </w:rPr>
              <w:t>MSA Description</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at Cost (1)</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b w:val="1"/>
                <w:bCs w:val="1"/>
                <w:color w:val="auto"/>
              </w:rPr>
              <w:t>(2)</w:t>
            </w: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7"/>
              </w:rPr>
              <w:t>Acreage</w:t>
            </w:r>
          </w:p>
        </w:tc>
        <w:tc>
          <w:tcPr>
            <w:tcW w:w="82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GLA (3)</w:t>
            </w:r>
          </w:p>
        </w:tc>
        <w:tc>
          <w:tcPr>
            <w:tcW w:w="5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(3)</w:t>
            </w: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Anchor</w:t>
            </w:r>
          </w:p>
        </w:tc>
        <w:tc>
          <w:tcPr>
            <w:tcW w:w="21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Retail Tenants</w:t>
            </w:r>
          </w:p>
        </w:tc>
      </w:tr>
      <w:tr>
        <w:trPr>
          <w:trHeight w:val="248"/>
        </w:trPr>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160" w:type="dxa"/>
            <w:vAlign w:val="bottom"/>
          </w:tcPr>
          <w:p>
            <w:pPr>
              <w:spacing w:after="0"/>
              <w:rPr>
                <w:sz w:val="21"/>
                <w:szCs w:val="21"/>
                <w:color w:val="auto"/>
              </w:rPr>
            </w:pPr>
          </w:p>
        </w:tc>
        <w:tc>
          <w:tcPr>
            <w:tcW w:w="880" w:type="dxa"/>
            <w:vAlign w:val="bottom"/>
          </w:tcPr>
          <w:p>
            <w:pPr>
              <w:jc w:val="center"/>
              <w:ind w:right="79"/>
              <w:spacing w:after="0"/>
              <w:rPr>
                <w:sz w:val="20"/>
                <w:szCs w:val="20"/>
                <w:color w:val="auto"/>
              </w:rPr>
            </w:pPr>
            <w:r>
              <w:rPr>
                <w:rFonts w:ascii="Arial" w:cs="Arial" w:eastAsia="Arial" w:hAnsi="Arial"/>
                <w:sz w:val="11"/>
                <w:szCs w:val="11"/>
                <w:color w:val="auto"/>
                <w:w w:val="88"/>
              </w:rPr>
              <w:t>(in thousands)</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170"/>
        </w:trPr>
        <w:tc>
          <w:tcPr>
            <w:tcW w:w="820" w:type="dxa"/>
            <w:vAlign w:val="bottom"/>
            <w:gridSpan w:val="4"/>
          </w:tcPr>
          <w:p>
            <w:pPr>
              <w:ind w:left="40"/>
              <w:spacing w:after="0"/>
              <w:rPr>
                <w:sz w:val="20"/>
                <w:szCs w:val="20"/>
                <w:color w:val="auto"/>
              </w:rPr>
            </w:pPr>
            <w:r>
              <w:rPr>
                <w:rFonts w:ascii="Arial" w:cs="Arial" w:eastAsia="Arial" w:hAnsi="Arial"/>
                <w:sz w:val="13"/>
                <w:szCs w:val="13"/>
                <w:color w:val="auto"/>
                <w:w w:val="98"/>
              </w:rPr>
              <w:t>The Shoppes</w:t>
            </w:r>
          </w:p>
        </w:tc>
        <w:tc>
          <w:tcPr>
            <w:tcW w:w="2680" w:type="dxa"/>
            <w:vAlign w:val="bottom"/>
          </w:tcPr>
          <w:p>
            <w:pPr>
              <w:ind w:left="400"/>
              <w:spacing w:after="0"/>
              <w:rPr>
                <w:sz w:val="20"/>
                <w:szCs w:val="20"/>
                <w:color w:val="auto"/>
              </w:rPr>
            </w:pPr>
            <w:r>
              <w:rPr>
                <w:rFonts w:ascii="Arial" w:cs="Arial" w:eastAsia="Arial" w:hAnsi="Arial"/>
                <w:sz w:val="13"/>
                <w:szCs w:val="13"/>
                <w:color w:val="auto"/>
              </w:rPr>
              <w:t>Baltimore-Columbia-Towson, MD</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17,701</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32,000</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87%</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35"/>
        </w:trPr>
        <w:tc>
          <w:tcPr>
            <w:tcW w:w="820" w:type="dxa"/>
            <w:vAlign w:val="bottom"/>
            <w:gridSpan w:val="4"/>
          </w:tcPr>
          <w:p>
            <w:pPr>
              <w:ind w:left="40"/>
              <w:spacing w:after="0" w:line="135" w:lineRule="exact"/>
              <w:rPr>
                <w:sz w:val="20"/>
                <w:szCs w:val="20"/>
                <w:color w:val="auto"/>
              </w:rPr>
            </w:pPr>
            <w:r>
              <w:rPr>
                <w:rFonts w:ascii="Arial" w:cs="Arial" w:eastAsia="Arial" w:hAnsi="Arial"/>
                <w:sz w:val="13"/>
                <w:szCs w:val="13"/>
                <w:color w:val="auto"/>
              </w:rPr>
              <w:t>at</w:t>
            </w:r>
          </w:p>
        </w:tc>
        <w:tc>
          <w:tcPr>
            <w:tcW w:w="2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tcPr>
          <w:p>
            <w:pPr>
              <w:spacing w:after="0"/>
              <w:rPr>
                <w:sz w:val="11"/>
                <w:szCs w:val="11"/>
                <w:color w:val="auto"/>
              </w:rPr>
            </w:pPr>
          </w:p>
        </w:tc>
      </w:tr>
      <w:tr>
        <w:trPr>
          <w:trHeight w:val="135"/>
        </w:trPr>
        <w:tc>
          <w:tcPr>
            <w:tcW w:w="820" w:type="dxa"/>
            <w:vAlign w:val="bottom"/>
            <w:gridSpan w:val="4"/>
          </w:tcPr>
          <w:p>
            <w:pPr>
              <w:ind w:left="40"/>
              <w:spacing w:after="0" w:line="135" w:lineRule="exact"/>
              <w:rPr>
                <w:sz w:val="20"/>
                <w:szCs w:val="20"/>
                <w:color w:val="auto"/>
              </w:rPr>
            </w:pPr>
            <w:r>
              <w:rPr>
                <w:rFonts w:ascii="Arial" w:cs="Arial" w:eastAsia="Arial" w:hAnsi="Arial"/>
                <w:sz w:val="13"/>
                <w:szCs w:val="13"/>
                <w:color w:val="auto"/>
              </w:rPr>
              <w:t>Nottingham</w:t>
            </w:r>
          </w:p>
        </w:tc>
        <w:tc>
          <w:tcPr>
            <w:tcW w:w="2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tcPr>
          <w:p>
            <w:pPr>
              <w:spacing w:after="0"/>
              <w:rPr>
                <w:sz w:val="11"/>
                <w:szCs w:val="11"/>
                <w:color w:val="auto"/>
              </w:rPr>
            </w:pPr>
          </w:p>
        </w:tc>
      </w:tr>
      <w:tr>
        <w:trPr>
          <w:trHeight w:val="168"/>
        </w:trPr>
        <w:tc>
          <w:tcPr>
            <w:tcW w:w="820" w:type="dxa"/>
            <w:vAlign w:val="bottom"/>
            <w:gridSpan w:val="4"/>
          </w:tcPr>
          <w:p>
            <w:pPr>
              <w:ind w:left="40"/>
              <w:spacing w:after="0"/>
              <w:rPr>
                <w:sz w:val="20"/>
                <w:szCs w:val="20"/>
                <w:color w:val="auto"/>
              </w:rPr>
            </w:pPr>
            <w:r>
              <w:rPr>
                <w:rFonts w:ascii="Arial" w:cs="Arial" w:eastAsia="Arial" w:hAnsi="Arial"/>
                <w:sz w:val="13"/>
                <w:szCs w:val="13"/>
                <w:color w:val="auto"/>
              </w:rPr>
              <w:t>Square</w:t>
            </w:r>
          </w:p>
        </w:tc>
        <w:tc>
          <w:tcPr>
            <w:tcW w:w="2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56"/>
        </w:trPr>
        <w:tc>
          <w:tcPr>
            <w:tcW w:w="8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Towson</w:t>
            </w:r>
          </w:p>
        </w:tc>
        <w:tc>
          <w:tcPr>
            <w:tcW w:w="26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Baltimore-Columbia-Towson, MD</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22,376</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4,000</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105</w:t>
            </w: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r>
      <w:tr>
        <w:trPr>
          <w:trHeight w:val="135"/>
        </w:trPr>
        <w:tc>
          <w:tcPr>
            <w:tcW w:w="820" w:type="dxa"/>
            <w:vAlign w:val="bottom"/>
            <w:gridSpan w:val="4"/>
            <w:shd w:val="clear" w:color="auto" w:fill="CCEEFF"/>
          </w:tcPr>
          <w:p>
            <w:pPr>
              <w:ind w:left="40"/>
              <w:spacing w:after="0" w:line="135" w:lineRule="exact"/>
              <w:rPr>
                <w:sz w:val="20"/>
                <w:szCs w:val="20"/>
                <w:color w:val="auto"/>
              </w:rPr>
            </w:pPr>
            <w:r>
              <w:rPr>
                <w:rFonts w:ascii="Arial" w:cs="Arial" w:eastAsia="Arial" w:hAnsi="Arial"/>
                <w:sz w:val="13"/>
                <w:szCs w:val="13"/>
                <w:color w:val="auto"/>
              </w:rPr>
              <w:t>Residential</w:t>
            </w:r>
          </w:p>
        </w:tc>
        <w:tc>
          <w:tcPr>
            <w:tcW w:w="26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180" w:type="dxa"/>
            <w:vAlign w:val="bottom"/>
            <w:shd w:val="clear" w:color="auto" w:fill="CCEEFF"/>
          </w:tcPr>
          <w:p>
            <w:pPr>
              <w:spacing w:after="0"/>
              <w:rPr>
                <w:sz w:val="11"/>
                <w:szCs w:val="11"/>
                <w:color w:val="auto"/>
              </w:rPr>
            </w:pPr>
          </w:p>
        </w:tc>
      </w:tr>
      <w:tr>
        <w:trPr>
          <w:trHeight w:val="176"/>
        </w:trPr>
        <w:tc>
          <w:tcPr>
            <w:tcW w:w="8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w w:val="96"/>
              </w:rPr>
              <w:t>(Flats @ 703)</w:t>
            </w:r>
          </w:p>
        </w:tc>
        <w:tc>
          <w:tcPr>
            <w:tcW w:w="26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r>
      <w:tr>
        <w:trPr>
          <w:trHeight w:val="148"/>
        </w:trPr>
        <w:tc>
          <w:tcPr>
            <w:tcW w:w="8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White Marsh</w:t>
            </w:r>
          </w:p>
        </w:tc>
        <w:tc>
          <w:tcPr>
            <w:tcW w:w="2680" w:type="dxa"/>
            <w:vAlign w:val="bottom"/>
          </w:tcPr>
          <w:p>
            <w:pPr>
              <w:ind w:left="400"/>
              <w:spacing w:after="0" w:line="148" w:lineRule="exact"/>
              <w:rPr>
                <w:sz w:val="20"/>
                <w:szCs w:val="20"/>
                <w:color w:val="auto"/>
              </w:rPr>
            </w:pPr>
            <w:r>
              <w:rPr>
                <w:rFonts w:ascii="Arial" w:cs="Arial" w:eastAsia="Arial" w:hAnsi="Arial"/>
                <w:sz w:val="13"/>
                <w:szCs w:val="13"/>
                <w:color w:val="auto"/>
              </w:rPr>
              <w:t>Baltimore-Columbia-Towson, MD</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25,749</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w:t>
            </w:r>
          </w:p>
        </w:tc>
        <w:tc>
          <w:tcPr>
            <w:tcW w:w="10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80,000</w:t>
            </w:r>
          </w:p>
        </w:tc>
        <w:tc>
          <w:tcPr>
            <w:tcW w:w="12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3"/>
                <w:szCs w:val="13"/>
                <w:color w:val="auto"/>
                <w:w w:val="90"/>
              </w:rPr>
              <w:t>54,000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Giant Food</w:t>
            </w:r>
          </w:p>
        </w:tc>
        <w:tc>
          <w:tcPr>
            <w:tcW w:w="2180" w:type="dxa"/>
            <w:vAlign w:val="bottom"/>
          </w:tcPr>
          <w:p>
            <w:pPr>
              <w:spacing w:after="0"/>
              <w:rPr>
                <w:sz w:val="12"/>
                <w:szCs w:val="12"/>
                <w:color w:val="auto"/>
              </w:rPr>
            </w:pPr>
          </w:p>
        </w:tc>
      </w:tr>
      <w:tr>
        <w:trPr>
          <w:trHeight w:val="168"/>
        </w:trPr>
        <w:tc>
          <w:tcPr>
            <w:tcW w:w="820" w:type="dxa"/>
            <w:vAlign w:val="bottom"/>
            <w:gridSpan w:val="4"/>
          </w:tcPr>
          <w:p>
            <w:pPr>
              <w:ind w:left="40"/>
              <w:spacing w:after="0"/>
              <w:rPr>
                <w:sz w:val="20"/>
                <w:szCs w:val="20"/>
                <w:color w:val="auto"/>
              </w:rPr>
            </w:pPr>
            <w:r>
              <w:rPr>
                <w:rFonts w:ascii="Arial" w:cs="Arial" w:eastAsia="Arial" w:hAnsi="Arial"/>
                <w:sz w:val="13"/>
                <w:szCs w:val="13"/>
                <w:color w:val="auto"/>
              </w:rPr>
              <w:t>Plaza</w:t>
            </w:r>
          </w:p>
        </w:tc>
        <w:tc>
          <w:tcPr>
            <w:tcW w:w="2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56"/>
        </w:trPr>
        <w:tc>
          <w:tcPr>
            <w:tcW w:w="8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White Marsh</w:t>
            </w:r>
          </w:p>
        </w:tc>
        <w:tc>
          <w:tcPr>
            <w:tcW w:w="26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Baltimore-Columbia-Towson, MD</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33,943</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70,000</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r>
      <w:tr>
        <w:trPr>
          <w:trHeight w:val="176"/>
        </w:trPr>
        <w:tc>
          <w:tcPr>
            <w:tcW w:w="8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Other</w:t>
            </w:r>
          </w:p>
        </w:tc>
        <w:tc>
          <w:tcPr>
            <w:tcW w:w="268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tcPr>
          <w:p>
            <w:pPr>
              <w:ind w:left="400"/>
              <w:spacing w:after="0"/>
              <w:rPr>
                <w:sz w:val="20"/>
                <w:szCs w:val="20"/>
                <w:color w:val="auto"/>
              </w:rPr>
            </w:pPr>
            <w:r>
              <w:rPr>
                <w:rFonts w:ascii="Arial" w:cs="Arial" w:eastAsia="Arial" w:hAnsi="Arial"/>
                <w:sz w:val="13"/>
                <w:szCs w:val="13"/>
                <w:b w:val="1"/>
                <w:bCs w:val="1"/>
                <w:color w:val="auto"/>
              </w:rPr>
              <w:t>Total Baltimore</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278,119</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1,139,000</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180" w:type="dxa"/>
            <w:vAlign w:val="bottom"/>
          </w:tcPr>
          <w:p>
            <w:pPr>
              <w:spacing w:after="0"/>
              <w:rPr>
                <w:sz w:val="7"/>
                <w:szCs w:val="7"/>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r>
      <w:tr>
        <w:trPr>
          <w:trHeight w:val="149"/>
        </w:trPr>
        <w:tc>
          <w:tcPr>
            <w:tcW w:w="40" w:type="dxa"/>
            <w:vAlign w:val="bottom"/>
          </w:tcPr>
          <w:p>
            <w:pPr>
              <w:spacing w:after="0"/>
              <w:rPr>
                <w:sz w:val="12"/>
                <w:szCs w:val="12"/>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b w:val="1"/>
                <w:bCs w:val="1"/>
                <w:color w:val="auto"/>
              </w:rPr>
              <w:t>Chicago</w:t>
            </w:r>
          </w:p>
        </w:tc>
        <w:tc>
          <w:tcPr>
            <w:tcW w:w="2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180" w:type="dxa"/>
            <w:vAlign w:val="bottom"/>
          </w:tcPr>
          <w:p>
            <w:pPr>
              <w:spacing w:after="0"/>
              <w:rPr>
                <w:sz w:val="8"/>
                <w:szCs w:val="8"/>
                <w:color w:val="auto"/>
              </w:rPr>
            </w:pPr>
          </w:p>
        </w:tc>
      </w:tr>
      <w:tr>
        <w:trPr>
          <w:trHeight w:val="148"/>
        </w:trPr>
        <w:tc>
          <w:tcPr>
            <w:tcW w:w="82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Crossroads</w:t>
            </w:r>
          </w:p>
        </w:tc>
        <w:tc>
          <w:tcPr>
            <w:tcW w:w="2680" w:type="dxa"/>
            <w:vAlign w:val="bottom"/>
            <w:shd w:val="clear" w:color="auto" w:fill="CCEEFF"/>
          </w:tcPr>
          <w:p>
            <w:pPr>
              <w:ind w:left="400"/>
              <w:spacing w:after="0" w:line="148" w:lineRule="exact"/>
              <w:rPr>
                <w:sz w:val="20"/>
                <w:szCs w:val="20"/>
                <w:color w:val="auto"/>
              </w:rPr>
            </w:pPr>
            <w:r>
              <w:rPr>
                <w:rFonts w:ascii="Arial" w:cs="Arial" w:eastAsia="Arial" w:hAnsi="Arial"/>
                <w:sz w:val="13"/>
                <w:szCs w:val="13"/>
                <w:color w:val="auto"/>
              </w:rPr>
              <w:t>Chicago-Naperville-Elgin, IL-IN-WI</w:t>
            </w:r>
          </w:p>
        </w:tc>
        <w:tc>
          <w:tcPr>
            <w:tcW w:w="74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35,149</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168,000</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90%</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1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1"/>
              </w:rPr>
              <w:t>L.A. Fitness / Ulta / Binny's / Ferguson's</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18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Bath, Kitchen &amp; Lighting Gallery</w:t>
            </w:r>
          </w:p>
        </w:tc>
      </w:tr>
      <w:tr>
        <w:trPr>
          <w:trHeight w:val="148"/>
        </w:trPr>
        <w:tc>
          <w:tcPr>
            <w:tcW w:w="820" w:type="dxa"/>
            <w:vAlign w:val="bottom"/>
            <w:gridSpan w:val="4"/>
          </w:tcPr>
          <w:p>
            <w:pPr>
              <w:ind w:left="40"/>
              <w:spacing w:after="0" w:line="148" w:lineRule="exact"/>
              <w:rPr>
                <w:sz w:val="20"/>
                <w:szCs w:val="20"/>
                <w:color w:val="auto"/>
              </w:rPr>
            </w:pPr>
            <w:r>
              <w:rPr>
                <w:rFonts w:ascii="Arial" w:cs="Arial" w:eastAsia="Arial" w:hAnsi="Arial"/>
                <w:sz w:val="13"/>
                <w:szCs w:val="13"/>
                <w:color w:val="auto"/>
                <w:w w:val="94"/>
              </w:rPr>
              <w:t>Finley Square</w:t>
            </w:r>
          </w:p>
        </w:tc>
        <w:tc>
          <w:tcPr>
            <w:tcW w:w="2680" w:type="dxa"/>
            <w:vAlign w:val="bottom"/>
          </w:tcPr>
          <w:p>
            <w:pPr>
              <w:ind w:left="400"/>
              <w:spacing w:after="0" w:line="148" w:lineRule="exact"/>
              <w:rPr>
                <w:sz w:val="20"/>
                <w:szCs w:val="20"/>
                <w:color w:val="auto"/>
              </w:rPr>
            </w:pPr>
            <w:r>
              <w:rPr>
                <w:rFonts w:ascii="Arial" w:cs="Arial" w:eastAsia="Arial" w:hAnsi="Arial"/>
                <w:sz w:val="13"/>
                <w:szCs w:val="13"/>
                <w:color w:val="auto"/>
              </w:rPr>
              <w:t>Chicago-Naperville-Elgin, IL-IN-WI</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39,247</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278,000</w:t>
            </w:r>
          </w:p>
        </w:tc>
        <w:tc>
          <w:tcPr>
            <w:tcW w:w="12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80" w:type="dxa"/>
            <w:vAlign w:val="bottom"/>
          </w:tcPr>
          <w:p>
            <w:pPr>
              <w:ind w:left="60"/>
              <w:spacing w:after="0" w:line="148" w:lineRule="exact"/>
              <w:rPr>
                <w:sz w:val="20"/>
                <w:szCs w:val="20"/>
                <w:color w:val="auto"/>
              </w:rPr>
            </w:pPr>
            <w:r>
              <w:rPr>
                <w:rFonts w:ascii="Arial" w:cs="Arial" w:eastAsia="Arial" w:hAnsi="Arial"/>
                <w:sz w:val="13"/>
                <w:szCs w:val="13"/>
                <w:color w:val="auto"/>
                <w:w w:val="96"/>
              </w:rPr>
              <w:t>Bed, Bath &amp; Beyond / Buy Buy Baby /</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tcPr>
          <w:p>
            <w:pPr>
              <w:ind w:left="60"/>
              <w:spacing w:after="0"/>
              <w:rPr>
                <w:sz w:val="20"/>
                <w:szCs w:val="20"/>
                <w:color w:val="auto"/>
              </w:rPr>
            </w:pPr>
            <w:r>
              <w:rPr>
                <w:rFonts w:ascii="Arial" w:cs="Arial" w:eastAsia="Arial" w:hAnsi="Arial"/>
                <w:sz w:val="13"/>
                <w:szCs w:val="13"/>
                <w:color w:val="auto"/>
              </w:rPr>
              <w:t>Petsmart / Portillo's</w:t>
            </w:r>
          </w:p>
        </w:tc>
      </w:tr>
      <w:tr>
        <w:trPr>
          <w:trHeight w:val="156"/>
        </w:trPr>
        <w:tc>
          <w:tcPr>
            <w:tcW w:w="8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Garden</w:t>
            </w:r>
          </w:p>
        </w:tc>
        <w:tc>
          <w:tcPr>
            <w:tcW w:w="26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Chicago-Naperville-Elgin, IL-IN-WI</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14,581</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140,000</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63,000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Mariano's</w:t>
            </w:r>
          </w:p>
        </w:tc>
        <w:tc>
          <w:tcPr>
            <w:tcW w:w="2180" w:type="dxa"/>
            <w:vAlign w:val="bottom"/>
            <w:shd w:val="clear" w:color="auto" w:fill="CCEEFF"/>
          </w:tcPr>
          <w:p>
            <w:pPr>
              <w:ind w:left="60"/>
              <w:spacing w:after="0"/>
              <w:rPr>
                <w:sz w:val="20"/>
                <w:szCs w:val="20"/>
                <w:color w:val="auto"/>
              </w:rPr>
            </w:pPr>
            <w:r>
              <w:rPr>
                <w:rFonts w:ascii="Arial" w:cs="Arial" w:eastAsia="Arial" w:hAnsi="Arial"/>
                <w:sz w:val="13"/>
                <w:szCs w:val="13"/>
                <w:color w:val="auto"/>
              </w:rPr>
              <w:t>Walgreens</w:t>
            </w:r>
          </w:p>
        </w:tc>
      </w:tr>
      <w:tr>
        <w:trPr>
          <w:trHeight w:val="176"/>
        </w:trPr>
        <w:tc>
          <w:tcPr>
            <w:tcW w:w="8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Market</w:t>
            </w:r>
          </w:p>
        </w:tc>
        <w:tc>
          <w:tcPr>
            <w:tcW w:w="26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1"/>
              </w:rPr>
              <w:t>Fresh Market</w:t>
            </w:r>
          </w:p>
        </w:tc>
        <w:tc>
          <w:tcPr>
            <w:tcW w:w="2180" w:type="dxa"/>
            <w:vAlign w:val="bottom"/>
            <w:shd w:val="clear" w:color="auto" w:fill="CCEEFF"/>
          </w:tcPr>
          <w:p>
            <w:pPr>
              <w:spacing w:after="0"/>
              <w:rPr>
                <w:sz w:val="15"/>
                <w:szCs w:val="15"/>
                <w:color w:val="auto"/>
              </w:rPr>
            </w:pPr>
          </w:p>
        </w:tc>
      </w:tr>
      <w:tr>
        <w:trPr>
          <w:trHeight w:val="148"/>
        </w:trPr>
        <w:tc>
          <w:tcPr>
            <w:tcW w:w="8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Riverpoint</w:t>
            </w:r>
          </w:p>
        </w:tc>
        <w:tc>
          <w:tcPr>
            <w:tcW w:w="2680" w:type="dxa"/>
            <w:vAlign w:val="bottom"/>
          </w:tcPr>
          <w:p>
            <w:pPr>
              <w:ind w:left="400"/>
              <w:spacing w:after="0" w:line="148" w:lineRule="exact"/>
              <w:rPr>
                <w:sz w:val="20"/>
                <w:szCs w:val="20"/>
                <w:color w:val="auto"/>
              </w:rPr>
            </w:pPr>
            <w:r>
              <w:rPr>
                <w:rFonts w:ascii="Arial" w:cs="Arial" w:eastAsia="Arial" w:hAnsi="Arial"/>
                <w:sz w:val="13"/>
                <w:szCs w:val="13"/>
                <w:color w:val="auto"/>
              </w:rPr>
              <w:t>Chicago-Naperville-Elgin, IL-IN-WI</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120,678</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211,000</w:t>
            </w:r>
          </w:p>
        </w:tc>
        <w:tc>
          <w:tcPr>
            <w:tcW w:w="12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68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3"/>
                <w:szCs w:val="13"/>
                <w:color w:val="auto"/>
                <w:w w:val="90"/>
              </w:rPr>
              <w:t>86,000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Jewel Osco</w:t>
            </w:r>
          </w:p>
        </w:tc>
        <w:tc>
          <w:tcPr>
            <w:tcW w:w="2180" w:type="dxa"/>
            <w:vAlign w:val="bottom"/>
          </w:tcPr>
          <w:p>
            <w:pPr>
              <w:ind w:left="60"/>
              <w:spacing w:after="0" w:line="148" w:lineRule="exact"/>
              <w:rPr>
                <w:sz w:val="20"/>
                <w:szCs w:val="20"/>
                <w:color w:val="auto"/>
              </w:rPr>
            </w:pPr>
            <w:r>
              <w:rPr>
                <w:rFonts w:ascii="Arial" w:cs="Arial" w:eastAsia="Arial" w:hAnsi="Arial"/>
                <w:sz w:val="13"/>
                <w:szCs w:val="13"/>
                <w:color w:val="auto"/>
              </w:rPr>
              <w:t>Marshalls / Old Navy</w:t>
            </w:r>
          </w:p>
        </w:tc>
      </w:tr>
      <w:tr>
        <w:trPr>
          <w:trHeight w:val="170"/>
        </w:trPr>
        <w:tc>
          <w:tcPr>
            <w:tcW w:w="820" w:type="dxa"/>
            <w:vAlign w:val="bottom"/>
            <w:tcBorders>
              <w:bottom w:val="single" w:sz="8" w:color="CCEEFF"/>
            </w:tcBorders>
            <w:gridSpan w:val="4"/>
          </w:tcPr>
          <w:p>
            <w:pPr>
              <w:ind w:left="40"/>
              <w:spacing w:after="0"/>
              <w:rPr>
                <w:sz w:val="20"/>
                <w:szCs w:val="20"/>
                <w:color w:val="auto"/>
              </w:rPr>
            </w:pPr>
            <w:r>
              <w:rPr>
                <w:rFonts w:ascii="Arial" w:cs="Arial" w:eastAsia="Arial" w:hAnsi="Arial"/>
                <w:sz w:val="13"/>
                <w:szCs w:val="13"/>
                <w:color w:val="auto"/>
              </w:rPr>
              <w:t>Center</w:t>
            </w:r>
          </w:p>
        </w:tc>
        <w:tc>
          <w:tcPr>
            <w:tcW w:w="26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r>
      <w:tr>
        <w:trPr>
          <w:trHeight w:val="173"/>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80" w:type="dxa"/>
            <w:vAlign w:val="bottom"/>
            <w:shd w:val="clear" w:color="auto" w:fill="CCEEFF"/>
          </w:tcPr>
          <w:p>
            <w:pPr>
              <w:ind w:left="400"/>
              <w:spacing w:after="0"/>
              <w:rPr>
                <w:sz w:val="20"/>
                <w:szCs w:val="20"/>
                <w:color w:val="auto"/>
              </w:rPr>
            </w:pPr>
            <w:r>
              <w:rPr>
                <w:rFonts w:ascii="Arial" w:cs="Arial" w:eastAsia="Arial" w:hAnsi="Arial"/>
                <w:sz w:val="13"/>
                <w:szCs w:val="13"/>
                <w:b w:val="1"/>
                <w:bCs w:val="1"/>
                <w:color w:val="auto"/>
              </w:rPr>
              <w:t>Total Chicago</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209,655</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797,000</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6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180" w:type="dxa"/>
            <w:vAlign w:val="bottom"/>
            <w:shd w:val="clear" w:color="auto" w:fill="CCEEFF"/>
          </w:tcPr>
          <w:p>
            <w:pPr>
              <w:spacing w:after="0"/>
              <w:rPr>
                <w:sz w:val="7"/>
                <w:szCs w:val="7"/>
                <w:color w:val="auto"/>
              </w:rPr>
            </w:pPr>
          </w:p>
        </w:tc>
      </w:tr>
      <w:tr>
        <w:trPr>
          <w:trHeight w:val="270"/>
        </w:trPr>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180" w:type="dxa"/>
            <w:vAlign w:val="bottom"/>
          </w:tcPr>
          <w:p>
            <w:pPr>
              <w:spacing w:after="0"/>
              <w:rPr>
                <w:sz w:val="23"/>
                <w:szCs w:val="23"/>
                <w:color w:val="auto"/>
              </w:rPr>
            </w:pPr>
          </w:p>
        </w:tc>
      </w:tr>
      <w:tr>
        <w:trPr>
          <w:trHeight w:val="149"/>
        </w:trPr>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60"/>
              <w:spacing w:after="0"/>
              <w:rPr>
                <w:sz w:val="20"/>
                <w:szCs w:val="20"/>
                <w:color w:val="auto"/>
              </w:rPr>
            </w:pPr>
            <w:r>
              <w:rPr>
                <w:rFonts w:ascii="Arial" w:cs="Arial" w:eastAsia="Arial" w:hAnsi="Arial"/>
                <w:sz w:val="13"/>
                <w:szCs w:val="13"/>
                <w:b w:val="1"/>
                <w:bCs w:val="1"/>
                <w:color w:val="auto"/>
              </w:rPr>
              <w:t>Other</w:t>
            </w:r>
          </w:p>
        </w:tc>
        <w:tc>
          <w:tcPr>
            <w:tcW w:w="2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26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180" w:type="dxa"/>
            <w:vAlign w:val="bottom"/>
            <w:tcBorders>
              <w:top w:val="single" w:sz="8" w:color="CCEEFF"/>
            </w:tcBorders>
            <w:shd w:val="clear" w:color="auto" w:fill="CCEEFF"/>
          </w:tcPr>
          <w:p>
            <w:pPr>
              <w:spacing w:after="0"/>
              <w:rPr>
                <w:sz w:val="8"/>
                <w:szCs w:val="8"/>
                <w:color w:val="auto"/>
              </w:rPr>
            </w:pPr>
          </w:p>
        </w:tc>
      </w:tr>
      <w:tr>
        <w:trPr>
          <w:trHeight w:val="148"/>
        </w:trPr>
        <w:tc>
          <w:tcPr>
            <w:tcW w:w="8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Barracks</w:t>
            </w:r>
          </w:p>
        </w:tc>
        <w:tc>
          <w:tcPr>
            <w:tcW w:w="2680" w:type="dxa"/>
            <w:vAlign w:val="bottom"/>
          </w:tcPr>
          <w:p>
            <w:pPr>
              <w:ind w:left="400"/>
              <w:spacing w:after="0" w:line="148" w:lineRule="exact"/>
              <w:rPr>
                <w:sz w:val="20"/>
                <w:szCs w:val="20"/>
                <w:color w:val="auto"/>
              </w:rPr>
            </w:pPr>
            <w:r>
              <w:rPr>
                <w:rFonts w:ascii="Arial" w:cs="Arial" w:eastAsia="Arial" w:hAnsi="Arial"/>
                <w:sz w:val="13"/>
                <w:szCs w:val="13"/>
                <w:color w:val="auto"/>
              </w:rPr>
              <w:t>Charlottesville, VA</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68,225</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40</w:t>
            </w:r>
          </w:p>
        </w:tc>
        <w:tc>
          <w:tcPr>
            <w:tcW w:w="10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498,000</w:t>
            </w:r>
          </w:p>
        </w:tc>
        <w:tc>
          <w:tcPr>
            <w:tcW w:w="12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3"/>
                <w:szCs w:val="13"/>
                <w:color w:val="auto"/>
                <w:w w:val="90"/>
              </w:rPr>
              <w:t>99,000</w:t>
            </w:r>
          </w:p>
        </w:tc>
        <w:tc>
          <w:tcPr>
            <w:tcW w:w="3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Harris Teeter / Anthropologie / Nike / Bed, Bath &amp;</w:t>
            </w:r>
          </w:p>
        </w:tc>
      </w:tr>
      <w:tr>
        <w:trPr>
          <w:trHeight w:val="168"/>
        </w:trPr>
        <w:tc>
          <w:tcPr>
            <w:tcW w:w="820" w:type="dxa"/>
            <w:vAlign w:val="bottom"/>
            <w:gridSpan w:val="4"/>
          </w:tcPr>
          <w:p>
            <w:pPr>
              <w:ind w:left="40"/>
              <w:spacing w:after="0"/>
              <w:rPr>
                <w:sz w:val="20"/>
                <w:szCs w:val="20"/>
                <w:color w:val="auto"/>
              </w:rPr>
            </w:pPr>
            <w:r>
              <w:rPr>
                <w:rFonts w:ascii="Arial" w:cs="Arial" w:eastAsia="Arial" w:hAnsi="Arial"/>
                <w:sz w:val="13"/>
                <w:szCs w:val="13"/>
                <w:color w:val="auto"/>
              </w:rPr>
              <w:t>Road</w:t>
            </w:r>
          </w:p>
        </w:tc>
        <w:tc>
          <w:tcPr>
            <w:tcW w:w="2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auto"/>
              </w:rPr>
              <w:t>Kroger</w:t>
            </w:r>
          </w:p>
        </w:tc>
        <w:tc>
          <w:tcPr>
            <w:tcW w:w="2180" w:type="dxa"/>
            <w:vAlign w:val="bottom"/>
          </w:tcPr>
          <w:p>
            <w:pPr>
              <w:ind w:left="60"/>
              <w:spacing w:after="0"/>
              <w:rPr>
                <w:sz w:val="20"/>
                <w:szCs w:val="20"/>
                <w:color w:val="auto"/>
              </w:rPr>
            </w:pPr>
            <w:r>
              <w:rPr>
                <w:rFonts w:ascii="Arial" w:cs="Arial" w:eastAsia="Arial" w:hAnsi="Arial"/>
                <w:sz w:val="13"/>
                <w:szCs w:val="13"/>
                <w:color w:val="auto"/>
              </w:rPr>
              <w:t>Beyond / Old Navy</w:t>
            </w:r>
          </w:p>
        </w:tc>
      </w:tr>
      <w:tr>
        <w:trPr>
          <w:trHeight w:val="181"/>
        </w:trPr>
        <w:tc>
          <w:tcPr>
            <w:tcW w:w="8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Bristol Plaza</w:t>
            </w:r>
          </w:p>
        </w:tc>
        <w:tc>
          <w:tcPr>
            <w:tcW w:w="268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5"/>
              </w:rPr>
              <w:t>Hartford-West Hartford-East Hartford, CT</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32,154</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266,000</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74,000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5"/>
              </w:rPr>
              <w:t>Stop &amp; Shop</w:t>
            </w:r>
          </w:p>
        </w:tc>
        <w:tc>
          <w:tcPr>
            <w:tcW w:w="2180" w:type="dxa"/>
            <w:vAlign w:val="bottom"/>
            <w:shd w:val="clear" w:color="auto" w:fill="CCEEFF"/>
          </w:tcPr>
          <w:p>
            <w:pPr>
              <w:ind w:left="60"/>
              <w:spacing w:after="0"/>
              <w:rPr>
                <w:sz w:val="20"/>
                <w:szCs w:val="20"/>
                <w:color w:val="auto"/>
              </w:rPr>
            </w:pPr>
            <w:r>
              <w:rPr>
                <w:rFonts w:ascii="Arial" w:cs="Arial" w:eastAsia="Arial" w:hAnsi="Arial"/>
                <w:sz w:val="13"/>
                <w:szCs w:val="13"/>
                <w:color w:val="auto"/>
              </w:rPr>
              <w:t>TJ Maxx</w:t>
            </w: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6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180" w:type="dxa"/>
            <w:vAlign w:val="bottom"/>
            <w:shd w:val="clear" w:color="auto" w:fill="CCEEFF"/>
          </w:tcPr>
          <w:p>
            <w:pPr>
              <w:spacing w:after="0"/>
              <w:rPr>
                <w:sz w:val="8"/>
                <w:szCs w:val="8"/>
                <w:color w:val="auto"/>
              </w:rPr>
            </w:pPr>
          </w:p>
        </w:tc>
      </w:tr>
      <w:tr>
        <w:trPr>
          <w:trHeight w:val="148"/>
        </w:trPr>
        <w:tc>
          <w:tcPr>
            <w:tcW w:w="8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Eastgate</w:t>
            </w:r>
          </w:p>
        </w:tc>
        <w:tc>
          <w:tcPr>
            <w:tcW w:w="2680" w:type="dxa"/>
            <w:vAlign w:val="bottom"/>
          </w:tcPr>
          <w:p>
            <w:pPr>
              <w:ind w:left="400"/>
              <w:spacing w:after="0" w:line="148" w:lineRule="exact"/>
              <w:rPr>
                <w:sz w:val="20"/>
                <w:szCs w:val="20"/>
                <w:color w:val="auto"/>
              </w:rPr>
            </w:pPr>
            <w:r>
              <w:rPr>
                <w:rFonts w:ascii="Arial" w:cs="Arial" w:eastAsia="Arial" w:hAnsi="Arial"/>
                <w:sz w:val="13"/>
                <w:szCs w:val="13"/>
                <w:color w:val="auto"/>
              </w:rPr>
              <w:t>Durham-Chapel Hill, NC</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34,195</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159,000</w:t>
            </w:r>
          </w:p>
        </w:tc>
        <w:tc>
          <w:tcPr>
            <w:tcW w:w="12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90%</w:t>
            </w:r>
          </w:p>
        </w:tc>
        <w:tc>
          <w:tcPr>
            <w:tcW w:w="68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3"/>
                <w:szCs w:val="13"/>
                <w:color w:val="auto"/>
                <w:w w:val="90"/>
              </w:rPr>
              <w:t>13,000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w w:val="97"/>
              </w:rPr>
              <w:t>Trader Joe's</w:t>
            </w:r>
          </w:p>
        </w:tc>
        <w:tc>
          <w:tcPr>
            <w:tcW w:w="2180" w:type="dxa"/>
            <w:vAlign w:val="bottom"/>
          </w:tcPr>
          <w:p>
            <w:pPr>
              <w:ind w:left="60"/>
              <w:spacing w:after="0" w:line="148" w:lineRule="exact"/>
              <w:rPr>
                <w:sz w:val="20"/>
                <w:szCs w:val="20"/>
                <w:color w:val="auto"/>
              </w:rPr>
            </w:pPr>
            <w:r>
              <w:rPr>
                <w:rFonts w:ascii="Arial" w:cs="Arial" w:eastAsia="Arial" w:hAnsi="Arial"/>
                <w:sz w:val="13"/>
                <w:szCs w:val="13"/>
                <w:color w:val="auto"/>
              </w:rPr>
              <w:t>Ulta / Stein Mart / Petco</w:t>
            </w:r>
          </w:p>
        </w:tc>
      </w:tr>
      <w:tr>
        <w:trPr>
          <w:trHeight w:val="168"/>
        </w:trPr>
        <w:tc>
          <w:tcPr>
            <w:tcW w:w="820" w:type="dxa"/>
            <w:vAlign w:val="bottom"/>
            <w:gridSpan w:val="4"/>
          </w:tcPr>
          <w:p>
            <w:pPr>
              <w:ind w:left="40"/>
              <w:spacing w:after="0"/>
              <w:rPr>
                <w:sz w:val="20"/>
                <w:szCs w:val="20"/>
                <w:color w:val="auto"/>
              </w:rPr>
            </w:pPr>
            <w:r>
              <w:rPr>
                <w:rFonts w:ascii="Arial" w:cs="Arial" w:eastAsia="Arial" w:hAnsi="Arial"/>
                <w:sz w:val="13"/>
                <w:szCs w:val="13"/>
                <w:color w:val="auto"/>
              </w:rPr>
              <w:t>Crossing</w:t>
            </w:r>
          </w:p>
        </w:tc>
        <w:tc>
          <w:tcPr>
            <w:tcW w:w="2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81"/>
        </w:trPr>
        <w:tc>
          <w:tcPr>
            <w:tcW w:w="8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Gratiot Plaza</w:t>
            </w:r>
          </w:p>
        </w:tc>
        <w:tc>
          <w:tcPr>
            <w:tcW w:w="26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Detroit-Warren-Dearborn, MI</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19,965</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217,000</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69,000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Kroger</w:t>
            </w:r>
          </w:p>
        </w:tc>
        <w:tc>
          <w:tcPr>
            <w:tcW w:w="2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4"/>
              </w:rPr>
              <w:t>Bed, Bath &amp; Beyond / Best Buy / DSW</w:t>
            </w: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6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180" w:type="dxa"/>
            <w:vAlign w:val="bottom"/>
            <w:shd w:val="clear" w:color="auto" w:fill="CCEEFF"/>
          </w:tcPr>
          <w:p>
            <w:pPr>
              <w:spacing w:after="0"/>
              <w:rPr>
                <w:sz w:val="8"/>
                <w:szCs w:val="8"/>
                <w:color w:val="auto"/>
              </w:rPr>
            </w:pPr>
          </w:p>
        </w:tc>
      </w:tr>
      <w:tr>
        <w:trPr>
          <w:trHeight w:val="173"/>
        </w:trPr>
        <w:tc>
          <w:tcPr>
            <w:tcW w:w="820" w:type="dxa"/>
            <w:vAlign w:val="bottom"/>
            <w:gridSpan w:val="4"/>
          </w:tcPr>
          <w:p>
            <w:pPr>
              <w:ind w:left="40"/>
              <w:spacing w:after="0"/>
              <w:rPr>
                <w:sz w:val="20"/>
                <w:szCs w:val="20"/>
                <w:color w:val="auto"/>
              </w:rPr>
            </w:pPr>
            <w:r>
              <w:rPr>
                <w:rFonts w:ascii="Arial" w:cs="Arial" w:eastAsia="Arial" w:hAnsi="Arial"/>
                <w:sz w:val="13"/>
                <w:szCs w:val="13"/>
                <w:color w:val="auto"/>
              </w:rPr>
              <w:t>Lancaster</w:t>
            </w:r>
          </w:p>
        </w:tc>
        <w:tc>
          <w:tcPr>
            <w:tcW w:w="2680" w:type="dxa"/>
            <w:vAlign w:val="bottom"/>
          </w:tcPr>
          <w:p>
            <w:pPr>
              <w:ind w:left="100"/>
              <w:spacing w:after="0"/>
              <w:rPr>
                <w:sz w:val="20"/>
                <w:szCs w:val="20"/>
                <w:color w:val="auto"/>
              </w:rPr>
            </w:pPr>
            <w:r>
              <w:rPr>
                <w:rFonts w:ascii="Arial" w:cs="Arial" w:eastAsia="Arial" w:hAnsi="Arial"/>
                <w:sz w:val="13"/>
                <w:szCs w:val="13"/>
                <w:color w:val="auto"/>
              </w:rPr>
              <w:t>(8)   Lancaster, PA</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13,044</w:t>
            </w:r>
          </w:p>
        </w:tc>
        <w:tc>
          <w:tcPr>
            <w:tcW w:w="160" w:type="dxa"/>
            <w:vAlign w:val="bottom"/>
          </w:tcPr>
          <w:p>
            <w:pPr>
              <w:spacing w:after="0"/>
              <w:rPr>
                <w:sz w:val="15"/>
                <w:szCs w:val="15"/>
                <w:color w:val="auto"/>
              </w:rPr>
            </w:pPr>
          </w:p>
        </w:tc>
        <w:tc>
          <w:tcPr>
            <w:tcW w:w="880" w:type="dxa"/>
            <w:vAlign w:val="bottom"/>
          </w:tcPr>
          <w:p>
            <w:pPr>
              <w:jc w:val="right"/>
              <w:ind w:right="99"/>
              <w:spacing w:after="0"/>
              <w:rPr>
                <w:sz w:val="20"/>
                <w:szCs w:val="20"/>
                <w:color w:val="auto"/>
              </w:rPr>
            </w:pPr>
            <w:r>
              <w:rPr>
                <w:rFonts w:ascii="Arial" w:cs="Arial" w:eastAsia="Arial" w:hAnsi="Arial"/>
                <w:sz w:val="13"/>
                <w:szCs w:val="13"/>
                <w:color w:val="auto"/>
              </w:rPr>
              <w:t>5,469</w:t>
            </w: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127,000</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82%</w:t>
            </w:r>
          </w:p>
        </w:tc>
        <w:tc>
          <w:tcPr>
            <w:tcW w:w="6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75,000</w:t>
            </w:r>
          </w:p>
        </w:tc>
        <w:tc>
          <w:tcPr>
            <w:tcW w:w="820" w:type="dxa"/>
            <w:vAlign w:val="bottom"/>
          </w:tcPr>
          <w:p>
            <w:pPr>
              <w:ind w:left="100"/>
              <w:spacing w:after="0"/>
              <w:rPr>
                <w:sz w:val="20"/>
                <w:szCs w:val="20"/>
                <w:color w:val="auto"/>
              </w:rPr>
            </w:pPr>
            <w:r>
              <w:rPr>
                <w:rFonts w:ascii="Arial" w:cs="Arial" w:eastAsia="Arial" w:hAnsi="Arial"/>
                <w:sz w:val="13"/>
                <w:szCs w:val="13"/>
                <w:color w:val="auto"/>
              </w:rPr>
              <w:t>Giant Food</w:t>
            </w:r>
          </w:p>
        </w:tc>
        <w:tc>
          <w:tcPr>
            <w:tcW w:w="218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180" w:type="dxa"/>
            <w:vAlign w:val="bottom"/>
          </w:tcPr>
          <w:p>
            <w:pPr>
              <w:spacing w:after="0"/>
              <w:rPr>
                <w:sz w:val="8"/>
                <w:szCs w:val="8"/>
                <w:color w:val="auto"/>
              </w:rPr>
            </w:pPr>
          </w:p>
        </w:tc>
      </w:tr>
      <w:tr>
        <w:trPr>
          <w:trHeight w:val="148"/>
        </w:trPr>
        <w:tc>
          <w:tcPr>
            <w:tcW w:w="82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29th Place</w:t>
            </w:r>
          </w:p>
        </w:tc>
        <w:tc>
          <w:tcPr>
            <w:tcW w:w="2680" w:type="dxa"/>
            <w:vAlign w:val="bottom"/>
            <w:shd w:val="clear" w:color="auto" w:fill="CCEEFF"/>
          </w:tcPr>
          <w:p>
            <w:pPr>
              <w:ind w:left="400"/>
              <w:spacing w:after="0" w:line="148" w:lineRule="exact"/>
              <w:rPr>
                <w:sz w:val="20"/>
                <w:szCs w:val="20"/>
                <w:color w:val="auto"/>
              </w:rPr>
            </w:pPr>
            <w:r>
              <w:rPr>
                <w:rFonts w:ascii="Arial" w:cs="Arial" w:eastAsia="Arial" w:hAnsi="Arial"/>
                <w:sz w:val="13"/>
                <w:szCs w:val="13"/>
                <w:color w:val="auto"/>
              </w:rPr>
              <w:t>Charlottesville, VA</w:t>
            </w:r>
          </w:p>
        </w:tc>
        <w:tc>
          <w:tcPr>
            <w:tcW w:w="74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40,853</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99"/>
              <w:spacing w:after="0" w:line="148" w:lineRule="exact"/>
              <w:rPr>
                <w:sz w:val="20"/>
                <w:szCs w:val="20"/>
                <w:color w:val="auto"/>
              </w:rPr>
            </w:pPr>
            <w:r>
              <w:rPr>
                <w:rFonts w:ascii="Arial" w:cs="Arial" w:eastAsia="Arial" w:hAnsi="Arial"/>
                <w:sz w:val="13"/>
                <w:szCs w:val="13"/>
                <w:color w:val="auto"/>
              </w:rPr>
              <w:t>4,058</w:t>
            </w:r>
          </w:p>
        </w:tc>
        <w:tc>
          <w:tcPr>
            <w:tcW w:w="4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169,000</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1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HomeGoods / DSW / Stein Mart /</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180" w:type="dxa"/>
            <w:vAlign w:val="bottom"/>
            <w:shd w:val="clear" w:color="auto" w:fill="CCEEFF"/>
          </w:tcPr>
          <w:p>
            <w:pPr>
              <w:ind w:left="60"/>
              <w:spacing w:after="0"/>
              <w:rPr>
                <w:sz w:val="20"/>
                <w:szCs w:val="20"/>
                <w:color w:val="auto"/>
              </w:rPr>
            </w:pPr>
            <w:r>
              <w:rPr>
                <w:rFonts w:ascii="Arial" w:cs="Arial" w:eastAsia="Arial" w:hAnsi="Arial"/>
                <w:sz w:val="13"/>
                <w:szCs w:val="13"/>
                <w:color w:val="auto"/>
              </w:rPr>
              <w:t>Staples</w:t>
            </w:r>
          </w:p>
        </w:tc>
      </w:tr>
      <w:tr>
        <w:trPr>
          <w:trHeight w:val="148"/>
        </w:trPr>
        <w:tc>
          <w:tcPr>
            <w:tcW w:w="8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Willow Lawn</w:t>
            </w:r>
          </w:p>
        </w:tc>
        <w:tc>
          <w:tcPr>
            <w:tcW w:w="2680" w:type="dxa"/>
            <w:vAlign w:val="bottom"/>
          </w:tcPr>
          <w:p>
            <w:pPr>
              <w:ind w:left="400"/>
              <w:spacing w:after="0" w:line="148" w:lineRule="exact"/>
              <w:rPr>
                <w:sz w:val="20"/>
                <w:szCs w:val="20"/>
                <w:color w:val="auto"/>
              </w:rPr>
            </w:pPr>
            <w:r>
              <w:rPr>
                <w:rFonts w:ascii="Arial" w:cs="Arial" w:eastAsia="Arial" w:hAnsi="Arial"/>
                <w:sz w:val="13"/>
                <w:szCs w:val="13"/>
                <w:color w:val="auto"/>
              </w:rPr>
              <w:t>Richmond, VA</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103,460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37</w:t>
            </w:r>
          </w:p>
        </w:tc>
        <w:tc>
          <w:tcPr>
            <w:tcW w:w="10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463,000</w:t>
            </w:r>
          </w:p>
        </w:tc>
        <w:tc>
          <w:tcPr>
            <w:tcW w:w="12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3"/>
                <w:szCs w:val="13"/>
                <w:color w:val="auto"/>
                <w:w w:val="90"/>
              </w:rPr>
              <w:t>66,000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Kroger</w:t>
            </w:r>
          </w:p>
        </w:tc>
        <w:tc>
          <w:tcPr>
            <w:tcW w:w="2180" w:type="dxa"/>
            <w:vAlign w:val="bottom"/>
          </w:tcPr>
          <w:p>
            <w:pPr>
              <w:ind w:left="60"/>
              <w:spacing w:after="0" w:line="148" w:lineRule="exact"/>
              <w:rPr>
                <w:sz w:val="20"/>
                <w:szCs w:val="20"/>
                <w:color w:val="auto"/>
              </w:rPr>
            </w:pPr>
            <w:r>
              <w:rPr>
                <w:rFonts w:ascii="Arial" w:cs="Arial" w:eastAsia="Arial" w:hAnsi="Arial"/>
                <w:sz w:val="13"/>
                <w:szCs w:val="13"/>
                <w:color w:val="auto"/>
                <w:w w:val="90"/>
              </w:rPr>
              <w:t>Old Navy / Ross Dress For Less / Gold's</w:t>
            </w:r>
          </w:p>
        </w:tc>
      </w:tr>
      <w:tr>
        <w:trPr>
          <w:trHeight w:val="170"/>
        </w:trPr>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Gym / DSW</w:t>
            </w:r>
          </w:p>
        </w:tc>
      </w:tr>
      <w:tr>
        <w:trPr>
          <w:trHeight w:val="173"/>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80" w:type="dxa"/>
            <w:vAlign w:val="bottom"/>
            <w:shd w:val="clear" w:color="auto" w:fill="CCEEFF"/>
          </w:tcPr>
          <w:p>
            <w:pPr>
              <w:ind w:left="400"/>
              <w:spacing w:after="0"/>
              <w:rPr>
                <w:sz w:val="20"/>
                <w:szCs w:val="20"/>
                <w:color w:val="auto"/>
              </w:rPr>
            </w:pPr>
            <w:r>
              <w:rPr>
                <w:rFonts w:ascii="Arial" w:cs="Arial" w:eastAsia="Arial" w:hAnsi="Arial"/>
                <w:sz w:val="13"/>
                <w:szCs w:val="13"/>
                <w:b w:val="1"/>
                <w:bCs w:val="1"/>
                <w:color w:val="auto"/>
              </w:rPr>
              <w:t>Total Other</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311,896</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162</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1,899,000</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6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180" w:type="dxa"/>
            <w:vAlign w:val="bottom"/>
            <w:shd w:val="clear" w:color="auto" w:fill="CCEEFF"/>
          </w:tcPr>
          <w:p>
            <w:pPr>
              <w:spacing w:after="0"/>
              <w:rPr>
                <w:sz w:val="7"/>
                <w:szCs w:val="7"/>
                <w:color w:val="auto"/>
              </w:rPr>
            </w:pPr>
          </w:p>
        </w:tc>
      </w:tr>
      <w:tr>
        <w:trPr>
          <w:trHeight w:val="162"/>
        </w:trPr>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r>
      <w:tr>
        <w:trPr>
          <w:trHeight w:val="167"/>
        </w:trPr>
        <w:tc>
          <w:tcPr>
            <w:tcW w:w="820" w:type="dxa"/>
            <w:vAlign w:val="bottom"/>
            <w:gridSpan w:val="4"/>
            <w:shd w:val="clear" w:color="auto" w:fill="CCEEFF"/>
          </w:tcPr>
          <w:p>
            <w:pPr>
              <w:ind w:left="40"/>
              <w:spacing w:after="0"/>
              <w:rPr>
                <w:sz w:val="20"/>
                <w:szCs w:val="20"/>
                <w:color w:val="auto"/>
              </w:rPr>
            </w:pPr>
            <w:r>
              <w:rPr>
                <w:rFonts w:ascii="Arial" w:cs="Arial" w:eastAsia="Arial" w:hAnsi="Arial"/>
                <w:sz w:val="13"/>
                <w:szCs w:val="13"/>
                <w:b w:val="1"/>
                <w:bCs w:val="1"/>
                <w:color w:val="auto"/>
              </w:rPr>
              <w:t>Grand Total</w:t>
            </w:r>
          </w:p>
        </w:tc>
        <w:tc>
          <w:tcPr>
            <w:tcW w:w="26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7"/>
              </w:rPr>
              <w:t>$ 7,897,533</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3"/>
                <w:szCs w:val="13"/>
                <w:b w:val="1"/>
                <w:bCs w:val="1"/>
                <w:color w:val="auto"/>
              </w:rPr>
              <w:t>525,685</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98"/>
              </w:rPr>
              <w:t>1,981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9"/>
              </w:rPr>
              <w:t>24,177,000</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94%</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2,669</w:t>
            </w:r>
          </w:p>
        </w:tc>
        <w:tc>
          <w:tcPr>
            <w:tcW w:w="5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r>
      <w:tr>
        <w:trPr>
          <w:trHeight w:val="97"/>
        </w:trPr>
        <w:tc>
          <w:tcPr>
            <w:tcW w:w="40" w:type="dxa"/>
            <w:vAlign w:val="bottom"/>
            <w:tcBorders>
              <w:bottom w:val="single" w:sz="8" w:color="auto"/>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268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spacing w:after="0"/>
              <w:rPr>
                <w:sz w:val="8"/>
                <w:szCs w:val="8"/>
                <w:color w:val="auto"/>
              </w:rPr>
            </w:pPr>
          </w:p>
        </w:tc>
        <w:tc>
          <w:tcPr>
            <w:tcW w:w="2180" w:type="dxa"/>
            <w:vAlign w:val="bottom"/>
            <w:tcBorders>
              <w:bottom w:val="single" w:sz="8" w:color="auto"/>
            </w:tcBorders>
            <w:shd w:val="clear" w:color="auto" w:fill="CCEEFF"/>
          </w:tcPr>
          <w:p>
            <w:pPr>
              <w:spacing w:after="0"/>
              <w:rPr>
                <w:sz w:val="8"/>
                <w:szCs w:val="8"/>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80"/>
        <w:spacing w:after="0"/>
        <w:rPr>
          <w:sz w:val="20"/>
          <w:szCs w:val="20"/>
          <w:color w:val="auto"/>
        </w:rPr>
      </w:pPr>
      <w:r>
        <w:rPr>
          <w:rFonts w:ascii="Arial" w:cs="Arial" w:eastAsia="Arial" w:hAnsi="Arial"/>
          <w:sz w:val="14"/>
          <w:szCs w:val="14"/>
          <w:u w:val="single" w:color="auto"/>
          <w:color w:val="auto"/>
        </w:rPr>
        <w:t>Notes:</w:t>
      </w:r>
    </w:p>
    <w:p>
      <w:pPr>
        <w:spacing w:after="0" w:line="50" w:lineRule="exact"/>
        <w:rPr>
          <w:sz w:val="20"/>
          <w:szCs w:val="20"/>
          <w:color w:val="auto"/>
        </w:rPr>
      </w:pPr>
    </w:p>
    <w:p>
      <w:pPr>
        <w:ind w:left="660" w:hanging="571"/>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"Finance lease right of use assets."</w:t>
      </w:r>
    </w:p>
    <w:p>
      <w:pPr>
        <w:spacing w:after="0" w:line="41" w:lineRule="exact"/>
        <w:rPr>
          <w:rFonts w:ascii="Arial" w:cs="Arial" w:eastAsia="Arial" w:hAnsi="Arial"/>
          <w:sz w:val="14"/>
          <w:szCs w:val="14"/>
          <w:color w:val="auto"/>
        </w:rPr>
      </w:pPr>
    </w:p>
    <w:p>
      <w:pPr>
        <w:ind w:left="660" w:right="200" w:hanging="571"/>
        <w:spacing w:after="0" w:line="239"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mortgage or finance lease liabilities differ from the total reported on the consolidated balance sheet due to the unamortized discount, premium, and/or debt issuance costs on certain mortgages payable.</w:t>
      </w:r>
    </w:p>
    <w:p>
      <w:pPr>
        <w:spacing w:after="0" w:line="30" w:lineRule="exact"/>
        <w:rPr>
          <w:rFonts w:ascii="Arial" w:cs="Arial" w:eastAsia="Arial" w:hAnsi="Arial"/>
          <w:sz w:val="14"/>
          <w:szCs w:val="14"/>
          <w:color w:val="auto"/>
        </w:rPr>
      </w:pPr>
    </w:p>
    <w:p>
      <w:pPr>
        <w:ind w:left="660" w:right="460" w:hanging="571"/>
        <w:spacing w:after="0" w:line="239"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GLA and the percentage leased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30" w:lineRule="exact"/>
        <w:rPr>
          <w:rFonts w:ascii="Arial" w:cs="Arial" w:eastAsia="Arial" w:hAnsi="Arial"/>
          <w:sz w:val="14"/>
          <w:szCs w:val="14"/>
          <w:color w:val="auto"/>
        </w:rPr>
      </w:pPr>
    </w:p>
    <w:p>
      <w:pPr>
        <w:ind w:left="660" w:hanging="571"/>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Trust has a controlling financial interest in this property.</w:t>
      </w:r>
    </w:p>
    <w:p>
      <w:pPr>
        <w:spacing w:after="0" w:line="41" w:lineRule="exact"/>
        <w:rPr>
          <w:rFonts w:ascii="Arial" w:cs="Arial" w:eastAsia="Arial" w:hAnsi="Arial"/>
          <w:sz w:val="14"/>
          <w:szCs w:val="14"/>
          <w:color w:val="auto"/>
        </w:rPr>
      </w:pPr>
    </w:p>
    <w:p>
      <w:pPr>
        <w:ind w:left="660" w:hanging="571"/>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On February 8, 2019, we acquired the fee interest in this property for $22.5 million. The property is located in Fairfax, Virginia.</w:t>
      </w:r>
    </w:p>
    <w:p>
      <w:pPr>
        <w:spacing w:after="0" w:line="41" w:lineRule="exact"/>
        <w:rPr>
          <w:rFonts w:ascii="Arial" w:cs="Arial" w:eastAsia="Arial" w:hAnsi="Arial"/>
          <w:sz w:val="14"/>
          <w:szCs w:val="14"/>
          <w:color w:val="auto"/>
        </w:rPr>
      </w:pPr>
    </w:p>
    <w:p>
      <w:pPr>
        <w:ind w:left="660" w:hanging="571"/>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Portion of property is currently under development. See further discussion in the Assembly Row and Pike &amp; Rose schedules.</w:t>
      </w:r>
    </w:p>
    <w:p>
      <w:pPr>
        <w:spacing w:after="0" w:line="41" w:lineRule="exact"/>
        <w:rPr>
          <w:rFonts w:ascii="Arial" w:cs="Arial" w:eastAsia="Arial" w:hAnsi="Arial"/>
          <w:sz w:val="14"/>
          <w:szCs w:val="14"/>
          <w:color w:val="auto"/>
        </w:rPr>
      </w:pPr>
    </w:p>
    <w:p>
      <w:pPr>
        <w:ind w:left="660" w:right="480" w:hanging="571"/>
        <w:spacing w:after="0" w:line="239"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All or a portion of the property is owned in a "downREIT" partnership, of which a wholly owned subsidiary of the Trust is the sole general partner, with third party partners holding operating partnership units.</w:t>
      </w:r>
    </w:p>
    <w:p>
      <w:pPr>
        <w:spacing w:after="0" w:line="30" w:lineRule="exact"/>
        <w:rPr>
          <w:rFonts w:ascii="Arial" w:cs="Arial" w:eastAsia="Arial" w:hAnsi="Arial"/>
          <w:sz w:val="14"/>
          <w:szCs w:val="14"/>
          <w:color w:val="auto"/>
        </w:rPr>
      </w:pPr>
    </w:p>
    <w:p>
      <w:pPr>
        <w:ind w:left="660" w:hanging="571"/>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All or a portion of property subject to finance lease liabilities.</w:t>
      </w:r>
    </w:p>
    <w:p>
      <w:pPr>
        <w:spacing w:after="0" w:line="41" w:lineRule="exact"/>
        <w:rPr>
          <w:rFonts w:ascii="Arial" w:cs="Arial" w:eastAsia="Arial" w:hAnsi="Arial"/>
          <w:sz w:val="14"/>
          <w:szCs w:val="14"/>
          <w:color w:val="auto"/>
        </w:rPr>
      </w:pPr>
    </w:p>
    <w:p>
      <w:pPr>
        <w:ind w:left="660" w:hanging="571"/>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This property includes interests in five buildings in addition to our initial acquisition.</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7" w:right="239" w:bottom="1440" w:gutter="0" w:footer="0" w:header="0"/>
        </w:sectPr>
      </w:pPr>
    </w:p>
    <w:bookmarkStart w:id="26" w:name="page27"/>
    <w:bookmarkEnd w:id="26"/>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Retail Leasing Summary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2019</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5"/>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Number of</w:t>
            </w:r>
          </w:p>
        </w:tc>
        <w:tc>
          <w:tcPr>
            <w:tcW w:w="9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4"/>
              </w:rPr>
              <w:t>% of</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5"/>
          </w:tcPr>
          <w:p>
            <w:pPr>
              <w:jc w:val="center"/>
              <w:ind w:right="180"/>
              <w:spacing w:after="0" w:line="122" w:lineRule="exact"/>
              <w:rPr>
                <w:sz w:val="20"/>
                <w:szCs w:val="20"/>
                <w:color w:val="auto"/>
              </w:rPr>
            </w:pPr>
            <w:r>
              <w:rPr>
                <w:rFonts w:ascii="Arial" w:cs="Arial" w:eastAsia="Arial" w:hAnsi="Arial"/>
                <w:sz w:val="11"/>
                <w:szCs w:val="11"/>
                <w:b w:val="1"/>
                <w:bCs w:val="1"/>
                <w:color w:val="auto"/>
                <w:w w:val="80"/>
              </w:rPr>
              <w:t>Leases</w:t>
            </w:r>
          </w:p>
        </w:tc>
        <w:tc>
          <w:tcPr>
            <w:tcW w:w="9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Comparable</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Rent (3) Per Sq.</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100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r>
      <w:tr>
        <w:trPr>
          <w:trHeight w:val="140"/>
        </w:trPr>
        <w:tc>
          <w:tcPr>
            <w:tcW w:w="40" w:type="dxa"/>
            <w:vAlign w:val="bottom"/>
          </w:tcPr>
          <w:p>
            <w:pPr>
              <w:spacing w:after="0"/>
              <w:rPr>
                <w:sz w:val="12"/>
                <w:szCs w:val="12"/>
                <w:color w:val="auto"/>
              </w:rPr>
            </w:pPr>
          </w:p>
        </w:tc>
        <w:tc>
          <w:tcPr>
            <w:tcW w:w="1920" w:type="dxa"/>
            <w:vAlign w:val="bottom"/>
          </w:tcPr>
          <w:p>
            <w:pPr>
              <w:jc w:val="right"/>
              <w:ind w:right="731"/>
              <w:spacing w:after="0"/>
              <w:rPr>
                <w:sz w:val="20"/>
                <w:szCs w:val="20"/>
                <w:color w:val="auto"/>
              </w:rPr>
            </w:pPr>
            <w:r>
              <w:rPr>
                <w:rFonts w:ascii="Arial" w:cs="Arial" w:eastAsia="Arial" w:hAnsi="Arial"/>
                <w:sz w:val="11"/>
                <w:szCs w:val="11"/>
                <w:b w:val="1"/>
                <w:bCs w:val="1"/>
                <w:color w:val="auto"/>
              </w:rPr>
              <w:t>Quarter</w:t>
            </w:r>
          </w:p>
        </w:tc>
        <w:tc>
          <w:tcPr>
            <w:tcW w:w="220" w:type="dxa"/>
            <w:vAlign w:val="bottom"/>
          </w:tcPr>
          <w:p>
            <w:pPr>
              <w:spacing w:after="0"/>
              <w:rPr>
                <w:sz w:val="12"/>
                <w:szCs w:val="12"/>
                <w:color w:val="auto"/>
              </w:rPr>
            </w:pPr>
          </w:p>
        </w:tc>
        <w:tc>
          <w:tcPr>
            <w:tcW w:w="76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1"/>
              </w:rPr>
              <w:t>Signed</w:t>
            </w:r>
          </w:p>
        </w:tc>
        <w:tc>
          <w:tcPr>
            <w:tcW w:w="9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Leases Signed</w:t>
            </w:r>
          </w:p>
        </w:tc>
        <w:tc>
          <w:tcPr>
            <w:tcW w:w="920" w:type="dxa"/>
            <w:vAlign w:val="bottom"/>
            <w:gridSpan w:val="3"/>
          </w:tcPr>
          <w:p>
            <w:pPr>
              <w:ind w:left="12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2019</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247,331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45.07</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$ 41.03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1,000,716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13,596,205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54.97</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4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4th Quarter 2018</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573,923</w:t>
            </w:r>
          </w:p>
        </w:tc>
        <w:tc>
          <w:tcPr>
            <w:tcW w:w="120" w:type="dxa"/>
            <w:vAlign w:val="bottom"/>
          </w:tcPr>
          <w:p>
            <w:pPr>
              <w:spacing w:after="0"/>
              <w:rPr>
                <w:sz w:val="22"/>
                <w:szCs w:val="22"/>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32.16</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$ 27.96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2,409,987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14,280,002</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24.88</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40" w:type="dxa"/>
            <w:vAlign w:val="bottom"/>
            <w:shd w:val="clear" w:color="auto" w:fill="CCEEFF"/>
          </w:tcPr>
          <w:p>
            <w:pPr>
              <w:spacing w:after="0"/>
              <w:rPr>
                <w:sz w:val="24"/>
                <w:szCs w:val="2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2018</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447,765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38.31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$ 36.22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938,618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11,600,019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25.91</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40" w:type="dxa"/>
            <w:vAlign w:val="bottom"/>
            <w:tcBorders>
              <w:bottom w:val="single" w:sz="8" w:color="CCEEFF"/>
            </w:tcBorders>
          </w:tcPr>
          <w:p>
            <w:pPr>
              <w:spacing w:after="0"/>
              <w:rPr>
                <w:sz w:val="22"/>
                <w:szCs w:val="22"/>
                <w:color w:val="auto"/>
              </w:rPr>
            </w:pPr>
          </w:p>
        </w:tc>
        <w:tc>
          <w:tcPr>
            <w:tcW w:w="19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2018</w:t>
            </w:r>
          </w:p>
        </w:tc>
        <w:tc>
          <w:tcPr>
            <w:tcW w:w="2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99</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449,247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34.75</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$ 31.61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1,410,856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17,466,295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38.88</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1,718,266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36.30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$ 32.95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5,760,177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56,942,521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33.14</w:t>
            </w:r>
          </w:p>
        </w:tc>
        <w:tc>
          <w:tcPr>
            <w:tcW w:w="340" w:type="dxa"/>
            <w:vAlign w:val="bottom"/>
            <w:tcBorders>
              <w:bottom w:val="single" w:sz="8" w:color="auto"/>
            </w:tcBorders>
            <w:shd w:val="clear" w:color="auto" w:fill="CCEEFF"/>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399"/>
        </w:trPr>
        <w:tc>
          <w:tcPr>
            <w:tcW w:w="2940" w:type="dxa"/>
            <w:vAlign w:val="bottom"/>
            <w:gridSpan w:val="8"/>
          </w:tcPr>
          <w:p>
            <w:pPr>
              <w:ind w:left="40"/>
              <w:spacing w:after="0"/>
              <w:rPr>
                <w:sz w:val="20"/>
                <w:szCs w:val="20"/>
                <w:color w:val="auto"/>
              </w:rPr>
            </w:pPr>
            <w:r>
              <w:rPr>
                <w:rFonts w:ascii="Arial" w:cs="Arial" w:eastAsia="Arial" w:hAnsi="Arial"/>
                <w:sz w:val="14"/>
                <w:szCs w:val="14"/>
                <w:b w:val="1"/>
                <w:bCs w:val="1"/>
                <w:color w:val="auto"/>
              </w:rPr>
              <w:t>New Lease Summary - Comparable (2)</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55"/>
        </w:trPr>
        <w:tc>
          <w:tcPr>
            <w:tcW w:w="40" w:type="dxa"/>
            <w:vAlign w:val="bottom"/>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3"/>
                <w:szCs w:val="13"/>
                <w:color w:val="auto"/>
              </w:rPr>
            </w:pPr>
          </w:p>
        </w:tc>
      </w:tr>
      <w:tr>
        <w:trPr>
          <w:trHeight w:val="122"/>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5"/>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Number of</w:t>
            </w:r>
          </w:p>
        </w:tc>
        <w:tc>
          <w:tcPr>
            <w:tcW w:w="9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4"/>
              </w:rPr>
              <w:t>% of</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5"/>
          </w:tcPr>
          <w:p>
            <w:pPr>
              <w:jc w:val="center"/>
              <w:ind w:right="180"/>
              <w:spacing w:after="0" w:line="122" w:lineRule="exact"/>
              <w:rPr>
                <w:sz w:val="20"/>
                <w:szCs w:val="20"/>
                <w:color w:val="auto"/>
              </w:rPr>
            </w:pPr>
            <w:r>
              <w:rPr>
                <w:rFonts w:ascii="Arial" w:cs="Arial" w:eastAsia="Arial" w:hAnsi="Arial"/>
                <w:sz w:val="11"/>
                <w:szCs w:val="11"/>
                <w:b w:val="1"/>
                <w:bCs w:val="1"/>
                <w:color w:val="auto"/>
                <w:w w:val="80"/>
              </w:rPr>
              <w:t>Leases</w:t>
            </w:r>
          </w:p>
        </w:tc>
        <w:tc>
          <w:tcPr>
            <w:tcW w:w="9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Comparable</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Rent (3) Per Sq.</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100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r>
      <w:tr>
        <w:trPr>
          <w:trHeight w:val="140"/>
        </w:trPr>
        <w:tc>
          <w:tcPr>
            <w:tcW w:w="40" w:type="dxa"/>
            <w:vAlign w:val="bottom"/>
          </w:tcPr>
          <w:p>
            <w:pPr>
              <w:spacing w:after="0"/>
              <w:rPr>
                <w:sz w:val="12"/>
                <w:szCs w:val="12"/>
                <w:color w:val="auto"/>
              </w:rPr>
            </w:pPr>
          </w:p>
        </w:tc>
        <w:tc>
          <w:tcPr>
            <w:tcW w:w="1920" w:type="dxa"/>
            <w:vAlign w:val="bottom"/>
          </w:tcPr>
          <w:p>
            <w:pPr>
              <w:jc w:val="right"/>
              <w:ind w:right="731"/>
              <w:spacing w:after="0"/>
              <w:rPr>
                <w:sz w:val="20"/>
                <w:szCs w:val="20"/>
                <w:color w:val="auto"/>
              </w:rPr>
            </w:pPr>
            <w:r>
              <w:rPr>
                <w:rFonts w:ascii="Arial" w:cs="Arial" w:eastAsia="Arial" w:hAnsi="Arial"/>
                <w:sz w:val="11"/>
                <w:szCs w:val="11"/>
                <w:b w:val="1"/>
                <w:bCs w:val="1"/>
                <w:color w:val="auto"/>
              </w:rPr>
              <w:t>Quarter</w:t>
            </w:r>
          </w:p>
        </w:tc>
        <w:tc>
          <w:tcPr>
            <w:tcW w:w="220" w:type="dxa"/>
            <w:vAlign w:val="bottom"/>
          </w:tcPr>
          <w:p>
            <w:pPr>
              <w:spacing w:after="0"/>
              <w:rPr>
                <w:sz w:val="12"/>
                <w:szCs w:val="12"/>
                <w:color w:val="auto"/>
              </w:rPr>
            </w:pPr>
          </w:p>
        </w:tc>
        <w:tc>
          <w:tcPr>
            <w:tcW w:w="76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1"/>
              </w:rPr>
              <w:t>Signed</w:t>
            </w:r>
          </w:p>
        </w:tc>
        <w:tc>
          <w:tcPr>
            <w:tcW w:w="9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Leases Signed</w:t>
            </w:r>
          </w:p>
        </w:tc>
        <w:tc>
          <w:tcPr>
            <w:tcW w:w="920" w:type="dxa"/>
            <w:vAlign w:val="bottom"/>
            <w:gridSpan w:val="3"/>
          </w:tcPr>
          <w:p>
            <w:pPr>
              <w:ind w:left="12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2019</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128,283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50.56</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$ 43.25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937,974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13,443,495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104.80</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4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4th Quarter 2018</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237,691</w:t>
            </w:r>
          </w:p>
        </w:tc>
        <w:tc>
          <w:tcPr>
            <w:tcW w:w="120" w:type="dxa"/>
            <w:vAlign w:val="bottom"/>
          </w:tcPr>
          <w:p>
            <w:pPr>
              <w:spacing w:after="0"/>
              <w:rPr>
                <w:sz w:val="22"/>
                <w:szCs w:val="22"/>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33.94</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$ 25.16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2,086,574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13,537,346</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56.95</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40" w:type="dxa"/>
            <w:vAlign w:val="bottom"/>
            <w:shd w:val="clear" w:color="auto" w:fill="CCEEFF"/>
          </w:tcPr>
          <w:p>
            <w:pPr>
              <w:spacing w:after="0"/>
              <w:rPr>
                <w:sz w:val="24"/>
                <w:szCs w:val="2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2018</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151,703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43.71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$ 38.82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741,449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11,219,487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73.96</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40" w:type="dxa"/>
            <w:vAlign w:val="bottom"/>
            <w:tcBorders>
              <w:bottom w:val="single" w:sz="8" w:color="CCEEFF"/>
            </w:tcBorders>
          </w:tcPr>
          <w:p>
            <w:pPr>
              <w:spacing w:after="0"/>
              <w:rPr>
                <w:sz w:val="22"/>
                <w:szCs w:val="22"/>
                <w:color w:val="auto"/>
              </w:rPr>
            </w:pPr>
          </w:p>
        </w:tc>
        <w:tc>
          <w:tcPr>
            <w:tcW w:w="19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2018</w:t>
            </w:r>
          </w:p>
        </w:tc>
        <w:tc>
          <w:tcPr>
            <w:tcW w:w="2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203,883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38.18</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$ 33.13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1,030,413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16,706,322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81.94</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721,560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40.15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$ 33.50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4,796,410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54,906,650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76.09</w:t>
            </w:r>
          </w:p>
        </w:tc>
        <w:tc>
          <w:tcPr>
            <w:tcW w:w="340" w:type="dxa"/>
            <w:vAlign w:val="bottom"/>
            <w:tcBorders>
              <w:bottom w:val="single" w:sz="8" w:color="auto"/>
            </w:tcBorders>
            <w:shd w:val="clear" w:color="auto" w:fill="CCEEFF"/>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399"/>
        </w:trPr>
        <w:tc>
          <w:tcPr>
            <w:tcW w:w="2940" w:type="dxa"/>
            <w:vAlign w:val="bottom"/>
            <w:gridSpan w:val="8"/>
          </w:tcPr>
          <w:p>
            <w:pPr>
              <w:ind w:left="40"/>
              <w:spacing w:after="0"/>
              <w:rPr>
                <w:sz w:val="20"/>
                <w:szCs w:val="20"/>
                <w:color w:val="auto"/>
              </w:rPr>
            </w:pPr>
            <w:r>
              <w:rPr>
                <w:rFonts w:ascii="Arial" w:cs="Arial" w:eastAsia="Arial" w:hAnsi="Arial"/>
                <w:sz w:val="14"/>
                <w:szCs w:val="14"/>
                <w:b w:val="1"/>
                <w:bCs w:val="1"/>
                <w:color w:val="auto"/>
                <w:w w:val="94"/>
              </w:rPr>
              <w:t>Renewal Lease Summary - Comparable (2) (8)</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55"/>
        </w:trPr>
        <w:tc>
          <w:tcPr>
            <w:tcW w:w="40" w:type="dxa"/>
            <w:vAlign w:val="bottom"/>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3"/>
                <w:szCs w:val="13"/>
                <w:color w:val="auto"/>
              </w:rPr>
            </w:pPr>
          </w:p>
        </w:tc>
      </w:tr>
      <w:tr>
        <w:trPr>
          <w:trHeight w:val="122"/>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5"/>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Number of</w:t>
            </w:r>
          </w:p>
        </w:tc>
        <w:tc>
          <w:tcPr>
            <w:tcW w:w="9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4"/>
              </w:rPr>
              <w:t>% of</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5"/>
          </w:tcPr>
          <w:p>
            <w:pPr>
              <w:jc w:val="center"/>
              <w:ind w:right="180"/>
              <w:spacing w:after="0" w:line="122" w:lineRule="exact"/>
              <w:rPr>
                <w:sz w:val="20"/>
                <w:szCs w:val="20"/>
                <w:color w:val="auto"/>
              </w:rPr>
            </w:pPr>
            <w:r>
              <w:rPr>
                <w:rFonts w:ascii="Arial" w:cs="Arial" w:eastAsia="Arial" w:hAnsi="Arial"/>
                <w:sz w:val="11"/>
                <w:szCs w:val="11"/>
                <w:b w:val="1"/>
                <w:bCs w:val="1"/>
                <w:color w:val="auto"/>
                <w:w w:val="80"/>
              </w:rPr>
              <w:t>Leases</w:t>
            </w:r>
          </w:p>
        </w:tc>
        <w:tc>
          <w:tcPr>
            <w:tcW w:w="9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Comparable</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Rent (3) Per Sq.</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100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r>
      <w:tr>
        <w:trPr>
          <w:trHeight w:val="140"/>
        </w:trPr>
        <w:tc>
          <w:tcPr>
            <w:tcW w:w="40" w:type="dxa"/>
            <w:vAlign w:val="bottom"/>
          </w:tcPr>
          <w:p>
            <w:pPr>
              <w:spacing w:after="0"/>
              <w:rPr>
                <w:sz w:val="12"/>
                <w:szCs w:val="12"/>
                <w:color w:val="auto"/>
              </w:rPr>
            </w:pPr>
          </w:p>
        </w:tc>
        <w:tc>
          <w:tcPr>
            <w:tcW w:w="1920" w:type="dxa"/>
            <w:vAlign w:val="bottom"/>
          </w:tcPr>
          <w:p>
            <w:pPr>
              <w:jc w:val="right"/>
              <w:ind w:right="731"/>
              <w:spacing w:after="0"/>
              <w:rPr>
                <w:sz w:val="20"/>
                <w:szCs w:val="20"/>
                <w:color w:val="auto"/>
              </w:rPr>
            </w:pPr>
            <w:r>
              <w:rPr>
                <w:rFonts w:ascii="Arial" w:cs="Arial" w:eastAsia="Arial" w:hAnsi="Arial"/>
                <w:sz w:val="11"/>
                <w:szCs w:val="11"/>
                <w:b w:val="1"/>
                <w:bCs w:val="1"/>
                <w:color w:val="auto"/>
              </w:rPr>
              <w:t>Quarter</w:t>
            </w:r>
          </w:p>
        </w:tc>
        <w:tc>
          <w:tcPr>
            <w:tcW w:w="220" w:type="dxa"/>
            <w:vAlign w:val="bottom"/>
          </w:tcPr>
          <w:p>
            <w:pPr>
              <w:spacing w:after="0"/>
              <w:rPr>
                <w:sz w:val="12"/>
                <w:szCs w:val="12"/>
                <w:color w:val="auto"/>
              </w:rPr>
            </w:pPr>
          </w:p>
        </w:tc>
        <w:tc>
          <w:tcPr>
            <w:tcW w:w="76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1"/>
              </w:rPr>
              <w:t>Signed</w:t>
            </w:r>
          </w:p>
        </w:tc>
        <w:tc>
          <w:tcPr>
            <w:tcW w:w="9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Leases Signed</w:t>
            </w:r>
          </w:p>
        </w:tc>
        <w:tc>
          <w:tcPr>
            <w:tcW w:w="920" w:type="dxa"/>
            <w:vAlign w:val="bottom"/>
            <w:gridSpan w:val="3"/>
          </w:tcPr>
          <w:p>
            <w:pPr>
              <w:ind w:left="12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2019</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119,048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39.16</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$ 38.63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62,742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152,710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1.28</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4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4th Quarter 2018</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336,232</w:t>
            </w:r>
          </w:p>
        </w:tc>
        <w:tc>
          <w:tcPr>
            <w:tcW w:w="120" w:type="dxa"/>
            <w:vAlign w:val="bottom"/>
          </w:tcPr>
          <w:p>
            <w:pPr>
              <w:spacing w:after="0"/>
              <w:rPr>
                <w:sz w:val="22"/>
                <w:szCs w:val="22"/>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30.90</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$ 29.93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323,413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742,656</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2.21</w:t>
            </w:r>
          </w:p>
        </w:tc>
        <w:tc>
          <w:tcPr>
            <w:tcW w:w="34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2018</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296,062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35.55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$ 34.88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197,169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380,532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1.29</w:t>
            </w:r>
          </w:p>
        </w:tc>
        <w:tc>
          <w:tcPr>
            <w:tcW w:w="340" w:type="dxa"/>
            <w:vAlign w:val="bottom"/>
            <w:shd w:val="clear" w:color="auto" w:fill="CCEEFF"/>
          </w:tcPr>
          <w:p>
            <w:pPr>
              <w:spacing w:after="0"/>
              <w:rPr>
                <w:sz w:val="24"/>
                <w:szCs w:val="24"/>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9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2018</w:t>
            </w:r>
          </w:p>
        </w:tc>
        <w:tc>
          <w:tcPr>
            <w:tcW w:w="2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245,364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31.90</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$ 30.35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380,443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759,973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3.10</w:t>
            </w:r>
          </w:p>
        </w:tc>
        <w:tc>
          <w:tcPr>
            <w:tcW w:w="340" w:type="dxa"/>
            <w:vAlign w:val="bottom"/>
            <w:tcBorders>
              <w:bottom w:val="single" w:sz="8" w:color="auto"/>
            </w:tcBorders>
          </w:tcPr>
          <w:p>
            <w:pPr>
              <w:spacing w:after="0"/>
              <w:rPr>
                <w:sz w:val="22"/>
                <w:szCs w:val="22"/>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996,706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33.51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$ 32.55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963,767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2,035,871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2.04</w:t>
            </w:r>
          </w:p>
        </w:tc>
        <w:tc>
          <w:tcPr>
            <w:tcW w:w="34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399"/>
        </w:trPr>
        <w:tc>
          <w:tcPr>
            <w:tcW w:w="4780" w:type="dxa"/>
            <w:vAlign w:val="bottom"/>
            <w:gridSpan w:val="13"/>
          </w:tcPr>
          <w:p>
            <w:pPr>
              <w:ind w:left="40"/>
              <w:spacing w:after="0"/>
              <w:rPr>
                <w:sz w:val="20"/>
                <w:szCs w:val="20"/>
                <w:color w:val="auto"/>
              </w:rPr>
            </w:pPr>
            <w:r>
              <w:rPr>
                <w:rFonts w:ascii="Arial" w:cs="Arial" w:eastAsia="Arial" w:hAnsi="Arial"/>
                <w:sz w:val="14"/>
                <w:szCs w:val="14"/>
                <w:b w:val="1"/>
                <w:bCs w:val="1"/>
                <w:color w:val="auto"/>
              </w:rPr>
              <w:t>Total Lease Summary - Comparable and Non-comparable (2) (9)</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55"/>
        </w:trPr>
        <w:tc>
          <w:tcPr>
            <w:tcW w:w="40" w:type="dxa"/>
            <w:vAlign w:val="bottom"/>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3"/>
                <w:szCs w:val="13"/>
                <w:color w:val="auto"/>
              </w:rPr>
            </w:pPr>
          </w:p>
        </w:tc>
      </w:tr>
      <w:tr>
        <w:trPr>
          <w:trHeight w:val="122"/>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of Leases</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r>
      <w:tr>
        <w:trPr>
          <w:trHeight w:val="140"/>
        </w:trPr>
        <w:tc>
          <w:tcPr>
            <w:tcW w:w="40" w:type="dxa"/>
            <w:vAlign w:val="bottom"/>
          </w:tcPr>
          <w:p>
            <w:pPr>
              <w:spacing w:after="0"/>
              <w:rPr>
                <w:sz w:val="12"/>
                <w:szCs w:val="12"/>
                <w:color w:val="auto"/>
              </w:rPr>
            </w:pPr>
          </w:p>
        </w:tc>
        <w:tc>
          <w:tcPr>
            <w:tcW w:w="1920" w:type="dxa"/>
            <w:vAlign w:val="bottom"/>
          </w:tcPr>
          <w:p>
            <w:pPr>
              <w:jc w:val="right"/>
              <w:ind w:right="731"/>
              <w:spacing w:after="0"/>
              <w:rPr>
                <w:sz w:val="20"/>
                <w:szCs w:val="20"/>
                <w:color w:val="auto"/>
              </w:rPr>
            </w:pPr>
            <w:r>
              <w:rPr>
                <w:rFonts w:ascii="Arial" w:cs="Arial" w:eastAsia="Arial" w:hAnsi="Arial"/>
                <w:sz w:val="11"/>
                <w:szCs w:val="11"/>
                <w:b w:val="1"/>
                <w:bCs w:val="1"/>
                <w:color w:val="auto"/>
              </w:rPr>
              <w:t>Quarter</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GLA Signed</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2019</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305,724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43.28</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19,374,478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63.37</w:t>
            </w:r>
          </w:p>
        </w:tc>
        <w:tc>
          <w:tcPr>
            <w:tcW w:w="340" w:type="dxa"/>
            <w:vAlign w:val="bottom"/>
            <w:shd w:val="clear" w:color="auto" w:fill="CCEEFF"/>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4th Quarter 2018</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622,234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32.72</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18,728,152</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30.10</w:t>
            </w:r>
          </w:p>
        </w:tc>
        <w:tc>
          <w:tcPr>
            <w:tcW w:w="34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2018</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469,214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38.73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12,336,651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26.29</w:t>
            </w:r>
          </w:p>
        </w:tc>
        <w:tc>
          <w:tcPr>
            <w:tcW w:w="340" w:type="dxa"/>
            <w:vAlign w:val="bottom"/>
            <w:shd w:val="clear" w:color="auto" w:fill="CCEEFF"/>
          </w:tcPr>
          <w:p>
            <w:pPr>
              <w:spacing w:after="0"/>
              <w:rPr>
                <w:sz w:val="24"/>
                <w:szCs w:val="24"/>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9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2018</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474,578</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35.37</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17,912,856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37.74</w:t>
            </w:r>
          </w:p>
        </w:tc>
        <w:tc>
          <w:tcPr>
            <w:tcW w:w="340" w:type="dxa"/>
            <w:vAlign w:val="bottom"/>
            <w:tcBorders>
              <w:bottom w:val="single" w:sz="8" w:color="auto"/>
            </w:tcBorders>
          </w:tcPr>
          <w:p>
            <w:pPr>
              <w:spacing w:after="0"/>
              <w:rPr>
                <w:sz w:val="22"/>
                <w:szCs w:val="2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1,871,750</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36.62</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68,352,137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36.52</w:t>
            </w:r>
          </w:p>
        </w:tc>
        <w:tc>
          <w:tcPr>
            <w:tcW w:w="340" w:type="dxa"/>
            <w:vAlign w:val="bottom"/>
            <w:tcBorders>
              <w:bottom w:val="single" w:sz="8" w:color="auto"/>
            </w:tcBorders>
            <w:shd w:val="clear" w:color="auto" w:fill="CCEEFF"/>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620" w:hanging="585"/>
        <w:spacing w:after="0"/>
        <w:tabs>
          <w:tab w:leader="none" w:pos="6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Information reflects activity in retail spaces only; office and residential spaces are not included.</w:t>
      </w:r>
    </w:p>
    <w:p>
      <w:pPr>
        <w:spacing w:after="0" w:line="39" w:lineRule="exact"/>
        <w:rPr>
          <w:rFonts w:ascii="Arial" w:cs="Arial" w:eastAsia="Arial" w:hAnsi="Arial"/>
          <w:sz w:val="13"/>
          <w:szCs w:val="13"/>
          <w:color w:val="auto"/>
        </w:rPr>
      </w:pPr>
    </w:p>
    <w:p>
      <w:pPr>
        <w:ind w:left="620" w:hanging="585"/>
        <w:spacing w:after="0"/>
        <w:tabs>
          <w:tab w:leader="none" w:pos="6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Comparable leases represent those leases signed on spaces for which there was a former tenant.</w:t>
      </w:r>
    </w:p>
    <w:p>
      <w:pPr>
        <w:spacing w:after="0" w:line="39" w:lineRule="exact"/>
        <w:rPr>
          <w:rFonts w:ascii="Arial" w:cs="Arial" w:eastAsia="Arial" w:hAnsi="Arial"/>
          <w:sz w:val="13"/>
          <w:szCs w:val="13"/>
          <w:color w:val="auto"/>
        </w:rPr>
      </w:pPr>
    </w:p>
    <w:p>
      <w:pPr>
        <w:ind w:left="620" w:hanging="585"/>
        <w:spacing w:after="0"/>
        <w:tabs>
          <w:tab w:leader="none" w:pos="6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Contractual rent represents contractual minimum rent under the new lease for the first 12 months of the term.</w:t>
      </w:r>
    </w:p>
    <w:p>
      <w:pPr>
        <w:spacing w:after="0" w:line="39" w:lineRule="exact"/>
        <w:rPr>
          <w:rFonts w:ascii="Arial" w:cs="Arial" w:eastAsia="Arial" w:hAnsi="Arial"/>
          <w:sz w:val="13"/>
          <w:szCs w:val="13"/>
          <w:color w:val="auto"/>
        </w:rPr>
      </w:pPr>
    </w:p>
    <w:p>
      <w:pPr>
        <w:ind w:left="620" w:hanging="585"/>
        <w:spacing w:after="0"/>
        <w:tabs>
          <w:tab w:leader="none" w:pos="6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Prior rent represents minimum rent and percentage rent, if any, paid by the prior tenant in the final 12 months of the term.</w:t>
      </w:r>
    </w:p>
    <w:p>
      <w:pPr>
        <w:spacing w:after="0" w:line="39" w:lineRule="exact"/>
        <w:rPr>
          <w:rFonts w:ascii="Arial" w:cs="Arial" w:eastAsia="Arial" w:hAnsi="Arial"/>
          <w:sz w:val="13"/>
          <w:szCs w:val="13"/>
          <w:color w:val="auto"/>
        </w:rPr>
      </w:pPr>
    </w:p>
    <w:p>
      <w:pPr>
        <w:ind w:left="620" w:hanging="585"/>
        <w:spacing w:after="0"/>
        <w:tabs>
          <w:tab w:leader="none" w:pos="6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Weighted average is determined on the basis of contractual rent for the first 12 months of the term.</w:t>
      </w:r>
    </w:p>
    <w:p>
      <w:pPr>
        <w:spacing w:after="0" w:line="39" w:lineRule="exact"/>
        <w:rPr>
          <w:rFonts w:ascii="Arial" w:cs="Arial" w:eastAsia="Arial" w:hAnsi="Arial"/>
          <w:sz w:val="13"/>
          <w:szCs w:val="13"/>
          <w:color w:val="auto"/>
        </w:rPr>
      </w:pPr>
    </w:p>
    <w:p>
      <w:pPr>
        <w:ind w:left="620" w:hanging="585"/>
        <w:spacing w:after="0"/>
        <w:tabs>
          <w:tab w:leader="none" w:pos="6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See Glossary of Terms.</w:t>
      </w:r>
    </w:p>
    <w:p>
      <w:pPr>
        <w:spacing w:after="0" w:line="39" w:lineRule="exact"/>
        <w:rPr>
          <w:rFonts w:ascii="Arial" w:cs="Arial" w:eastAsia="Arial" w:hAnsi="Arial"/>
          <w:sz w:val="13"/>
          <w:szCs w:val="13"/>
          <w:color w:val="auto"/>
        </w:rPr>
      </w:pPr>
    </w:p>
    <w:p>
      <w:pPr>
        <w:ind w:left="620" w:right="200" w:hanging="585"/>
        <w:spacing w:after="0" w:line="230" w:lineRule="auto"/>
        <w:tabs>
          <w:tab w:leader="none" w:pos="6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Approximately $3.9 million ($9.59 per square foot) in 1st Quarter 2019, $4.1 million ($5.48 per square foot) in 4th Quarter 2018, $1.7 million ($3.06 per square foot) in 3rd Quarter 2018 and $5.4 million ($9.80 per square foot) in 2nd Quarter 2018 of the Tenant Improvements &amp; Incentives are for properties under active redevelopment and are included in the Projected Cost for those properties on the Summary of Redevelopment Opportunities.</w:t>
      </w:r>
    </w:p>
    <w:p>
      <w:pPr>
        <w:spacing w:after="0" w:line="29" w:lineRule="exact"/>
        <w:rPr>
          <w:rFonts w:ascii="Arial" w:cs="Arial" w:eastAsia="Arial" w:hAnsi="Arial"/>
          <w:sz w:val="13"/>
          <w:szCs w:val="13"/>
          <w:color w:val="auto"/>
        </w:rPr>
      </w:pPr>
    </w:p>
    <w:p>
      <w:pPr>
        <w:ind w:left="620" w:hanging="585"/>
        <w:spacing w:after="0"/>
        <w:tabs>
          <w:tab w:leader="none" w:pos="6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39" w:lineRule="exact"/>
        <w:rPr>
          <w:rFonts w:ascii="Arial" w:cs="Arial" w:eastAsia="Arial" w:hAnsi="Arial"/>
          <w:sz w:val="13"/>
          <w:szCs w:val="13"/>
          <w:color w:val="auto"/>
        </w:rPr>
      </w:pPr>
    </w:p>
    <w:p>
      <w:pPr>
        <w:ind w:left="620" w:right="140" w:hanging="585"/>
        <w:spacing w:after="0" w:line="288" w:lineRule="auto"/>
        <w:tabs>
          <w:tab w:leader="none" w:pos="6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The Number of Leases Signed, GLA Signed, Contractual Rent Per Sq. Ft. and Weighted Average Lease Term columns include information for leases signed at Phase 2 of both of our Assembly Row and Pike &amp; Rose projects. The Tenant Improvements &amp; Incentives and Tenant Improvements &amp; Incentives Per Sq. Ft. columns do not include the tenant improvements and incentives on leases signed for those projects; these amounts for leases signed for Phase 2 of Assembly Row and Pike &amp; Rose are included in the Projected Cost column for those projects shown on the Assembly Row and Pike &amp; Rose schedule.</w:t>
      </w: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760" w:right="239" w:bottom="1440" w:gutter="0" w:footer="0" w:header="0"/>
          <w:type w:val="continuous"/>
        </w:sectPr>
      </w:pPr>
    </w:p>
    <w:bookmarkStart w:id="27" w:name="page28"/>
    <w:bookmarkEnd w:id="2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21305"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21305"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2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2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6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12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 of Small</w:t>
            </w:r>
          </w:p>
        </w:tc>
        <w:tc>
          <w:tcPr>
            <w:tcW w:w="1360" w:type="dxa"/>
            <w:vAlign w:val="bottom"/>
            <w:gridSpan w:val="3"/>
          </w:tcPr>
          <w:p>
            <w:pPr>
              <w:jc w:val="center"/>
              <w:ind w:right="16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SF</w:t>
            </w:r>
          </w:p>
        </w:tc>
        <w:tc>
          <w:tcPr>
            <w:tcW w:w="2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Shop SF</w:t>
            </w:r>
          </w:p>
        </w:tc>
        <w:tc>
          <w:tcPr>
            <w:tcW w:w="24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50"/>
        </w:trPr>
        <w:tc>
          <w:tcPr>
            <w:tcW w:w="112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493,000</w:t>
            </w:r>
          </w:p>
        </w:tc>
        <w:tc>
          <w:tcPr>
            <w:tcW w:w="120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17.89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524,000</w:t>
            </w:r>
          </w:p>
        </w:tc>
        <w:tc>
          <w:tcPr>
            <w:tcW w:w="118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34.93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1,018,000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26.70</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1,257,000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16.59</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970,000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39.21</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2,228,000</w:t>
            </w: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26.50</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1,711,000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22.51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887,000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43.50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2,598,000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29.68</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2,056,000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18.31</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985,000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42.18</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3,040,000</w:t>
            </w: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26.04</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1,729,000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20.66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871,000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45.19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2,600,000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28.96</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2,389,000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17.58</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737,000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45.65</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3,125,000</w:t>
            </w: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24.17</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1,005,000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22.36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485,000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42.31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28.89</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573,000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26.23</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375,000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47.27</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949,000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34.55</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2027</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774,000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34.13</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456,000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48.70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39.57</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2028</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762,000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21.85</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403,000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50.67</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1,164,000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31.91</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2,689,000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20.44</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282,000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45.66</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2,971,000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22.83</w:t>
            </w:r>
          </w:p>
        </w:tc>
        <w:tc>
          <w:tcPr>
            <w:tcW w:w="0" w:type="dxa"/>
            <w:vAlign w:val="bottom"/>
          </w:tcPr>
          <w:p>
            <w:pPr>
              <w:spacing w:after="0"/>
              <w:rPr>
                <w:sz w:val="1"/>
                <w:szCs w:val="1"/>
                <w:color w:val="auto"/>
              </w:rPr>
            </w:pPr>
          </w:p>
        </w:tc>
      </w:tr>
      <w:tr>
        <w:trPr>
          <w:trHeight w:val="244"/>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15,438,000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20.67</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6,975,000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43.47</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22,413,000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27.79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00" w:type="dxa"/>
            <w:vAlign w:val="bottom"/>
            <w:tcBorders>
              <w:left w:val="single" w:sz="8" w:color="auto"/>
            </w:tcBorders>
            <w:gridSpan w:val="3"/>
          </w:tcPr>
          <w:p>
            <w:pPr>
              <w:jc w:val="right"/>
              <w:ind w:right="497"/>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2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4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2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2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6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12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 of Small</w:t>
            </w:r>
          </w:p>
        </w:tc>
        <w:tc>
          <w:tcPr>
            <w:tcW w:w="1360" w:type="dxa"/>
            <w:vAlign w:val="bottom"/>
            <w:gridSpan w:val="3"/>
          </w:tcPr>
          <w:p>
            <w:pPr>
              <w:jc w:val="center"/>
              <w:ind w:right="16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SF</w:t>
            </w:r>
          </w:p>
        </w:tc>
        <w:tc>
          <w:tcPr>
            <w:tcW w:w="2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Shop SF</w:t>
            </w:r>
          </w:p>
        </w:tc>
        <w:tc>
          <w:tcPr>
            <w:tcW w:w="24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2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354,000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17.90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382,000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35.99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736,000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27.33</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287,000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17.54</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661,000</w:t>
            </w: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38.05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948,000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31.91</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18.78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519,000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48.55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966,000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34.78</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320,000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23.79</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584,000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41.27</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904,000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35.08</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23.15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516,000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42.16</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33.12</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634,000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23.25</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406,000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43.63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1,039,000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31.22</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402,000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22.46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397,000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42.58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32.57</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486,000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24.79</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352,000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41.37</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838,000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31.76</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2027</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798,000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19.28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482,000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45.89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29.37</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2028</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624,000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18.22</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411,000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46.84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1,036,000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29.64</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10,615,000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20.56</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2,265,000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45.38</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12,881,000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24.93</w:t>
            </w:r>
          </w:p>
        </w:tc>
        <w:tc>
          <w:tcPr>
            <w:tcW w:w="0" w:type="dxa"/>
            <w:vAlign w:val="bottom"/>
          </w:tcPr>
          <w:p>
            <w:pPr>
              <w:spacing w:after="0"/>
              <w:rPr>
                <w:sz w:val="1"/>
                <w:szCs w:val="1"/>
                <w:color w:val="auto"/>
              </w:rPr>
            </w:pPr>
          </w:p>
        </w:tc>
      </w:tr>
      <w:tr>
        <w:trPr>
          <w:trHeight w:val="244"/>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15,438,000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20.67</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6,975,000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43.47</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22,413,000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27.79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40" w:hanging="1105"/>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Anchor is defined as a retail tenant leasing 10,000 square feet or more.</w:t>
      </w:r>
    </w:p>
    <w:p>
      <w:pPr>
        <w:spacing w:after="0" w:line="72" w:lineRule="exact"/>
        <w:rPr>
          <w:rFonts w:ascii="Arial" w:cs="Arial" w:eastAsia="Arial" w:hAnsi="Arial"/>
          <w:sz w:val="16"/>
          <w:szCs w:val="16"/>
          <w:color w:val="auto"/>
        </w:rPr>
      </w:pPr>
    </w:p>
    <w:p>
      <w:pPr>
        <w:ind w:left="1140" w:hanging="1105"/>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Minimum Rent reflects in-place contractual (defined as cash-basis excluding rent abatements) rent as of March 31, 2019.</w:t>
      </w:r>
    </w:p>
    <w:p>
      <w:pPr>
        <w:spacing w:after="0" w:line="72" w:lineRule="exact"/>
        <w:rPr>
          <w:rFonts w:ascii="Arial" w:cs="Arial" w:eastAsia="Arial" w:hAnsi="Arial"/>
          <w:sz w:val="16"/>
          <w:szCs w:val="16"/>
          <w:color w:val="auto"/>
        </w:rPr>
      </w:pPr>
    </w:p>
    <w:p>
      <w:pPr>
        <w:ind w:left="1140" w:hanging="1105"/>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occupied square footage of the commercial portion of our portfolio as of March 31, 2019.</w:t>
      </w:r>
    </w:p>
    <w:p>
      <w:pPr>
        <w:spacing w:after="0" w:line="72" w:lineRule="exact"/>
        <w:rPr>
          <w:rFonts w:ascii="Arial" w:cs="Arial" w:eastAsia="Arial" w:hAnsi="Arial"/>
          <w:sz w:val="16"/>
          <w:szCs w:val="16"/>
          <w:color w:val="auto"/>
        </w:rPr>
      </w:pPr>
    </w:p>
    <w:p>
      <w:pPr>
        <w:ind w:left="1140" w:hanging="1105"/>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8" w:name="page29"/>
    <w:bookmarkEnd w:id="28"/>
    <w:p>
      <w:pPr>
        <w:ind w:left="40" w:right="1260"/>
        <w:spacing w:after="0" w:line="329" w:lineRule="auto"/>
        <w:rPr>
          <w:sz w:val="20"/>
          <w:szCs w:val="20"/>
          <w:color w:val="auto"/>
        </w:rPr>
      </w:pPr>
      <w:r>
        <w:rPr>
          <w:rFonts w:ascii="Arial" w:cs="Arial" w:eastAsia="Arial" w:hAnsi="Arial"/>
          <w:sz w:val="18"/>
          <w:szCs w:val="18"/>
          <w:b w:val="1"/>
          <w:bCs w:val="1"/>
          <w:color w:val="auto"/>
        </w:rPr>
        <w:t>Federal Realty Investment Trust Portfolio Leased Statistics March 31, 2019</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Overall Portfolio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Commercial Properties (2) (3) (4) (sf)</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Residential Properties (units)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5"/>
          <w:szCs w:val="15"/>
          <w:b w:val="1"/>
          <w:bCs w:val="1"/>
          <w:u w:val="single" w:color="auto"/>
          <w:color w:val="auto"/>
        </w:rPr>
        <w:t>Comparable Property Statistics (1)</w:t>
      </w:r>
    </w:p>
    <w:p>
      <w:pPr>
        <w:spacing w:after="0" w:line="385"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At March 31, 2019</w:t>
            </w: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At March 31, 2018</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1020" w:type="dxa"/>
            <w:vAlign w:val="bottom"/>
            <w:gridSpan w:val="3"/>
          </w:tcPr>
          <w:p>
            <w:pPr>
              <w:ind w:left="680"/>
              <w:spacing w:after="0"/>
              <w:rPr>
                <w:sz w:val="20"/>
                <w:szCs w:val="20"/>
                <w:color w:val="auto"/>
              </w:rPr>
            </w:pPr>
            <w:r>
              <w:rPr>
                <w:rFonts w:ascii="Arial" w:cs="Arial" w:eastAsia="Arial" w:hAnsi="Arial"/>
                <w:sz w:val="16"/>
                <w:szCs w:val="16"/>
                <w:color w:val="auto"/>
              </w:rPr>
              <w:t>Size</w:t>
            </w:r>
          </w:p>
        </w:tc>
        <w:tc>
          <w:tcPr>
            <w:tcW w:w="60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5"/>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24,177,000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22,724,000</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94.0%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24,190,000</w:t>
            </w:r>
          </w:p>
        </w:tc>
        <w:tc>
          <w:tcPr>
            <w:tcW w:w="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22,931,000</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94.8%</w:t>
            </w:r>
          </w:p>
        </w:tc>
      </w:tr>
      <w:tr>
        <w:trPr>
          <w:trHeight w:val="540"/>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2,669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2,560</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95.9%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2,509</w:t>
            </w:r>
          </w:p>
        </w:tc>
        <w:tc>
          <w:tcPr>
            <w:tcW w:w="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2,333</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93.0%</w:t>
            </w:r>
          </w:p>
        </w:tc>
      </w:tr>
      <w:tr>
        <w:trPr>
          <w:trHeight w:val="864"/>
        </w:trPr>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At March 31, 2019</w:t>
            </w: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At March 31, 2018</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1020" w:type="dxa"/>
            <w:vAlign w:val="bottom"/>
            <w:gridSpan w:val="3"/>
          </w:tcPr>
          <w:p>
            <w:pPr>
              <w:ind w:left="680"/>
              <w:spacing w:after="0"/>
              <w:rPr>
                <w:sz w:val="20"/>
                <w:szCs w:val="20"/>
                <w:color w:val="auto"/>
              </w:rPr>
            </w:pPr>
            <w:r>
              <w:rPr>
                <w:rFonts w:ascii="Arial" w:cs="Arial" w:eastAsia="Arial" w:hAnsi="Arial"/>
                <w:sz w:val="16"/>
                <w:szCs w:val="16"/>
                <w:color w:val="auto"/>
              </w:rPr>
              <w:t>Size</w:t>
            </w:r>
          </w:p>
        </w:tc>
        <w:tc>
          <w:tcPr>
            <w:tcW w:w="60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-2057400</wp:posOffset>
            </wp:positionV>
            <wp:extent cx="7246620" cy="2778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778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6900"/>
          </w:cols>
          <w:pgMar w:left="240" w:top="742" w:right="23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Properties (2) (4) (sf)</w:t>
            </w:r>
          </w:p>
        </w:tc>
        <w:tc>
          <w:tcPr>
            <w:tcW w:w="2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22,678,000</w:t>
            </w:r>
          </w:p>
        </w:tc>
        <w:tc>
          <w:tcPr>
            <w:tcW w:w="13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21,453,000</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94.6%</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22,665,000</w:t>
            </w:r>
          </w:p>
        </w:tc>
        <w:tc>
          <w:tcPr>
            <w:tcW w:w="13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21,638,000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95.5%</w:t>
            </w:r>
          </w:p>
        </w:tc>
      </w:tr>
      <w:tr>
        <w:trPr>
          <w:trHeight w:val="270"/>
        </w:trPr>
        <w:tc>
          <w:tcPr>
            <w:tcW w:w="35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2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1,350</w:t>
            </w: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1,302</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96.4%</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1,350</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1,299</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w:t>
            </w:r>
          </w:p>
        </w:tc>
      </w:tr>
      <w:tr>
        <w:trPr>
          <w:trHeight w:val="33"/>
        </w:trPr>
        <w:tc>
          <w:tcPr>
            <w:tcW w:w="354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67" w:lineRule="exact"/>
        <w:rPr>
          <w:sz w:val="20"/>
          <w:szCs w:val="20"/>
          <w:color w:val="auto"/>
        </w:rPr>
      </w:pPr>
    </w:p>
    <w:p>
      <w:pPr>
        <w:ind w:left="840" w:hanging="805"/>
        <w:spacing w:after="0"/>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At March 31, 2019 leased percentage was 97.1% for anchor tenants and 87.8% for small shop tenants.</w:t>
      </w:r>
    </w:p>
    <w:p>
      <w:pPr>
        <w:spacing w:after="0" w:line="72" w:lineRule="exact"/>
        <w:rPr>
          <w:rFonts w:ascii="Arial" w:cs="Arial" w:eastAsia="Arial" w:hAnsi="Arial"/>
          <w:sz w:val="16"/>
          <w:szCs w:val="16"/>
          <w:color w:val="auto"/>
        </w:rPr>
      </w:pPr>
    </w:p>
    <w:p>
      <w:pPr>
        <w:ind w:left="840" w:right="300" w:hanging="805"/>
        <w:spacing w:after="0" w:line="293" w:lineRule="auto"/>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Occupied percentage was 93.0% and 93.3% at March 31, 2019 and 2018, respectively, and comparable property occupied percentage was 93.6% and 93.9% at March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type w:val="continuous"/>
        </w:sectPr>
      </w:pPr>
    </w:p>
    <w:bookmarkStart w:id="29" w:name="page30"/>
    <w:bookmarkEnd w:id="2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2019</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940" w:type="dxa"/>
            <w:vAlign w:val="bottom"/>
            <w:vMerge w:val="restart"/>
          </w:tcPr>
          <w:p>
            <w:pPr>
              <w:jc w:val="center"/>
              <w:ind w:left="1028"/>
              <w:spacing w:after="0"/>
              <w:rPr>
                <w:sz w:val="20"/>
                <w:szCs w:val="20"/>
                <w:color w:val="auto"/>
              </w:rPr>
            </w:pPr>
            <w:r>
              <w:rPr>
                <w:rFonts w:ascii="Arial" w:cs="Arial" w:eastAsia="Arial" w:hAnsi="Arial"/>
                <w:sz w:val="14"/>
                <w:szCs w:val="14"/>
                <w:b w:val="1"/>
                <w:bCs w:val="1"/>
                <w:color w:val="auto"/>
                <w:w w:val="96"/>
              </w:rPr>
              <w:t>Credit Ratings</w:t>
            </w:r>
          </w:p>
        </w:tc>
        <w:tc>
          <w:tcPr>
            <w:tcW w:w="13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Annualized Base</w:t>
            </w:r>
          </w:p>
        </w:tc>
        <w:tc>
          <w:tcPr>
            <w:tcW w:w="1480" w:type="dxa"/>
            <w:vAlign w:val="bottom"/>
          </w:tcPr>
          <w:p>
            <w:pPr>
              <w:jc w:val="right"/>
              <w:ind w:right="68"/>
              <w:spacing w:after="0"/>
              <w:rPr>
                <w:sz w:val="20"/>
                <w:szCs w:val="20"/>
                <w:color w:val="auto"/>
              </w:rPr>
            </w:pPr>
            <w:r>
              <w:rPr>
                <w:rFonts w:ascii="Arial" w:cs="Arial" w:eastAsia="Arial" w:hAnsi="Arial"/>
                <w:sz w:val="14"/>
                <w:szCs w:val="14"/>
                <w:b w:val="1"/>
                <w:bCs w:val="1"/>
                <w:color w:val="auto"/>
              </w:rPr>
              <w:t>Percentage of Total</w:t>
            </w:r>
          </w:p>
        </w:tc>
        <w:tc>
          <w:tcPr>
            <w:tcW w:w="20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Percentage of</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2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Rank   Tenant Name</w:t>
            </w:r>
          </w:p>
        </w:tc>
        <w:tc>
          <w:tcPr>
            <w:tcW w:w="294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48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Annualized Base</w:t>
            </w:r>
          </w:p>
        </w:tc>
        <w:tc>
          <w:tcPr>
            <w:tcW w:w="2080" w:type="dxa"/>
            <w:vAlign w:val="bottom"/>
            <w:vMerge w:val="continue"/>
          </w:tcPr>
          <w:p>
            <w:pPr>
              <w:spacing w:after="0"/>
              <w:rPr>
                <w:sz w:val="12"/>
                <w:szCs w:val="12"/>
                <w:color w:val="auto"/>
              </w:rPr>
            </w:pP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Locations</w:t>
            </w:r>
          </w:p>
        </w:tc>
        <w:tc>
          <w:tcPr>
            <w:tcW w:w="0" w:type="dxa"/>
            <w:vAlign w:val="bottom"/>
          </w:tcPr>
          <w:p>
            <w:pPr>
              <w:spacing w:after="0"/>
              <w:rPr>
                <w:sz w:val="1"/>
                <w:szCs w:val="1"/>
                <w:color w:val="auto"/>
              </w:rPr>
            </w:pPr>
          </w:p>
        </w:tc>
      </w:tr>
      <w:tr>
        <w:trPr>
          <w:trHeight w:val="192"/>
        </w:trPr>
        <w:tc>
          <w:tcPr>
            <w:tcW w:w="2680" w:type="dxa"/>
            <w:vAlign w:val="bottom"/>
            <w:tcBorders>
              <w:bottom w:val="single" w:sz="8" w:color="auto"/>
            </w:tcBorders>
            <w:vMerge w:val="continue"/>
          </w:tcPr>
          <w:p>
            <w:pPr>
              <w:spacing w:after="0"/>
              <w:rPr>
                <w:sz w:val="16"/>
                <w:szCs w:val="16"/>
                <w:color w:val="auto"/>
              </w:rPr>
            </w:pPr>
          </w:p>
        </w:tc>
        <w:tc>
          <w:tcPr>
            <w:tcW w:w="2940" w:type="dxa"/>
            <w:vAlign w:val="bottom"/>
            <w:tcBorders>
              <w:bottom w:val="single" w:sz="8" w:color="auto"/>
            </w:tcBorders>
          </w:tcPr>
          <w:p>
            <w:pPr>
              <w:jc w:val="center"/>
              <w:ind w:left="1028"/>
              <w:spacing w:after="0"/>
              <w:rPr>
                <w:sz w:val="20"/>
                <w:szCs w:val="20"/>
                <w:color w:val="auto"/>
              </w:rPr>
            </w:pPr>
            <w:r>
              <w:rPr>
                <w:rFonts w:ascii="Arial" w:cs="Arial" w:eastAsia="Arial" w:hAnsi="Arial"/>
                <w:sz w:val="14"/>
                <w:szCs w:val="14"/>
                <w:b w:val="1"/>
                <w:bCs w:val="1"/>
                <w:color w:val="auto"/>
                <w:w w:val="97"/>
              </w:rPr>
              <w:t>(S&amp;P/Moody's/Fitch) (1)</w:t>
            </w: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Rent</w:t>
            </w: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Rent (3)</w:t>
            </w:r>
          </w:p>
        </w:tc>
        <w:tc>
          <w:tcPr>
            <w:tcW w:w="2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Tenant GLA  Total GLA (3)</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p>
      <w:pPr>
        <w:spacing w:after="0" w:line="287"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3340" w:type="dxa"/>
            <w:vAlign w:val="bottom"/>
          </w:tcPr>
          <w:p>
            <w:pPr>
              <w:ind w:left="120"/>
              <w:spacing w:after="0"/>
              <w:rPr>
                <w:sz w:val="20"/>
                <w:szCs w:val="20"/>
                <w:color w:val="auto"/>
              </w:rPr>
            </w:pPr>
            <w:r>
              <w:rPr>
                <w:rFonts w:ascii="Arial" w:cs="Arial" w:eastAsia="Arial" w:hAnsi="Arial"/>
                <w:sz w:val="16"/>
                <w:szCs w:val="16"/>
                <w:color w:val="auto"/>
              </w:rPr>
              <w:t>TJX Companies, The</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8"/>
              </w:rPr>
              <w:t>A+ / A2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3340" w:type="dxa"/>
            <w:vAlign w:val="bottom"/>
          </w:tcPr>
          <w:p>
            <w:pPr>
              <w:ind w:left="120"/>
              <w:spacing w:after="0"/>
              <w:rPr>
                <w:sz w:val="20"/>
                <w:szCs w:val="20"/>
                <w:color w:val="auto"/>
              </w:rPr>
            </w:pPr>
            <w:r>
              <w:rPr>
                <w:rFonts w:ascii="Arial" w:cs="Arial" w:eastAsia="Arial" w:hAnsi="Arial"/>
                <w:sz w:val="16"/>
                <w:szCs w:val="16"/>
                <w:color w:val="auto"/>
              </w:rPr>
              <w:t>Ahold Delhaize</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6"/>
              </w:rPr>
              <w:t>BBB / Baa1 / BBB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3340" w:type="dxa"/>
            <w:vAlign w:val="bottom"/>
          </w:tcPr>
          <w:p>
            <w:pPr>
              <w:ind w:left="120"/>
              <w:spacing w:after="0"/>
              <w:rPr>
                <w:sz w:val="20"/>
                <w:szCs w:val="20"/>
                <w:color w:val="auto"/>
              </w:rPr>
            </w:pPr>
            <w:r>
              <w:rPr>
                <w:rFonts w:ascii="Arial" w:cs="Arial" w:eastAsia="Arial" w:hAnsi="Arial"/>
                <w:sz w:val="16"/>
                <w:szCs w:val="16"/>
                <w:color w:val="auto"/>
              </w:rPr>
              <w:t>Gap, Inc., The</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BB+ / Baa2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3340" w:type="dxa"/>
            <w:vAlign w:val="bottom"/>
          </w:tcPr>
          <w:p>
            <w:pPr>
              <w:ind w:left="120"/>
              <w:spacing w:after="0"/>
              <w:rPr>
                <w:sz w:val="20"/>
                <w:szCs w:val="20"/>
                <w:color w:val="auto"/>
              </w:rPr>
            </w:pPr>
            <w:r>
              <w:rPr>
                <w:rFonts w:ascii="Arial" w:cs="Arial" w:eastAsia="Arial" w:hAnsi="Arial"/>
                <w:sz w:val="16"/>
                <w:szCs w:val="16"/>
                <w:color w:val="auto"/>
              </w:rPr>
              <w:t>Bed, Bath &amp; Beyond,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BB+ / Baa3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3340" w:type="dxa"/>
            <w:vAlign w:val="bottom"/>
          </w:tcPr>
          <w:p>
            <w:pPr>
              <w:ind w:left="120"/>
              <w:spacing w:after="0"/>
              <w:rPr>
                <w:sz w:val="20"/>
                <w:szCs w:val="20"/>
                <w:color w:val="auto"/>
              </w:rPr>
            </w:pPr>
            <w:r>
              <w:rPr>
                <w:rFonts w:ascii="Arial" w:cs="Arial" w:eastAsia="Arial" w:hAnsi="Arial"/>
                <w:sz w:val="16"/>
                <w:szCs w:val="16"/>
                <w:color w:val="auto"/>
              </w:rPr>
              <w:t>L.A. Fitness International LLC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8"/>
              </w:rPr>
              <w:t>B+ / B2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3340" w:type="dxa"/>
            <w:vAlign w:val="bottom"/>
          </w:tcPr>
          <w:p>
            <w:pPr>
              <w:ind w:left="120"/>
              <w:spacing w:after="0"/>
              <w:rPr>
                <w:sz w:val="20"/>
                <w:szCs w:val="20"/>
                <w:color w:val="auto"/>
              </w:rPr>
            </w:pPr>
            <w:r>
              <w:rPr>
                <w:rFonts w:ascii="Arial" w:cs="Arial" w:eastAsia="Arial" w:hAnsi="Arial"/>
                <w:sz w:val="16"/>
                <w:szCs w:val="16"/>
                <w:color w:val="auto"/>
              </w:rPr>
              <w:t>Splunk,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NR / NR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3340" w:type="dxa"/>
            <w:vAlign w:val="bottom"/>
          </w:tcPr>
          <w:p>
            <w:pPr>
              <w:ind w:left="120"/>
              <w:spacing w:after="0"/>
              <w:rPr>
                <w:sz w:val="20"/>
                <w:szCs w:val="20"/>
                <w:color w:val="auto"/>
              </w:rPr>
            </w:pPr>
            <w:r>
              <w:rPr>
                <w:rFonts w:ascii="Arial" w:cs="Arial" w:eastAsia="Arial" w:hAnsi="Arial"/>
                <w:sz w:val="16"/>
                <w:szCs w:val="16"/>
                <w:color w:val="auto"/>
              </w:rPr>
              <w:t>CVS Corporation</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3"/>
              </w:rPr>
              <w:t>BBB / Baa2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3340" w:type="dxa"/>
            <w:vAlign w:val="bottom"/>
          </w:tcPr>
          <w:p>
            <w:pPr>
              <w:ind w:left="120"/>
              <w:spacing w:after="0"/>
              <w:rPr>
                <w:sz w:val="20"/>
                <w:szCs w:val="20"/>
                <w:color w:val="auto"/>
              </w:rPr>
            </w:pPr>
            <w:r>
              <w:rPr>
                <w:rFonts w:ascii="Arial" w:cs="Arial" w:eastAsia="Arial" w:hAnsi="Arial"/>
                <w:sz w:val="16"/>
                <w:szCs w:val="16"/>
                <w:color w:val="auto"/>
              </w:rPr>
              <w:t>AMC Entertainment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4"/>
              </w:rPr>
              <w:t>B / B2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3340" w:type="dxa"/>
            <w:vAlign w:val="bottom"/>
          </w:tcPr>
          <w:p>
            <w:pPr>
              <w:ind w:left="120"/>
              <w:spacing w:after="0"/>
              <w:rPr>
                <w:sz w:val="20"/>
                <w:szCs w:val="20"/>
                <w:color w:val="auto"/>
              </w:rPr>
            </w:pPr>
            <w:r>
              <w:rPr>
                <w:rFonts w:ascii="Arial" w:cs="Arial" w:eastAsia="Arial" w:hAnsi="Arial"/>
                <w:sz w:val="16"/>
                <w:szCs w:val="16"/>
                <w:color w:val="auto"/>
              </w:rPr>
              <w:t>Best Buy Co.,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6"/>
              </w:rPr>
              <w:t>BBB / Baa1 / BBB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10</w:t>
            </w:r>
          </w:p>
        </w:tc>
        <w:tc>
          <w:tcPr>
            <w:tcW w:w="3340" w:type="dxa"/>
            <w:vAlign w:val="bottom"/>
          </w:tcPr>
          <w:p>
            <w:pPr>
              <w:ind w:left="120"/>
              <w:spacing w:after="0"/>
              <w:rPr>
                <w:sz w:val="20"/>
                <w:szCs w:val="20"/>
                <w:color w:val="auto"/>
              </w:rPr>
            </w:pPr>
            <w:r>
              <w:rPr>
                <w:rFonts w:ascii="Arial" w:cs="Arial" w:eastAsia="Arial" w:hAnsi="Arial"/>
                <w:sz w:val="16"/>
                <w:szCs w:val="16"/>
                <w:color w:val="auto"/>
              </w:rPr>
              <w:t>Dick's Sporting Goods,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NR / NR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11</w:t>
            </w:r>
          </w:p>
        </w:tc>
        <w:tc>
          <w:tcPr>
            <w:tcW w:w="3340" w:type="dxa"/>
            <w:vAlign w:val="bottom"/>
          </w:tcPr>
          <w:p>
            <w:pPr>
              <w:ind w:left="120"/>
              <w:spacing w:after="0"/>
              <w:rPr>
                <w:sz w:val="20"/>
                <w:szCs w:val="20"/>
                <w:color w:val="auto"/>
              </w:rPr>
            </w:pPr>
            <w:r>
              <w:rPr>
                <w:rFonts w:ascii="Arial" w:cs="Arial" w:eastAsia="Arial" w:hAnsi="Arial"/>
                <w:sz w:val="16"/>
                <w:szCs w:val="16"/>
                <w:color w:val="auto"/>
              </w:rPr>
              <w:t>Ross Stores,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8"/>
              </w:rPr>
              <w:t>A- / A3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12</w:t>
            </w:r>
          </w:p>
        </w:tc>
        <w:tc>
          <w:tcPr>
            <w:tcW w:w="3340" w:type="dxa"/>
            <w:vAlign w:val="bottom"/>
          </w:tcPr>
          <w:p>
            <w:pPr>
              <w:ind w:left="120"/>
              <w:spacing w:after="0"/>
              <w:rPr>
                <w:sz w:val="20"/>
                <w:szCs w:val="20"/>
                <w:color w:val="auto"/>
              </w:rPr>
            </w:pPr>
            <w:r>
              <w:rPr>
                <w:rFonts w:ascii="Arial" w:cs="Arial" w:eastAsia="Arial" w:hAnsi="Arial"/>
                <w:sz w:val="16"/>
                <w:szCs w:val="16"/>
                <w:color w:val="auto"/>
              </w:rPr>
              <w:t>Kroger Co., The</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3"/>
              </w:rPr>
              <w:t>BBB / Baa1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13</w:t>
            </w:r>
          </w:p>
        </w:tc>
        <w:tc>
          <w:tcPr>
            <w:tcW w:w="3340" w:type="dxa"/>
            <w:vAlign w:val="bottom"/>
          </w:tcPr>
          <w:p>
            <w:pPr>
              <w:ind w:left="120"/>
              <w:spacing w:after="0"/>
              <w:rPr>
                <w:sz w:val="20"/>
                <w:szCs w:val="20"/>
                <w:color w:val="auto"/>
              </w:rPr>
            </w:pPr>
            <w:r>
              <w:rPr>
                <w:rFonts w:ascii="Arial" w:cs="Arial" w:eastAsia="Arial" w:hAnsi="Arial"/>
                <w:sz w:val="16"/>
                <w:szCs w:val="16"/>
                <w:color w:val="auto"/>
              </w:rPr>
              <w:t>Home Depot,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rPr>
              <w:t>A / A2 / A</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14</w:t>
            </w:r>
          </w:p>
        </w:tc>
        <w:tc>
          <w:tcPr>
            <w:tcW w:w="3340" w:type="dxa"/>
            <w:vAlign w:val="bottom"/>
          </w:tcPr>
          <w:p>
            <w:pPr>
              <w:ind w:left="120"/>
              <w:spacing w:after="0"/>
              <w:rPr>
                <w:sz w:val="20"/>
                <w:szCs w:val="20"/>
                <w:color w:val="auto"/>
              </w:rPr>
            </w:pPr>
            <w:r>
              <w:rPr>
                <w:rFonts w:ascii="Arial" w:cs="Arial" w:eastAsia="Arial" w:hAnsi="Arial"/>
                <w:sz w:val="16"/>
                <w:szCs w:val="16"/>
                <w:color w:val="auto"/>
              </w:rPr>
              <w:t>Michaels Stores,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BB- / Ba2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15</w:t>
            </w:r>
          </w:p>
        </w:tc>
        <w:tc>
          <w:tcPr>
            <w:tcW w:w="3340" w:type="dxa"/>
            <w:vAlign w:val="bottom"/>
          </w:tcPr>
          <w:p>
            <w:pPr>
              <w:ind w:left="120"/>
              <w:spacing w:after="0"/>
              <w:rPr>
                <w:sz w:val="20"/>
                <w:szCs w:val="20"/>
                <w:color w:val="auto"/>
              </w:rPr>
            </w:pPr>
            <w:r>
              <w:rPr>
                <w:rFonts w:ascii="Arial" w:cs="Arial" w:eastAsia="Arial" w:hAnsi="Arial"/>
                <w:sz w:val="16"/>
                <w:szCs w:val="16"/>
                <w:color w:val="auto"/>
              </w:rPr>
              <w:t>Bank of America, N.A.</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rPr>
              <w:t>A- / A2 / A+</w:t>
            </w:r>
          </w:p>
        </w:tc>
      </w:tr>
      <w:tr>
        <w:trPr>
          <w:trHeight w:val="266"/>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16</w:t>
            </w:r>
          </w:p>
        </w:tc>
        <w:tc>
          <w:tcPr>
            <w:tcW w:w="3340" w:type="dxa"/>
            <w:vAlign w:val="bottom"/>
          </w:tcPr>
          <w:p>
            <w:pPr>
              <w:ind w:left="120"/>
              <w:spacing w:after="0"/>
              <w:rPr>
                <w:sz w:val="20"/>
                <w:szCs w:val="20"/>
                <w:color w:val="auto"/>
              </w:rPr>
            </w:pPr>
            <w:r>
              <w:rPr>
                <w:rFonts w:ascii="Arial" w:cs="Arial" w:eastAsia="Arial" w:hAnsi="Arial"/>
                <w:sz w:val="16"/>
                <w:szCs w:val="16"/>
                <w:color w:val="auto"/>
              </w:rPr>
              <w:t>Ascena Retail Group, Inc. (Dress Barn, Loft,</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4"/>
              </w:rPr>
              <w:t>B / B1 / NR</w:t>
            </w:r>
          </w:p>
        </w:tc>
      </w:tr>
      <w:tr>
        <w:trPr>
          <w:trHeight w:val="203"/>
        </w:trPr>
        <w:tc>
          <w:tcPr>
            <w:tcW w:w="260" w:type="dxa"/>
            <w:vAlign w:val="bottom"/>
          </w:tcPr>
          <w:p>
            <w:pPr>
              <w:spacing w:after="0"/>
              <w:rPr>
                <w:sz w:val="17"/>
                <w:szCs w:val="17"/>
                <w:color w:val="auto"/>
              </w:rPr>
            </w:pPr>
          </w:p>
        </w:tc>
        <w:tc>
          <w:tcPr>
            <w:tcW w:w="3340" w:type="dxa"/>
            <w:vAlign w:val="bottom"/>
          </w:tcPr>
          <w:p>
            <w:pPr>
              <w:ind w:left="120"/>
              <w:spacing w:after="0"/>
              <w:rPr>
                <w:sz w:val="20"/>
                <w:szCs w:val="20"/>
                <w:color w:val="auto"/>
              </w:rPr>
            </w:pPr>
            <w:r>
              <w:rPr>
                <w:rFonts w:ascii="Arial" w:cs="Arial" w:eastAsia="Arial" w:hAnsi="Arial"/>
                <w:sz w:val="16"/>
                <w:szCs w:val="16"/>
                <w:color w:val="auto"/>
              </w:rPr>
              <w:t>Lou &amp; Grey, Ann Taylor, Catherine's, Justice,</w:t>
            </w:r>
          </w:p>
        </w:tc>
        <w:tc>
          <w:tcPr>
            <w:tcW w:w="1580" w:type="dxa"/>
            <w:vAlign w:val="bottom"/>
          </w:tcPr>
          <w:p>
            <w:pPr>
              <w:spacing w:after="0"/>
              <w:rPr>
                <w:sz w:val="17"/>
                <w:szCs w:val="17"/>
                <w:color w:val="auto"/>
              </w:rPr>
            </w:pPr>
          </w:p>
        </w:tc>
      </w:tr>
      <w:tr>
        <w:trPr>
          <w:trHeight w:val="206"/>
        </w:trPr>
        <w:tc>
          <w:tcPr>
            <w:tcW w:w="260" w:type="dxa"/>
            <w:vAlign w:val="bottom"/>
          </w:tcPr>
          <w:p>
            <w:pPr>
              <w:spacing w:after="0"/>
              <w:rPr>
                <w:sz w:val="17"/>
                <w:szCs w:val="17"/>
                <w:color w:val="auto"/>
              </w:rPr>
            </w:pPr>
          </w:p>
        </w:tc>
        <w:tc>
          <w:tcPr>
            <w:tcW w:w="3340" w:type="dxa"/>
            <w:vAlign w:val="bottom"/>
          </w:tcPr>
          <w:p>
            <w:pPr>
              <w:ind w:left="120"/>
              <w:spacing w:after="0"/>
              <w:rPr>
                <w:sz w:val="20"/>
                <w:szCs w:val="20"/>
                <w:color w:val="auto"/>
              </w:rPr>
            </w:pPr>
            <w:r>
              <w:rPr>
                <w:rFonts w:ascii="Arial" w:cs="Arial" w:eastAsia="Arial" w:hAnsi="Arial"/>
                <w:sz w:val="16"/>
                <w:szCs w:val="16"/>
                <w:color w:val="auto"/>
              </w:rPr>
              <w:t>Lane Bryant)</w:t>
            </w:r>
          </w:p>
        </w:tc>
        <w:tc>
          <w:tcPr>
            <w:tcW w:w="1580" w:type="dxa"/>
            <w:vAlign w:val="bottom"/>
          </w:tcPr>
          <w:p>
            <w:pPr>
              <w:spacing w:after="0"/>
              <w:rPr>
                <w:sz w:val="17"/>
                <w:szCs w:val="17"/>
                <w:color w:val="auto"/>
              </w:rPr>
            </w:pPr>
          </w:p>
        </w:tc>
      </w:tr>
      <w:tr>
        <w:trPr>
          <w:trHeight w:val="257"/>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17</w:t>
            </w:r>
          </w:p>
        </w:tc>
        <w:tc>
          <w:tcPr>
            <w:tcW w:w="3340" w:type="dxa"/>
            <w:vAlign w:val="bottom"/>
          </w:tcPr>
          <w:p>
            <w:pPr>
              <w:ind w:left="120"/>
              <w:spacing w:after="0"/>
              <w:rPr>
                <w:sz w:val="20"/>
                <w:szCs w:val="20"/>
                <w:color w:val="auto"/>
              </w:rPr>
            </w:pPr>
            <w:r>
              <w:rPr>
                <w:rFonts w:ascii="Arial" w:cs="Arial" w:eastAsia="Arial" w:hAnsi="Arial"/>
                <w:sz w:val="16"/>
                <w:szCs w:val="16"/>
                <w:color w:val="auto"/>
              </w:rPr>
              <w:t>DSW,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NR / NR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18</w:t>
            </w:r>
          </w:p>
        </w:tc>
        <w:tc>
          <w:tcPr>
            <w:tcW w:w="3340" w:type="dxa"/>
            <w:vAlign w:val="bottom"/>
          </w:tcPr>
          <w:p>
            <w:pPr>
              <w:ind w:left="120"/>
              <w:spacing w:after="0"/>
              <w:rPr>
                <w:sz w:val="20"/>
                <w:szCs w:val="20"/>
                <w:color w:val="auto"/>
              </w:rPr>
            </w:pPr>
            <w:r>
              <w:rPr>
                <w:rFonts w:ascii="Arial" w:cs="Arial" w:eastAsia="Arial" w:hAnsi="Arial"/>
                <w:sz w:val="16"/>
                <w:szCs w:val="16"/>
                <w:color w:val="auto"/>
                <w:w w:val="97"/>
              </w:rPr>
              <w:t>Hudson's Bay Company (Saks, Lord &amp; Taylor)</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4"/>
              </w:rPr>
              <w:t>B / B3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19</w:t>
            </w:r>
          </w:p>
        </w:tc>
        <w:tc>
          <w:tcPr>
            <w:tcW w:w="3340" w:type="dxa"/>
            <w:vAlign w:val="bottom"/>
          </w:tcPr>
          <w:p>
            <w:pPr>
              <w:ind w:left="120"/>
              <w:spacing w:after="0"/>
              <w:rPr>
                <w:sz w:val="20"/>
                <w:szCs w:val="20"/>
                <w:color w:val="auto"/>
              </w:rPr>
            </w:pPr>
            <w:r>
              <w:rPr>
                <w:rFonts w:ascii="Arial" w:cs="Arial" w:eastAsia="Arial" w:hAnsi="Arial"/>
                <w:sz w:val="16"/>
                <w:szCs w:val="16"/>
                <w:color w:val="auto"/>
              </w:rPr>
              <w:t>Nordstrom,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BBB+ / Baa1 / BBB+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20</w:t>
            </w:r>
          </w:p>
        </w:tc>
        <w:tc>
          <w:tcPr>
            <w:tcW w:w="3340" w:type="dxa"/>
            <w:vAlign w:val="bottom"/>
          </w:tcPr>
          <w:p>
            <w:pPr>
              <w:ind w:left="120"/>
              <w:spacing w:after="0"/>
              <w:rPr>
                <w:sz w:val="20"/>
                <w:szCs w:val="20"/>
                <w:color w:val="auto"/>
              </w:rPr>
            </w:pPr>
            <w:r>
              <w:rPr>
                <w:rFonts w:ascii="Arial" w:cs="Arial" w:eastAsia="Arial" w:hAnsi="Arial"/>
                <w:sz w:val="16"/>
                <w:szCs w:val="16"/>
                <w:color w:val="auto"/>
              </w:rPr>
              <w:t>Ulta Beauty,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NR / NR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21</w:t>
            </w:r>
          </w:p>
        </w:tc>
        <w:tc>
          <w:tcPr>
            <w:tcW w:w="3340" w:type="dxa"/>
            <w:vAlign w:val="bottom"/>
          </w:tcPr>
          <w:p>
            <w:pPr>
              <w:ind w:left="120"/>
              <w:spacing w:after="0"/>
              <w:rPr>
                <w:sz w:val="20"/>
                <w:szCs w:val="20"/>
                <w:color w:val="auto"/>
              </w:rPr>
            </w:pPr>
            <w:r>
              <w:rPr>
                <w:rFonts w:ascii="Arial" w:cs="Arial" w:eastAsia="Arial" w:hAnsi="Arial"/>
                <w:sz w:val="16"/>
                <w:szCs w:val="16"/>
                <w:color w:val="auto"/>
              </w:rPr>
              <w:t>Whole Foods Market,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8"/>
              </w:rPr>
              <w:t>A+ / A3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22</w:t>
            </w:r>
          </w:p>
        </w:tc>
        <w:tc>
          <w:tcPr>
            <w:tcW w:w="3340" w:type="dxa"/>
            <w:vAlign w:val="bottom"/>
          </w:tcPr>
          <w:p>
            <w:pPr>
              <w:ind w:left="120"/>
              <w:spacing w:after="0"/>
              <w:rPr>
                <w:sz w:val="20"/>
                <w:szCs w:val="20"/>
                <w:color w:val="auto"/>
              </w:rPr>
            </w:pPr>
            <w:r>
              <w:rPr>
                <w:rFonts w:ascii="Arial" w:cs="Arial" w:eastAsia="Arial" w:hAnsi="Arial"/>
                <w:sz w:val="16"/>
                <w:szCs w:val="16"/>
                <w:color w:val="auto"/>
              </w:rPr>
              <w:t>Barnes &amp; Noble,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NR / NR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23</w:t>
            </w:r>
          </w:p>
        </w:tc>
        <w:tc>
          <w:tcPr>
            <w:tcW w:w="3340" w:type="dxa"/>
            <w:vAlign w:val="bottom"/>
          </w:tcPr>
          <w:p>
            <w:pPr>
              <w:ind w:left="120"/>
              <w:spacing w:after="0"/>
              <w:rPr>
                <w:sz w:val="20"/>
                <w:szCs w:val="20"/>
                <w:color w:val="auto"/>
              </w:rPr>
            </w:pPr>
            <w:r>
              <w:rPr>
                <w:rFonts w:ascii="Arial" w:cs="Arial" w:eastAsia="Arial" w:hAnsi="Arial"/>
                <w:sz w:val="16"/>
                <w:szCs w:val="16"/>
                <w:color w:val="auto"/>
              </w:rPr>
              <w:t>Wells Fargo Bank, N.A.</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rPr>
              <w:t>A- / A2 / A+</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24</w:t>
            </w:r>
          </w:p>
        </w:tc>
        <w:tc>
          <w:tcPr>
            <w:tcW w:w="3340" w:type="dxa"/>
            <w:vAlign w:val="bottom"/>
          </w:tcPr>
          <w:p>
            <w:pPr>
              <w:ind w:left="120"/>
              <w:spacing w:after="0"/>
              <w:rPr>
                <w:sz w:val="20"/>
                <w:szCs w:val="20"/>
                <w:color w:val="auto"/>
              </w:rPr>
            </w:pPr>
            <w:r>
              <w:rPr>
                <w:rFonts w:ascii="Arial" w:cs="Arial" w:eastAsia="Arial" w:hAnsi="Arial"/>
                <w:sz w:val="16"/>
                <w:szCs w:val="16"/>
                <w:color w:val="auto"/>
              </w:rPr>
              <w:t>Starbucks Corporation</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BBB+ / Baa1 / BBB+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25</w:t>
            </w:r>
          </w:p>
        </w:tc>
        <w:tc>
          <w:tcPr>
            <w:tcW w:w="3340" w:type="dxa"/>
            <w:vAlign w:val="bottom"/>
          </w:tcPr>
          <w:p>
            <w:pPr>
              <w:ind w:left="120"/>
              <w:spacing w:after="0"/>
              <w:rPr>
                <w:sz w:val="20"/>
                <w:szCs w:val="20"/>
                <w:color w:val="auto"/>
              </w:rPr>
            </w:pPr>
            <w:r>
              <w:rPr>
                <w:rFonts w:ascii="Arial" w:cs="Arial" w:eastAsia="Arial" w:hAnsi="Arial"/>
                <w:sz w:val="16"/>
                <w:szCs w:val="16"/>
                <w:color w:val="auto"/>
              </w:rPr>
              <w:t>AB Acquisition LLC (Acme, Safeway)</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4"/>
              </w:rPr>
              <w:t>B / B1 / NR</w:t>
            </w:r>
          </w:p>
        </w:tc>
      </w:tr>
      <w:tr>
        <w:trPr>
          <w:trHeight w:val="270"/>
        </w:trPr>
        <w:tc>
          <w:tcPr>
            <w:tcW w:w="260" w:type="dxa"/>
            <w:vAlign w:val="bottom"/>
          </w:tcPr>
          <w:p>
            <w:pPr>
              <w:spacing w:after="0"/>
              <w:rPr>
                <w:sz w:val="23"/>
                <w:szCs w:val="23"/>
                <w:color w:val="auto"/>
              </w:rPr>
            </w:pPr>
          </w:p>
        </w:tc>
        <w:tc>
          <w:tcPr>
            <w:tcW w:w="3340" w:type="dxa"/>
            <w:vAlign w:val="bottom"/>
          </w:tcPr>
          <w:p>
            <w:pPr>
              <w:ind w:left="120"/>
              <w:spacing w:after="0"/>
              <w:rPr>
                <w:sz w:val="20"/>
                <w:szCs w:val="20"/>
                <w:color w:val="auto"/>
              </w:rPr>
            </w:pPr>
            <w:r>
              <w:rPr>
                <w:rFonts w:ascii="Arial" w:cs="Arial" w:eastAsia="Arial" w:hAnsi="Arial"/>
                <w:sz w:val="16"/>
                <w:szCs w:val="16"/>
                <w:color w:val="auto"/>
              </w:rPr>
              <w:t>Totals - Top 25 Tenants</w:t>
            </w:r>
          </w:p>
        </w:tc>
        <w:tc>
          <w:tcPr>
            <w:tcW w:w="15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18,690,000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2.66%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1,020,000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3.82%</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16,678,000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2.37%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971,000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3.64%</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13,077,000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1.86%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349,000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1.31%</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11,520,000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1.64%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660,000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2.47%</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10,907,000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1.55%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465,000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1.74%</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10,902,000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1.55%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235,000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0.88%</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9,152,000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1.30%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249,000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0.93%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7,114,000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1.01%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317,000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1.19%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6,633,000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0.94%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231,000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0.86%</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6,425,000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0.91%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289,000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1.08%</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6,261,000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0.89%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321,000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1.20%</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6,066,000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0.86%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529,000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1.98%</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6,014,000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0.86%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440,000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1.65%</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5,965,000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0.85%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310,000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1.16%</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5,766,000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0.82%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105,000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0.39%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5,664,000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0.81%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190,000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0.71%</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662"/>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5,540,000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0.79%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222,000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0.83%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5,380,000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0.77%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220,000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0.82%</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5,374,000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0.77%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195,000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0.73%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4,812,000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0.69%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140,000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0.52%</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4,772,000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0.68%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167,000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0.63%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4,569,000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0.65%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207,000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0.78%</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4,279,000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0.61%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53,000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0.20%</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4,207,000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0.60%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71,000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0.27%</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4,192,000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0.60%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412,000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1.54%</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47"/>
        </w:trPr>
        <w:tc>
          <w:tcPr>
            <w:tcW w:w="2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17"/>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189,959,000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27.04%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8,368,000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31.33%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344</w:t>
            </w:r>
          </w:p>
        </w:tc>
      </w:tr>
      <w:tr>
        <w:trPr>
          <w:trHeight w:val="33"/>
        </w:trPr>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-4390390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-4046855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-3703955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-3361055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-3018155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-2675255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-2331720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-1740535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-1397000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-1054100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-711200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-368300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-16510</wp:posOffset>
            </wp:positionV>
            <wp:extent cx="72466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260"/>
            <w:col w:w="5760"/>
          </w:cols>
          <w:pgMar w:left="240" w:top="742" w:right="239" w:bottom="1440" w:gutter="0" w:footer="0" w:header="0"/>
          <w:type w:val="continuous"/>
        </w:sectPr>
      </w:pPr>
    </w:p>
    <w:p>
      <w:pPr>
        <w:spacing w:after="0" w:line="87"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2860" w:type="dxa"/>
            <w:vAlign w:val="bottom"/>
          </w:tcPr>
          <w:p>
            <w:pPr>
              <w:spacing w:after="0"/>
              <w:rPr>
                <w:sz w:val="20"/>
                <w:szCs w:val="20"/>
                <w:color w:val="auto"/>
              </w:rPr>
            </w:pPr>
            <w:r>
              <w:rPr>
                <w:rFonts w:ascii="Arial" w:cs="Arial" w:eastAsia="Arial" w:hAnsi="Arial"/>
                <w:sz w:val="16"/>
                <w:szCs w:val="16"/>
                <w:color w:val="auto"/>
              </w:rPr>
              <w:t>Total (5):</w:t>
            </w:r>
          </w:p>
        </w:tc>
        <w:tc>
          <w:tcPr>
            <w:tcW w:w="4400" w:type="dxa"/>
            <w:vAlign w:val="bottom"/>
          </w:tcPr>
          <w:p>
            <w:pPr>
              <w:jc w:val="right"/>
              <w:ind w:right="659"/>
              <w:spacing w:after="0"/>
              <w:rPr>
                <w:sz w:val="20"/>
                <w:szCs w:val="20"/>
                <w:color w:val="auto"/>
              </w:rPr>
            </w:pPr>
            <w:r>
              <w:rPr>
                <w:rFonts w:ascii="Arial" w:cs="Arial" w:eastAsia="Arial" w:hAnsi="Arial"/>
                <w:sz w:val="16"/>
                <w:szCs w:val="16"/>
                <w:color w:val="auto"/>
              </w:rPr>
              <w:t>$   702,461,000  (2)</w:t>
            </w:r>
          </w:p>
        </w:tc>
        <w:tc>
          <w:tcPr>
            <w:tcW w:w="1800" w:type="dxa"/>
            <w:vAlign w:val="bottom"/>
          </w:tcPr>
          <w:p>
            <w:pPr>
              <w:jc w:val="right"/>
              <w:spacing w:after="0"/>
              <w:rPr>
                <w:sz w:val="20"/>
                <w:szCs w:val="20"/>
                <w:color w:val="auto"/>
              </w:rPr>
            </w:pPr>
            <w:r>
              <w:rPr>
                <w:rFonts w:ascii="Arial" w:cs="Arial" w:eastAsia="Arial" w:hAnsi="Arial"/>
                <w:sz w:val="16"/>
                <w:szCs w:val="16"/>
                <w:color w:val="auto"/>
              </w:rPr>
              <w:t>26,706,000  (4)</w:t>
            </w:r>
          </w:p>
        </w:tc>
      </w:tr>
    </w:tbl>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600" w:hanging="565"/>
        <w:spacing w:after="0"/>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Credit Ratings are as of March 31, 2019. Subsequent rating changes have not been reflected.</w:t>
      </w:r>
    </w:p>
    <w:p>
      <w:pPr>
        <w:spacing w:after="0" w:line="86" w:lineRule="exact"/>
        <w:rPr>
          <w:rFonts w:ascii="Arial" w:cs="Arial" w:eastAsia="Arial" w:hAnsi="Arial"/>
          <w:sz w:val="16"/>
          <w:szCs w:val="16"/>
          <w:color w:val="auto"/>
        </w:rPr>
      </w:pPr>
    </w:p>
    <w:p>
      <w:pPr>
        <w:ind w:left="600" w:hanging="565"/>
        <w:spacing w:after="0"/>
        <w:tabs>
          <w:tab w:leader="none" w:pos="6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aggregate, annualized in-place contractual (defined as cash-basis excluding rent abatements) minimum rent for all occupied spaces as of March 31, 2019.</w:t>
      </w:r>
    </w:p>
    <w:p>
      <w:pPr>
        <w:spacing w:after="0" w:line="122" w:lineRule="exact"/>
        <w:rPr>
          <w:rFonts w:ascii="Arial" w:cs="Arial" w:eastAsia="Arial" w:hAnsi="Arial"/>
          <w:sz w:val="14"/>
          <w:szCs w:val="14"/>
          <w:color w:val="auto"/>
        </w:rPr>
      </w:pPr>
    </w:p>
    <w:p>
      <w:pPr>
        <w:ind w:left="600" w:hanging="565"/>
        <w:spacing w:after="0"/>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86" w:lineRule="exact"/>
        <w:rPr>
          <w:rFonts w:ascii="Arial" w:cs="Arial" w:eastAsia="Arial" w:hAnsi="Arial"/>
          <w:sz w:val="16"/>
          <w:szCs w:val="16"/>
          <w:color w:val="auto"/>
        </w:rPr>
      </w:pPr>
    </w:p>
    <w:p>
      <w:pPr>
        <w:ind w:left="600" w:hanging="565"/>
        <w:spacing w:after="0"/>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86" w:lineRule="exact"/>
        <w:rPr>
          <w:rFonts w:ascii="Arial" w:cs="Arial" w:eastAsia="Arial" w:hAnsi="Arial"/>
          <w:sz w:val="16"/>
          <w:szCs w:val="16"/>
          <w:color w:val="auto"/>
        </w:rPr>
      </w:pPr>
    </w:p>
    <w:p>
      <w:pPr>
        <w:ind w:left="600" w:hanging="565"/>
        <w:spacing w:after="0"/>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Totals reflect both the commercial and residential portions of our properties.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type w:val="continuous"/>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2019</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provides a reconciliation of the range of estimated earnings per diluted share to estimated FFO per diluted share for the full year 2019.</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Estimates do not include the impact from potential acquisitions or dispositions which have not closed as of March 31, 2019.</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72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w w:val="95"/>
              </w:rPr>
              <w:t>Full Year 2019 Guidance Range</w:t>
            </w:r>
          </w:p>
        </w:tc>
      </w:tr>
      <w:tr>
        <w:trPr>
          <w:trHeight w:val="27"/>
        </w:trPr>
        <w:tc>
          <w:tcPr>
            <w:tcW w:w="87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480"/>
        </w:trPr>
        <w:tc>
          <w:tcPr>
            <w:tcW w:w="87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Low</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High</w:t>
            </w:r>
          </w:p>
        </w:tc>
      </w:tr>
      <w:tr>
        <w:trPr>
          <w:trHeight w:val="27"/>
        </w:trPr>
        <w:tc>
          <w:tcPr>
            <w:tcW w:w="87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net income available to common shareholders, per diluted share</w:t>
            </w: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3.14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depreciation and amortization</w:t>
            </w: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3.16</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r>
      <w:tr>
        <w:trPr>
          <w:trHeight w:val="257"/>
        </w:trPr>
        <w:tc>
          <w:tcPr>
            <w:tcW w:w="8700" w:type="dxa"/>
            <w:vAlign w:val="bottom"/>
          </w:tcPr>
          <w:p>
            <w:pPr>
              <w:ind w:left="40"/>
              <w:spacing w:after="0"/>
              <w:rPr>
                <w:sz w:val="20"/>
                <w:szCs w:val="20"/>
                <w:color w:val="auto"/>
              </w:rPr>
            </w:pPr>
            <w:r>
              <w:rPr>
                <w:rFonts w:ascii="Arial" w:cs="Arial" w:eastAsia="Arial" w:hAnsi="Arial"/>
                <w:sz w:val="18"/>
                <w:szCs w:val="18"/>
                <w:color w:val="auto"/>
              </w:rPr>
              <w:t>Estimated FFO per diluted share</w:t>
            </w: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6.30</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6.46</w:t>
            </w:r>
          </w:p>
        </w:tc>
      </w:tr>
      <w:tr>
        <w:trPr>
          <w:trHeight w:val="20"/>
        </w:trPr>
        <w:tc>
          <w:tcPr>
            <w:tcW w:w="8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See Glossary of Terms. Individual items may not add up to total due to rounding.</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2"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color w:val="auto"/>
        </w:rPr>
        <w:t xml:space="preserve">EBITDA for Real Estate ("EBITDAre"): </w:t>
      </w:r>
      <w:r>
        <w:rPr>
          <w:rFonts w:ascii="Arial" w:cs="Arial" w:eastAsia="Arial" w:hAnsi="Arial"/>
          <w:sz w:val="17"/>
          <w:szCs w:val="17"/>
          <w:color w:val="auto"/>
        </w:rPr>
        <w:t>EBITDAre is a non-GAAP measure that the National Association of Real Estate Investment Trusts ("NAREIT")</w:t>
      </w:r>
      <w:r>
        <w:rPr>
          <w:rFonts w:ascii="Arial" w:cs="Arial" w:eastAsia="Arial" w:hAnsi="Arial"/>
          <w:sz w:val="17"/>
          <w:szCs w:val="17"/>
          <w:b w:val="1"/>
          <w:bCs w:val="1"/>
          <w:color w:val="auto"/>
        </w:rPr>
        <w:t xml:space="preserve"> </w:t>
      </w:r>
      <w:r>
        <w:rPr>
          <w:rFonts w:ascii="Arial" w:cs="Arial" w:eastAsia="Arial" w:hAnsi="Arial"/>
          <w:sz w:val="17"/>
          <w:szCs w:val="17"/>
          <w:color w:val="auto"/>
        </w:rPr>
        <w:t>defines as: net income computed in accordance with GAAP plus net interest expense, income tax expense, depreciation and amortization, gain or loss on sale of real estate, impairments of real estate,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months ended March 31, 2019 and 2018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556"/>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center"/>
              <w:ind w:left="576"/>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61,803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28,033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26,184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(Benefit) provision for income tax (1)</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834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59,622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(4,306)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of EBITDAre of unconsolidated affiliates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w:t>
            </w:r>
          </w:p>
        </w:tc>
      </w:tr>
      <w:tr>
        <w:trPr>
          <w:trHeight w:val="250"/>
        </w:trPr>
        <w:tc>
          <w:tcPr>
            <w:tcW w:w="8340" w:type="dxa"/>
            <w:vAlign w:val="bottom"/>
          </w:tcPr>
          <w:p>
            <w:pPr>
              <w:ind w:left="380"/>
              <w:spacing w:after="0"/>
              <w:rPr>
                <w:sz w:val="20"/>
                <w:szCs w:val="20"/>
                <w:color w:val="auto"/>
              </w:rPr>
            </w:pPr>
            <w:r>
              <w:rPr>
                <w:rFonts w:ascii="Arial" w:cs="Arial" w:eastAsia="Arial" w:hAnsi="Arial"/>
                <w:sz w:val="18"/>
                <w:szCs w:val="18"/>
                <w:color w:val="auto"/>
              </w:rPr>
              <w:t>EBITDAre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150,963</w:t>
            </w:r>
          </w:p>
        </w:tc>
        <w:tc>
          <w:tcPr>
            <w:tcW w:w="100" w:type="dxa"/>
            <w:vAlign w:val="bottom"/>
          </w:tcPr>
          <w:p>
            <w:pPr>
              <w:spacing w:after="0"/>
              <w:rPr>
                <w:sz w:val="21"/>
                <w:szCs w:val="21"/>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143,991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8890</wp:posOffset>
            </wp:positionV>
            <wp:extent cx="19551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 For the three months ended March 31, 2018, the provision for income tax primarily relates to condominium sales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-130175</wp:posOffset>
            </wp:positionV>
            <wp:extent cx="19551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NAREIT defines FFO as follows: net</w:t>
      </w:r>
      <w:r>
        <w:rPr>
          <w:rFonts w:ascii="Arial" w:cs="Arial" w:eastAsia="Arial" w:hAnsi="Arial"/>
          <w:sz w:val="16"/>
          <w:szCs w:val="16"/>
          <w:b w:val="1"/>
          <w:bCs w:val="1"/>
          <w:color w:val="auto"/>
        </w:rPr>
        <w:t xml:space="preserve"> </w:t>
      </w:r>
      <w:r>
        <w:rPr>
          <w:rFonts w:ascii="Arial" w:cs="Arial" w:eastAsia="Arial" w:hAnsi="Arial"/>
          <w:sz w:val="16"/>
          <w:szCs w:val="16"/>
          <w:color w:val="auto"/>
        </w:rPr>
        <w:t>income, computed in accordance with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ind w:right="600"/>
        <w:spacing w:after="0" w:line="314" w:lineRule="auto"/>
        <w:rPr>
          <w:sz w:val="20"/>
          <w:szCs w:val="20"/>
          <w:color w:val="auto"/>
        </w:rPr>
      </w:pPr>
      <w:r>
        <w:rPr>
          <w:rFonts w:ascii="Arial" w:cs="Arial" w:eastAsia="Arial" w:hAnsi="Arial"/>
          <w:sz w:val="16"/>
          <w:szCs w:val="16"/>
          <w:b w:val="1"/>
          <w:bCs w:val="1"/>
          <w:color w:val="auto"/>
        </w:rPr>
        <w:t xml:space="preserve">Comparable Properties: </w:t>
      </w:r>
      <w:r>
        <w:rPr>
          <w:rFonts w:ascii="Arial" w:cs="Arial" w:eastAsia="Arial" w:hAnsi="Arial"/>
          <w:sz w:val="16"/>
          <w:szCs w:val="16"/>
          <w:color w:val="auto"/>
        </w:rPr>
        <w:t>Represents our consolidated property portfolio other than those properties that distort comparability between periods in two</w:t>
      </w:r>
      <w:r>
        <w:rPr>
          <w:rFonts w:ascii="Arial" w:cs="Arial" w:eastAsia="Arial" w:hAnsi="Arial"/>
          <w:sz w:val="16"/>
          <w:szCs w:val="16"/>
          <w:b w:val="1"/>
          <w:bCs w:val="1"/>
          <w:color w:val="auto"/>
        </w:rPr>
        <w:t xml:space="preserve"> </w:t>
      </w:r>
      <w:r>
        <w:rPr>
          <w:rFonts w:ascii="Arial" w:cs="Arial" w:eastAsia="Arial" w:hAnsi="Arial"/>
          <w:sz w:val="16"/>
          <w:szCs w:val="16"/>
          <w:color w:val="auto"/>
        </w:rPr>
        <w:t>primary categories: (1) assets that were not owned for the full quarter in both periods presented and (2) assets currently under development or being repositioned for significant redevelopment and investment. Comparable property growth statistics are calculated on a GAAP basis.</w:t>
      </w:r>
    </w:p>
    <w:p>
      <w:pPr>
        <w:spacing w:after="0" w:line="142"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Tenant Improvements and Incentives: </w:t>
      </w:r>
      <w:r>
        <w:rPr>
          <w:rFonts w:ascii="Arial" w:cs="Arial" w:eastAsia="Arial" w:hAnsi="Arial"/>
          <w:sz w:val="17"/>
          <w:szCs w:val="17"/>
          <w:color w:val="auto"/>
        </w:rPr>
        <w:t>Represents not only the total dollars committed for the improvement (fit-out) of a space as it relates to a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lease and, except for redevelopments,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3"/>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2019-12-28T13:08:15Z</dcterms:created>
  <dcterms:modified xsi:type="dcterms:W3CDTF">2019-12-28T13:08:15Z</dcterms:modified>
</cp:coreProperties>
</file>